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8BB" w:rsidRPr="002C1E58" w:rsidRDefault="004318BB" w:rsidP="004318BB">
      <w:pPr>
        <w:pStyle w:val="ListParagraph"/>
        <w:spacing w:line="360" w:lineRule="auto"/>
        <w:ind w:left="0"/>
        <w:jc w:val="center"/>
        <w:rPr>
          <w:rFonts w:cs="Calibri"/>
          <w:b/>
          <w:bCs/>
          <w:sz w:val="44"/>
          <w:szCs w:val="44"/>
          <w:lang w:val="en-GB"/>
        </w:rPr>
      </w:pPr>
    </w:p>
    <w:p w:rsidR="004318BB" w:rsidRPr="002C1E58" w:rsidRDefault="004318BB" w:rsidP="004318BB">
      <w:pPr>
        <w:pStyle w:val="ListParagraph"/>
        <w:spacing w:line="360" w:lineRule="auto"/>
        <w:ind w:left="0"/>
        <w:jc w:val="center"/>
        <w:rPr>
          <w:rFonts w:cs="Calibri"/>
          <w:b/>
          <w:bCs/>
          <w:sz w:val="44"/>
          <w:szCs w:val="44"/>
          <w:lang w:val="en-GB"/>
        </w:rPr>
      </w:pPr>
      <w:r w:rsidRPr="002C1E58">
        <w:rPr>
          <w:rFonts w:cs="Calibri"/>
          <w:b/>
          <w:bCs/>
          <w:sz w:val="44"/>
          <w:szCs w:val="44"/>
          <w:lang w:val="en-GB"/>
        </w:rPr>
        <w:t>Accruals</w:t>
      </w:r>
      <w:r w:rsidR="00C3083B">
        <w:rPr>
          <w:rFonts w:cs="Calibri"/>
          <w:b/>
          <w:bCs/>
          <w:sz w:val="44"/>
          <w:szCs w:val="44"/>
          <w:lang w:val="en-GB"/>
        </w:rPr>
        <w:t>-based</w:t>
      </w:r>
      <w:r w:rsidRPr="002C1E58">
        <w:rPr>
          <w:rFonts w:cs="Calibri"/>
          <w:b/>
          <w:bCs/>
          <w:sz w:val="44"/>
          <w:szCs w:val="44"/>
          <w:lang w:val="en-GB"/>
        </w:rPr>
        <w:t xml:space="preserve"> and Real </w:t>
      </w:r>
      <w:r>
        <w:rPr>
          <w:rFonts w:cs="Calibri"/>
          <w:b/>
          <w:bCs/>
          <w:sz w:val="44"/>
          <w:szCs w:val="44"/>
          <w:lang w:val="en-GB"/>
        </w:rPr>
        <w:t>Earnings Management</w:t>
      </w:r>
      <w:r w:rsidRPr="002C1E58">
        <w:rPr>
          <w:rFonts w:cs="Calibri"/>
          <w:b/>
          <w:bCs/>
          <w:sz w:val="44"/>
          <w:szCs w:val="44"/>
          <w:lang w:val="en-GB"/>
        </w:rPr>
        <w:t xml:space="preserve"> </w:t>
      </w:r>
      <w:r>
        <w:rPr>
          <w:rFonts w:cs="Calibri"/>
          <w:b/>
          <w:bCs/>
          <w:sz w:val="44"/>
          <w:szCs w:val="44"/>
          <w:lang w:val="en-GB"/>
        </w:rPr>
        <w:t xml:space="preserve">in relation to </w:t>
      </w:r>
      <w:r w:rsidRPr="002C1E58">
        <w:rPr>
          <w:rFonts w:cs="Calibri"/>
          <w:b/>
          <w:bCs/>
          <w:sz w:val="44"/>
          <w:szCs w:val="44"/>
          <w:lang w:val="en-GB"/>
        </w:rPr>
        <w:t xml:space="preserve">the </w:t>
      </w:r>
      <w:r>
        <w:rPr>
          <w:rFonts w:cs="Calibri"/>
          <w:b/>
          <w:bCs/>
          <w:sz w:val="44"/>
          <w:szCs w:val="44"/>
          <w:lang w:val="en-GB"/>
        </w:rPr>
        <w:t>i</w:t>
      </w:r>
      <w:r w:rsidRPr="002C1E58">
        <w:rPr>
          <w:rFonts w:cs="Calibri"/>
          <w:b/>
          <w:bCs/>
          <w:sz w:val="44"/>
          <w:szCs w:val="44"/>
          <w:lang w:val="en-GB"/>
        </w:rPr>
        <w:t>ntroduction of IFRS</w:t>
      </w:r>
    </w:p>
    <w:p w:rsidR="004318BB" w:rsidRPr="002C1E58" w:rsidRDefault="004318BB" w:rsidP="004318BB">
      <w:pPr>
        <w:pStyle w:val="ListParagraph"/>
        <w:spacing w:line="360" w:lineRule="auto"/>
        <w:ind w:left="0"/>
        <w:jc w:val="center"/>
        <w:rPr>
          <w:rFonts w:cs="Calibri"/>
          <w:bCs/>
          <w:sz w:val="32"/>
          <w:szCs w:val="32"/>
          <w:lang w:val="en-GB"/>
        </w:rPr>
      </w:pPr>
      <w:r w:rsidRPr="002C1E58">
        <w:rPr>
          <w:rFonts w:cs="Calibri"/>
          <w:bCs/>
          <w:sz w:val="32"/>
          <w:szCs w:val="32"/>
          <w:lang w:val="en-GB"/>
        </w:rPr>
        <w:t>Results from French Civil Law countries</w:t>
      </w:r>
    </w:p>
    <w:p w:rsidR="004318BB" w:rsidRDefault="004318BB" w:rsidP="004318BB">
      <w:pPr>
        <w:pStyle w:val="ListParagraph"/>
        <w:spacing w:line="360" w:lineRule="auto"/>
        <w:ind w:left="0"/>
        <w:jc w:val="center"/>
        <w:rPr>
          <w:rFonts w:cs="Calibri"/>
          <w:b/>
          <w:bCs/>
          <w:sz w:val="28"/>
          <w:szCs w:val="28"/>
          <w:lang w:val="en-GB"/>
        </w:rPr>
      </w:pPr>
    </w:p>
    <w:p w:rsidR="004318BB" w:rsidRDefault="004318BB" w:rsidP="004318BB">
      <w:pPr>
        <w:pStyle w:val="ListParagraph"/>
        <w:spacing w:line="360" w:lineRule="auto"/>
        <w:ind w:left="0"/>
        <w:jc w:val="center"/>
        <w:rPr>
          <w:rFonts w:cs="Calibri"/>
          <w:b/>
          <w:bCs/>
          <w:sz w:val="28"/>
          <w:szCs w:val="28"/>
          <w:lang w:val="en-GB"/>
        </w:rPr>
      </w:pPr>
    </w:p>
    <w:p w:rsidR="004318BB" w:rsidRPr="002C1E58" w:rsidRDefault="004318BB" w:rsidP="004318BB">
      <w:pPr>
        <w:pStyle w:val="ListParagraph"/>
        <w:spacing w:line="360" w:lineRule="auto"/>
        <w:ind w:left="0"/>
        <w:jc w:val="center"/>
        <w:rPr>
          <w:rFonts w:cs="Calibri"/>
          <w:b/>
          <w:bCs/>
          <w:sz w:val="36"/>
          <w:szCs w:val="36"/>
          <w:lang w:val="en-GB"/>
        </w:rPr>
      </w:pPr>
      <w:r w:rsidRPr="002C1E58">
        <w:rPr>
          <w:rFonts w:cs="Calibri"/>
          <w:b/>
          <w:bCs/>
          <w:sz w:val="36"/>
          <w:szCs w:val="36"/>
          <w:lang w:val="en-GB"/>
        </w:rPr>
        <w:t>Erasmus School of Economics</w:t>
      </w:r>
    </w:p>
    <w:p w:rsidR="004318BB" w:rsidRPr="002C1E58" w:rsidRDefault="004318BB" w:rsidP="004318BB">
      <w:pPr>
        <w:pStyle w:val="ListParagraph"/>
        <w:spacing w:line="360" w:lineRule="auto"/>
        <w:ind w:left="0"/>
        <w:jc w:val="center"/>
        <w:rPr>
          <w:rFonts w:cs="Calibri"/>
          <w:b/>
          <w:bCs/>
          <w:sz w:val="36"/>
          <w:szCs w:val="36"/>
          <w:lang w:val="en-GB"/>
        </w:rPr>
      </w:pPr>
      <w:r w:rsidRPr="002C1E58">
        <w:rPr>
          <w:rFonts w:cs="Calibri"/>
          <w:b/>
          <w:bCs/>
          <w:sz w:val="36"/>
          <w:szCs w:val="36"/>
          <w:lang w:val="en-GB"/>
        </w:rPr>
        <w:t>Master Thesis</w:t>
      </w:r>
    </w:p>
    <w:p w:rsidR="004318BB" w:rsidRDefault="004318BB" w:rsidP="004318BB">
      <w:pPr>
        <w:pStyle w:val="ListParagraph"/>
        <w:spacing w:line="360" w:lineRule="auto"/>
        <w:ind w:left="0"/>
        <w:jc w:val="center"/>
        <w:rPr>
          <w:rFonts w:cs="Calibri"/>
          <w:b/>
          <w:bCs/>
          <w:sz w:val="28"/>
          <w:szCs w:val="28"/>
          <w:lang w:val="en-GB"/>
        </w:rPr>
      </w:pPr>
    </w:p>
    <w:p w:rsidR="004318BB" w:rsidRDefault="004318BB" w:rsidP="004318BB">
      <w:pPr>
        <w:pStyle w:val="ListParagraph"/>
        <w:spacing w:line="360" w:lineRule="auto"/>
        <w:ind w:left="0"/>
        <w:jc w:val="center"/>
        <w:rPr>
          <w:rFonts w:cs="Calibri"/>
          <w:b/>
          <w:bCs/>
          <w:sz w:val="28"/>
          <w:szCs w:val="28"/>
          <w:lang w:val="en-GB"/>
        </w:rPr>
      </w:pPr>
    </w:p>
    <w:p w:rsidR="007915B4" w:rsidRDefault="004318BB" w:rsidP="004318BB">
      <w:pPr>
        <w:pStyle w:val="ListParagraph"/>
        <w:spacing w:line="360" w:lineRule="auto"/>
        <w:ind w:left="0"/>
        <w:rPr>
          <w:rFonts w:cs="Calibri"/>
          <w:bCs/>
          <w:sz w:val="24"/>
          <w:szCs w:val="24"/>
          <w:lang w:val="en-GB"/>
        </w:rPr>
      </w:pPr>
      <w:r>
        <w:rPr>
          <w:rFonts w:cs="Calibri"/>
          <w:b/>
          <w:bCs/>
          <w:sz w:val="28"/>
          <w:szCs w:val="28"/>
          <w:lang w:val="en-GB"/>
        </w:rPr>
        <w:t xml:space="preserve">Abstract: </w:t>
      </w:r>
      <w:r w:rsidR="00E00009" w:rsidRPr="00E00009">
        <w:rPr>
          <w:rFonts w:cs="Calibri"/>
          <w:bCs/>
          <w:sz w:val="24"/>
          <w:szCs w:val="24"/>
          <w:lang w:val="en-GB"/>
        </w:rPr>
        <w:t>In 2005</w:t>
      </w:r>
      <w:r w:rsidR="002E09C0">
        <w:rPr>
          <w:rFonts w:cs="Calibri"/>
          <w:bCs/>
          <w:sz w:val="24"/>
          <w:szCs w:val="24"/>
          <w:lang w:val="en-GB"/>
        </w:rPr>
        <w:t>,</w:t>
      </w:r>
      <w:r w:rsidR="002C5EE8">
        <w:rPr>
          <w:rFonts w:cs="Calibri"/>
          <w:bCs/>
          <w:sz w:val="24"/>
          <w:szCs w:val="24"/>
          <w:lang w:val="en-GB"/>
        </w:rPr>
        <w:t xml:space="preserve"> the use of</w:t>
      </w:r>
      <w:r w:rsidR="00E00009" w:rsidRPr="00E00009">
        <w:rPr>
          <w:rFonts w:cs="Calibri"/>
          <w:bCs/>
          <w:sz w:val="24"/>
          <w:szCs w:val="24"/>
          <w:lang w:val="en-GB"/>
        </w:rPr>
        <w:t xml:space="preserve"> the International Financial Reporting Standards (IFRS) </w:t>
      </w:r>
      <w:r w:rsidR="002C5EE8">
        <w:rPr>
          <w:rFonts w:cs="Calibri"/>
          <w:bCs/>
          <w:sz w:val="24"/>
          <w:szCs w:val="24"/>
          <w:lang w:val="en-GB"/>
        </w:rPr>
        <w:t>became mandatory</w:t>
      </w:r>
      <w:r w:rsidR="00E00009" w:rsidRPr="00E00009">
        <w:rPr>
          <w:rFonts w:cs="Calibri"/>
          <w:bCs/>
          <w:sz w:val="24"/>
          <w:szCs w:val="24"/>
          <w:lang w:val="en-GB"/>
        </w:rPr>
        <w:t xml:space="preserve"> f</w:t>
      </w:r>
      <w:r w:rsidR="002C5EE8">
        <w:rPr>
          <w:rFonts w:cs="Calibri"/>
          <w:bCs/>
          <w:sz w:val="24"/>
          <w:szCs w:val="24"/>
          <w:lang w:val="en-GB"/>
        </w:rPr>
        <w:t>or all European listed companies</w:t>
      </w:r>
      <w:r w:rsidR="00E00009" w:rsidRPr="00E00009">
        <w:rPr>
          <w:rFonts w:cs="Calibri"/>
          <w:bCs/>
          <w:sz w:val="24"/>
          <w:szCs w:val="24"/>
          <w:lang w:val="en-GB"/>
        </w:rPr>
        <w:t xml:space="preserve">. With a combination of stringent rules and subjectivity, the new </w:t>
      </w:r>
      <w:r w:rsidR="00A86E99">
        <w:rPr>
          <w:rFonts w:cs="Calibri"/>
          <w:bCs/>
          <w:sz w:val="24"/>
          <w:szCs w:val="24"/>
          <w:lang w:val="en-GB"/>
        </w:rPr>
        <w:t xml:space="preserve">accounting </w:t>
      </w:r>
      <w:r w:rsidR="00E00009" w:rsidRPr="00E00009">
        <w:rPr>
          <w:rFonts w:cs="Calibri"/>
          <w:bCs/>
          <w:sz w:val="24"/>
          <w:szCs w:val="24"/>
          <w:lang w:val="en-GB"/>
        </w:rPr>
        <w:t>standards tried to decrease</w:t>
      </w:r>
      <w:r w:rsidR="00E00009">
        <w:rPr>
          <w:rFonts w:cs="Calibri"/>
          <w:bCs/>
          <w:sz w:val="24"/>
          <w:szCs w:val="24"/>
          <w:lang w:val="en-GB"/>
        </w:rPr>
        <w:t xml:space="preserve"> the use of earnings management. Earnings management can be performed by two methods: accruals-based and real activities. The main question of this thesis is about the influence the introduction of IFRS </w:t>
      </w:r>
      <w:r w:rsidR="00B82CDD">
        <w:rPr>
          <w:rFonts w:cs="Calibri"/>
          <w:bCs/>
          <w:sz w:val="24"/>
          <w:szCs w:val="24"/>
          <w:lang w:val="en-GB"/>
        </w:rPr>
        <w:t xml:space="preserve">in 2005 </w:t>
      </w:r>
      <w:r w:rsidR="00E00009">
        <w:rPr>
          <w:rFonts w:cs="Calibri"/>
          <w:bCs/>
          <w:sz w:val="24"/>
          <w:szCs w:val="24"/>
          <w:lang w:val="en-GB"/>
        </w:rPr>
        <w:t xml:space="preserve">on the use of the two methods for performing earnings management. </w:t>
      </w:r>
      <w:r w:rsidR="001A463F">
        <w:rPr>
          <w:rFonts w:cs="Calibri"/>
          <w:bCs/>
          <w:sz w:val="24"/>
          <w:szCs w:val="24"/>
          <w:lang w:val="en-GB"/>
        </w:rPr>
        <w:t>With data of</w:t>
      </w:r>
      <w:r w:rsidR="00B82CDD">
        <w:rPr>
          <w:rFonts w:cs="Calibri"/>
          <w:bCs/>
          <w:sz w:val="24"/>
          <w:szCs w:val="24"/>
          <w:lang w:val="en-GB"/>
        </w:rPr>
        <w:t xml:space="preserve"> 95 companies from the French Civil law Countries The Netherlands, Belgium and France, and the use of the Modified Jones model</w:t>
      </w:r>
      <w:r w:rsidR="002E09C0">
        <w:rPr>
          <w:rFonts w:cs="Calibri"/>
          <w:bCs/>
          <w:sz w:val="24"/>
          <w:szCs w:val="24"/>
          <w:lang w:val="en-GB"/>
        </w:rPr>
        <w:t xml:space="preserve"> (1995)</w:t>
      </w:r>
      <w:r w:rsidR="00B82CDD">
        <w:rPr>
          <w:rFonts w:cs="Calibri"/>
          <w:bCs/>
          <w:sz w:val="24"/>
          <w:szCs w:val="24"/>
          <w:lang w:val="en-GB"/>
        </w:rPr>
        <w:t xml:space="preserve"> and the model developed by Roychowdhury (2006) is tried to answer th</w:t>
      </w:r>
      <w:r w:rsidR="001A463F">
        <w:rPr>
          <w:rFonts w:cs="Calibri"/>
          <w:bCs/>
          <w:sz w:val="24"/>
          <w:szCs w:val="24"/>
          <w:lang w:val="en-GB"/>
        </w:rPr>
        <w:t>is</w:t>
      </w:r>
      <w:r w:rsidR="00B82CDD">
        <w:rPr>
          <w:rFonts w:cs="Calibri"/>
          <w:bCs/>
          <w:sz w:val="24"/>
          <w:szCs w:val="24"/>
          <w:lang w:val="en-GB"/>
        </w:rPr>
        <w:t xml:space="preserve"> main question. </w:t>
      </w:r>
      <w:r w:rsidR="007915B4">
        <w:rPr>
          <w:rFonts w:cs="Calibri"/>
          <w:bCs/>
          <w:sz w:val="24"/>
          <w:szCs w:val="24"/>
          <w:lang w:val="en-GB"/>
        </w:rPr>
        <w:t xml:space="preserve">The results of </w:t>
      </w:r>
      <w:r w:rsidR="001A463F">
        <w:rPr>
          <w:rFonts w:cs="Calibri"/>
          <w:bCs/>
          <w:sz w:val="24"/>
          <w:szCs w:val="24"/>
          <w:lang w:val="en-GB"/>
        </w:rPr>
        <w:t xml:space="preserve">the research </w:t>
      </w:r>
      <w:r w:rsidR="007915B4">
        <w:rPr>
          <w:rFonts w:cs="Calibri"/>
          <w:bCs/>
          <w:sz w:val="24"/>
          <w:szCs w:val="24"/>
          <w:lang w:val="en-GB"/>
        </w:rPr>
        <w:t>show a significant increase of accruals-based and no significant difference in the use of real earnings management</w:t>
      </w:r>
      <w:r w:rsidR="0055622A">
        <w:rPr>
          <w:rFonts w:cs="Calibri"/>
          <w:bCs/>
          <w:sz w:val="24"/>
          <w:szCs w:val="24"/>
          <w:lang w:val="en-GB"/>
        </w:rPr>
        <w:t xml:space="preserve"> by the introduction of IFRS in 2005</w:t>
      </w:r>
      <w:r w:rsidR="007915B4">
        <w:rPr>
          <w:rFonts w:cs="Calibri"/>
          <w:bCs/>
          <w:sz w:val="24"/>
          <w:szCs w:val="24"/>
          <w:lang w:val="en-GB"/>
        </w:rPr>
        <w:t xml:space="preserve">. </w:t>
      </w:r>
    </w:p>
    <w:p w:rsidR="004318BB" w:rsidRDefault="004318BB" w:rsidP="004318BB">
      <w:pPr>
        <w:pStyle w:val="ListParagraph"/>
        <w:spacing w:line="360" w:lineRule="auto"/>
        <w:ind w:left="0"/>
        <w:jc w:val="center"/>
        <w:rPr>
          <w:rFonts w:cs="Calibri"/>
          <w:b/>
          <w:bCs/>
          <w:sz w:val="28"/>
          <w:szCs w:val="28"/>
          <w:lang w:val="en-GB"/>
        </w:rPr>
      </w:pPr>
    </w:p>
    <w:p w:rsidR="004318BB" w:rsidRDefault="001E3E50" w:rsidP="004318BB">
      <w:pPr>
        <w:pStyle w:val="ListParagraph"/>
        <w:spacing w:line="360" w:lineRule="auto"/>
        <w:ind w:left="0"/>
        <w:jc w:val="center"/>
        <w:rPr>
          <w:rFonts w:cs="Calibri"/>
          <w:b/>
          <w:bCs/>
          <w:sz w:val="28"/>
          <w:szCs w:val="28"/>
          <w:lang w:val="en-GB"/>
        </w:rPr>
      </w:pPr>
      <w:r w:rsidRPr="001E3E50">
        <w:rPr>
          <w:noProof/>
          <w:lang w:eastAsia="nl-NL"/>
        </w:rPr>
        <w:pict>
          <v:shapetype id="_x0000_t202" coordsize="21600,21600" o:spt="202" path="m,l,21600r21600,l21600,xe">
            <v:stroke joinstyle="miter"/>
            <v:path gradientshapeok="t" o:connecttype="rect"/>
          </v:shapetype>
          <v:shape id="Text Box 1" o:spid="_x0000_s1026" type="#_x0000_t202" style="position:absolute;left:0;text-align:left;margin-left:188.8pt;margin-top:10.6pt;width:297.9pt;height:99.2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" stroked="f">
            <v:textbox>
              <w:txbxContent>
                <w:p w:rsidR="007F51C3" w:rsidRPr="002C5EE8" w:rsidRDefault="007F51C3" w:rsidP="004318BB">
                  <w:pPr>
                    <w:rPr>
                      <w:b/>
                      <w:sz w:val="32"/>
                      <w:szCs w:val="32"/>
                      <w:lang w:val="en-US"/>
                    </w:rPr>
                  </w:pPr>
                  <w:r w:rsidRPr="002C5EE8">
                    <w:rPr>
                      <w:b/>
                      <w:sz w:val="32"/>
                      <w:szCs w:val="32"/>
                      <w:lang w:val="en-US"/>
                    </w:rPr>
                    <w:t>Author</w:t>
                  </w:r>
                  <w:r w:rsidRPr="002C5EE8">
                    <w:rPr>
                      <w:b/>
                      <w:sz w:val="32"/>
                      <w:szCs w:val="32"/>
                      <w:lang w:val="en-US"/>
                    </w:rPr>
                    <w:tab/>
                  </w:r>
                  <w:r w:rsidRPr="002C5EE8">
                    <w:rPr>
                      <w:b/>
                      <w:sz w:val="32"/>
                      <w:szCs w:val="32"/>
                      <w:lang w:val="en-US"/>
                    </w:rPr>
                    <w:tab/>
                    <w:t>Mick Enthoven (302957)</w:t>
                  </w:r>
                </w:p>
                <w:p w:rsidR="007F51C3" w:rsidRPr="00E00009" w:rsidRDefault="007F51C3" w:rsidP="004318BB">
                  <w:pPr>
                    <w:rPr>
                      <w:b/>
                      <w:sz w:val="32"/>
                      <w:szCs w:val="32"/>
                      <w:lang w:val="en-US"/>
                    </w:rPr>
                  </w:pPr>
                  <w:r w:rsidRPr="00E00009">
                    <w:rPr>
                      <w:b/>
                      <w:sz w:val="32"/>
                      <w:szCs w:val="32"/>
                      <w:lang w:val="en-US"/>
                    </w:rPr>
                    <w:t>Supervisor</w:t>
                  </w:r>
                  <w:r w:rsidRPr="00E00009">
                    <w:rPr>
                      <w:b/>
                      <w:sz w:val="32"/>
                      <w:szCs w:val="32"/>
                      <w:lang w:val="en-US"/>
                    </w:rPr>
                    <w:tab/>
                  </w:r>
                  <w:r w:rsidRPr="00E00009">
                    <w:rPr>
                      <w:b/>
                      <w:sz w:val="32"/>
                      <w:szCs w:val="32"/>
                      <w:lang w:val="en-US"/>
                    </w:rPr>
                    <w:tab/>
                    <w:t xml:space="preserve">Mr. </w:t>
                  </w:r>
                  <w:r>
                    <w:rPr>
                      <w:b/>
                      <w:sz w:val="32"/>
                      <w:szCs w:val="32"/>
                      <w:lang w:val="en-US"/>
                    </w:rPr>
                    <w:t>v</w:t>
                  </w:r>
                  <w:r w:rsidRPr="00E00009">
                    <w:rPr>
                      <w:b/>
                      <w:sz w:val="32"/>
                      <w:szCs w:val="32"/>
                      <w:lang w:val="en-US"/>
                    </w:rPr>
                    <w:t>an der Boom</w:t>
                  </w:r>
                </w:p>
                <w:p w:rsidR="007F51C3" w:rsidRPr="00E00009" w:rsidRDefault="007F51C3" w:rsidP="004318BB">
                  <w:pPr>
                    <w:rPr>
                      <w:b/>
                      <w:sz w:val="32"/>
                      <w:szCs w:val="32"/>
                      <w:lang w:val="en-US"/>
                    </w:rPr>
                  </w:pPr>
                  <w:r>
                    <w:rPr>
                      <w:b/>
                      <w:sz w:val="32"/>
                      <w:szCs w:val="32"/>
                      <w:lang w:val="en-US"/>
                    </w:rPr>
                    <w:t>Date</w:t>
                  </w:r>
                  <w:r>
                    <w:rPr>
                      <w:b/>
                      <w:sz w:val="32"/>
                      <w:szCs w:val="32"/>
                      <w:lang w:val="en-US"/>
                    </w:rPr>
                    <w:tab/>
                  </w:r>
                  <w:r>
                    <w:rPr>
                      <w:b/>
                      <w:sz w:val="32"/>
                      <w:szCs w:val="32"/>
                      <w:lang w:val="en-US"/>
                    </w:rPr>
                    <w:tab/>
                  </w:r>
                  <w:r>
                    <w:rPr>
                      <w:b/>
                      <w:sz w:val="32"/>
                      <w:szCs w:val="32"/>
                      <w:lang w:val="en-US"/>
                    </w:rPr>
                    <w:tab/>
                    <w:t>13-02</w:t>
                  </w:r>
                  <w:r w:rsidRPr="00E00009">
                    <w:rPr>
                      <w:b/>
                      <w:sz w:val="32"/>
                      <w:szCs w:val="32"/>
                      <w:lang w:val="en-US"/>
                    </w:rPr>
                    <w:t>-2012</w:t>
                  </w:r>
                </w:p>
              </w:txbxContent>
            </v:textbox>
          </v:shape>
        </w:pict>
      </w:r>
    </w:p>
    <w:p w:rsidR="00E00009" w:rsidRDefault="00E00009" w:rsidP="004318BB">
      <w:pPr>
        <w:pStyle w:val="ListParagraph"/>
        <w:spacing w:line="360" w:lineRule="auto"/>
        <w:ind w:left="0"/>
        <w:jc w:val="center"/>
        <w:rPr>
          <w:rFonts w:cs="Calibri"/>
          <w:b/>
          <w:bCs/>
          <w:sz w:val="28"/>
          <w:szCs w:val="28"/>
          <w:lang w:val="en-GB"/>
        </w:rPr>
      </w:pPr>
    </w:p>
    <w:p w:rsidR="00E00009" w:rsidRDefault="00E00009" w:rsidP="004318BB">
      <w:pPr>
        <w:pStyle w:val="ListParagraph"/>
        <w:spacing w:line="360" w:lineRule="auto"/>
        <w:ind w:left="0"/>
        <w:jc w:val="center"/>
        <w:rPr>
          <w:rFonts w:cs="Calibri"/>
          <w:b/>
          <w:bCs/>
          <w:sz w:val="28"/>
          <w:szCs w:val="28"/>
          <w:lang w:val="en-GB"/>
        </w:rPr>
      </w:pPr>
    </w:p>
    <w:p w:rsidR="00E00009" w:rsidRDefault="004318BB" w:rsidP="00765435">
      <w:pPr>
        <w:pStyle w:val="ListParagraph"/>
        <w:spacing w:line="360" w:lineRule="auto"/>
        <w:ind w:left="0"/>
        <w:jc w:val="center"/>
        <w:rPr>
          <w:rFonts w:cs="Calibri"/>
          <w:b/>
          <w:bCs/>
          <w:sz w:val="28"/>
          <w:szCs w:val="28"/>
          <w:lang w:val="en-GB"/>
        </w:rPr>
      </w:pPr>
      <w:r>
        <w:rPr>
          <w:rFonts w:cs="Calibri"/>
          <w:b/>
          <w:bCs/>
          <w:sz w:val="28"/>
          <w:szCs w:val="28"/>
          <w:lang w:val="en-GB"/>
        </w:rPr>
        <w:br w:type="page"/>
      </w:r>
      <w:r w:rsidR="000D0D41">
        <w:rPr>
          <w:rFonts w:cs="Calibri"/>
          <w:b/>
          <w:bCs/>
          <w:sz w:val="28"/>
          <w:szCs w:val="28"/>
          <w:lang w:val="en-GB"/>
        </w:rPr>
        <w:lastRenderedPageBreak/>
        <w:t>Preface</w:t>
      </w:r>
    </w:p>
    <w:p w:rsidR="008954C1" w:rsidRDefault="007F51C3" w:rsidP="008954C1">
      <w:pPr>
        <w:spacing w:line="360" w:lineRule="auto"/>
        <w:rPr>
          <w:lang w:val="en-GB"/>
        </w:rPr>
      </w:pPr>
      <w:r>
        <w:rPr>
          <w:lang w:val="en-GB"/>
        </w:rPr>
        <w:t>To complete the Master Accountancy, Auditing and Control, the master thesis has to be completed</w:t>
      </w:r>
      <w:r w:rsidR="008954C1">
        <w:rPr>
          <w:lang w:val="en-GB"/>
        </w:rPr>
        <w:t xml:space="preserve"> as final assignment</w:t>
      </w:r>
      <w:r w:rsidR="00860850">
        <w:rPr>
          <w:lang w:val="en-GB"/>
        </w:rPr>
        <w:t>. The thesis</w:t>
      </w:r>
      <w:r>
        <w:rPr>
          <w:lang w:val="en-GB"/>
        </w:rPr>
        <w:t xml:space="preserve"> could not have been </w:t>
      </w:r>
      <w:r w:rsidR="00860850">
        <w:rPr>
          <w:lang w:val="en-GB"/>
        </w:rPr>
        <w:t>completed</w:t>
      </w:r>
      <w:r>
        <w:rPr>
          <w:lang w:val="en-GB"/>
        </w:rPr>
        <w:t xml:space="preserve"> without the help and support of some persons I would like to thank in this section. First, I would like to thank my supervisor mister van der Boom for his help during the whole process of writing the thesis. </w:t>
      </w:r>
      <w:r w:rsidR="008954C1">
        <w:rPr>
          <w:lang w:val="en-GB"/>
        </w:rPr>
        <w:t xml:space="preserve">His help and support  contributed in many ways to this thesis.  </w:t>
      </w:r>
    </w:p>
    <w:p w:rsidR="008954C1" w:rsidRDefault="008954C1" w:rsidP="008954C1">
      <w:pPr>
        <w:spacing w:line="360" w:lineRule="auto"/>
        <w:rPr>
          <w:lang w:val="en-GB"/>
        </w:rPr>
      </w:pPr>
      <w:r>
        <w:rPr>
          <w:lang w:val="en-GB"/>
        </w:rPr>
        <w:t>My parents are the next persons I would like to thank. Their patience and support</w:t>
      </w:r>
      <w:r w:rsidR="00860850">
        <w:rPr>
          <w:lang w:val="en-GB"/>
        </w:rPr>
        <w:t xml:space="preserve"> during</w:t>
      </w:r>
      <w:r>
        <w:rPr>
          <w:lang w:val="en-GB"/>
        </w:rPr>
        <w:t xml:space="preserve"> </w:t>
      </w:r>
      <w:r w:rsidR="00860850">
        <w:rPr>
          <w:lang w:val="en-GB"/>
        </w:rPr>
        <w:t xml:space="preserve">all years of education </w:t>
      </w:r>
      <w:r>
        <w:rPr>
          <w:lang w:val="en-GB"/>
        </w:rPr>
        <w:t xml:space="preserve">as well as during writing this thesis kept me encouraged to complete </w:t>
      </w:r>
      <w:r w:rsidR="00860850">
        <w:rPr>
          <w:lang w:val="en-GB"/>
        </w:rPr>
        <w:t>this</w:t>
      </w:r>
      <w:r>
        <w:rPr>
          <w:lang w:val="en-GB"/>
        </w:rPr>
        <w:t xml:space="preserve"> study </w:t>
      </w:r>
      <w:r w:rsidR="00860850">
        <w:rPr>
          <w:lang w:val="en-GB"/>
        </w:rPr>
        <w:t>and</w:t>
      </w:r>
      <w:r>
        <w:rPr>
          <w:lang w:val="en-GB"/>
        </w:rPr>
        <w:t xml:space="preserve"> finish this thesis.  </w:t>
      </w:r>
      <w:bookmarkStart w:id="0" w:name="_GoBack"/>
      <w:bookmarkEnd w:id="0"/>
    </w:p>
    <w:p w:rsidR="00755856" w:rsidRPr="00C27A18" w:rsidRDefault="000D0D41" w:rsidP="00860850">
      <w:pPr>
        <w:spacing w:line="240" w:lineRule="auto"/>
        <w:rPr>
          <w:rStyle w:val="Emphasis"/>
          <w:rFonts w:cs="Calibri"/>
          <w:i w:val="0"/>
          <w:sz w:val="24"/>
          <w:szCs w:val="24"/>
          <w:lang w:val="en-US"/>
        </w:rPr>
      </w:pPr>
      <w:r>
        <w:rPr>
          <w:rFonts w:cs="Calibri"/>
          <w:b/>
          <w:bCs/>
          <w:sz w:val="28"/>
          <w:szCs w:val="28"/>
          <w:lang w:val="en-GB"/>
        </w:rPr>
        <w:br w:type="page"/>
      </w:r>
      <w:r w:rsidR="00755856" w:rsidRPr="00755856">
        <w:rPr>
          <w:rFonts w:cs="Calibri"/>
          <w:b/>
          <w:bCs/>
          <w:sz w:val="28"/>
          <w:szCs w:val="28"/>
          <w:lang w:val="en-GB"/>
        </w:rPr>
        <w:lastRenderedPageBreak/>
        <w:t>Table of Content</w:t>
      </w:r>
      <w:r w:rsidR="00EE55D1">
        <w:rPr>
          <w:rFonts w:cs="Calibri"/>
          <w:b/>
          <w:bCs/>
          <w:sz w:val="28"/>
          <w:szCs w:val="28"/>
          <w:lang w:val="en-GB"/>
        </w:rPr>
        <w:br/>
      </w:r>
      <w:r w:rsidR="00FB4A42" w:rsidRPr="00EE55D1">
        <w:rPr>
          <w:sz w:val="28"/>
          <w:szCs w:val="28"/>
          <w:lang w:val="en-US"/>
        </w:rPr>
        <w:t xml:space="preserve">1 </w:t>
      </w:r>
      <w:r w:rsidR="00755856" w:rsidRPr="00EE55D1">
        <w:rPr>
          <w:sz w:val="28"/>
          <w:szCs w:val="28"/>
          <w:lang w:val="en-US"/>
        </w:rPr>
        <w:t xml:space="preserve">Introduction of the </w:t>
      </w:r>
      <w:r w:rsidR="0012210F" w:rsidRPr="00EE55D1">
        <w:rPr>
          <w:sz w:val="28"/>
          <w:szCs w:val="28"/>
          <w:lang w:val="en-US"/>
        </w:rPr>
        <w:t>thesis</w:t>
      </w:r>
      <w:r w:rsidR="00602054" w:rsidRPr="00EE55D1">
        <w:rPr>
          <w:sz w:val="28"/>
          <w:szCs w:val="28"/>
          <w:lang w:val="en-US"/>
        </w:rPr>
        <w:tab/>
      </w:r>
      <w:r w:rsidR="00EE55D1">
        <w:rPr>
          <w:sz w:val="28"/>
          <w:szCs w:val="28"/>
          <w:lang w:val="en-US"/>
        </w:rPr>
        <w:tab/>
      </w:r>
      <w:r w:rsidR="00EE55D1">
        <w:rPr>
          <w:sz w:val="28"/>
          <w:szCs w:val="28"/>
          <w:lang w:val="en-US"/>
        </w:rPr>
        <w:tab/>
      </w:r>
      <w:r w:rsidR="00EE55D1">
        <w:rPr>
          <w:sz w:val="28"/>
          <w:szCs w:val="28"/>
          <w:lang w:val="en-US"/>
        </w:rPr>
        <w:tab/>
      </w:r>
      <w:r w:rsidR="00EE55D1">
        <w:rPr>
          <w:sz w:val="28"/>
          <w:szCs w:val="28"/>
          <w:lang w:val="en-US"/>
        </w:rPr>
        <w:tab/>
      </w:r>
      <w:r w:rsidR="00EE55D1">
        <w:rPr>
          <w:sz w:val="28"/>
          <w:szCs w:val="28"/>
          <w:lang w:val="en-US"/>
        </w:rPr>
        <w:tab/>
      </w:r>
      <w:r w:rsidR="00EE55D1">
        <w:rPr>
          <w:sz w:val="28"/>
          <w:szCs w:val="28"/>
          <w:lang w:val="en-US"/>
        </w:rPr>
        <w:tab/>
      </w:r>
      <w:r w:rsidR="00EE55D1">
        <w:rPr>
          <w:sz w:val="28"/>
          <w:szCs w:val="28"/>
          <w:lang w:val="en-US"/>
        </w:rPr>
        <w:tab/>
      </w:r>
      <w:r w:rsidR="004318BB" w:rsidRPr="00EE55D1">
        <w:rPr>
          <w:sz w:val="24"/>
          <w:szCs w:val="24"/>
          <w:lang w:val="en-US"/>
        </w:rPr>
        <w:t>p  5</w:t>
      </w:r>
      <w:r w:rsidR="00EE55D1">
        <w:rPr>
          <w:sz w:val="28"/>
          <w:szCs w:val="28"/>
          <w:lang w:val="en-US"/>
        </w:rPr>
        <w:tab/>
      </w:r>
      <w:r w:rsidR="00857BDC" w:rsidRPr="00C27A18">
        <w:rPr>
          <w:rStyle w:val="Emphasis"/>
          <w:rFonts w:cs="Calibri"/>
          <w:i w:val="0"/>
          <w:sz w:val="24"/>
          <w:szCs w:val="24"/>
          <w:lang w:val="en-US"/>
        </w:rPr>
        <w:t xml:space="preserve">1.1 </w:t>
      </w:r>
      <w:r w:rsidR="00755856" w:rsidRPr="00C27A18">
        <w:rPr>
          <w:rStyle w:val="Emphasis"/>
          <w:rFonts w:cs="Calibri"/>
          <w:i w:val="0"/>
          <w:sz w:val="24"/>
          <w:szCs w:val="24"/>
          <w:lang w:val="en-US"/>
        </w:rPr>
        <w:t>Introduction</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5</w:t>
      </w:r>
      <w:r w:rsidR="00EE55D1">
        <w:rPr>
          <w:rStyle w:val="Emphasis"/>
          <w:rFonts w:cs="Calibri"/>
          <w:i w:val="0"/>
          <w:sz w:val="24"/>
          <w:szCs w:val="24"/>
          <w:lang w:val="en-US"/>
        </w:rPr>
        <w:tab/>
      </w:r>
      <w:r w:rsidR="00755856" w:rsidRPr="00C27A18">
        <w:rPr>
          <w:rStyle w:val="Emphasis"/>
          <w:rFonts w:cs="Calibri"/>
          <w:i w:val="0"/>
          <w:sz w:val="24"/>
          <w:szCs w:val="24"/>
          <w:lang w:val="en-US"/>
        </w:rPr>
        <w:t>1.2 Research question and relevance</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7</w:t>
      </w:r>
      <w:r w:rsidR="00EE55D1">
        <w:rPr>
          <w:rStyle w:val="Emphasis"/>
          <w:rFonts w:cs="Calibri"/>
          <w:i w:val="0"/>
          <w:sz w:val="24"/>
          <w:szCs w:val="24"/>
          <w:lang w:val="en-US"/>
        </w:rPr>
        <w:tab/>
      </w:r>
      <w:r w:rsidR="00755856" w:rsidRPr="00C27A18">
        <w:rPr>
          <w:rStyle w:val="Emphasis"/>
          <w:rFonts w:cs="Calibri"/>
          <w:i w:val="0"/>
          <w:sz w:val="24"/>
          <w:szCs w:val="24"/>
          <w:lang w:val="en-US"/>
        </w:rPr>
        <w:t>1.3 Contribution to prior research</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601A4C">
        <w:rPr>
          <w:rStyle w:val="Emphasis"/>
          <w:rFonts w:cs="Calibri"/>
          <w:i w:val="0"/>
          <w:sz w:val="24"/>
          <w:szCs w:val="24"/>
          <w:lang w:val="en-US"/>
        </w:rPr>
        <w:t>p  9</w:t>
      </w:r>
      <w:r w:rsidR="00EE55D1">
        <w:rPr>
          <w:rStyle w:val="Emphasis"/>
          <w:rFonts w:cs="Calibri"/>
          <w:i w:val="0"/>
          <w:sz w:val="24"/>
          <w:szCs w:val="24"/>
          <w:lang w:val="en-US"/>
        </w:rPr>
        <w:tab/>
      </w:r>
      <w:r w:rsidR="00755856" w:rsidRPr="00C27A18">
        <w:rPr>
          <w:rStyle w:val="Emphasis"/>
          <w:rFonts w:cs="Calibri"/>
          <w:i w:val="0"/>
          <w:sz w:val="24"/>
          <w:szCs w:val="24"/>
          <w:lang w:val="en-US"/>
        </w:rPr>
        <w:t>1.4 Methodology</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9</w:t>
      </w:r>
      <w:r w:rsidR="00EE55D1">
        <w:rPr>
          <w:rStyle w:val="Emphasis"/>
          <w:rFonts w:cs="Calibri"/>
          <w:i w:val="0"/>
          <w:sz w:val="24"/>
          <w:szCs w:val="24"/>
          <w:lang w:val="en-US"/>
        </w:rPr>
        <w:tab/>
      </w:r>
      <w:r w:rsidR="00755856" w:rsidRPr="00C27A18">
        <w:rPr>
          <w:rStyle w:val="Emphasis"/>
          <w:rFonts w:cs="Calibri"/>
          <w:i w:val="0"/>
          <w:sz w:val="24"/>
          <w:szCs w:val="24"/>
          <w:lang w:val="en-US"/>
        </w:rPr>
        <w:t>1.5 Structure of the thesis</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10</w:t>
      </w:r>
      <w:r w:rsidR="007965C9">
        <w:rPr>
          <w:rStyle w:val="Emphasis"/>
          <w:rFonts w:cs="Calibri"/>
          <w:i w:val="0"/>
          <w:sz w:val="24"/>
          <w:szCs w:val="24"/>
          <w:lang w:val="en-US"/>
        </w:rPr>
        <w:br/>
      </w:r>
      <w:r w:rsidR="007965C9">
        <w:rPr>
          <w:rStyle w:val="Emphasis"/>
          <w:rFonts w:cs="Calibri"/>
          <w:i w:val="0"/>
          <w:sz w:val="24"/>
          <w:szCs w:val="24"/>
          <w:lang w:val="en-US"/>
        </w:rPr>
        <w:br/>
      </w:r>
      <w:r w:rsidR="00755856" w:rsidRPr="00C27A18">
        <w:rPr>
          <w:rStyle w:val="Emphasis"/>
          <w:rFonts w:cs="Calibri"/>
          <w:i w:val="0"/>
          <w:sz w:val="28"/>
          <w:szCs w:val="28"/>
          <w:lang w:val="en-US"/>
        </w:rPr>
        <w:t>2 Research Approaches</w:t>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4318BB">
        <w:rPr>
          <w:rStyle w:val="Emphasis"/>
          <w:rFonts w:cs="Calibri"/>
          <w:i w:val="0"/>
          <w:sz w:val="24"/>
          <w:szCs w:val="24"/>
          <w:lang w:val="en-US"/>
        </w:rPr>
        <w:t>p 11</w:t>
      </w:r>
      <w:r w:rsidR="007965C9">
        <w:rPr>
          <w:rStyle w:val="Emphasis"/>
          <w:rFonts w:cs="Calibri"/>
          <w:i w:val="0"/>
          <w:sz w:val="24"/>
          <w:szCs w:val="24"/>
          <w:lang w:val="en-US"/>
        </w:rPr>
        <w:tab/>
      </w:r>
      <w:r w:rsidR="00755856" w:rsidRPr="00C27A18">
        <w:rPr>
          <w:rStyle w:val="Emphasis"/>
          <w:rFonts w:cs="Calibri"/>
          <w:i w:val="0"/>
          <w:sz w:val="24"/>
          <w:szCs w:val="24"/>
          <w:lang w:val="en-US"/>
        </w:rPr>
        <w:t>2.1 Introduction</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11</w:t>
      </w:r>
      <w:r w:rsidR="007965C9">
        <w:rPr>
          <w:rStyle w:val="Emphasis"/>
          <w:rFonts w:cs="Calibri"/>
          <w:i w:val="0"/>
          <w:sz w:val="24"/>
          <w:szCs w:val="24"/>
          <w:lang w:val="en-US"/>
        </w:rPr>
        <w:tab/>
      </w:r>
      <w:r w:rsidR="00755856" w:rsidRPr="00C27A18">
        <w:rPr>
          <w:rStyle w:val="Emphasis"/>
          <w:rFonts w:cs="Calibri"/>
          <w:i w:val="0"/>
          <w:sz w:val="24"/>
          <w:szCs w:val="24"/>
          <w:lang w:val="en-US"/>
        </w:rPr>
        <w:t>2.2 General research approaches</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11</w:t>
      </w:r>
      <w:r w:rsidR="007965C9">
        <w:rPr>
          <w:rStyle w:val="Emphasis"/>
          <w:rFonts w:cs="Calibri"/>
          <w:i w:val="0"/>
          <w:sz w:val="24"/>
          <w:szCs w:val="24"/>
          <w:lang w:val="en-US"/>
        </w:rPr>
        <w:tab/>
      </w:r>
      <w:r w:rsidR="007965C9">
        <w:rPr>
          <w:rStyle w:val="Emphasis"/>
          <w:rFonts w:cs="Calibri"/>
          <w:i w:val="0"/>
          <w:sz w:val="24"/>
          <w:szCs w:val="24"/>
          <w:lang w:val="en-US"/>
        </w:rPr>
        <w:tab/>
      </w:r>
      <w:r w:rsidR="00A812E3">
        <w:rPr>
          <w:rStyle w:val="Emphasis"/>
          <w:rFonts w:cs="Calibri"/>
          <w:i w:val="0"/>
          <w:lang w:val="en-US"/>
        </w:rPr>
        <w:t>2.2.1 Positive Theories</w:t>
      </w:r>
      <w:r w:rsidR="00A812E3">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12</w:t>
      </w:r>
      <w:r w:rsidR="007965C9">
        <w:rPr>
          <w:rStyle w:val="Emphasis"/>
          <w:rFonts w:cs="Calibri"/>
          <w:i w:val="0"/>
          <w:sz w:val="24"/>
          <w:szCs w:val="24"/>
          <w:lang w:val="en-US"/>
        </w:rPr>
        <w:tab/>
      </w:r>
      <w:r w:rsidR="00755856" w:rsidRPr="00C27A18">
        <w:rPr>
          <w:rStyle w:val="Emphasis"/>
          <w:rFonts w:cs="Calibri"/>
          <w:i w:val="0"/>
          <w:sz w:val="24"/>
          <w:szCs w:val="24"/>
          <w:lang w:val="en-US"/>
        </w:rPr>
        <w:t>2.3 Earnings management specific approaches</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12</w:t>
      </w:r>
      <w:r w:rsidR="007965C9">
        <w:rPr>
          <w:rStyle w:val="Emphasis"/>
          <w:rFonts w:cs="Calibri"/>
          <w:i w:val="0"/>
          <w:sz w:val="24"/>
          <w:szCs w:val="24"/>
          <w:lang w:val="en-US"/>
        </w:rPr>
        <w:tab/>
      </w:r>
      <w:r w:rsidR="007965C9">
        <w:rPr>
          <w:rStyle w:val="Emphasis"/>
          <w:rFonts w:cs="Calibri"/>
          <w:i w:val="0"/>
          <w:sz w:val="24"/>
          <w:szCs w:val="24"/>
          <w:lang w:val="en-US"/>
        </w:rPr>
        <w:tab/>
      </w:r>
      <w:r w:rsidR="00755856" w:rsidRPr="00C27A18">
        <w:rPr>
          <w:rStyle w:val="Emphasis"/>
          <w:rFonts w:cs="Calibri"/>
          <w:i w:val="0"/>
          <w:lang w:val="en-US"/>
        </w:rPr>
        <w:t xml:space="preserve">2.3.1 Accrual-based approach </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601A4C">
        <w:rPr>
          <w:rStyle w:val="Emphasis"/>
          <w:rFonts w:cs="Calibri"/>
          <w:i w:val="0"/>
          <w:sz w:val="24"/>
          <w:szCs w:val="24"/>
          <w:lang w:val="en-US"/>
        </w:rPr>
        <w:t>p 13</w:t>
      </w:r>
      <w:r w:rsidR="007965C9">
        <w:rPr>
          <w:rStyle w:val="Emphasis"/>
          <w:rFonts w:cs="Calibri"/>
          <w:i w:val="0"/>
          <w:sz w:val="24"/>
          <w:szCs w:val="24"/>
          <w:lang w:val="en-US"/>
        </w:rPr>
        <w:tab/>
      </w:r>
      <w:r w:rsidR="007965C9">
        <w:rPr>
          <w:rStyle w:val="Emphasis"/>
          <w:rFonts w:cs="Calibri"/>
          <w:i w:val="0"/>
          <w:sz w:val="24"/>
          <w:szCs w:val="24"/>
          <w:lang w:val="en-US"/>
        </w:rPr>
        <w:tab/>
      </w:r>
      <w:r w:rsidR="00755856" w:rsidRPr="00C27A18">
        <w:rPr>
          <w:rStyle w:val="Emphasis"/>
          <w:rFonts w:cs="Calibri"/>
          <w:i w:val="0"/>
          <w:lang w:val="en-US"/>
        </w:rPr>
        <w:t>2.3.2 Real activities manipulation approach</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13</w:t>
      </w:r>
      <w:r w:rsidR="007965C9">
        <w:rPr>
          <w:rStyle w:val="Emphasis"/>
          <w:rFonts w:cs="Calibri"/>
          <w:i w:val="0"/>
          <w:sz w:val="24"/>
          <w:szCs w:val="24"/>
          <w:lang w:val="en-US"/>
        </w:rPr>
        <w:tab/>
      </w:r>
      <w:r w:rsidR="007965C9">
        <w:rPr>
          <w:rStyle w:val="Emphasis"/>
          <w:rFonts w:cs="Calibri"/>
          <w:i w:val="0"/>
          <w:sz w:val="24"/>
          <w:szCs w:val="24"/>
          <w:lang w:val="en-US"/>
        </w:rPr>
        <w:tab/>
      </w:r>
      <w:r w:rsidR="007965C9">
        <w:rPr>
          <w:rStyle w:val="Emphasis"/>
          <w:rFonts w:cs="Calibri"/>
          <w:i w:val="0"/>
          <w:sz w:val="24"/>
          <w:szCs w:val="24"/>
          <w:lang w:val="en-US"/>
        </w:rPr>
        <w:tab/>
      </w:r>
      <w:r w:rsidR="00755856" w:rsidRPr="00C27A18">
        <w:rPr>
          <w:rStyle w:val="Emphasis"/>
          <w:rFonts w:cs="Calibri"/>
          <w:i w:val="0"/>
          <w:lang w:val="en-US"/>
        </w:rPr>
        <w:t>2.3.2.1 Manipulation of operating activities</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601A4C">
        <w:rPr>
          <w:rStyle w:val="Emphasis"/>
          <w:rFonts w:cs="Calibri"/>
          <w:i w:val="0"/>
          <w:sz w:val="24"/>
          <w:szCs w:val="24"/>
          <w:lang w:val="en-US"/>
        </w:rPr>
        <w:t>p 14</w:t>
      </w:r>
      <w:r w:rsidR="007965C9">
        <w:rPr>
          <w:rStyle w:val="Emphasis"/>
          <w:rFonts w:cs="Calibri"/>
          <w:i w:val="0"/>
          <w:sz w:val="24"/>
          <w:szCs w:val="24"/>
          <w:lang w:val="en-US"/>
        </w:rPr>
        <w:tab/>
      </w:r>
      <w:r w:rsidR="007965C9">
        <w:rPr>
          <w:rStyle w:val="Emphasis"/>
          <w:rFonts w:cs="Calibri"/>
          <w:i w:val="0"/>
          <w:sz w:val="24"/>
          <w:szCs w:val="24"/>
          <w:lang w:val="en-US"/>
        </w:rPr>
        <w:tab/>
      </w:r>
      <w:r w:rsidR="007965C9">
        <w:rPr>
          <w:rStyle w:val="Emphasis"/>
          <w:rFonts w:cs="Calibri"/>
          <w:i w:val="0"/>
          <w:sz w:val="24"/>
          <w:szCs w:val="24"/>
          <w:lang w:val="en-US"/>
        </w:rPr>
        <w:tab/>
      </w:r>
      <w:r w:rsidR="00755856" w:rsidRPr="00C27A18">
        <w:rPr>
          <w:rStyle w:val="Emphasis"/>
          <w:rFonts w:cs="Calibri"/>
          <w:i w:val="0"/>
          <w:lang w:val="en-US"/>
        </w:rPr>
        <w:t>2.3.2.2 Manipulation of investing activities</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14</w:t>
      </w:r>
      <w:r w:rsidR="007965C9">
        <w:rPr>
          <w:rStyle w:val="Emphasis"/>
          <w:rFonts w:cs="Calibri"/>
          <w:i w:val="0"/>
          <w:sz w:val="24"/>
          <w:szCs w:val="24"/>
          <w:lang w:val="en-US"/>
        </w:rPr>
        <w:tab/>
      </w:r>
      <w:r w:rsidR="007965C9">
        <w:rPr>
          <w:rStyle w:val="Emphasis"/>
          <w:rFonts w:cs="Calibri"/>
          <w:i w:val="0"/>
          <w:sz w:val="24"/>
          <w:szCs w:val="24"/>
          <w:lang w:val="en-US"/>
        </w:rPr>
        <w:tab/>
      </w:r>
      <w:r w:rsidR="007965C9">
        <w:rPr>
          <w:rStyle w:val="Emphasis"/>
          <w:rFonts w:cs="Calibri"/>
          <w:i w:val="0"/>
          <w:sz w:val="24"/>
          <w:szCs w:val="24"/>
          <w:lang w:val="en-US"/>
        </w:rPr>
        <w:tab/>
      </w:r>
      <w:r w:rsidR="00755856" w:rsidRPr="00C27A18">
        <w:rPr>
          <w:rStyle w:val="Emphasis"/>
          <w:rFonts w:cs="Calibri"/>
          <w:i w:val="0"/>
          <w:lang w:val="en-US"/>
        </w:rPr>
        <w:t>2.3.2.3 Manipulation of financing activities</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14</w:t>
      </w:r>
      <w:r w:rsidR="007965C9">
        <w:rPr>
          <w:rStyle w:val="Emphasis"/>
          <w:rFonts w:cs="Calibri"/>
          <w:i w:val="0"/>
          <w:sz w:val="24"/>
          <w:szCs w:val="24"/>
          <w:lang w:val="en-US"/>
        </w:rPr>
        <w:tab/>
      </w:r>
      <w:r w:rsidR="00755856" w:rsidRPr="00C27A18">
        <w:rPr>
          <w:rStyle w:val="Emphasis"/>
          <w:rFonts w:cs="Calibri"/>
          <w:i w:val="0"/>
          <w:sz w:val="24"/>
          <w:szCs w:val="24"/>
          <w:lang w:val="en-US"/>
        </w:rPr>
        <w:t>2.4 Summary</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15</w:t>
      </w:r>
    </w:p>
    <w:p w:rsidR="00755856" w:rsidRPr="00C27A18" w:rsidRDefault="00755856" w:rsidP="00857BDC">
      <w:pPr>
        <w:pStyle w:val="NoSpacing"/>
        <w:rPr>
          <w:rStyle w:val="Emphasis"/>
          <w:rFonts w:cs="Calibri"/>
          <w:i w:val="0"/>
          <w:sz w:val="28"/>
          <w:szCs w:val="28"/>
          <w:lang w:val="en-US"/>
        </w:rPr>
      </w:pPr>
      <w:r w:rsidRPr="00C27A18">
        <w:rPr>
          <w:rStyle w:val="Emphasis"/>
          <w:rFonts w:cs="Calibri"/>
          <w:i w:val="0"/>
          <w:sz w:val="28"/>
          <w:szCs w:val="28"/>
          <w:lang w:val="en-US"/>
        </w:rPr>
        <w:t>3 Earnings Management and IFRS</w:t>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5A4C67">
        <w:rPr>
          <w:rStyle w:val="Emphasis"/>
          <w:rFonts w:cs="Calibri"/>
          <w:i w:val="0"/>
          <w:sz w:val="28"/>
          <w:szCs w:val="28"/>
          <w:lang w:val="en-US"/>
        </w:rPr>
        <w:tab/>
      </w:r>
      <w:r w:rsidR="004318BB">
        <w:rPr>
          <w:rStyle w:val="Emphasis"/>
          <w:rFonts w:cs="Calibri"/>
          <w:i w:val="0"/>
          <w:sz w:val="24"/>
          <w:szCs w:val="24"/>
          <w:lang w:val="en-US"/>
        </w:rPr>
        <w:t>p 16</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3.1 Introduction</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16</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3.2 Earnings management</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16</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 xml:space="preserve">3.2.1 Definition of </w:t>
      </w:r>
      <w:r w:rsidR="005413DB">
        <w:rPr>
          <w:rStyle w:val="Emphasis"/>
          <w:rFonts w:cs="Calibri"/>
          <w:i w:val="0"/>
          <w:lang w:val="en-US"/>
        </w:rPr>
        <w:t xml:space="preserve">the term </w:t>
      </w:r>
      <w:r w:rsidRPr="00C27A18">
        <w:rPr>
          <w:rStyle w:val="Emphasis"/>
          <w:rFonts w:cs="Calibri"/>
          <w:i w:val="0"/>
          <w:lang w:val="en-US"/>
        </w:rPr>
        <w:t>earnings management</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16</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3.2.2 Methods of Earnings Management</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18</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3.2.2.1 Accruals-based earnings management</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18</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3.2.2.2 Real earnings management</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18</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3.2.3 Incentives</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19</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3.2.4 Directions of earnings management</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20</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3.3 IFRS</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4318BB">
        <w:rPr>
          <w:rStyle w:val="Emphasis"/>
          <w:rFonts w:cs="Calibri"/>
          <w:i w:val="0"/>
          <w:sz w:val="24"/>
          <w:szCs w:val="24"/>
          <w:lang w:val="en-US"/>
        </w:rPr>
        <w:t>p 2</w:t>
      </w:r>
      <w:r w:rsidR="00601A4C">
        <w:rPr>
          <w:rStyle w:val="Emphasis"/>
          <w:rFonts w:cs="Calibri"/>
          <w:i w:val="0"/>
          <w:sz w:val="24"/>
          <w:szCs w:val="24"/>
          <w:lang w:val="en-US"/>
        </w:rPr>
        <w:t>2</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3.3.1 Introduction</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22</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 xml:space="preserve">3.3.2 Advantages and Disadvantages of </w:t>
      </w:r>
      <w:r w:rsidR="00A00A3F">
        <w:rPr>
          <w:rStyle w:val="Emphasis"/>
          <w:rFonts w:cs="Calibri"/>
          <w:i w:val="0"/>
          <w:lang w:val="en-US"/>
        </w:rPr>
        <w:t xml:space="preserve">the mandatory use of </w:t>
      </w:r>
      <w:r w:rsidRPr="00C27A18">
        <w:rPr>
          <w:rStyle w:val="Emphasis"/>
          <w:rFonts w:cs="Calibri"/>
          <w:i w:val="0"/>
          <w:lang w:val="en-US"/>
        </w:rPr>
        <w:t>IFRS</w:t>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22</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 xml:space="preserve">3.4 Models for measuring </w:t>
      </w:r>
      <w:r w:rsidR="00F5523E">
        <w:rPr>
          <w:rStyle w:val="Emphasis"/>
          <w:rFonts w:cs="Calibri"/>
          <w:i w:val="0"/>
          <w:sz w:val="24"/>
          <w:szCs w:val="24"/>
          <w:lang w:val="en-US"/>
        </w:rPr>
        <w:t xml:space="preserve">the use of </w:t>
      </w:r>
      <w:r w:rsidRPr="00C27A18">
        <w:rPr>
          <w:rStyle w:val="Emphasis"/>
          <w:rFonts w:cs="Calibri"/>
          <w:i w:val="0"/>
          <w:sz w:val="24"/>
          <w:szCs w:val="24"/>
          <w:lang w:val="en-US"/>
        </w:rPr>
        <w:t>earnings management</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601A4C">
        <w:rPr>
          <w:rStyle w:val="Emphasis"/>
          <w:rFonts w:cs="Calibri"/>
          <w:i w:val="0"/>
          <w:sz w:val="24"/>
          <w:szCs w:val="24"/>
          <w:lang w:val="en-US"/>
        </w:rPr>
        <w:t>p 24</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3.4.1 Accruals Approach</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601A4C">
        <w:rPr>
          <w:rStyle w:val="Emphasis"/>
          <w:rFonts w:cs="Calibri"/>
          <w:i w:val="0"/>
          <w:sz w:val="24"/>
          <w:szCs w:val="24"/>
          <w:lang w:val="en-US"/>
        </w:rPr>
        <w:t>p 24</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3.4.2 Accruals models</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24</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3.4.2.1 Healy (1985)</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25</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3.4.2.2 DeAngelo (1986)</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601A4C">
        <w:rPr>
          <w:rStyle w:val="Emphasis"/>
          <w:rFonts w:cs="Calibri"/>
          <w:i w:val="0"/>
          <w:sz w:val="24"/>
          <w:szCs w:val="24"/>
          <w:lang w:val="en-US"/>
        </w:rPr>
        <w:t>p 26</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3.4.2.3 Jones Model (1991)</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26</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3.4.2.4 Modified Jones Model (1995)</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27</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3.4.2.5 Kothari et al (2005)</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w:t>
      </w:r>
      <w:r w:rsidR="007572D5">
        <w:rPr>
          <w:rStyle w:val="Emphasis"/>
          <w:rFonts w:cs="Calibri"/>
          <w:i w:val="0"/>
          <w:sz w:val="24"/>
          <w:szCs w:val="24"/>
          <w:lang w:val="en-US"/>
        </w:rPr>
        <w:t>8</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3.4.3 Real activities Approach</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7572D5">
        <w:rPr>
          <w:rStyle w:val="Emphasis"/>
          <w:rFonts w:cs="Calibri"/>
          <w:i w:val="0"/>
          <w:sz w:val="24"/>
          <w:szCs w:val="24"/>
          <w:lang w:val="en-US"/>
        </w:rPr>
        <w:t>p 29</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3.4.3.1 Real Activities Manipulation</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p 29</w:t>
      </w:r>
    </w:p>
    <w:p w:rsidR="00755856" w:rsidRPr="009B4C49" w:rsidRDefault="00755856" w:rsidP="00857BDC">
      <w:pPr>
        <w:pStyle w:val="NoSpacing"/>
        <w:ind w:left="1416" w:firstLine="708"/>
        <w:rPr>
          <w:rStyle w:val="Emphasis"/>
          <w:rFonts w:cs="Calibri"/>
          <w:i w:val="0"/>
          <w:sz w:val="26"/>
          <w:szCs w:val="26"/>
          <w:lang w:val="en-US"/>
        </w:rPr>
      </w:pPr>
      <w:r w:rsidRPr="00C27A18">
        <w:rPr>
          <w:rStyle w:val="Emphasis"/>
          <w:rFonts w:cs="Calibri"/>
          <w:i w:val="0"/>
          <w:lang w:val="en-US"/>
        </w:rPr>
        <w:t>3.4.3.2 Real Activities Manipulation Models</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4318BB">
        <w:rPr>
          <w:rStyle w:val="Emphasis"/>
          <w:rFonts w:cs="Calibri"/>
          <w:i w:val="0"/>
          <w:sz w:val="24"/>
          <w:szCs w:val="24"/>
          <w:lang w:val="en-US"/>
        </w:rPr>
        <w:t xml:space="preserve">p </w:t>
      </w:r>
      <w:r w:rsidR="00601A4C">
        <w:rPr>
          <w:rStyle w:val="Emphasis"/>
          <w:rFonts w:cs="Calibri"/>
          <w:i w:val="0"/>
          <w:sz w:val="24"/>
          <w:szCs w:val="24"/>
          <w:lang w:val="en-US"/>
        </w:rPr>
        <w:t>30</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3.4.3.3 Roychowdhury (2006)</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7572D5">
        <w:rPr>
          <w:rStyle w:val="Emphasis"/>
          <w:rFonts w:cs="Calibri"/>
          <w:i w:val="0"/>
          <w:sz w:val="24"/>
          <w:szCs w:val="24"/>
          <w:lang w:val="en-US"/>
        </w:rPr>
        <w:t>p 30</w:t>
      </w:r>
    </w:p>
    <w:p w:rsidR="00755856" w:rsidRPr="00C27A18" w:rsidRDefault="00755856" w:rsidP="00857BDC">
      <w:pPr>
        <w:pStyle w:val="NoSpacing"/>
        <w:ind w:left="1416" w:firstLine="708"/>
        <w:rPr>
          <w:rStyle w:val="Emphasis"/>
          <w:rFonts w:cs="Calibri"/>
          <w:i w:val="0"/>
          <w:lang w:val="en-US"/>
        </w:rPr>
      </w:pPr>
      <w:r w:rsidRPr="00C27A18">
        <w:rPr>
          <w:rStyle w:val="Emphasis"/>
          <w:rFonts w:cs="Calibri"/>
          <w:i w:val="0"/>
          <w:lang w:val="en-US"/>
        </w:rPr>
        <w:t>3.4.</w:t>
      </w:r>
      <w:r w:rsidR="00FB4A42" w:rsidRPr="00C27A18">
        <w:rPr>
          <w:rStyle w:val="Emphasis"/>
          <w:rFonts w:cs="Calibri"/>
          <w:i w:val="0"/>
          <w:lang w:val="en-US"/>
        </w:rPr>
        <w:t>3</w:t>
      </w:r>
      <w:r w:rsidRPr="00C27A18">
        <w:rPr>
          <w:rStyle w:val="Emphasis"/>
          <w:rFonts w:cs="Calibri"/>
          <w:i w:val="0"/>
          <w:lang w:val="en-US"/>
        </w:rPr>
        <w:t>.4 Gunny (2010)</w:t>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5A4C67">
        <w:rPr>
          <w:rStyle w:val="Emphasis"/>
          <w:rFonts w:cs="Calibri"/>
          <w:i w:val="0"/>
          <w:lang w:val="en-US"/>
        </w:rPr>
        <w:tab/>
      </w:r>
      <w:r w:rsidR="007F6D47" w:rsidRPr="009B4C49">
        <w:rPr>
          <w:rStyle w:val="Emphasis"/>
          <w:rFonts w:cs="Calibri"/>
          <w:i w:val="0"/>
          <w:sz w:val="24"/>
          <w:szCs w:val="24"/>
          <w:lang w:val="en-US"/>
        </w:rPr>
        <w:t>p 3</w:t>
      </w:r>
      <w:r w:rsidR="007572D5">
        <w:rPr>
          <w:rStyle w:val="Emphasis"/>
          <w:rFonts w:cs="Calibri"/>
          <w:i w:val="0"/>
          <w:sz w:val="24"/>
          <w:szCs w:val="24"/>
          <w:lang w:val="en-US"/>
        </w:rPr>
        <w:t>2</w:t>
      </w:r>
    </w:p>
    <w:p w:rsidR="00755856" w:rsidRPr="00C27A18" w:rsidRDefault="00755856" w:rsidP="0045155A">
      <w:pPr>
        <w:pStyle w:val="NoSpacing"/>
        <w:ind w:firstLine="708"/>
        <w:rPr>
          <w:rStyle w:val="Emphasis"/>
          <w:rFonts w:cs="Calibri"/>
          <w:i w:val="0"/>
          <w:sz w:val="24"/>
          <w:szCs w:val="24"/>
          <w:lang w:val="en-US"/>
        </w:rPr>
      </w:pPr>
      <w:r w:rsidRPr="00C27A18">
        <w:rPr>
          <w:rStyle w:val="Emphasis"/>
          <w:rFonts w:cs="Calibri"/>
          <w:i w:val="0"/>
          <w:sz w:val="24"/>
          <w:szCs w:val="24"/>
          <w:lang w:val="en-US"/>
        </w:rPr>
        <w:t xml:space="preserve">3.5 </w:t>
      </w:r>
      <w:r w:rsidR="00F76F0A" w:rsidRPr="00C27A18">
        <w:rPr>
          <w:rStyle w:val="Emphasis"/>
          <w:rFonts w:cs="Calibri"/>
          <w:i w:val="0"/>
          <w:sz w:val="24"/>
          <w:szCs w:val="24"/>
          <w:lang w:val="en-US"/>
        </w:rPr>
        <w:t>Summary</w:t>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5A4C67">
        <w:rPr>
          <w:rStyle w:val="Emphasis"/>
          <w:rFonts w:cs="Calibri"/>
          <w:i w:val="0"/>
          <w:sz w:val="24"/>
          <w:szCs w:val="24"/>
          <w:lang w:val="en-US"/>
        </w:rPr>
        <w:tab/>
      </w:r>
      <w:r w:rsidR="007572D5">
        <w:rPr>
          <w:rStyle w:val="Emphasis"/>
          <w:rFonts w:cs="Calibri"/>
          <w:i w:val="0"/>
          <w:sz w:val="24"/>
          <w:szCs w:val="24"/>
          <w:lang w:val="en-US"/>
        </w:rPr>
        <w:t>p 35</w:t>
      </w:r>
    </w:p>
    <w:p w:rsidR="00755856" w:rsidRPr="00C27A18" w:rsidRDefault="00755856" w:rsidP="00857BDC">
      <w:pPr>
        <w:pStyle w:val="NoSpacing"/>
        <w:rPr>
          <w:rStyle w:val="Emphasis"/>
          <w:rFonts w:cs="Calibri"/>
          <w:i w:val="0"/>
          <w:sz w:val="28"/>
          <w:szCs w:val="28"/>
          <w:lang w:val="en-US"/>
        </w:rPr>
      </w:pPr>
      <w:r w:rsidRPr="00C27A18">
        <w:rPr>
          <w:rStyle w:val="Emphasis"/>
          <w:rFonts w:cs="Calibri"/>
          <w:i w:val="0"/>
          <w:sz w:val="28"/>
          <w:szCs w:val="28"/>
          <w:lang w:val="en-US"/>
        </w:rPr>
        <w:lastRenderedPageBreak/>
        <w:t xml:space="preserve">4 </w:t>
      </w:r>
      <w:r w:rsidR="005D7562" w:rsidRPr="00C27A18">
        <w:rPr>
          <w:rStyle w:val="Emphasis"/>
          <w:rFonts w:cs="Calibri"/>
          <w:i w:val="0"/>
          <w:sz w:val="28"/>
          <w:szCs w:val="28"/>
          <w:lang w:val="en-US"/>
        </w:rPr>
        <w:t>Related</w:t>
      </w:r>
      <w:r w:rsidRPr="00C27A18">
        <w:rPr>
          <w:rStyle w:val="Emphasis"/>
          <w:rFonts w:cs="Calibri"/>
          <w:i w:val="0"/>
          <w:sz w:val="28"/>
          <w:szCs w:val="28"/>
          <w:lang w:val="en-US"/>
        </w:rPr>
        <w:t xml:space="preserve"> researches</w:t>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sidRPr="009B4C49">
        <w:rPr>
          <w:rStyle w:val="Emphasis"/>
          <w:rFonts w:cs="Calibri"/>
          <w:i w:val="0"/>
          <w:sz w:val="24"/>
          <w:szCs w:val="24"/>
          <w:lang w:val="en-US"/>
        </w:rPr>
        <w:tab/>
      </w:r>
      <w:r w:rsidR="007572D5">
        <w:rPr>
          <w:rStyle w:val="Emphasis"/>
          <w:rFonts w:cs="Calibri"/>
          <w:i w:val="0"/>
          <w:sz w:val="24"/>
          <w:szCs w:val="24"/>
          <w:lang w:val="en-US"/>
        </w:rPr>
        <w:t>p 38</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4.1 Introduction</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572D5">
        <w:rPr>
          <w:rStyle w:val="Emphasis"/>
          <w:rFonts w:cs="Calibri"/>
          <w:i w:val="0"/>
          <w:sz w:val="24"/>
          <w:szCs w:val="24"/>
          <w:lang w:val="en-US"/>
        </w:rPr>
        <w:t>p 38</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4.2 Earlier conducted researches</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572D5">
        <w:rPr>
          <w:rStyle w:val="Emphasis"/>
          <w:rFonts w:cs="Calibri"/>
          <w:i w:val="0"/>
          <w:sz w:val="24"/>
          <w:szCs w:val="24"/>
          <w:lang w:val="en-US"/>
        </w:rPr>
        <w:t>p 38</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 xml:space="preserve">4.3 French Civil Law </w:t>
      </w:r>
      <w:r w:rsidR="00F84015" w:rsidRPr="00C27A18">
        <w:rPr>
          <w:rStyle w:val="Emphasis"/>
          <w:rFonts w:cs="Calibri"/>
          <w:i w:val="0"/>
          <w:sz w:val="24"/>
          <w:szCs w:val="24"/>
          <w:lang w:val="en-US"/>
        </w:rPr>
        <w:t>factors</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572D5">
        <w:rPr>
          <w:rStyle w:val="Emphasis"/>
          <w:rFonts w:cs="Calibri"/>
          <w:i w:val="0"/>
          <w:sz w:val="24"/>
          <w:szCs w:val="24"/>
          <w:lang w:val="en-US"/>
        </w:rPr>
        <w:t>p 44</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4.4 Summary</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572D5">
        <w:rPr>
          <w:rStyle w:val="Emphasis"/>
          <w:rFonts w:cs="Calibri"/>
          <w:i w:val="0"/>
          <w:sz w:val="24"/>
          <w:szCs w:val="24"/>
          <w:lang w:val="en-US"/>
        </w:rPr>
        <w:t>p 47</w:t>
      </w:r>
    </w:p>
    <w:p w:rsidR="00857BDC" w:rsidRPr="00C27A18" w:rsidRDefault="00857BDC" w:rsidP="00857BDC">
      <w:pPr>
        <w:pStyle w:val="NoSpacing"/>
        <w:rPr>
          <w:rStyle w:val="Emphasis"/>
          <w:rFonts w:cs="Calibri"/>
          <w:i w:val="0"/>
          <w:sz w:val="24"/>
          <w:szCs w:val="24"/>
          <w:lang w:val="en-US"/>
        </w:rPr>
      </w:pPr>
    </w:p>
    <w:p w:rsidR="00755856" w:rsidRPr="00C27A18" w:rsidRDefault="00755856" w:rsidP="00857BDC">
      <w:pPr>
        <w:pStyle w:val="NoSpacing"/>
        <w:rPr>
          <w:rStyle w:val="Emphasis"/>
          <w:rFonts w:cs="Calibri"/>
          <w:i w:val="0"/>
          <w:sz w:val="28"/>
          <w:szCs w:val="28"/>
          <w:lang w:val="en-US"/>
        </w:rPr>
      </w:pPr>
      <w:r w:rsidRPr="00C27A18">
        <w:rPr>
          <w:rStyle w:val="Emphasis"/>
          <w:rFonts w:cs="Calibri"/>
          <w:i w:val="0"/>
          <w:sz w:val="28"/>
          <w:szCs w:val="28"/>
          <w:lang w:val="en-US"/>
        </w:rPr>
        <w:t>5 Hypotheses</w:t>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601A4C">
        <w:rPr>
          <w:rStyle w:val="Emphasis"/>
          <w:rFonts w:cs="Calibri"/>
          <w:i w:val="0"/>
          <w:sz w:val="24"/>
          <w:szCs w:val="24"/>
          <w:lang w:val="en-US"/>
        </w:rPr>
        <w:t>p 50</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5.1 Introduction</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601A4C">
        <w:rPr>
          <w:rStyle w:val="Emphasis"/>
          <w:rFonts w:cs="Calibri"/>
          <w:i w:val="0"/>
          <w:sz w:val="24"/>
          <w:szCs w:val="24"/>
          <w:lang w:val="en-US"/>
        </w:rPr>
        <w:t>p 50</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 xml:space="preserve">5.2 </w:t>
      </w:r>
      <w:r w:rsidR="00262E1D" w:rsidRPr="00C27A18">
        <w:rPr>
          <w:rStyle w:val="Emphasis"/>
          <w:rFonts w:cs="Calibri"/>
          <w:i w:val="0"/>
          <w:sz w:val="24"/>
          <w:szCs w:val="24"/>
          <w:lang w:val="en-US"/>
        </w:rPr>
        <w:t>Hypothese</w:t>
      </w:r>
      <w:r w:rsidRPr="00C27A18">
        <w:rPr>
          <w:rStyle w:val="Emphasis"/>
          <w:rFonts w:cs="Calibri"/>
          <w:i w:val="0"/>
          <w:sz w:val="24"/>
          <w:szCs w:val="24"/>
          <w:lang w:val="en-US"/>
        </w:rPr>
        <w:t>s development</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601A4C">
        <w:rPr>
          <w:rStyle w:val="Emphasis"/>
          <w:rFonts w:cs="Calibri"/>
          <w:i w:val="0"/>
          <w:sz w:val="24"/>
          <w:szCs w:val="24"/>
          <w:lang w:val="en-US"/>
        </w:rPr>
        <w:t>p 50</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5.3 Summary</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572D5">
        <w:rPr>
          <w:rStyle w:val="Emphasis"/>
          <w:rFonts w:cs="Calibri"/>
          <w:i w:val="0"/>
          <w:sz w:val="24"/>
          <w:szCs w:val="24"/>
          <w:lang w:val="en-US"/>
        </w:rPr>
        <w:t>p 51</w:t>
      </w:r>
    </w:p>
    <w:p w:rsidR="00857BDC" w:rsidRPr="00C27A18" w:rsidRDefault="00857BDC" w:rsidP="00857BDC">
      <w:pPr>
        <w:pStyle w:val="NoSpacing"/>
        <w:rPr>
          <w:rStyle w:val="Emphasis"/>
          <w:rFonts w:cs="Calibri"/>
          <w:i w:val="0"/>
          <w:sz w:val="24"/>
          <w:szCs w:val="24"/>
          <w:lang w:val="en-US"/>
        </w:rPr>
      </w:pPr>
    </w:p>
    <w:p w:rsidR="00755856" w:rsidRPr="00C27A18" w:rsidRDefault="00755856" w:rsidP="00857BDC">
      <w:pPr>
        <w:pStyle w:val="NoSpacing"/>
        <w:rPr>
          <w:rStyle w:val="Emphasis"/>
          <w:rFonts w:cs="Calibri"/>
          <w:i w:val="0"/>
          <w:sz w:val="28"/>
          <w:szCs w:val="28"/>
          <w:lang w:val="en-US"/>
        </w:rPr>
      </w:pPr>
      <w:r w:rsidRPr="00C27A18">
        <w:rPr>
          <w:rStyle w:val="Emphasis"/>
          <w:rFonts w:cs="Calibri"/>
          <w:i w:val="0"/>
          <w:sz w:val="28"/>
          <w:szCs w:val="28"/>
          <w:lang w:val="en-US"/>
        </w:rPr>
        <w:t>6 Research Design</w:t>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7572D5">
        <w:rPr>
          <w:rStyle w:val="Emphasis"/>
          <w:rFonts w:cs="Calibri"/>
          <w:i w:val="0"/>
          <w:sz w:val="24"/>
          <w:szCs w:val="24"/>
          <w:lang w:val="en-US"/>
        </w:rPr>
        <w:t>p 53</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6.1 Introduction</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572D5">
        <w:rPr>
          <w:rStyle w:val="Emphasis"/>
          <w:rFonts w:cs="Calibri"/>
          <w:i w:val="0"/>
          <w:sz w:val="24"/>
          <w:szCs w:val="24"/>
          <w:lang w:val="en-US"/>
        </w:rPr>
        <w:t>p 53</w:t>
      </w:r>
    </w:p>
    <w:p w:rsidR="00755856" w:rsidRPr="00C27A18" w:rsidRDefault="00FB4A42"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6.</w:t>
      </w:r>
      <w:r w:rsidR="00755856" w:rsidRPr="00C27A18">
        <w:rPr>
          <w:rStyle w:val="Emphasis"/>
          <w:rFonts w:cs="Calibri"/>
          <w:i w:val="0"/>
          <w:sz w:val="24"/>
          <w:szCs w:val="24"/>
          <w:lang w:val="en-US"/>
        </w:rPr>
        <w:t>2 Models for detecting Earnings Management</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342888">
        <w:rPr>
          <w:rStyle w:val="Emphasis"/>
          <w:rFonts w:cs="Calibri"/>
          <w:i w:val="0"/>
          <w:sz w:val="24"/>
          <w:szCs w:val="24"/>
          <w:lang w:val="en-US"/>
        </w:rPr>
        <w:t>p 5</w:t>
      </w:r>
      <w:r w:rsidR="00601A4C">
        <w:rPr>
          <w:rStyle w:val="Emphasis"/>
          <w:rFonts w:cs="Calibri"/>
          <w:i w:val="0"/>
          <w:sz w:val="24"/>
          <w:szCs w:val="24"/>
          <w:lang w:val="en-US"/>
        </w:rPr>
        <w:t>5</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6.2.1 Modified Jones Model (1995)</w:t>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601A4C">
        <w:rPr>
          <w:rStyle w:val="Emphasis"/>
          <w:rFonts w:cs="Calibri"/>
          <w:i w:val="0"/>
          <w:sz w:val="24"/>
          <w:szCs w:val="24"/>
          <w:lang w:val="en-US"/>
        </w:rPr>
        <w:t>p 55</w:t>
      </w:r>
    </w:p>
    <w:p w:rsidR="00755856" w:rsidRDefault="00755856" w:rsidP="00857BDC">
      <w:pPr>
        <w:pStyle w:val="NoSpacing"/>
        <w:ind w:left="708" w:firstLine="708"/>
        <w:rPr>
          <w:rStyle w:val="Emphasis"/>
          <w:rFonts w:cs="Calibri"/>
          <w:i w:val="0"/>
          <w:sz w:val="24"/>
          <w:szCs w:val="24"/>
          <w:lang w:val="en-US"/>
        </w:rPr>
      </w:pPr>
      <w:r w:rsidRPr="00C27A18">
        <w:rPr>
          <w:rStyle w:val="Emphasis"/>
          <w:rFonts w:cs="Calibri"/>
          <w:i w:val="0"/>
          <w:lang w:val="en-US"/>
        </w:rPr>
        <w:t>6.2.2 Roychowdhury (2006)</w:t>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601A4C">
        <w:rPr>
          <w:rStyle w:val="Emphasis"/>
          <w:rFonts w:cs="Calibri"/>
          <w:i w:val="0"/>
          <w:sz w:val="24"/>
          <w:szCs w:val="24"/>
          <w:lang w:val="en-US"/>
        </w:rPr>
        <w:t>p 58</w:t>
      </w:r>
    </w:p>
    <w:p w:rsidR="00EE55D1" w:rsidRPr="00C27A18" w:rsidRDefault="00EE55D1" w:rsidP="00EE55D1">
      <w:pPr>
        <w:pStyle w:val="NoSpacing"/>
        <w:rPr>
          <w:rStyle w:val="Emphasis"/>
          <w:rFonts w:cs="Calibri"/>
          <w:i w:val="0"/>
          <w:lang w:val="en-US"/>
        </w:rPr>
      </w:pPr>
      <w:r>
        <w:rPr>
          <w:rStyle w:val="Emphasis"/>
          <w:rFonts w:cs="Calibri"/>
          <w:i w:val="0"/>
          <w:sz w:val="24"/>
          <w:szCs w:val="24"/>
          <w:lang w:val="en-US"/>
        </w:rPr>
        <w:tab/>
        <w:t>6.3 Multiple Regression</w:t>
      </w:r>
      <w:r w:rsidR="00601A4C">
        <w:rPr>
          <w:rStyle w:val="Emphasis"/>
          <w:rFonts w:cs="Calibri"/>
          <w:i w:val="0"/>
          <w:sz w:val="24"/>
          <w:szCs w:val="24"/>
          <w:lang w:val="en-US"/>
        </w:rPr>
        <w:tab/>
      </w:r>
      <w:r w:rsidR="00601A4C">
        <w:rPr>
          <w:rStyle w:val="Emphasis"/>
          <w:rFonts w:cs="Calibri"/>
          <w:i w:val="0"/>
          <w:sz w:val="24"/>
          <w:szCs w:val="24"/>
          <w:lang w:val="en-US"/>
        </w:rPr>
        <w:tab/>
      </w:r>
      <w:r w:rsidR="00601A4C">
        <w:rPr>
          <w:rStyle w:val="Emphasis"/>
          <w:rFonts w:cs="Calibri"/>
          <w:i w:val="0"/>
          <w:sz w:val="24"/>
          <w:szCs w:val="24"/>
          <w:lang w:val="en-US"/>
        </w:rPr>
        <w:tab/>
      </w:r>
      <w:r w:rsidR="00601A4C">
        <w:rPr>
          <w:rStyle w:val="Emphasis"/>
          <w:rFonts w:cs="Calibri"/>
          <w:i w:val="0"/>
          <w:sz w:val="24"/>
          <w:szCs w:val="24"/>
          <w:lang w:val="en-US"/>
        </w:rPr>
        <w:tab/>
      </w:r>
      <w:r w:rsidR="00601A4C">
        <w:rPr>
          <w:rStyle w:val="Emphasis"/>
          <w:rFonts w:cs="Calibri"/>
          <w:i w:val="0"/>
          <w:sz w:val="24"/>
          <w:szCs w:val="24"/>
          <w:lang w:val="en-US"/>
        </w:rPr>
        <w:tab/>
      </w:r>
      <w:r w:rsidR="00601A4C">
        <w:rPr>
          <w:rStyle w:val="Emphasis"/>
          <w:rFonts w:cs="Calibri"/>
          <w:i w:val="0"/>
          <w:sz w:val="24"/>
          <w:szCs w:val="24"/>
          <w:lang w:val="en-US"/>
        </w:rPr>
        <w:tab/>
      </w:r>
      <w:r w:rsidR="00601A4C">
        <w:rPr>
          <w:rStyle w:val="Emphasis"/>
          <w:rFonts w:cs="Calibri"/>
          <w:i w:val="0"/>
          <w:sz w:val="24"/>
          <w:szCs w:val="24"/>
          <w:lang w:val="en-US"/>
        </w:rPr>
        <w:tab/>
      </w:r>
      <w:r w:rsidR="00601A4C">
        <w:rPr>
          <w:rStyle w:val="Emphasis"/>
          <w:rFonts w:cs="Calibri"/>
          <w:i w:val="0"/>
          <w:sz w:val="24"/>
          <w:szCs w:val="24"/>
          <w:lang w:val="en-US"/>
        </w:rPr>
        <w:tab/>
        <w:t>p 60</w:t>
      </w:r>
    </w:p>
    <w:p w:rsidR="00755856" w:rsidRPr="00C27A18" w:rsidRDefault="00EE55D1" w:rsidP="00857BDC">
      <w:pPr>
        <w:pStyle w:val="NoSpacing"/>
        <w:ind w:firstLine="708"/>
        <w:rPr>
          <w:rStyle w:val="Emphasis"/>
          <w:rFonts w:cs="Calibri"/>
          <w:i w:val="0"/>
          <w:sz w:val="24"/>
          <w:szCs w:val="24"/>
          <w:lang w:val="en-US"/>
        </w:rPr>
      </w:pPr>
      <w:r>
        <w:rPr>
          <w:rStyle w:val="Emphasis"/>
          <w:rFonts w:cs="Calibri"/>
          <w:i w:val="0"/>
          <w:sz w:val="24"/>
          <w:szCs w:val="24"/>
          <w:lang w:val="en-US"/>
        </w:rPr>
        <w:t>6.4</w:t>
      </w:r>
      <w:r w:rsidR="00755856" w:rsidRPr="00C27A18">
        <w:rPr>
          <w:rStyle w:val="Emphasis"/>
          <w:rFonts w:cs="Calibri"/>
          <w:i w:val="0"/>
          <w:sz w:val="24"/>
          <w:szCs w:val="24"/>
          <w:lang w:val="en-US"/>
        </w:rPr>
        <w:t xml:space="preserve"> </w:t>
      </w:r>
      <w:r w:rsidR="0065301F">
        <w:rPr>
          <w:rStyle w:val="Emphasis"/>
          <w:rFonts w:cs="Calibri"/>
          <w:i w:val="0"/>
          <w:sz w:val="24"/>
          <w:szCs w:val="24"/>
          <w:lang w:val="en-US"/>
        </w:rPr>
        <w:t>Data s</w:t>
      </w:r>
      <w:r w:rsidR="00755856" w:rsidRPr="00C27A18">
        <w:rPr>
          <w:rStyle w:val="Emphasis"/>
          <w:rFonts w:cs="Calibri"/>
          <w:i w:val="0"/>
          <w:sz w:val="24"/>
          <w:szCs w:val="24"/>
          <w:lang w:val="en-US"/>
        </w:rPr>
        <w:t>ample</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601A4C">
        <w:rPr>
          <w:rStyle w:val="Emphasis"/>
          <w:rFonts w:cs="Calibri"/>
          <w:i w:val="0"/>
          <w:sz w:val="24"/>
          <w:szCs w:val="24"/>
          <w:lang w:val="en-US"/>
        </w:rPr>
        <w:t>p 63</w:t>
      </w:r>
    </w:p>
    <w:p w:rsidR="00755856" w:rsidRPr="00C27A18" w:rsidRDefault="00EE55D1" w:rsidP="00857BDC">
      <w:pPr>
        <w:pStyle w:val="NoSpacing"/>
        <w:ind w:firstLine="708"/>
        <w:rPr>
          <w:rStyle w:val="Emphasis"/>
          <w:rFonts w:cs="Calibri"/>
          <w:i w:val="0"/>
          <w:sz w:val="24"/>
          <w:szCs w:val="24"/>
          <w:lang w:val="en-US"/>
        </w:rPr>
      </w:pPr>
      <w:r>
        <w:rPr>
          <w:rStyle w:val="Emphasis"/>
          <w:rFonts w:cs="Calibri"/>
          <w:i w:val="0"/>
          <w:sz w:val="24"/>
          <w:szCs w:val="24"/>
          <w:lang w:val="en-US"/>
        </w:rPr>
        <w:t>6.5</w:t>
      </w:r>
      <w:r w:rsidR="00755856" w:rsidRPr="00C27A18">
        <w:rPr>
          <w:rStyle w:val="Emphasis"/>
          <w:rFonts w:cs="Calibri"/>
          <w:i w:val="0"/>
          <w:sz w:val="24"/>
          <w:szCs w:val="24"/>
          <w:lang w:val="en-US"/>
        </w:rPr>
        <w:t xml:space="preserve"> Data attainability</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601A4C">
        <w:rPr>
          <w:rStyle w:val="Emphasis"/>
          <w:rFonts w:cs="Calibri"/>
          <w:i w:val="0"/>
          <w:sz w:val="24"/>
          <w:szCs w:val="24"/>
          <w:lang w:val="en-US"/>
        </w:rPr>
        <w:t>p 64</w:t>
      </w:r>
    </w:p>
    <w:p w:rsidR="00755856" w:rsidRPr="00C27A18" w:rsidRDefault="00EE55D1" w:rsidP="00857BDC">
      <w:pPr>
        <w:pStyle w:val="NoSpacing"/>
        <w:ind w:firstLine="708"/>
        <w:rPr>
          <w:rStyle w:val="Emphasis"/>
          <w:rFonts w:cs="Calibri"/>
          <w:i w:val="0"/>
          <w:sz w:val="24"/>
          <w:szCs w:val="24"/>
          <w:lang w:val="en-US"/>
        </w:rPr>
      </w:pPr>
      <w:r>
        <w:rPr>
          <w:rStyle w:val="Emphasis"/>
          <w:rFonts w:cs="Calibri"/>
          <w:i w:val="0"/>
          <w:sz w:val="24"/>
          <w:szCs w:val="24"/>
          <w:lang w:val="en-US"/>
        </w:rPr>
        <w:t>6.6</w:t>
      </w:r>
      <w:r w:rsidR="00755856" w:rsidRPr="00C27A18">
        <w:rPr>
          <w:rStyle w:val="Emphasis"/>
          <w:rFonts w:cs="Calibri"/>
          <w:i w:val="0"/>
          <w:sz w:val="24"/>
          <w:szCs w:val="24"/>
          <w:lang w:val="en-US"/>
        </w:rPr>
        <w:t xml:space="preserve"> Summary</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601A4C">
        <w:rPr>
          <w:rStyle w:val="Emphasis"/>
          <w:rFonts w:cs="Calibri"/>
          <w:i w:val="0"/>
          <w:sz w:val="24"/>
          <w:szCs w:val="24"/>
          <w:lang w:val="en-US"/>
        </w:rPr>
        <w:t>p 64</w:t>
      </w:r>
    </w:p>
    <w:p w:rsidR="00857BDC" w:rsidRPr="00C27A18" w:rsidRDefault="00857BDC" w:rsidP="00857BDC">
      <w:pPr>
        <w:pStyle w:val="NoSpacing"/>
        <w:rPr>
          <w:rStyle w:val="Emphasis"/>
          <w:rFonts w:cs="Calibri"/>
          <w:i w:val="0"/>
          <w:sz w:val="24"/>
          <w:szCs w:val="24"/>
          <w:lang w:val="en-US"/>
        </w:rPr>
      </w:pPr>
    </w:p>
    <w:p w:rsidR="00755856" w:rsidRPr="00C27A18" w:rsidRDefault="00755856" w:rsidP="00857BDC">
      <w:pPr>
        <w:pStyle w:val="NoSpacing"/>
        <w:rPr>
          <w:rStyle w:val="Emphasis"/>
          <w:rFonts w:cs="Calibri"/>
          <w:i w:val="0"/>
          <w:sz w:val="28"/>
          <w:szCs w:val="28"/>
          <w:lang w:val="en-US"/>
        </w:rPr>
      </w:pPr>
      <w:r w:rsidRPr="00C27A18">
        <w:rPr>
          <w:rStyle w:val="Emphasis"/>
          <w:rFonts w:cs="Calibri"/>
          <w:i w:val="0"/>
          <w:sz w:val="28"/>
          <w:szCs w:val="28"/>
          <w:lang w:val="en-US"/>
        </w:rPr>
        <w:t>7 The Empirical Research</w:t>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F46B8B">
        <w:rPr>
          <w:rStyle w:val="Emphasis"/>
          <w:rFonts w:cs="Calibri"/>
          <w:i w:val="0"/>
          <w:sz w:val="28"/>
          <w:szCs w:val="28"/>
          <w:lang w:val="en-US"/>
        </w:rPr>
        <w:tab/>
      </w:r>
      <w:r w:rsidR="00BF1B68">
        <w:rPr>
          <w:rStyle w:val="Emphasis"/>
          <w:rFonts w:cs="Calibri"/>
          <w:i w:val="0"/>
          <w:sz w:val="24"/>
          <w:szCs w:val="24"/>
          <w:lang w:val="en-US"/>
        </w:rPr>
        <w:t>p 67</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7.1 Introduction</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BF1B68">
        <w:rPr>
          <w:rStyle w:val="Emphasis"/>
          <w:rFonts w:cs="Calibri"/>
          <w:i w:val="0"/>
          <w:sz w:val="24"/>
          <w:szCs w:val="24"/>
          <w:lang w:val="en-US"/>
        </w:rPr>
        <w:t>p 67</w:t>
      </w:r>
    </w:p>
    <w:p w:rsidR="00755856" w:rsidRPr="00C27A18" w:rsidRDefault="00755856" w:rsidP="00857BDC">
      <w:pPr>
        <w:pStyle w:val="NoSpacing"/>
        <w:ind w:firstLine="708"/>
        <w:rPr>
          <w:rStyle w:val="Emphasis"/>
          <w:rFonts w:cs="Calibri"/>
          <w:i w:val="0"/>
          <w:sz w:val="24"/>
          <w:szCs w:val="24"/>
          <w:lang w:val="en-US"/>
        </w:rPr>
      </w:pPr>
      <w:r w:rsidRPr="00C27A18">
        <w:rPr>
          <w:rStyle w:val="Emphasis"/>
          <w:rFonts w:cs="Calibri"/>
          <w:i w:val="0"/>
          <w:sz w:val="24"/>
          <w:szCs w:val="24"/>
          <w:lang w:val="en-US"/>
        </w:rPr>
        <w:t>7.2 Total amount of earnings management</w:t>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7F6D47" w:rsidRPr="009B4C49">
        <w:rPr>
          <w:rStyle w:val="Emphasis"/>
          <w:rFonts w:cs="Calibri"/>
          <w:i w:val="0"/>
          <w:sz w:val="24"/>
          <w:szCs w:val="24"/>
          <w:lang w:val="en-US"/>
        </w:rPr>
        <w:t xml:space="preserve">p </w:t>
      </w:r>
      <w:r w:rsidR="00BF1B68">
        <w:rPr>
          <w:rStyle w:val="Emphasis"/>
          <w:rFonts w:cs="Calibri"/>
          <w:i w:val="0"/>
          <w:sz w:val="24"/>
          <w:szCs w:val="24"/>
          <w:lang w:val="en-US"/>
        </w:rPr>
        <w:t>67</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7.2.1 Accruals-based earnings management coefficients</w:t>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7F6D47" w:rsidRPr="009B4C49">
        <w:rPr>
          <w:rStyle w:val="Emphasis"/>
          <w:rFonts w:cs="Calibri"/>
          <w:i w:val="0"/>
          <w:sz w:val="24"/>
          <w:szCs w:val="24"/>
          <w:lang w:val="en-US"/>
        </w:rPr>
        <w:t xml:space="preserve">p </w:t>
      </w:r>
      <w:r w:rsidR="00BF1B68">
        <w:rPr>
          <w:rStyle w:val="Emphasis"/>
          <w:rFonts w:cs="Calibri"/>
          <w:i w:val="0"/>
          <w:sz w:val="24"/>
          <w:szCs w:val="24"/>
          <w:lang w:val="en-US"/>
        </w:rPr>
        <w:t>67</w:t>
      </w:r>
    </w:p>
    <w:p w:rsidR="00755856" w:rsidRPr="00C27A18" w:rsidRDefault="00755856" w:rsidP="00857BDC">
      <w:pPr>
        <w:pStyle w:val="NoSpacing"/>
        <w:ind w:left="708" w:firstLine="708"/>
        <w:rPr>
          <w:rStyle w:val="Emphasis"/>
          <w:rFonts w:cs="Calibri"/>
          <w:i w:val="0"/>
          <w:lang w:val="en-US"/>
        </w:rPr>
      </w:pPr>
      <w:r w:rsidRPr="00C27A18">
        <w:rPr>
          <w:rStyle w:val="Emphasis"/>
          <w:rFonts w:cs="Calibri"/>
          <w:i w:val="0"/>
          <w:lang w:val="en-US"/>
        </w:rPr>
        <w:t>7.2.2 Real earnings management coefficients</w:t>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F46B8B">
        <w:rPr>
          <w:rStyle w:val="Emphasis"/>
          <w:rFonts w:cs="Calibri"/>
          <w:i w:val="0"/>
          <w:lang w:val="en-US"/>
        </w:rPr>
        <w:tab/>
      </w:r>
      <w:r w:rsidR="00BF1B68">
        <w:rPr>
          <w:rStyle w:val="Emphasis"/>
          <w:rFonts w:cs="Calibri"/>
          <w:i w:val="0"/>
          <w:sz w:val="24"/>
          <w:szCs w:val="24"/>
          <w:lang w:val="en-US"/>
        </w:rPr>
        <w:t>p 69</w:t>
      </w:r>
    </w:p>
    <w:p w:rsidR="00755856" w:rsidRPr="00C27A18" w:rsidRDefault="007572D5" w:rsidP="007572D5">
      <w:pPr>
        <w:pStyle w:val="NoSpacing"/>
        <w:rPr>
          <w:rStyle w:val="Emphasis"/>
          <w:rFonts w:cs="Calibri"/>
          <w:i w:val="0"/>
          <w:lang w:val="en-US"/>
        </w:rPr>
      </w:pPr>
      <w:r w:rsidRPr="007572D5">
        <w:rPr>
          <w:rStyle w:val="Emphasis"/>
          <w:rFonts w:cs="Calibri"/>
          <w:i w:val="0"/>
          <w:sz w:val="24"/>
          <w:szCs w:val="24"/>
          <w:lang w:val="en-US"/>
        </w:rPr>
        <w:tab/>
        <w:t>7.3 Multiple regressions</w:t>
      </w:r>
      <w:r w:rsidRPr="007572D5">
        <w:rPr>
          <w:rStyle w:val="Emphasis"/>
          <w:rFonts w:cs="Calibri"/>
          <w:i w:val="0"/>
          <w:sz w:val="24"/>
          <w:szCs w:val="24"/>
          <w:lang w:val="en-US"/>
        </w:rPr>
        <w:tab/>
      </w:r>
      <w:r w:rsidRPr="007572D5">
        <w:rPr>
          <w:rStyle w:val="Emphasis"/>
          <w:rFonts w:cs="Calibri"/>
          <w:i w:val="0"/>
          <w:sz w:val="24"/>
          <w:szCs w:val="24"/>
          <w:lang w:val="en-US"/>
        </w:rPr>
        <w:tab/>
      </w:r>
      <w:r w:rsidRPr="007572D5">
        <w:rPr>
          <w:rStyle w:val="Emphasis"/>
          <w:rFonts w:cs="Calibri"/>
          <w:i w:val="0"/>
          <w:sz w:val="24"/>
          <w:szCs w:val="24"/>
          <w:lang w:val="en-US"/>
        </w:rPr>
        <w:tab/>
      </w:r>
      <w:r w:rsidRPr="007572D5">
        <w:rPr>
          <w:rStyle w:val="Emphasis"/>
          <w:rFonts w:cs="Calibri"/>
          <w:i w:val="0"/>
          <w:sz w:val="24"/>
          <w:szCs w:val="24"/>
          <w:lang w:val="en-US"/>
        </w:rPr>
        <w:tab/>
      </w:r>
      <w:r w:rsidRPr="007572D5">
        <w:rPr>
          <w:rStyle w:val="Emphasis"/>
          <w:rFonts w:cs="Calibri"/>
          <w:i w:val="0"/>
          <w:sz w:val="24"/>
          <w:szCs w:val="24"/>
          <w:lang w:val="en-US"/>
        </w:rPr>
        <w:tab/>
      </w:r>
      <w:r w:rsidRPr="007572D5">
        <w:rPr>
          <w:rStyle w:val="Emphasis"/>
          <w:rFonts w:cs="Calibri"/>
          <w:i w:val="0"/>
          <w:sz w:val="24"/>
          <w:szCs w:val="24"/>
          <w:lang w:val="en-US"/>
        </w:rPr>
        <w:tab/>
      </w:r>
      <w:r w:rsidRPr="007572D5">
        <w:rPr>
          <w:rStyle w:val="Emphasis"/>
          <w:rFonts w:cs="Calibri"/>
          <w:i w:val="0"/>
          <w:sz w:val="24"/>
          <w:szCs w:val="24"/>
          <w:lang w:val="en-US"/>
        </w:rPr>
        <w:tab/>
      </w:r>
      <w:r w:rsidR="00F46B8B">
        <w:rPr>
          <w:rStyle w:val="Emphasis"/>
          <w:rFonts w:cs="Calibri"/>
          <w:i w:val="0"/>
          <w:lang w:val="en-US"/>
        </w:rPr>
        <w:tab/>
      </w:r>
      <w:r w:rsidR="005721E9" w:rsidRPr="005721E9">
        <w:rPr>
          <w:rStyle w:val="Emphasis"/>
          <w:rFonts w:cs="Calibri"/>
          <w:i w:val="0"/>
          <w:sz w:val="24"/>
          <w:szCs w:val="24"/>
          <w:lang w:val="en-US"/>
        </w:rPr>
        <w:t>p</w:t>
      </w:r>
      <w:r w:rsidR="00BF1B68">
        <w:rPr>
          <w:rStyle w:val="Emphasis"/>
          <w:rFonts w:cs="Calibri"/>
          <w:i w:val="0"/>
          <w:sz w:val="24"/>
          <w:szCs w:val="24"/>
          <w:lang w:val="en-US"/>
        </w:rPr>
        <w:t xml:space="preserve"> 73</w:t>
      </w:r>
    </w:p>
    <w:p w:rsidR="007572D5" w:rsidRDefault="007572D5" w:rsidP="007572D5">
      <w:pPr>
        <w:pStyle w:val="NoSpacing"/>
        <w:ind w:firstLine="708"/>
        <w:rPr>
          <w:rStyle w:val="Emphasis"/>
          <w:rFonts w:cs="Calibri"/>
          <w:i w:val="0"/>
          <w:lang w:val="en-US"/>
        </w:rPr>
      </w:pPr>
      <w:r>
        <w:rPr>
          <w:rStyle w:val="Emphasis"/>
          <w:rFonts w:cs="Calibri"/>
          <w:i w:val="0"/>
          <w:lang w:val="en-US"/>
        </w:rPr>
        <w:tab/>
        <w:t>7.3.1</w:t>
      </w:r>
      <w:r w:rsidR="005721E9">
        <w:rPr>
          <w:rStyle w:val="Emphasis"/>
          <w:rFonts w:cs="Calibri"/>
          <w:i w:val="0"/>
          <w:lang w:val="en-US"/>
        </w:rPr>
        <w:t xml:space="preserve"> Total amount of earnings management</w:t>
      </w:r>
      <w:r w:rsidR="005721E9">
        <w:rPr>
          <w:rStyle w:val="Emphasis"/>
          <w:rFonts w:cs="Calibri"/>
          <w:i w:val="0"/>
          <w:lang w:val="en-US"/>
        </w:rPr>
        <w:tab/>
      </w:r>
      <w:r w:rsidR="005721E9">
        <w:rPr>
          <w:rStyle w:val="Emphasis"/>
          <w:rFonts w:cs="Calibri"/>
          <w:i w:val="0"/>
          <w:lang w:val="en-US"/>
        </w:rPr>
        <w:tab/>
      </w:r>
      <w:r w:rsidR="005721E9">
        <w:rPr>
          <w:rStyle w:val="Emphasis"/>
          <w:rFonts w:cs="Calibri"/>
          <w:i w:val="0"/>
          <w:lang w:val="en-US"/>
        </w:rPr>
        <w:tab/>
      </w:r>
      <w:r w:rsidR="005721E9">
        <w:rPr>
          <w:rStyle w:val="Emphasis"/>
          <w:rFonts w:cs="Calibri"/>
          <w:i w:val="0"/>
          <w:lang w:val="en-US"/>
        </w:rPr>
        <w:tab/>
      </w:r>
      <w:r w:rsidR="005721E9">
        <w:rPr>
          <w:rStyle w:val="Emphasis"/>
          <w:rFonts w:cs="Calibri"/>
          <w:i w:val="0"/>
          <w:lang w:val="en-US"/>
        </w:rPr>
        <w:tab/>
      </w:r>
      <w:r w:rsidR="005721E9" w:rsidRPr="005721E9">
        <w:rPr>
          <w:rStyle w:val="Emphasis"/>
          <w:rFonts w:cs="Calibri"/>
          <w:i w:val="0"/>
          <w:sz w:val="24"/>
          <w:szCs w:val="24"/>
          <w:lang w:val="en-US"/>
        </w:rPr>
        <w:t>p</w:t>
      </w:r>
      <w:r w:rsidR="00601A4C">
        <w:rPr>
          <w:rStyle w:val="Emphasis"/>
          <w:rFonts w:cs="Calibri"/>
          <w:i w:val="0"/>
          <w:sz w:val="24"/>
          <w:szCs w:val="24"/>
          <w:lang w:val="en-US"/>
        </w:rPr>
        <w:t xml:space="preserve"> 74</w:t>
      </w:r>
    </w:p>
    <w:p w:rsidR="007572D5" w:rsidRDefault="007572D5" w:rsidP="007572D5">
      <w:pPr>
        <w:pStyle w:val="NoSpacing"/>
        <w:ind w:firstLine="708"/>
        <w:rPr>
          <w:rStyle w:val="Emphasis"/>
          <w:rFonts w:cs="Calibri"/>
          <w:i w:val="0"/>
          <w:lang w:val="en-US"/>
        </w:rPr>
      </w:pPr>
      <w:r>
        <w:rPr>
          <w:rStyle w:val="Emphasis"/>
          <w:rFonts w:cs="Calibri"/>
          <w:i w:val="0"/>
          <w:lang w:val="en-US"/>
        </w:rPr>
        <w:tab/>
        <w:t>7.3.2</w:t>
      </w:r>
      <w:r w:rsidR="005721E9">
        <w:rPr>
          <w:rStyle w:val="Emphasis"/>
          <w:rFonts w:cs="Calibri"/>
          <w:i w:val="0"/>
          <w:lang w:val="en-US"/>
        </w:rPr>
        <w:t xml:space="preserve"> Accruals-based earnings management</w:t>
      </w:r>
      <w:r w:rsidR="005721E9">
        <w:rPr>
          <w:rStyle w:val="Emphasis"/>
          <w:rFonts w:cs="Calibri"/>
          <w:i w:val="0"/>
          <w:lang w:val="en-US"/>
        </w:rPr>
        <w:tab/>
      </w:r>
      <w:r w:rsidR="005721E9">
        <w:rPr>
          <w:rStyle w:val="Emphasis"/>
          <w:rFonts w:cs="Calibri"/>
          <w:i w:val="0"/>
          <w:lang w:val="en-US"/>
        </w:rPr>
        <w:tab/>
      </w:r>
      <w:r w:rsidR="005721E9">
        <w:rPr>
          <w:rStyle w:val="Emphasis"/>
          <w:rFonts w:cs="Calibri"/>
          <w:i w:val="0"/>
          <w:lang w:val="en-US"/>
        </w:rPr>
        <w:tab/>
      </w:r>
      <w:r w:rsidR="005721E9">
        <w:rPr>
          <w:rStyle w:val="Emphasis"/>
          <w:rFonts w:cs="Calibri"/>
          <w:i w:val="0"/>
          <w:lang w:val="en-US"/>
        </w:rPr>
        <w:tab/>
      </w:r>
      <w:r w:rsidR="005721E9">
        <w:rPr>
          <w:rStyle w:val="Emphasis"/>
          <w:rFonts w:cs="Calibri"/>
          <w:i w:val="0"/>
          <w:lang w:val="en-US"/>
        </w:rPr>
        <w:tab/>
      </w:r>
      <w:r w:rsidR="005721E9" w:rsidRPr="005721E9">
        <w:rPr>
          <w:rStyle w:val="Emphasis"/>
          <w:rFonts w:cs="Calibri"/>
          <w:i w:val="0"/>
          <w:sz w:val="24"/>
          <w:szCs w:val="24"/>
          <w:lang w:val="en-US"/>
        </w:rPr>
        <w:t>p</w:t>
      </w:r>
      <w:r w:rsidR="00BF1B68">
        <w:rPr>
          <w:rStyle w:val="Emphasis"/>
          <w:rFonts w:cs="Calibri"/>
          <w:i w:val="0"/>
          <w:sz w:val="24"/>
          <w:szCs w:val="24"/>
          <w:lang w:val="en-US"/>
        </w:rPr>
        <w:t xml:space="preserve"> 77</w:t>
      </w:r>
    </w:p>
    <w:p w:rsidR="00755856" w:rsidRPr="007572D5" w:rsidRDefault="007572D5" w:rsidP="007572D5">
      <w:pPr>
        <w:pStyle w:val="NoSpacing"/>
        <w:ind w:left="708" w:firstLine="708"/>
        <w:rPr>
          <w:rStyle w:val="Emphasis"/>
          <w:rFonts w:cs="Calibri"/>
          <w:i w:val="0"/>
          <w:lang w:val="en-US"/>
        </w:rPr>
      </w:pPr>
      <w:r>
        <w:rPr>
          <w:rStyle w:val="Emphasis"/>
          <w:rFonts w:cs="Calibri"/>
          <w:i w:val="0"/>
          <w:lang w:val="en-US"/>
        </w:rPr>
        <w:t>7.3.3</w:t>
      </w:r>
      <w:r w:rsidR="005721E9">
        <w:rPr>
          <w:rStyle w:val="Emphasis"/>
          <w:rFonts w:cs="Calibri"/>
          <w:i w:val="0"/>
          <w:lang w:val="en-US"/>
        </w:rPr>
        <w:t xml:space="preserve"> Real earnings management</w:t>
      </w:r>
      <w:r>
        <w:rPr>
          <w:rStyle w:val="Emphasis"/>
          <w:rFonts w:cs="Calibri"/>
          <w:i w:val="0"/>
          <w:lang w:val="en-US"/>
        </w:rPr>
        <w:tab/>
      </w:r>
      <w:r>
        <w:rPr>
          <w:rStyle w:val="Emphasis"/>
          <w:rFonts w:cs="Calibri"/>
          <w:i w:val="0"/>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F46B8B">
        <w:rPr>
          <w:rStyle w:val="Emphasis"/>
          <w:rFonts w:cs="Calibri"/>
          <w:i w:val="0"/>
          <w:sz w:val="24"/>
          <w:szCs w:val="24"/>
          <w:lang w:val="en-US"/>
        </w:rPr>
        <w:tab/>
      </w:r>
      <w:r w:rsidR="005721E9" w:rsidRPr="005721E9">
        <w:rPr>
          <w:rStyle w:val="Emphasis"/>
          <w:rFonts w:cs="Calibri"/>
          <w:i w:val="0"/>
          <w:sz w:val="24"/>
          <w:szCs w:val="24"/>
          <w:lang w:val="en-US"/>
        </w:rPr>
        <w:t xml:space="preserve">p </w:t>
      </w:r>
      <w:r w:rsidR="00601A4C">
        <w:rPr>
          <w:rStyle w:val="Emphasis"/>
          <w:rFonts w:cs="Calibri"/>
          <w:i w:val="0"/>
          <w:sz w:val="24"/>
          <w:szCs w:val="24"/>
          <w:lang w:val="en-US"/>
        </w:rPr>
        <w:t>79</w:t>
      </w:r>
    </w:p>
    <w:p w:rsidR="00E439F7" w:rsidRPr="00C27A18" w:rsidRDefault="00E439F7" w:rsidP="00857BDC">
      <w:pPr>
        <w:pStyle w:val="NoSpacing"/>
        <w:ind w:firstLine="708"/>
        <w:rPr>
          <w:rStyle w:val="Emphasis"/>
          <w:rFonts w:cs="Calibri"/>
          <w:i w:val="0"/>
          <w:sz w:val="24"/>
          <w:szCs w:val="24"/>
          <w:lang w:val="en-US"/>
        </w:rPr>
      </w:pPr>
      <w:r>
        <w:rPr>
          <w:rStyle w:val="Emphasis"/>
          <w:rFonts w:cs="Calibri"/>
          <w:i w:val="0"/>
          <w:sz w:val="24"/>
          <w:szCs w:val="24"/>
          <w:lang w:val="en-US"/>
        </w:rPr>
        <w:t>7.4 Summary</w:t>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r>
      <w:r>
        <w:rPr>
          <w:rStyle w:val="Emphasis"/>
          <w:rFonts w:cs="Calibri"/>
          <w:i w:val="0"/>
          <w:sz w:val="24"/>
          <w:szCs w:val="24"/>
          <w:lang w:val="en-US"/>
        </w:rPr>
        <w:tab/>
        <w:t xml:space="preserve">p </w:t>
      </w:r>
      <w:r w:rsidR="00601A4C">
        <w:rPr>
          <w:rStyle w:val="Emphasis"/>
          <w:rFonts w:cs="Calibri"/>
          <w:i w:val="0"/>
          <w:sz w:val="24"/>
          <w:szCs w:val="24"/>
          <w:lang w:val="en-US"/>
        </w:rPr>
        <w:t>84</w:t>
      </w:r>
    </w:p>
    <w:p w:rsidR="00857BDC" w:rsidRPr="00C27A18" w:rsidRDefault="00857BDC" w:rsidP="00857BDC">
      <w:pPr>
        <w:pStyle w:val="NoSpacing"/>
        <w:rPr>
          <w:rStyle w:val="Emphasis"/>
          <w:rFonts w:cs="Calibri"/>
          <w:i w:val="0"/>
          <w:sz w:val="24"/>
          <w:szCs w:val="24"/>
          <w:lang w:val="en-US"/>
        </w:rPr>
      </w:pPr>
    </w:p>
    <w:p w:rsidR="00755856" w:rsidRPr="0045155A" w:rsidRDefault="00755856" w:rsidP="00857BDC">
      <w:pPr>
        <w:pStyle w:val="NoSpacing"/>
        <w:rPr>
          <w:rStyle w:val="Emphasis"/>
          <w:i w:val="0"/>
          <w:sz w:val="28"/>
          <w:szCs w:val="28"/>
          <w:lang w:val="en-US"/>
        </w:rPr>
      </w:pPr>
      <w:r w:rsidRPr="0045155A">
        <w:rPr>
          <w:rStyle w:val="Emphasis"/>
          <w:i w:val="0"/>
          <w:sz w:val="28"/>
          <w:szCs w:val="28"/>
          <w:lang w:val="en-US"/>
        </w:rPr>
        <w:t xml:space="preserve">8 </w:t>
      </w:r>
      <w:r w:rsidR="00BF1B68">
        <w:rPr>
          <w:rStyle w:val="Emphasis"/>
          <w:i w:val="0"/>
          <w:sz w:val="28"/>
          <w:szCs w:val="28"/>
          <w:lang w:val="en-US"/>
        </w:rPr>
        <w:t xml:space="preserve">Summary, </w:t>
      </w:r>
      <w:r w:rsidR="008346D0">
        <w:rPr>
          <w:rStyle w:val="Emphasis"/>
          <w:i w:val="0"/>
          <w:sz w:val="28"/>
          <w:szCs w:val="28"/>
          <w:lang w:val="en-US"/>
        </w:rPr>
        <w:t>Conclusions</w:t>
      </w:r>
      <w:r w:rsidR="00BF1B68">
        <w:rPr>
          <w:rStyle w:val="Emphasis"/>
          <w:i w:val="0"/>
          <w:sz w:val="28"/>
          <w:szCs w:val="28"/>
          <w:lang w:val="en-US"/>
        </w:rPr>
        <w:t xml:space="preserve"> and </w:t>
      </w:r>
      <w:r w:rsidR="008346D0">
        <w:rPr>
          <w:rStyle w:val="Emphasis"/>
          <w:i w:val="0"/>
          <w:sz w:val="28"/>
          <w:szCs w:val="28"/>
          <w:lang w:val="en-US"/>
        </w:rPr>
        <w:t>Analysis</w:t>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342888">
        <w:rPr>
          <w:rStyle w:val="Emphasis"/>
          <w:i w:val="0"/>
          <w:sz w:val="24"/>
          <w:szCs w:val="24"/>
          <w:lang w:val="en-US"/>
        </w:rPr>
        <w:t>p 8</w:t>
      </w:r>
      <w:r w:rsidR="00601A4C">
        <w:rPr>
          <w:rStyle w:val="Emphasis"/>
          <w:i w:val="0"/>
          <w:sz w:val="24"/>
          <w:szCs w:val="24"/>
          <w:lang w:val="en-US"/>
        </w:rPr>
        <w:t>7</w:t>
      </w:r>
    </w:p>
    <w:p w:rsidR="00901AE7" w:rsidRPr="00E439F7" w:rsidRDefault="00755856" w:rsidP="00901AE7">
      <w:pPr>
        <w:pStyle w:val="NoSpacing"/>
        <w:ind w:firstLine="708"/>
        <w:rPr>
          <w:rStyle w:val="Emphasis"/>
          <w:i w:val="0"/>
          <w:sz w:val="24"/>
          <w:szCs w:val="24"/>
          <w:lang w:val="en-US"/>
        </w:rPr>
      </w:pPr>
      <w:r w:rsidRPr="00E439F7">
        <w:rPr>
          <w:rStyle w:val="Emphasis"/>
          <w:i w:val="0"/>
          <w:sz w:val="24"/>
          <w:szCs w:val="24"/>
          <w:lang w:val="en-US"/>
        </w:rPr>
        <w:t>8.</w:t>
      </w:r>
      <w:r w:rsidR="002A3529" w:rsidRPr="00E439F7">
        <w:rPr>
          <w:rStyle w:val="Emphasis"/>
          <w:i w:val="0"/>
          <w:sz w:val="24"/>
          <w:szCs w:val="24"/>
          <w:lang w:val="en-US"/>
        </w:rPr>
        <w:t>1</w:t>
      </w:r>
      <w:r w:rsidRPr="00E439F7">
        <w:rPr>
          <w:rStyle w:val="Emphasis"/>
          <w:i w:val="0"/>
          <w:sz w:val="24"/>
          <w:szCs w:val="24"/>
          <w:lang w:val="en-US"/>
        </w:rPr>
        <w:t xml:space="preserve"> </w:t>
      </w:r>
      <w:r w:rsidR="00B836B4">
        <w:rPr>
          <w:rStyle w:val="Emphasis"/>
          <w:i w:val="0"/>
          <w:sz w:val="24"/>
          <w:szCs w:val="24"/>
          <w:lang w:val="en-US"/>
        </w:rPr>
        <w:t xml:space="preserve">Summary of previous </w:t>
      </w:r>
      <w:r w:rsidR="002A3529" w:rsidRPr="00E439F7">
        <w:rPr>
          <w:rStyle w:val="Emphasis"/>
          <w:i w:val="0"/>
          <w:sz w:val="24"/>
          <w:szCs w:val="24"/>
          <w:lang w:val="en-US"/>
        </w:rPr>
        <w:t>chapters</w:t>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601A4C">
        <w:rPr>
          <w:rStyle w:val="Emphasis"/>
          <w:i w:val="0"/>
          <w:sz w:val="24"/>
          <w:szCs w:val="24"/>
          <w:lang w:val="en-US"/>
        </w:rPr>
        <w:t>p 87</w:t>
      </w:r>
    </w:p>
    <w:p w:rsidR="002A3529" w:rsidRPr="00E439F7" w:rsidRDefault="002A3529" w:rsidP="00901AE7">
      <w:pPr>
        <w:pStyle w:val="NoSpacing"/>
        <w:ind w:firstLine="708"/>
        <w:rPr>
          <w:rStyle w:val="Emphasis"/>
          <w:i w:val="0"/>
          <w:sz w:val="24"/>
          <w:szCs w:val="24"/>
          <w:lang w:val="en-US"/>
        </w:rPr>
      </w:pPr>
      <w:r w:rsidRPr="00E439F7">
        <w:rPr>
          <w:rStyle w:val="Emphasis"/>
          <w:i w:val="0"/>
          <w:sz w:val="24"/>
          <w:szCs w:val="24"/>
          <w:lang w:val="en-US"/>
        </w:rPr>
        <w:t>8.2 Answer of the main question</w:t>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601A4C">
        <w:rPr>
          <w:rStyle w:val="Emphasis"/>
          <w:i w:val="0"/>
          <w:sz w:val="24"/>
          <w:szCs w:val="24"/>
          <w:lang w:val="en-US"/>
        </w:rPr>
        <w:t>p 88</w:t>
      </w:r>
    </w:p>
    <w:p w:rsidR="00E652FA" w:rsidRPr="00E439F7" w:rsidRDefault="00E652FA" w:rsidP="00901AE7">
      <w:pPr>
        <w:pStyle w:val="NoSpacing"/>
        <w:ind w:firstLine="708"/>
        <w:rPr>
          <w:rStyle w:val="Emphasis"/>
          <w:i w:val="0"/>
          <w:sz w:val="24"/>
          <w:szCs w:val="24"/>
          <w:lang w:val="en-US"/>
        </w:rPr>
      </w:pPr>
      <w:r w:rsidRPr="00E439F7">
        <w:rPr>
          <w:rStyle w:val="Emphasis"/>
          <w:i w:val="0"/>
          <w:sz w:val="24"/>
          <w:szCs w:val="24"/>
          <w:lang w:val="en-US"/>
        </w:rPr>
        <w:t>8.3 Limitations of this research</w:t>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E439F7" w:rsidRPr="00E439F7">
        <w:rPr>
          <w:rStyle w:val="Emphasis"/>
          <w:i w:val="0"/>
          <w:sz w:val="24"/>
          <w:szCs w:val="24"/>
          <w:lang w:val="en-US"/>
        </w:rPr>
        <w:t xml:space="preserve">p </w:t>
      </w:r>
      <w:r w:rsidR="00601A4C">
        <w:rPr>
          <w:rStyle w:val="Emphasis"/>
          <w:i w:val="0"/>
          <w:sz w:val="24"/>
          <w:szCs w:val="24"/>
          <w:lang w:val="en-US"/>
        </w:rPr>
        <w:t>90</w:t>
      </w:r>
    </w:p>
    <w:p w:rsidR="00E652FA" w:rsidRPr="00E439F7" w:rsidRDefault="00E652FA" w:rsidP="00901AE7">
      <w:pPr>
        <w:pStyle w:val="NoSpacing"/>
        <w:ind w:firstLine="708"/>
        <w:rPr>
          <w:rStyle w:val="Emphasis"/>
          <w:i w:val="0"/>
          <w:sz w:val="24"/>
          <w:szCs w:val="24"/>
          <w:lang w:val="en-US"/>
        </w:rPr>
      </w:pPr>
      <w:r w:rsidRPr="00E439F7">
        <w:rPr>
          <w:rStyle w:val="Emphasis"/>
          <w:i w:val="0"/>
          <w:sz w:val="24"/>
          <w:szCs w:val="24"/>
          <w:lang w:val="en-US"/>
        </w:rPr>
        <w:t>8.4 Further research</w:t>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F46B8B" w:rsidRPr="00E439F7">
        <w:rPr>
          <w:rStyle w:val="Emphasis"/>
          <w:i w:val="0"/>
          <w:sz w:val="24"/>
          <w:szCs w:val="24"/>
          <w:lang w:val="en-US"/>
        </w:rPr>
        <w:tab/>
      </w:r>
      <w:r w:rsidR="007F6D47" w:rsidRPr="00E439F7">
        <w:rPr>
          <w:rStyle w:val="Emphasis"/>
          <w:i w:val="0"/>
          <w:sz w:val="24"/>
          <w:szCs w:val="24"/>
          <w:lang w:val="en-US"/>
        </w:rPr>
        <w:t>p</w:t>
      </w:r>
      <w:r w:rsidR="009B4C49" w:rsidRPr="00E439F7">
        <w:rPr>
          <w:rStyle w:val="Emphasis"/>
          <w:i w:val="0"/>
          <w:sz w:val="24"/>
          <w:szCs w:val="24"/>
          <w:lang w:val="en-US"/>
        </w:rPr>
        <w:t xml:space="preserve"> </w:t>
      </w:r>
      <w:r w:rsidR="00601A4C">
        <w:rPr>
          <w:rStyle w:val="Emphasis"/>
          <w:i w:val="0"/>
          <w:sz w:val="24"/>
          <w:szCs w:val="24"/>
          <w:lang w:val="en-US"/>
        </w:rPr>
        <w:t>91</w:t>
      </w:r>
    </w:p>
    <w:p w:rsidR="00901AE7" w:rsidRDefault="00901AE7" w:rsidP="00901AE7">
      <w:pPr>
        <w:pStyle w:val="NoSpacing"/>
        <w:ind w:firstLine="708"/>
        <w:rPr>
          <w:rStyle w:val="Emphasis"/>
          <w:i w:val="0"/>
          <w:lang w:val="en-US"/>
        </w:rPr>
      </w:pPr>
    </w:p>
    <w:p w:rsidR="00901AE7" w:rsidRDefault="00901AE7" w:rsidP="00901AE7">
      <w:pPr>
        <w:pStyle w:val="NoSpacing"/>
        <w:rPr>
          <w:rStyle w:val="Emphasis"/>
          <w:i w:val="0"/>
          <w:sz w:val="24"/>
          <w:szCs w:val="24"/>
          <w:lang w:val="en-US"/>
        </w:rPr>
      </w:pPr>
      <w:r w:rsidRPr="0045155A">
        <w:rPr>
          <w:rStyle w:val="Emphasis"/>
          <w:i w:val="0"/>
          <w:sz w:val="28"/>
          <w:szCs w:val="28"/>
          <w:lang w:val="en-US"/>
        </w:rPr>
        <w:t>References</w:t>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342888">
        <w:rPr>
          <w:rStyle w:val="Emphasis"/>
          <w:i w:val="0"/>
          <w:sz w:val="24"/>
          <w:szCs w:val="24"/>
          <w:lang w:val="en-US"/>
        </w:rPr>
        <w:t>p 9</w:t>
      </w:r>
      <w:r w:rsidR="00601A4C">
        <w:rPr>
          <w:rStyle w:val="Emphasis"/>
          <w:i w:val="0"/>
          <w:sz w:val="24"/>
          <w:szCs w:val="24"/>
          <w:lang w:val="en-US"/>
        </w:rPr>
        <w:t>3</w:t>
      </w:r>
    </w:p>
    <w:p w:rsidR="008346D0" w:rsidRDefault="008346D0" w:rsidP="00901AE7">
      <w:pPr>
        <w:pStyle w:val="NoSpacing"/>
        <w:rPr>
          <w:rStyle w:val="Emphasis"/>
          <w:i w:val="0"/>
          <w:sz w:val="24"/>
          <w:szCs w:val="24"/>
          <w:lang w:val="en-US"/>
        </w:rPr>
      </w:pPr>
    </w:p>
    <w:p w:rsidR="00901AE7" w:rsidRPr="0045155A" w:rsidRDefault="00901AE7" w:rsidP="00901AE7">
      <w:pPr>
        <w:pStyle w:val="NoSpacing"/>
        <w:rPr>
          <w:rStyle w:val="Emphasis"/>
          <w:i w:val="0"/>
          <w:sz w:val="28"/>
          <w:szCs w:val="28"/>
          <w:lang w:val="en-US"/>
        </w:rPr>
      </w:pPr>
      <w:r w:rsidRPr="0045155A">
        <w:rPr>
          <w:rStyle w:val="Emphasis"/>
          <w:i w:val="0"/>
          <w:sz w:val="28"/>
          <w:szCs w:val="28"/>
          <w:lang w:val="en-US"/>
        </w:rPr>
        <w:t>Appendices</w:t>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r w:rsidR="00F46B8B">
        <w:rPr>
          <w:rStyle w:val="Emphasis"/>
          <w:i w:val="0"/>
          <w:sz w:val="28"/>
          <w:szCs w:val="28"/>
          <w:lang w:val="en-US"/>
        </w:rPr>
        <w:tab/>
      </w:r>
    </w:p>
    <w:p w:rsidR="00901AE7" w:rsidRPr="0045155A" w:rsidRDefault="00901AE7" w:rsidP="00901AE7">
      <w:pPr>
        <w:pStyle w:val="NoSpacing"/>
        <w:ind w:firstLine="708"/>
        <w:rPr>
          <w:rStyle w:val="Emphasis"/>
          <w:i w:val="0"/>
          <w:sz w:val="24"/>
          <w:szCs w:val="24"/>
          <w:lang w:val="en-US"/>
        </w:rPr>
      </w:pPr>
      <w:r w:rsidRPr="0045155A">
        <w:rPr>
          <w:rStyle w:val="Emphasis"/>
          <w:i w:val="0"/>
          <w:sz w:val="24"/>
          <w:szCs w:val="24"/>
          <w:lang w:val="en-US"/>
        </w:rPr>
        <w:t>Appendix 1</w:t>
      </w:r>
      <w:r w:rsidR="000E1F32">
        <w:rPr>
          <w:rStyle w:val="Emphasis"/>
          <w:i w:val="0"/>
          <w:sz w:val="24"/>
          <w:szCs w:val="24"/>
          <w:lang w:val="en-US"/>
        </w:rPr>
        <w:t xml:space="preserve"> – Literature review</w:t>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601A4C">
        <w:rPr>
          <w:rStyle w:val="Emphasis"/>
          <w:i w:val="0"/>
          <w:sz w:val="24"/>
          <w:szCs w:val="24"/>
          <w:lang w:val="en-US"/>
        </w:rPr>
        <w:t>p 96</w:t>
      </w:r>
    </w:p>
    <w:p w:rsidR="0045155A" w:rsidRDefault="00901AE7" w:rsidP="00901AE7">
      <w:pPr>
        <w:pStyle w:val="NoSpacing"/>
        <w:ind w:left="708"/>
        <w:rPr>
          <w:rStyle w:val="Emphasis"/>
          <w:i w:val="0"/>
          <w:sz w:val="24"/>
          <w:szCs w:val="24"/>
          <w:lang w:val="en-US"/>
        </w:rPr>
      </w:pPr>
      <w:r w:rsidRPr="0045155A">
        <w:rPr>
          <w:rStyle w:val="Emphasis"/>
          <w:i w:val="0"/>
          <w:sz w:val="24"/>
          <w:szCs w:val="24"/>
          <w:lang w:val="en-US"/>
        </w:rPr>
        <w:t>Appendix 2</w:t>
      </w:r>
      <w:r w:rsidR="000E1F32">
        <w:rPr>
          <w:rStyle w:val="Emphasis"/>
          <w:i w:val="0"/>
          <w:sz w:val="24"/>
          <w:szCs w:val="24"/>
          <w:lang w:val="en-US"/>
        </w:rPr>
        <w:t xml:space="preserve"> – Companies used for this research</w:t>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601A4C">
        <w:rPr>
          <w:rStyle w:val="Emphasis"/>
          <w:i w:val="0"/>
          <w:sz w:val="24"/>
          <w:szCs w:val="24"/>
          <w:lang w:val="en-US"/>
        </w:rPr>
        <w:t>p 99</w:t>
      </w:r>
    </w:p>
    <w:p w:rsidR="001A6251" w:rsidRDefault="0045155A" w:rsidP="00901AE7">
      <w:pPr>
        <w:pStyle w:val="NoSpacing"/>
        <w:ind w:left="708"/>
        <w:rPr>
          <w:rFonts w:cs="Calibri"/>
          <w:bCs/>
          <w:lang w:val="en-GB"/>
        </w:rPr>
      </w:pPr>
      <w:r>
        <w:rPr>
          <w:rStyle w:val="Emphasis"/>
          <w:i w:val="0"/>
          <w:sz w:val="24"/>
          <w:szCs w:val="24"/>
          <w:lang w:val="en-US"/>
        </w:rPr>
        <w:t>Appendix 3</w:t>
      </w:r>
      <w:r w:rsidR="000E1F32">
        <w:rPr>
          <w:rStyle w:val="Emphasis"/>
          <w:i w:val="0"/>
          <w:sz w:val="24"/>
          <w:szCs w:val="24"/>
          <w:lang w:val="en-US"/>
        </w:rPr>
        <w:t xml:space="preserve"> – Results from SPSS</w:t>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F46B8B">
        <w:rPr>
          <w:rStyle w:val="Emphasis"/>
          <w:i w:val="0"/>
          <w:sz w:val="24"/>
          <w:szCs w:val="24"/>
          <w:lang w:val="en-US"/>
        </w:rPr>
        <w:tab/>
      </w:r>
      <w:r w:rsidR="00601A4C">
        <w:rPr>
          <w:rStyle w:val="Emphasis"/>
          <w:i w:val="0"/>
          <w:sz w:val="24"/>
          <w:szCs w:val="24"/>
          <w:lang w:val="en-US"/>
        </w:rPr>
        <w:t>p100</w:t>
      </w:r>
    </w:p>
    <w:p w:rsidR="008D62A2" w:rsidRPr="008C581E" w:rsidRDefault="001A6251" w:rsidP="001A6251">
      <w:pPr>
        <w:pStyle w:val="NoSpacing"/>
        <w:rPr>
          <w:iCs/>
          <w:sz w:val="24"/>
          <w:szCs w:val="24"/>
          <w:lang w:val="en-US"/>
        </w:rPr>
      </w:pPr>
      <w:r>
        <w:rPr>
          <w:rFonts w:cs="Calibri"/>
          <w:bCs/>
          <w:lang w:val="en-GB"/>
        </w:rPr>
        <w:br w:type="page"/>
      </w:r>
      <w:r w:rsidR="002F3CD3" w:rsidRPr="008C581E">
        <w:rPr>
          <w:rFonts w:cs="Calibri"/>
          <w:b/>
          <w:bCs/>
          <w:sz w:val="24"/>
          <w:szCs w:val="24"/>
          <w:lang w:val="en-GB"/>
        </w:rPr>
        <w:lastRenderedPageBreak/>
        <w:t xml:space="preserve">1 </w:t>
      </w:r>
      <w:r w:rsidR="001C6A3E" w:rsidRPr="008C581E">
        <w:rPr>
          <w:rFonts w:cs="Calibri"/>
          <w:b/>
          <w:bCs/>
          <w:sz w:val="24"/>
          <w:szCs w:val="24"/>
          <w:lang w:val="en-GB"/>
        </w:rPr>
        <w:t>Introduction</w:t>
      </w:r>
      <w:r w:rsidR="00755856" w:rsidRPr="008C581E">
        <w:rPr>
          <w:rFonts w:cs="Calibri"/>
          <w:b/>
          <w:bCs/>
          <w:sz w:val="24"/>
          <w:szCs w:val="24"/>
          <w:lang w:val="en-GB"/>
        </w:rPr>
        <w:t xml:space="preserve"> of the </w:t>
      </w:r>
      <w:r w:rsidR="0012210F">
        <w:rPr>
          <w:rFonts w:cs="Calibri"/>
          <w:b/>
          <w:bCs/>
          <w:sz w:val="24"/>
          <w:szCs w:val="24"/>
          <w:lang w:val="en-GB"/>
        </w:rPr>
        <w:t>thesis</w:t>
      </w:r>
    </w:p>
    <w:p w:rsidR="008D62A2" w:rsidRPr="00F67CC4" w:rsidRDefault="008D62A2" w:rsidP="008D62A2">
      <w:pPr>
        <w:pStyle w:val="ListParagraph"/>
        <w:spacing w:line="360" w:lineRule="auto"/>
        <w:ind w:left="0"/>
        <w:rPr>
          <w:rFonts w:cs="Calibri"/>
          <w:b/>
          <w:bCs/>
          <w:lang w:val="en-GB"/>
        </w:rPr>
      </w:pPr>
    </w:p>
    <w:p w:rsidR="001C6A3E" w:rsidRPr="00F67CC4" w:rsidRDefault="008D62A2" w:rsidP="008D62A2">
      <w:pPr>
        <w:pStyle w:val="ListParagraph"/>
        <w:spacing w:line="360" w:lineRule="auto"/>
        <w:ind w:left="0"/>
        <w:rPr>
          <w:rFonts w:cs="Calibri"/>
          <w:lang w:val="en-GB"/>
        </w:rPr>
      </w:pPr>
      <w:r w:rsidRPr="00F67CC4">
        <w:rPr>
          <w:rFonts w:cs="Calibri"/>
          <w:b/>
          <w:bCs/>
          <w:lang w:val="en-GB"/>
        </w:rPr>
        <w:t xml:space="preserve">1.1 </w:t>
      </w:r>
      <w:r w:rsidR="001C6A3E" w:rsidRPr="00F67CC4">
        <w:rPr>
          <w:rFonts w:cs="Calibri"/>
          <w:b/>
          <w:lang w:val="en-GB"/>
        </w:rPr>
        <w:t>Introduction</w:t>
      </w:r>
      <w:r w:rsidR="00755856">
        <w:rPr>
          <w:rFonts w:cs="Calibri"/>
          <w:b/>
          <w:lang w:val="en-GB"/>
        </w:rPr>
        <w:t xml:space="preserve"> </w:t>
      </w:r>
      <w:r w:rsidRPr="00F67CC4">
        <w:rPr>
          <w:rFonts w:cs="Calibri"/>
          <w:b/>
          <w:lang w:val="en-GB"/>
        </w:rPr>
        <w:br/>
      </w:r>
      <w:r w:rsidR="004C68B4">
        <w:rPr>
          <w:rFonts w:cs="Calibri"/>
          <w:lang w:val="en-GB"/>
        </w:rPr>
        <w:t>It i</w:t>
      </w:r>
      <w:r w:rsidR="001C6A3E" w:rsidRPr="00F67CC4">
        <w:rPr>
          <w:rFonts w:cs="Calibri"/>
          <w:lang w:val="en-GB"/>
        </w:rPr>
        <w:t>s the 7</w:t>
      </w:r>
      <w:r w:rsidR="001C6A3E" w:rsidRPr="00F67CC4">
        <w:rPr>
          <w:rFonts w:cs="Calibri"/>
          <w:vertAlign w:val="superscript"/>
          <w:lang w:val="en-GB"/>
        </w:rPr>
        <w:t>th</w:t>
      </w:r>
      <w:r w:rsidR="001C6A3E" w:rsidRPr="00F67CC4">
        <w:rPr>
          <w:rFonts w:cs="Calibri"/>
          <w:lang w:val="en-GB"/>
        </w:rPr>
        <w:t xml:space="preserve"> of May 2010</w:t>
      </w:r>
      <w:r w:rsidR="00AB0868" w:rsidRPr="00F67CC4">
        <w:rPr>
          <w:rFonts w:cs="Calibri"/>
          <w:lang w:val="en-GB"/>
        </w:rPr>
        <w:t>;</w:t>
      </w:r>
      <w:r w:rsidR="001C6A3E" w:rsidRPr="00F67CC4">
        <w:rPr>
          <w:rFonts w:cs="Calibri"/>
          <w:lang w:val="en-GB"/>
        </w:rPr>
        <w:t xml:space="preserve"> all prime ministers of the European countries agreed on providing </w:t>
      </w:r>
      <w:r w:rsidR="002013C7" w:rsidRPr="00F67CC4">
        <w:rPr>
          <w:rFonts w:cs="Calibri"/>
          <w:lang w:val="en-GB"/>
        </w:rPr>
        <w:t xml:space="preserve">Greece </w:t>
      </w:r>
      <w:r w:rsidR="001A463F" w:rsidRPr="00F67CC4">
        <w:rPr>
          <w:rFonts w:cs="Calibri"/>
          <w:lang w:val="en-GB"/>
        </w:rPr>
        <w:t>an</w:t>
      </w:r>
      <w:r w:rsidR="002013C7" w:rsidRPr="00F67CC4">
        <w:rPr>
          <w:rFonts w:cs="Calibri"/>
          <w:lang w:val="en-GB"/>
        </w:rPr>
        <w:t xml:space="preserve"> 80 billion euro</w:t>
      </w:r>
      <w:r w:rsidR="001C6A3E" w:rsidRPr="00F67CC4">
        <w:rPr>
          <w:rFonts w:cs="Calibri"/>
          <w:lang w:val="en-GB"/>
        </w:rPr>
        <w:t xml:space="preserve"> loan to impro</w:t>
      </w:r>
      <w:r w:rsidR="00287BF7">
        <w:rPr>
          <w:rFonts w:cs="Calibri"/>
          <w:lang w:val="en-GB"/>
        </w:rPr>
        <w:t xml:space="preserve">ve their economic situation. </w:t>
      </w:r>
      <w:r w:rsidR="00AB0868" w:rsidRPr="00F67CC4">
        <w:rPr>
          <w:rFonts w:cs="Calibri"/>
          <w:lang w:val="en-GB"/>
        </w:rPr>
        <w:t>O</w:t>
      </w:r>
      <w:r w:rsidR="00CE64D3" w:rsidRPr="00F67CC4">
        <w:rPr>
          <w:rFonts w:cs="Calibri"/>
          <w:lang w:val="en-GB"/>
        </w:rPr>
        <w:t>verspending</w:t>
      </w:r>
      <w:r w:rsidR="00AB0868" w:rsidRPr="00F67CC4">
        <w:rPr>
          <w:rFonts w:cs="Calibri"/>
          <w:lang w:val="en-GB"/>
        </w:rPr>
        <w:t xml:space="preserve"> increased</w:t>
      </w:r>
      <w:r w:rsidR="00CE64D3" w:rsidRPr="00F67CC4">
        <w:rPr>
          <w:rFonts w:cs="Calibri"/>
          <w:lang w:val="en-GB"/>
        </w:rPr>
        <w:t xml:space="preserve"> the national debt</w:t>
      </w:r>
      <w:r w:rsidR="002013C7" w:rsidRPr="00F67CC4">
        <w:rPr>
          <w:rFonts w:cs="Calibri"/>
          <w:lang w:val="en-GB"/>
        </w:rPr>
        <w:t xml:space="preserve"> of Greece</w:t>
      </w:r>
      <w:r w:rsidR="00CE64D3" w:rsidRPr="00F67CC4">
        <w:rPr>
          <w:rFonts w:cs="Calibri"/>
          <w:lang w:val="en-GB"/>
        </w:rPr>
        <w:t xml:space="preserve"> </w:t>
      </w:r>
      <w:r w:rsidR="00AB0868" w:rsidRPr="00F67CC4">
        <w:rPr>
          <w:rFonts w:cs="Calibri"/>
          <w:lang w:val="en-GB"/>
        </w:rPr>
        <w:t>and got</w:t>
      </w:r>
      <w:r w:rsidR="00CE64D3" w:rsidRPr="00F67CC4">
        <w:rPr>
          <w:rFonts w:cs="Calibri"/>
          <w:lang w:val="en-GB"/>
        </w:rPr>
        <w:t xml:space="preserve"> </w:t>
      </w:r>
      <w:r w:rsidR="002013C7" w:rsidRPr="00F67CC4">
        <w:rPr>
          <w:rFonts w:cs="Calibri"/>
          <w:lang w:val="en-GB"/>
        </w:rPr>
        <w:t>the country</w:t>
      </w:r>
      <w:r w:rsidR="00CE64D3" w:rsidRPr="00F67CC4">
        <w:rPr>
          <w:rFonts w:cs="Calibri"/>
          <w:lang w:val="en-GB"/>
        </w:rPr>
        <w:t xml:space="preserve"> in a bad economic situation. </w:t>
      </w:r>
      <w:r w:rsidR="001C6A3E" w:rsidRPr="00F67CC4">
        <w:rPr>
          <w:rFonts w:cs="Calibri"/>
          <w:lang w:val="en-GB"/>
        </w:rPr>
        <w:t xml:space="preserve">In order to help Greece with its debt, the International Monetary Foundation (IMF) supported Greece in November 2010 again with </w:t>
      </w:r>
      <w:r w:rsidR="002013C7" w:rsidRPr="00F67CC4">
        <w:rPr>
          <w:rFonts w:cs="Calibri"/>
          <w:lang w:val="en-GB"/>
        </w:rPr>
        <w:t xml:space="preserve">a loan of </w:t>
      </w:r>
      <w:r w:rsidR="001C6A3E" w:rsidRPr="00F67CC4">
        <w:rPr>
          <w:rFonts w:cs="Calibri"/>
          <w:lang w:val="en-GB"/>
        </w:rPr>
        <w:t xml:space="preserve">30 billion euro and stated that Greece is increasing its </w:t>
      </w:r>
      <w:r w:rsidR="00AB0868" w:rsidRPr="00F67CC4">
        <w:rPr>
          <w:rFonts w:cs="Calibri"/>
          <w:lang w:val="en-GB"/>
        </w:rPr>
        <w:t xml:space="preserve">economic </w:t>
      </w:r>
      <w:r w:rsidR="001C6A3E" w:rsidRPr="00F67CC4">
        <w:rPr>
          <w:rFonts w:cs="Calibri"/>
          <w:lang w:val="en-GB"/>
        </w:rPr>
        <w:t>stability by executing</w:t>
      </w:r>
      <w:r w:rsidR="00AB0868" w:rsidRPr="00F67CC4">
        <w:rPr>
          <w:rFonts w:cs="Calibri"/>
          <w:lang w:val="en-GB"/>
        </w:rPr>
        <w:t xml:space="preserve"> savings and reformations</w:t>
      </w:r>
      <w:r w:rsidR="001C6A3E" w:rsidRPr="00F67CC4">
        <w:rPr>
          <w:rFonts w:cs="Calibri"/>
          <w:lang w:val="en-GB"/>
        </w:rPr>
        <w:t>. During this process of reformations</w:t>
      </w:r>
      <w:r w:rsidR="00AB0868" w:rsidRPr="00F67CC4">
        <w:rPr>
          <w:rFonts w:cs="Calibri"/>
          <w:lang w:val="en-GB"/>
        </w:rPr>
        <w:t xml:space="preserve">, the </w:t>
      </w:r>
      <w:r w:rsidR="00641E88">
        <w:rPr>
          <w:rFonts w:cs="Calibri"/>
          <w:lang w:val="en-GB"/>
        </w:rPr>
        <w:t>annual deficit</w:t>
      </w:r>
      <w:r w:rsidR="00AB0868" w:rsidRPr="00F67CC4">
        <w:rPr>
          <w:rFonts w:cs="Calibri"/>
          <w:lang w:val="en-GB"/>
        </w:rPr>
        <w:t xml:space="preserve"> </w:t>
      </w:r>
      <w:r w:rsidR="001A463F">
        <w:rPr>
          <w:rFonts w:cs="Calibri"/>
          <w:lang w:val="en-GB"/>
        </w:rPr>
        <w:t xml:space="preserve">in 2010 </w:t>
      </w:r>
      <w:r w:rsidR="00AB0868" w:rsidRPr="00F67CC4">
        <w:rPr>
          <w:rFonts w:cs="Calibri"/>
          <w:lang w:val="en-GB"/>
        </w:rPr>
        <w:t>of Greece appeared to be even bigger</w:t>
      </w:r>
      <w:r w:rsidR="001C6A3E" w:rsidRPr="00F67CC4">
        <w:rPr>
          <w:rFonts w:cs="Calibri"/>
          <w:lang w:val="en-GB"/>
        </w:rPr>
        <w:t xml:space="preserve"> than the European Community</w:t>
      </w:r>
      <w:r w:rsidR="00CE64D3" w:rsidRPr="00F67CC4">
        <w:rPr>
          <w:rFonts w:cs="Calibri"/>
          <w:lang w:val="en-GB"/>
        </w:rPr>
        <w:t xml:space="preserve"> </w:t>
      </w:r>
      <w:r w:rsidR="001A463F">
        <w:rPr>
          <w:rFonts w:cs="Calibri"/>
          <w:lang w:val="en-GB"/>
        </w:rPr>
        <w:t>expected</w:t>
      </w:r>
      <w:r w:rsidR="001C6A3E" w:rsidRPr="00F67CC4">
        <w:rPr>
          <w:rFonts w:cs="Calibri"/>
          <w:lang w:val="en-GB"/>
        </w:rPr>
        <w:t xml:space="preserve">; a </w:t>
      </w:r>
      <w:r w:rsidR="00641E88">
        <w:rPr>
          <w:rFonts w:cs="Calibri"/>
          <w:lang w:val="en-GB"/>
        </w:rPr>
        <w:t>deficit</w:t>
      </w:r>
      <w:r w:rsidR="001C6A3E" w:rsidRPr="00F67CC4">
        <w:rPr>
          <w:rFonts w:cs="Calibri"/>
          <w:lang w:val="en-GB"/>
        </w:rPr>
        <w:t xml:space="preserve"> </w:t>
      </w:r>
      <w:r w:rsidR="004C68B4">
        <w:rPr>
          <w:rFonts w:cs="Calibri"/>
          <w:lang w:val="en-GB"/>
        </w:rPr>
        <w:t xml:space="preserve">exists </w:t>
      </w:r>
      <w:r w:rsidR="001C6A3E" w:rsidRPr="00F67CC4">
        <w:rPr>
          <w:rFonts w:cs="Calibri"/>
          <w:lang w:val="en-GB"/>
        </w:rPr>
        <w:t>of 10</w:t>
      </w:r>
      <w:r w:rsidR="001A463F">
        <w:rPr>
          <w:rFonts w:cs="Calibri"/>
          <w:lang w:val="en-GB"/>
        </w:rPr>
        <w:t>.</w:t>
      </w:r>
      <w:r w:rsidR="006417E7" w:rsidRPr="00F67CC4">
        <w:rPr>
          <w:rFonts w:cs="Calibri"/>
          <w:lang w:val="en-GB"/>
        </w:rPr>
        <w:t>5</w:t>
      </w:r>
      <w:r w:rsidR="001C6A3E" w:rsidRPr="00F67CC4">
        <w:rPr>
          <w:rFonts w:cs="Calibri"/>
          <w:lang w:val="en-GB"/>
        </w:rPr>
        <w:t xml:space="preserve"> percentage</w:t>
      </w:r>
      <w:r w:rsidR="00CE64D3" w:rsidRPr="00F67CC4">
        <w:rPr>
          <w:rFonts w:cs="Calibri"/>
          <w:lang w:val="en-GB"/>
        </w:rPr>
        <w:t xml:space="preserve"> of Gross Domestic Product (GDP)</w:t>
      </w:r>
      <w:r w:rsidR="001C6A3E" w:rsidRPr="00F67CC4">
        <w:rPr>
          <w:rFonts w:cs="Calibri"/>
          <w:lang w:val="en-GB"/>
        </w:rPr>
        <w:t xml:space="preserve"> instead of</w:t>
      </w:r>
      <w:r w:rsidR="00CE64D3" w:rsidRPr="00F67CC4">
        <w:rPr>
          <w:rFonts w:cs="Calibri"/>
          <w:lang w:val="en-GB"/>
        </w:rPr>
        <w:t xml:space="preserve"> the</w:t>
      </w:r>
      <w:r w:rsidR="001C6A3E" w:rsidRPr="00F67CC4">
        <w:rPr>
          <w:rFonts w:cs="Calibri"/>
          <w:lang w:val="en-GB"/>
        </w:rPr>
        <w:t xml:space="preserve"> </w:t>
      </w:r>
      <w:r w:rsidR="00AB0868" w:rsidRPr="00F67CC4">
        <w:rPr>
          <w:rFonts w:cs="Calibri"/>
          <w:lang w:val="en-GB"/>
        </w:rPr>
        <w:t xml:space="preserve">expected </w:t>
      </w:r>
      <w:r w:rsidR="00287BF7">
        <w:rPr>
          <w:rFonts w:cs="Calibri"/>
          <w:lang w:val="en-GB"/>
        </w:rPr>
        <w:t>9.</w:t>
      </w:r>
      <w:r w:rsidR="001C6A3E" w:rsidRPr="00F67CC4">
        <w:rPr>
          <w:rFonts w:cs="Calibri"/>
          <w:lang w:val="en-GB"/>
        </w:rPr>
        <w:t xml:space="preserve">6 </w:t>
      </w:r>
      <w:r w:rsidR="00AB0868" w:rsidRPr="00F67CC4">
        <w:rPr>
          <w:rFonts w:cs="Calibri"/>
          <w:lang w:val="en-GB"/>
        </w:rPr>
        <w:t>percentage</w:t>
      </w:r>
      <w:r w:rsidR="00CE64D3" w:rsidRPr="00F67CC4">
        <w:rPr>
          <w:rFonts w:cs="Calibri"/>
          <w:lang w:val="en-GB"/>
        </w:rPr>
        <w:t xml:space="preserve">. </w:t>
      </w:r>
      <w:r w:rsidR="00A31AB7" w:rsidRPr="00F67CC4">
        <w:rPr>
          <w:rFonts w:cs="Calibri"/>
          <w:lang w:val="en-GB"/>
        </w:rPr>
        <w:t>As a consequence of t</w:t>
      </w:r>
      <w:r w:rsidR="00CE64D3" w:rsidRPr="00F67CC4">
        <w:rPr>
          <w:rFonts w:cs="Calibri"/>
          <w:lang w:val="en-GB"/>
        </w:rPr>
        <w:t xml:space="preserve">his unexpected </w:t>
      </w:r>
      <w:r w:rsidR="002013C7" w:rsidRPr="00F67CC4">
        <w:rPr>
          <w:rFonts w:cs="Calibri"/>
          <w:lang w:val="en-GB"/>
        </w:rPr>
        <w:t>higher level</w:t>
      </w:r>
      <w:r w:rsidR="00A31AB7" w:rsidRPr="00F67CC4">
        <w:rPr>
          <w:rFonts w:cs="Calibri"/>
          <w:lang w:val="en-GB"/>
        </w:rPr>
        <w:t>,</w:t>
      </w:r>
      <w:r w:rsidR="00CE64D3" w:rsidRPr="00F67CC4">
        <w:rPr>
          <w:rFonts w:cs="Calibri"/>
          <w:lang w:val="en-GB"/>
        </w:rPr>
        <w:t xml:space="preserve"> </w:t>
      </w:r>
      <w:r w:rsidR="001C6A3E" w:rsidRPr="00F67CC4">
        <w:rPr>
          <w:rFonts w:cs="Calibri"/>
          <w:lang w:val="en-GB"/>
        </w:rPr>
        <w:t>the total debt of Greece became 143 percentage of the GDP</w:t>
      </w:r>
      <w:r w:rsidR="00CE64D3" w:rsidRPr="00F67CC4">
        <w:rPr>
          <w:rFonts w:cs="Calibri"/>
          <w:lang w:val="en-GB"/>
        </w:rPr>
        <w:t>, wh</w:t>
      </w:r>
      <w:r w:rsidR="002013C7" w:rsidRPr="00F67CC4">
        <w:rPr>
          <w:rFonts w:cs="Calibri"/>
          <w:lang w:val="en-GB"/>
        </w:rPr>
        <w:t>ich</w:t>
      </w:r>
      <w:r w:rsidR="00A31AB7" w:rsidRPr="00F67CC4">
        <w:rPr>
          <w:rFonts w:cs="Calibri"/>
          <w:lang w:val="en-GB"/>
        </w:rPr>
        <w:t xml:space="preserve"> implied</w:t>
      </w:r>
      <w:r w:rsidR="00CE64D3" w:rsidRPr="00F67CC4">
        <w:rPr>
          <w:rFonts w:cs="Calibri"/>
          <w:lang w:val="en-GB"/>
        </w:rPr>
        <w:t xml:space="preserve"> that the</w:t>
      </w:r>
      <w:r w:rsidR="00F84B33" w:rsidRPr="00F67CC4">
        <w:rPr>
          <w:rFonts w:cs="Calibri"/>
          <w:lang w:val="en-GB"/>
        </w:rPr>
        <w:t>ir</w:t>
      </w:r>
      <w:r w:rsidR="00A31AB7" w:rsidRPr="00F67CC4">
        <w:rPr>
          <w:rFonts w:cs="Calibri"/>
          <w:lang w:val="en-GB"/>
        </w:rPr>
        <w:t xml:space="preserve"> debt wa</w:t>
      </w:r>
      <w:r w:rsidR="00CE64D3" w:rsidRPr="00F67CC4">
        <w:rPr>
          <w:rFonts w:cs="Calibri"/>
          <w:lang w:val="en-GB"/>
        </w:rPr>
        <w:t xml:space="preserve">s bigger than </w:t>
      </w:r>
      <w:r w:rsidR="00F84B33" w:rsidRPr="00F67CC4">
        <w:rPr>
          <w:rFonts w:cs="Calibri"/>
          <w:lang w:val="en-GB"/>
        </w:rPr>
        <w:t xml:space="preserve">the magnitude of their </w:t>
      </w:r>
      <w:r w:rsidR="00CE64D3" w:rsidRPr="00F67CC4">
        <w:rPr>
          <w:rFonts w:cs="Calibri"/>
          <w:lang w:val="en-GB"/>
        </w:rPr>
        <w:t>economy</w:t>
      </w:r>
      <w:r w:rsidR="00A31AB7" w:rsidRPr="00F67CC4">
        <w:rPr>
          <w:rFonts w:cs="Calibri"/>
          <w:lang w:val="en-GB"/>
        </w:rPr>
        <w:t>. When this news became public</w:t>
      </w:r>
      <w:r w:rsidR="001C6A3E" w:rsidRPr="00F67CC4">
        <w:rPr>
          <w:rFonts w:cs="Calibri"/>
          <w:lang w:val="en-GB"/>
        </w:rPr>
        <w:t xml:space="preserve">, European Commissioner Olli Rehn of </w:t>
      </w:r>
      <w:r w:rsidR="004C68B4">
        <w:rPr>
          <w:rFonts w:cs="Calibri"/>
          <w:lang w:val="en-GB"/>
        </w:rPr>
        <w:t xml:space="preserve">the </w:t>
      </w:r>
      <w:r w:rsidR="001C6A3E" w:rsidRPr="00F67CC4">
        <w:rPr>
          <w:rFonts w:cs="Calibri"/>
          <w:lang w:val="en-GB"/>
        </w:rPr>
        <w:t>Monetary P</w:t>
      </w:r>
      <w:r w:rsidR="00CE64D3" w:rsidRPr="00F67CC4">
        <w:rPr>
          <w:rFonts w:cs="Calibri"/>
          <w:lang w:val="en-GB"/>
        </w:rPr>
        <w:t xml:space="preserve">olicy claimed that this </w:t>
      </w:r>
      <w:r w:rsidR="002013C7" w:rsidRPr="00F67CC4">
        <w:rPr>
          <w:rFonts w:cs="Calibri"/>
          <w:lang w:val="en-GB"/>
        </w:rPr>
        <w:t>unexpected higher level of</w:t>
      </w:r>
      <w:r w:rsidR="00CE64D3" w:rsidRPr="00F67CC4">
        <w:rPr>
          <w:rFonts w:cs="Calibri"/>
          <w:lang w:val="en-GB"/>
        </w:rPr>
        <w:t xml:space="preserve"> debt</w:t>
      </w:r>
      <w:r w:rsidR="001C6A3E" w:rsidRPr="00F67CC4">
        <w:rPr>
          <w:rFonts w:cs="Calibri"/>
          <w:lang w:val="en-GB"/>
        </w:rPr>
        <w:t xml:space="preserve"> was not </w:t>
      </w:r>
      <w:r w:rsidR="008F6CEC" w:rsidRPr="00F67CC4">
        <w:rPr>
          <w:rFonts w:cs="Calibri"/>
          <w:lang w:val="en-GB"/>
        </w:rPr>
        <w:t>due to</w:t>
      </w:r>
      <w:r w:rsidR="001A463F">
        <w:rPr>
          <w:rFonts w:cs="Calibri"/>
          <w:lang w:val="en-GB"/>
        </w:rPr>
        <w:t xml:space="preserve"> the detection</w:t>
      </w:r>
      <w:r w:rsidR="00776BAD" w:rsidRPr="00F67CC4">
        <w:rPr>
          <w:rFonts w:cs="Calibri"/>
          <w:lang w:val="en-GB"/>
        </w:rPr>
        <w:t xml:space="preserve"> of</w:t>
      </w:r>
      <w:r w:rsidR="001C6A3E" w:rsidRPr="00F67CC4">
        <w:rPr>
          <w:rFonts w:cs="Calibri"/>
          <w:lang w:val="en-GB"/>
        </w:rPr>
        <w:t xml:space="preserve"> creative accounting.</w:t>
      </w:r>
      <w:r w:rsidR="001C6A3E" w:rsidRPr="00F67CC4">
        <w:rPr>
          <w:rStyle w:val="FootnoteReference"/>
          <w:rFonts w:cs="Calibri"/>
          <w:lang w:val="en-GB"/>
        </w:rPr>
        <w:footnoteReference w:id="1"/>
      </w:r>
      <w:r w:rsidR="001C6A3E" w:rsidRPr="00F67CC4">
        <w:rPr>
          <w:rFonts w:cs="Calibri"/>
          <w:lang w:val="en-GB"/>
        </w:rPr>
        <w:t xml:space="preserve"> </w:t>
      </w:r>
      <w:r w:rsidR="002013C7" w:rsidRPr="00F67CC4">
        <w:rPr>
          <w:rFonts w:cs="Calibri"/>
          <w:lang w:val="en-GB"/>
        </w:rPr>
        <w:t>T</w:t>
      </w:r>
      <w:r w:rsidR="00A31AB7" w:rsidRPr="00F67CC4">
        <w:rPr>
          <w:rFonts w:cs="Calibri"/>
          <w:lang w:val="en-GB"/>
        </w:rPr>
        <w:t xml:space="preserve">his was </w:t>
      </w:r>
      <w:r w:rsidR="004C68B4">
        <w:rPr>
          <w:rFonts w:cs="Calibri"/>
          <w:lang w:val="en-GB"/>
        </w:rPr>
        <w:t>signalled</w:t>
      </w:r>
      <w:r w:rsidR="001C6A3E" w:rsidRPr="00F67CC4">
        <w:rPr>
          <w:rFonts w:cs="Calibri"/>
          <w:lang w:val="en-GB"/>
        </w:rPr>
        <w:t xml:space="preserve"> by Commissioner Rehn because </w:t>
      </w:r>
      <w:r w:rsidR="002013C7" w:rsidRPr="00F67CC4">
        <w:rPr>
          <w:rFonts w:cs="Calibri"/>
          <w:lang w:val="en-GB"/>
        </w:rPr>
        <w:t>values of the</w:t>
      </w:r>
      <w:r w:rsidR="001C6A3E" w:rsidRPr="00F67CC4">
        <w:rPr>
          <w:rFonts w:cs="Calibri"/>
          <w:lang w:val="en-GB"/>
        </w:rPr>
        <w:t xml:space="preserve"> financial statements of Greece had been adjusted during their examination for being admitted to the Euro. With the help of Goldman Sachs, the r</w:t>
      </w:r>
      <w:r w:rsidR="00CE64D3" w:rsidRPr="00F67CC4">
        <w:rPr>
          <w:rFonts w:cs="Calibri"/>
          <w:lang w:val="en-GB"/>
        </w:rPr>
        <w:t xml:space="preserve">eported national deficit was </w:t>
      </w:r>
      <w:r w:rsidR="002013C7" w:rsidRPr="00F67CC4">
        <w:rPr>
          <w:rFonts w:cs="Calibri"/>
          <w:lang w:val="en-GB"/>
        </w:rPr>
        <w:t xml:space="preserve">stated </w:t>
      </w:r>
      <w:r w:rsidR="00CE64D3" w:rsidRPr="00F67CC4">
        <w:rPr>
          <w:rFonts w:cs="Calibri"/>
          <w:lang w:val="en-GB"/>
        </w:rPr>
        <w:t>much</w:t>
      </w:r>
      <w:r w:rsidR="001C6A3E" w:rsidRPr="00F67CC4">
        <w:rPr>
          <w:rFonts w:cs="Calibri"/>
          <w:lang w:val="en-GB"/>
        </w:rPr>
        <w:t xml:space="preserve"> lower than it truly was. By a financial construction provided by Goldman Sachs, a part of </w:t>
      </w:r>
      <w:r w:rsidR="001A463F">
        <w:rPr>
          <w:rFonts w:cs="Calibri"/>
          <w:lang w:val="en-GB"/>
        </w:rPr>
        <w:t xml:space="preserve">Greek </w:t>
      </w:r>
      <w:r w:rsidR="00287BF7">
        <w:rPr>
          <w:rFonts w:cs="Calibri"/>
          <w:lang w:val="en-GB"/>
        </w:rPr>
        <w:t>debt was no</w:t>
      </w:r>
      <w:r w:rsidR="002013C7" w:rsidRPr="00F67CC4">
        <w:rPr>
          <w:rFonts w:cs="Calibri"/>
          <w:lang w:val="en-GB"/>
        </w:rPr>
        <w:t xml:space="preserve">t titled as </w:t>
      </w:r>
      <w:r w:rsidR="001C6A3E" w:rsidRPr="00F67CC4">
        <w:rPr>
          <w:rFonts w:cs="Calibri"/>
          <w:lang w:val="en-GB"/>
        </w:rPr>
        <w:t>national debt of Greece but as a debt of various banks for the first fifteen years of the loan.</w:t>
      </w:r>
      <w:r w:rsidR="001C6A3E" w:rsidRPr="00F67CC4">
        <w:rPr>
          <w:rStyle w:val="FootnoteReference"/>
          <w:rFonts w:cs="Calibri"/>
          <w:lang w:val="en-GB"/>
        </w:rPr>
        <w:footnoteReference w:id="2"/>
      </w:r>
      <w:r w:rsidR="001C6A3E" w:rsidRPr="00F67CC4">
        <w:rPr>
          <w:rFonts w:cs="Calibri"/>
          <w:lang w:val="en-GB"/>
        </w:rPr>
        <w:t xml:space="preserve"> </w:t>
      </w:r>
    </w:p>
    <w:p w:rsidR="00F84B33" w:rsidRPr="00F67CC4" w:rsidRDefault="00CB3A28" w:rsidP="00F74511">
      <w:pPr>
        <w:spacing w:line="360" w:lineRule="auto"/>
        <w:rPr>
          <w:rFonts w:cs="Calibri"/>
          <w:lang w:val="en-GB"/>
        </w:rPr>
      </w:pPr>
      <w:r w:rsidRPr="00F67CC4">
        <w:rPr>
          <w:rFonts w:cs="Calibri"/>
          <w:lang w:val="en-GB"/>
        </w:rPr>
        <w:t>With the use of</w:t>
      </w:r>
      <w:r w:rsidR="002013C7" w:rsidRPr="00F67CC4">
        <w:rPr>
          <w:rFonts w:cs="Calibri"/>
          <w:lang w:val="en-GB"/>
        </w:rPr>
        <w:t xml:space="preserve"> </w:t>
      </w:r>
      <w:r w:rsidR="001C6A3E" w:rsidRPr="00F67CC4">
        <w:rPr>
          <w:rFonts w:cs="Calibri"/>
          <w:lang w:val="en-GB"/>
        </w:rPr>
        <w:t>creative accounting</w:t>
      </w:r>
      <w:r w:rsidR="001A463F">
        <w:rPr>
          <w:rFonts w:cs="Calibri"/>
          <w:lang w:val="en-GB"/>
        </w:rPr>
        <w:t xml:space="preserve">, </w:t>
      </w:r>
      <w:r w:rsidR="004C68B4">
        <w:rPr>
          <w:rFonts w:cs="Calibri"/>
          <w:lang w:val="en-GB"/>
        </w:rPr>
        <w:t>in addition</w:t>
      </w:r>
      <w:r w:rsidR="001A463F">
        <w:rPr>
          <w:rFonts w:cs="Calibri"/>
          <w:lang w:val="en-GB"/>
        </w:rPr>
        <w:t xml:space="preserve"> called earnings management</w:t>
      </w:r>
      <w:r w:rsidR="001C6A3E" w:rsidRPr="00F67CC4">
        <w:rPr>
          <w:rFonts w:cs="Calibri"/>
          <w:lang w:val="en-GB"/>
        </w:rPr>
        <w:t>, Greece adjusted its financial situation and so misled the other European countries</w:t>
      </w:r>
      <w:r w:rsidR="000F3607" w:rsidRPr="00F67CC4">
        <w:rPr>
          <w:rFonts w:cs="Calibri"/>
          <w:lang w:val="en-GB"/>
        </w:rPr>
        <w:t xml:space="preserve"> during their application</w:t>
      </w:r>
      <w:r w:rsidR="002013C7" w:rsidRPr="00F67CC4">
        <w:rPr>
          <w:rFonts w:cs="Calibri"/>
          <w:lang w:val="en-GB"/>
        </w:rPr>
        <w:t xml:space="preserve"> for </w:t>
      </w:r>
      <w:r w:rsidR="00776BAD" w:rsidRPr="00F67CC4">
        <w:rPr>
          <w:rFonts w:cs="Calibri"/>
          <w:lang w:val="en-GB"/>
        </w:rPr>
        <w:t xml:space="preserve">the </w:t>
      </w:r>
      <w:r w:rsidR="002013C7" w:rsidRPr="00F67CC4">
        <w:rPr>
          <w:rFonts w:cs="Calibri"/>
          <w:lang w:val="en-GB"/>
        </w:rPr>
        <w:t>Euro</w:t>
      </w:r>
      <w:r w:rsidR="001C6A3E" w:rsidRPr="00F67CC4">
        <w:rPr>
          <w:rFonts w:cs="Calibri"/>
          <w:lang w:val="en-GB"/>
        </w:rPr>
        <w:t>. Th</w:t>
      </w:r>
      <w:r w:rsidR="002013C7" w:rsidRPr="00F67CC4">
        <w:rPr>
          <w:rFonts w:cs="Calibri"/>
          <w:lang w:val="en-GB"/>
        </w:rPr>
        <w:t>is</w:t>
      </w:r>
      <w:r w:rsidR="001C6A3E" w:rsidRPr="00F67CC4">
        <w:rPr>
          <w:rFonts w:cs="Calibri"/>
          <w:lang w:val="en-GB"/>
        </w:rPr>
        <w:t xml:space="preserve"> manipulation of financial values</w:t>
      </w:r>
      <w:r w:rsidR="002013C7" w:rsidRPr="00F67CC4">
        <w:rPr>
          <w:rFonts w:cs="Calibri"/>
          <w:lang w:val="en-GB"/>
        </w:rPr>
        <w:t xml:space="preserve"> and deception </w:t>
      </w:r>
      <w:r w:rsidR="001C6A3E" w:rsidRPr="00F67CC4">
        <w:rPr>
          <w:rFonts w:cs="Calibri"/>
          <w:lang w:val="en-GB"/>
        </w:rPr>
        <w:t>is consid</w:t>
      </w:r>
      <w:r w:rsidR="000F3607" w:rsidRPr="00F67CC4">
        <w:rPr>
          <w:rFonts w:cs="Calibri"/>
          <w:lang w:val="en-GB"/>
        </w:rPr>
        <w:t>ered black earnings management</w:t>
      </w:r>
      <w:r w:rsidR="000F3607" w:rsidRPr="00F67CC4">
        <w:rPr>
          <w:rFonts w:cs="Calibri"/>
          <w:b/>
          <w:lang w:val="en-GB"/>
        </w:rPr>
        <w:t xml:space="preserve"> </w:t>
      </w:r>
      <w:r w:rsidR="000F3607" w:rsidRPr="00F67CC4">
        <w:rPr>
          <w:rFonts w:cs="Calibri"/>
          <w:lang w:val="en-GB"/>
        </w:rPr>
        <w:t>(Ro</w:t>
      </w:r>
      <w:r w:rsidR="001C6A3E" w:rsidRPr="00F67CC4">
        <w:rPr>
          <w:rFonts w:cs="Calibri"/>
          <w:lang w:val="en-GB"/>
        </w:rPr>
        <w:t>nen and Yaari 200</w:t>
      </w:r>
      <w:r w:rsidR="006363DC" w:rsidRPr="00F67CC4">
        <w:rPr>
          <w:rFonts w:cs="Calibri"/>
          <w:lang w:val="en-GB"/>
        </w:rPr>
        <w:t>8</w:t>
      </w:r>
      <w:r w:rsidRPr="00F67CC4">
        <w:rPr>
          <w:rFonts w:cs="Calibri"/>
          <w:lang w:val="en-GB"/>
        </w:rPr>
        <w:t>, p</w:t>
      </w:r>
      <w:r w:rsidR="00CD06C2" w:rsidRPr="00F67CC4">
        <w:rPr>
          <w:rFonts w:cs="Calibri"/>
          <w:lang w:val="en-GB"/>
        </w:rPr>
        <w:t>25</w:t>
      </w:r>
      <w:r w:rsidR="001C6A3E" w:rsidRPr="00F67CC4">
        <w:rPr>
          <w:rFonts w:cs="Calibri"/>
          <w:lang w:val="en-GB"/>
        </w:rPr>
        <w:t>)</w:t>
      </w:r>
      <w:r w:rsidR="001A463F">
        <w:rPr>
          <w:rFonts w:cs="Calibri"/>
          <w:lang w:val="en-GB"/>
        </w:rPr>
        <w:t>.</w:t>
      </w:r>
      <w:r w:rsidR="001C6A3E" w:rsidRPr="00F67CC4">
        <w:rPr>
          <w:rFonts w:cs="Calibri"/>
          <w:lang w:val="en-GB"/>
        </w:rPr>
        <w:t xml:space="preserve"> The distinction of whether earnings management is white, grey or black </w:t>
      </w:r>
      <w:r w:rsidR="000F3607" w:rsidRPr="00F67CC4">
        <w:rPr>
          <w:rFonts w:cs="Calibri"/>
          <w:lang w:val="en-GB"/>
        </w:rPr>
        <w:t>as Ronen and Yaari (2008) distinguish ear</w:t>
      </w:r>
      <w:r w:rsidRPr="00F67CC4">
        <w:rPr>
          <w:rFonts w:cs="Calibri"/>
          <w:lang w:val="en-GB"/>
        </w:rPr>
        <w:t>nings management</w:t>
      </w:r>
      <w:r w:rsidR="000F3607" w:rsidRPr="00F67CC4">
        <w:rPr>
          <w:rFonts w:cs="Calibri"/>
          <w:lang w:val="en-GB"/>
        </w:rPr>
        <w:t xml:space="preserve">, </w:t>
      </w:r>
      <w:r w:rsidR="001C6A3E" w:rsidRPr="00F67CC4">
        <w:rPr>
          <w:rFonts w:cs="Calibri"/>
          <w:lang w:val="en-GB"/>
        </w:rPr>
        <w:t xml:space="preserve">can be made by </w:t>
      </w:r>
      <w:r w:rsidR="000F3607" w:rsidRPr="00F67CC4">
        <w:rPr>
          <w:rFonts w:cs="Calibri"/>
          <w:lang w:val="en-GB"/>
        </w:rPr>
        <w:t>focussing</w:t>
      </w:r>
      <w:r w:rsidR="001C6A3E" w:rsidRPr="00F67CC4">
        <w:rPr>
          <w:rFonts w:cs="Calibri"/>
          <w:lang w:val="en-GB"/>
        </w:rPr>
        <w:t xml:space="preserve"> </w:t>
      </w:r>
      <w:r w:rsidR="000F3607" w:rsidRPr="00F67CC4">
        <w:rPr>
          <w:rFonts w:cs="Calibri"/>
          <w:lang w:val="en-GB"/>
        </w:rPr>
        <w:t>on</w:t>
      </w:r>
      <w:r w:rsidR="001C6A3E" w:rsidRPr="00F67CC4">
        <w:rPr>
          <w:rFonts w:cs="Calibri"/>
          <w:lang w:val="en-GB"/>
        </w:rPr>
        <w:t xml:space="preserve"> the motivation behind the use of </w:t>
      </w:r>
      <w:r w:rsidR="000F3607" w:rsidRPr="00F67CC4">
        <w:rPr>
          <w:rFonts w:cs="Calibri"/>
          <w:lang w:val="en-GB"/>
        </w:rPr>
        <w:t>it</w:t>
      </w:r>
      <w:r w:rsidR="001C6A3E" w:rsidRPr="00F67CC4">
        <w:rPr>
          <w:rFonts w:cs="Calibri"/>
          <w:lang w:val="en-GB"/>
        </w:rPr>
        <w:t xml:space="preserve">. Considering the example of Greece, the intention of Greece was to mislead the other countries </w:t>
      </w:r>
      <w:r w:rsidR="004C68B4">
        <w:rPr>
          <w:rFonts w:cs="Calibri"/>
          <w:lang w:val="en-GB"/>
        </w:rPr>
        <w:t xml:space="preserve">in the European union </w:t>
      </w:r>
      <w:r w:rsidR="001C6A3E" w:rsidRPr="00F67CC4">
        <w:rPr>
          <w:rFonts w:cs="Calibri"/>
          <w:lang w:val="en-GB"/>
        </w:rPr>
        <w:t>in or</w:t>
      </w:r>
      <w:r w:rsidR="006363DC" w:rsidRPr="00F67CC4">
        <w:rPr>
          <w:rFonts w:cs="Calibri"/>
          <w:lang w:val="en-GB"/>
        </w:rPr>
        <w:t xml:space="preserve">der to </w:t>
      </w:r>
      <w:r w:rsidRPr="00F67CC4">
        <w:rPr>
          <w:rFonts w:cs="Calibri"/>
          <w:lang w:val="en-GB"/>
        </w:rPr>
        <w:t>be admitted to the Euro, what is</w:t>
      </w:r>
      <w:r w:rsidR="006363DC" w:rsidRPr="00F67CC4">
        <w:rPr>
          <w:rFonts w:cs="Calibri"/>
          <w:lang w:val="en-GB"/>
        </w:rPr>
        <w:t xml:space="preserve"> titled</w:t>
      </w:r>
      <w:r w:rsidR="00776BAD" w:rsidRPr="00F67CC4">
        <w:rPr>
          <w:rFonts w:cs="Calibri"/>
          <w:lang w:val="en-GB"/>
        </w:rPr>
        <w:t xml:space="preserve"> </w:t>
      </w:r>
      <w:r w:rsidR="00776BAD">
        <w:rPr>
          <w:rFonts w:cs="Calibri"/>
          <w:lang w:val="en-GB"/>
        </w:rPr>
        <w:t xml:space="preserve">by Ronen and Yaari (2008) </w:t>
      </w:r>
      <w:r w:rsidR="006363DC" w:rsidRPr="00F67CC4">
        <w:rPr>
          <w:rFonts w:cs="Calibri"/>
          <w:lang w:val="en-GB"/>
        </w:rPr>
        <w:t>as black earnings management</w:t>
      </w:r>
      <w:r w:rsidR="00776BAD" w:rsidRPr="00F67CC4">
        <w:rPr>
          <w:rFonts w:cs="Calibri"/>
          <w:lang w:val="en-GB"/>
        </w:rPr>
        <w:t>.</w:t>
      </w:r>
      <w:r w:rsidR="006363DC" w:rsidRPr="00F67CC4">
        <w:rPr>
          <w:rFonts w:cs="Calibri"/>
          <w:lang w:val="en-GB"/>
        </w:rPr>
        <w:t xml:space="preserve"> </w:t>
      </w:r>
      <w:r w:rsidR="001C6A3E" w:rsidRPr="00F67CC4">
        <w:rPr>
          <w:rFonts w:cs="Calibri"/>
          <w:lang w:val="en-GB"/>
        </w:rPr>
        <w:t xml:space="preserve">In order to </w:t>
      </w:r>
      <w:r w:rsidR="00A627B4" w:rsidRPr="00F67CC4">
        <w:rPr>
          <w:rFonts w:cs="Calibri"/>
          <w:lang w:val="en-GB"/>
        </w:rPr>
        <w:t xml:space="preserve">be able </w:t>
      </w:r>
      <w:r w:rsidR="007F533F">
        <w:rPr>
          <w:rFonts w:cs="Calibri"/>
          <w:lang w:val="en-GB"/>
        </w:rPr>
        <w:t xml:space="preserve">to </w:t>
      </w:r>
      <w:r w:rsidR="001C6A3E" w:rsidRPr="00F67CC4">
        <w:rPr>
          <w:rFonts w:cs="Calibri"/>
          <w:lang w:val="en-GB"/>
        </w:rPr>
        <w:t>make a distinction</w:t>
      </w:r>
      <w:r w:rsidR="00A627B4" w:rsidRPr="00F67CC4">
        <w:rPr>
          <w:rFonts w:cs="Calibri"/>
          <w:lang w:val="en-GB"/>
        </w:rPr>
        <w:t xml:space="preserve"> in earnings management</w:t>
      </w:r>
      <w:r w:rsidR="006363DC" w:rsidRPr="00F67CC4">
        <w:rPr>
          <w:rFonts w:cs="Calibri"/>
          <w:lang w:val="en-GB"/>
        </w:rPr>
        <w:t xml:space="preserve"> Ronen and Yaari (2008) use </w:t>
      </w:r>
      <w:r w:rsidR="001C6A3E" w:rsidRPr="00F67CC4">
        <w:rPr>
          <w:rFonts w:cs="Calibri"/>
          <w:lang w:val="en-GB"/>
        </w:rPr>
        <w:t xml:space="preserve">the definition of </w:t>
      </w:r>
      <w:r w:rsidR="00A627B4" w:rsidRPr="00F67CC4">
        <w:rPr>
          <w:rFonts w:cs="Calibri"/>
          <w:lang w:val="en-GB"/>
        </w:rPr>
        <w:t xml:space="preserve">Healy and Wahlen (1999) </w:t>
      </w:r>
      <w:r w:rsidR="006363DC" w:rsidRPr="00F67CC4">
        <w:rPr>
          <w:rFonts w:cs="Calibri"/>
          <w:lang w:val="en-GB"/>
        </w:rPr>
        <w:t xml:space="preserve">to </w:t>
      </w:r>
      <w:r w:rsidR="001C6A3E" w:rsidRPr="00F67CC4">
        <w:rPr>
          <w:rFonts w:cs="Calibri"/>
          <w:lang w:val="en-GB"/>
        </w:rPr>
        <w:t>judge about a si</w:t>
      </w:r>
      <w:r w:rsidR="00F84B33" w:rsidRPr="00F67CC4">
        <w:rPr>
          <w:rFonts w:cs="Calibri"/>
          <w:lang w:val="en-GB"/>
        </w:rPr>
        <w:t xml:space="preserve">tuation:  </w:t>
      </w:r>
    </w:p>
    <w:p w:rsidR="00F84B33" w:rsidRPr="00F67CC4" w:rsidRDefault="00F84B33" w:rsidP="00F74511">
      <w:pPr>
        <w:spacing w:line="360" w:lineRule="auto"/>
        <w:rPr>
          <w:rFonts w:cs="Calibri"/>
          <w:lang w:val="en-GB"/>
        </w:rPr>
      </w:pPr>
      <w:r w:rsidRPr="00F67CC4">
        <w:rPr>
          <w:rFonts w:cs="Calibri"/>
          <w:i/>
          <w:lang w:val="en-GB"/>
        </w:rPr>
        <w:lastRenderedPageBreak/>
        <w:t>‘</w:t>
      </w:r>
      <w:r w:rsidR="001C6A3E" w:rsidRPr="00F67CC4">
        <w:rPr>
          <w:rFonts w:cs="Calibri"/>
          <w:i/>
          <w:lang w:val="en-GB"/>
        </w:rPr>
        <w:t>Earnings management occurs when managers use judgment in financial reporting and in structuring transactions to alter financial reports to either mislead some stakeholders about the underlying economic performance of the company or to influence contractual outcomes that depend</w:t>
      </w:r>
      <w:r w:rsidRPr="00F67CC4">
        <w:rPr>
          <w:rFonts w:cs="Calibri"/>
          <w:i/>
          <w:lang w:val="en-GB"/>
        </w:rPr>
        <w:t xml:space="preserve"> on reported accounting numbers’</w:t>
      </w:r>
      <w:r w:rsidR="001C6A3E" w:rsidRPr="00F67CC4">
        <w:rPr>
          <w:rFonts w:cs="Calibri"/>
          <w:lang w:val="en-GB"/>
        </w:rPr>
        <w:t xml:space="preserve"> (Healy and Wahlen 1999, p</w:t>
      </w:r>
      <w:r w:rsidR="004C68B4">
        <w:rPr>
          <w:rFonts w:cs="Calibri"/>
          <w:lang w:val="en-GB"/>
        </w:rPr>
        <w:t xml:space="preserve"> </w:t>
      </w:r>
      <w:r w:rsidR="001C6A3E" w:rsidRPr="00F67CC4">
        <w:rPr>
          <w:rFonts w:cs="Calibri"/>
          <w:lang w:val="en-GB"/>
        </w:rPr>
        <w:t xml:space="preserve">368) </w:t>
      </w:r>
    </w:p>
    <w:p w:rsidR="00641E88" w:rsidRDefault="007F533F" w:rsidP="00641E88">
      <w:pPr>
        <w:spacing w:line="360" w:lineRule="auto"/>
        <w:rPr>
          <w:rFonts w:cs="Calibri"/>
          <w:lang w:val="en-GB"/>
        </w:rPr>
      </w:pPr>
      <w:r>
        <w:rPr>
          <w:rFonts w:cs="Calibri"/>
          <w:lang w:val="en-GB"/>
        </w:rPr>
        <w:t>The</w:t>
      </w:r>
      <w:r w:rsidR="001C6A3E" w:rsidRPr="00F67CC4">
        <w:rPr>
          <w:rFonts w:cs="Calibri"/>
          <w:lang w:val="en-GB"/>
        </w:rPr>
        <w:t xml:space="preserve"> important </w:t>
      </w:r>
      <w:r w:rsidR="006363DC" w:rsidRPr="00F67CC4">
        <w:rPr>
          <w:rFonts w:cs="Calibri"/>
          <w:lang w:val="en-GB"/>
        </w:rPr>
        <w:t>distinction made in</w:t>
      </w:r>
      <w:r w:rsidR="001C6A3E" w:rsidRPr="00F67CC4">
        <w:rPr>
          <w:rFonts w:cs="Calibri"/>
          <w:lang w:val="en-GB"/>
        </w:rPr>
        <w:t xml:space="preserve"> the definition of Healy and Wahlen (1999)</w:t>
      </w:r>
      <w:r w:rsidR="00CB3A28" w:rsidRPr="00F67CC4">
        <w:rPr>
          <w:rFonts w:cs="Calibri"/>
          <w:lang w:val="en-GB"/>
        </w:rPr>
        <w:t xml:space="preserve"> compared to other definitions of earnings management,</w:t>
      </w:r>
      <w:r w:rsidR="001C6A3E" w:rsidRPr="00F67CC4">
        <w:rPr>
          <w:rFonts w:cs="Calibri"/>
          <w:lang w:val="en-GB"/>
        </w:rPr>
        <w:t xml:space="preserve"> </w:t>
      </w:r>
      <w:r w:rsidR="002867CC" w:rsidRPr="00F67CC4">
        <w:rPr>
          <w:rFonts w:cs="Calibri"/>
          <w:lang w:val="en-GB"/>
        </w:rPr>
        <w:t xml:space="preserve">is that </w:t>
      </w:r>
      <w:r w:rsidR="001C6A3E" w:rsidRPr="00F67CC4">
        <w:rPr>
          <w:rFonts w:cs="Calibri"/>
          <w:lang w:val="en-GB"/>
        </w:rPr>
        <w:t xml:space="preserve">earning management is used to mislead other stakeholders about the financial situation of the company. </w:t>
      </w:r>
      <w:r w:rsidR="00641E88">
        <w:rPr>
          <w:rFonts w:cs="Calibri"/>
          <w:lang w:val="en-GB"/>
        </w:rPr>
        <w:t xml:space="preserve">The example about Greece reveals the </w:t>
      </w:r>
      <w:r w:rsidR="007777E6">
        <w:rPr>
          <w:rFonts w:cs="Calibri"/>
          <w:lang w:val="en-GB"/>
        </w:rPr>
        <w:t>deception</w:t>
      </w:r>
      <w:r w:rsidR="00641E88">
        <w:rPr>
          <w:rFonts w:cs="Calibri"/>
          <w:lang w:val="en-GB"/>
        </w:rPr>
        <w:t xml:space="preserve"> of the other countries</w:t>
      </w:r>
      <w:r>
        <w:rPr>
          <w:rFonts w:cs="Calibri"/>
          <w:lang w:val="en-GB"/>
        </w:rPr>
        <w:t xml:space="preserve"> </w:t>
      </w:r>
      <w:r w:rsidR="004C68B4">
        <w:rPr>
          <w:rFonts w:cs="Calibri"/>
          <w:lang w:val="en-GB"/>
        </w:rPr>
        <w:t xml:space="preserve">in the European Union </w:t>
      </w:r>
      <w:r>
        <w:rPr>
          <w:rFonts w:cs="Calibri"/>
          <w:lang w:val="en-GB"/>
        </w:rPr>
        <w:t>by using earnings management</w:t>
      </w:r>
      <w:r w:rsidR="00641E88">
        <w:rPr>
          <w:rFonts w:cs="Calibri"/>
          <w:lang w:val="en-GB"/>
        </w:rPr>
        <w:t>. This example is about misleading countries; these countries are ‘stakeholders’ of Greece</w:t>
      </w:r>
      <w:r w:rsidR="007777E6">
        <w:rPr>
          <w:rFonts w:cs="Calibri"/>
          <w:lang w:val="en-GB"/>
        </w:rPr>
        <w:t xml:space="preserve"> by having interest in the financial situation of Greece</w:t>
      </w:r>
      <w:r w:rsidR="00641E88">
        <w:rPr>
          <w:rFonts w:cs="Calibri"/>
          <w:lang w:val="en-GB"/>
        </w:rPr>
        <w:t>.</w:t>
      </w:r>
      <w:r w:rsidR="007777E6">
        <w:rPr>
          <w:rFonts w:cs="Calibri"/>
          <w:lang w:val="en-GB"/>
        </w:rPr>
        <w:t xml:space="preserve"> A bad financial situation or maybe even bankruptcy </w:t>
      </w:r>
      <w:r w:rsidR="00A3561B">
        <w:rPr>
          <w:rFonts w:cs="Calibri"/>
          <w:lang w:val="en-GB"/>
        </w:rPr>
        <w:t xml:space="preserve">may </w:t>
      </w:r>
      <w:r w:rsidR="007777E6">
        <w:rPr>
          <w:rFonts w:cs="Calibri"/>
          <w:lang w:val="en-GB"/>
        </w:rPr>
        <w:t>influence the financial situation of the other countries</w:t>
      </w:r>
      <w:r w:rsidR="004C68B4">
        <w:rPr>
          <w:rFonts w:cs="Calibri"/>
          <w:lang w:val="en-GB"/>
        </w:rPr>
        <w:t xml:space="preserve"> in the European Union</w:t>
      </w:r>
      <w:r w:rsidR="007777E6">
        <w:rPr>
          <w:rFonts w:cs="Calibri"/>
          <w:lang w:val="en-GB"/>
        </w:rPr>
        <w:t xml:space="preserve">. This example </w:t>
      </w:r>
      <w:r w:rsidR="00A3561B">
        <w:rPr>
          <w:rFonts w:cs="Calibri"/>
          <w:lang w:val="en-GB"/>
        </w:rPr>
        <w:t xml:space="preserve">can be compared on micro-level by companies that have interest in a company with a bad financial situation. </w:t>
      </w:r>
      <w:r w:rsidR="004C68B4">
        <w:rPr>
          <w:rFonts w:cs="Calibri"/>
          <w:lang w:val="en-GB"/>
        </w:rPr>
        <w:t xml:space="preserve">The same can be performing </w:t>
      </w:r>
      <w:r w:rsidR="009A7A82">
        <w:rPr>
          <w:rFonts w:cs="Calibri"/>
          <w:lang w:val="en-GB"/>
        </w:rPr>
        <w:t xml:space="preserve">with the misleading of the </w:t>
      </w:r>
      <w:r w:rsidR="004C68B4">
        <w:rPr>
          <w:rFonts w:cs="Calibri"/>
          <w:lang w:val="en-GB"/>
        </w:rPr>
        <w:t xml:space="preserve">countries in the </w:t>
      </w:r>
      <w:r w:rsidR="009A7A82">
        <w:rPr>
          <w:rFonts w:cs="Calibri"/>
          <w:lang w:val="en-GB"/>
        </w:rPr>
        <w:t xml:space="preserve">European </w:t>
      </w:r>
      <w:r w:rsidR="004C68B4">
        <w:rPr>
          <w:rFonts w:cs="Calibri"/>
          <w:lang w:val="en-GB"/>
        </w:rPr>
        <w:t>Union</w:t>
      </w:r>
      <w:r w:rsidR="009A7A82">
        <w:rPr>
          <w:rFonts w:cs="Calibri"/>
          <w:lang w:val="en-GB"/>
        </w:rPr>
        <w:t xml:space="preserve"> during the application of Greece to the Euro; managers may</w:t>
      </w:r>
      <w:r w:rsidR="00641E88">
        <w:rPr>
          <w:rFonts w:cs="Calibri"/>
          <w:lang w:val="en-GB"/>
        </w:rPr>
        <w:t xml:space="preserve"> adjust the financial situation of </w:t>
      </w:r>
      <w:r w:rsidR="001A463F">
        <w:rPr>
          <w:rFonts w:cs="Calibri"/>
          <w:lang w:val="en-GB"/>
        </w:rPr>
        <w:t>a company in order to mislead</w:t>
      </w:r>
      <w:r w:rsidR="00641E88">
        <w:rPr>
          <w:rFonts w:cs="Calibri"/>
          <w:lang w:val="en-GB"/>
        </w:rPr>
        <w:t xml:space="preserve"> their stakeholders. </w:t>
      </w:r>
    </w:p>
    <w:p w:rsidR="004C68B4" w:rsidRDefault="001C6A3E" w:rsidP="00F74511">
      <w:pPr>
        <w:spacing w:line="360" w:lineRule="auto"/>
        <w:rPr>
          <w:rFonts w:cs="Calibri"/>
          <w:lang w:val="en-GB"/>
        </w:rPr>
      </w:pPr>
      <w:r w:rsidRPr="00F67CC4">
        <w:rPr>
          <w:rFonts w:cs="Calibri"/>
          <w:lang w:val="en-GB"/>
        </w:rPr>
        <w:t xml:space="preserve">In order to abandon or at least reduce to possibilities of managers to mislead </w:t>
      </w:r>
      <w:r w:rsidR="004C68B4">
        <w:rPr>
          <w:rFonts w:cs="Calibri"/>
          <w:lang w:val="en-GB"/>
        </w:rPr>
        <w:t xml:space="preserve">the </w:t>
      </w:r>
      <w:r w:rsidRPr="00F67CC4">
        <w:rPr>
          <w:rFonts w:cs="Calibri"/>
          <w:lang w:val="en-GB"/>
        </w:rPr>
        <w:t>stakeholders, accounting standards are provide</w:t>
      </w:r>
      <w:r w:rsidR="006363DC" w:rsidRPr="00F67CC4">
        <w:rPr>
          <w:rFonts w:cs="Calibri"/>
          <w:lang w:val="en-GB"/>
        </w:rPr>
        <w:t>d. These standards should</w:t>
      </w:r>
      <w:r w:rsidRPr="00F67CC4">
        <w:rPr>
          <w:rFonts w:cs="Calibri"/>
          <w:lang w:val="en-GB"/>
        </w:rPr>
        <w:t xml:space="preserve"> </w:t>
      </w:r>
      <w:r w:rsidR="006363DC" w:rsidRPr="00F67CC4">
        <w:rPr>
          <w:rFonts w:cs="Calibri"/>
          <w:lang w:val="en-GB"/>
        </w:rPr>
        <w:t xml:space="preserve">ensure </w:t>
      </w:r>
      <w:r w:rsidRPr="00F67CC4">
        <w:rPr>
          <w:rFonts w:cs="Calibri"/>
          <w:lang w:val="en-GB"/>
        </w:rPr>
        <w:t xml:space="preserve">stakeholders </w:t>
      </w:r>
      <w:r w:rsidR="006363DC" w:rsidRPr="00F67CC4">
        <w:rPr>
          <w:rFonts w:cs="Calibri"/>
          <w:lang w:val="en-GB"/>
        </w:rPr>
        <w:t>that</w:t>
      </w:r>
      <w:r w:rsidRPr="00F67CC4">
        <w:rPr>
          <w:rFonts w:cs="Calibri"/>
          <w:lang w:val="en-GB"/>
        </w:rPr>
        <w:t xml:space="preserve"> the numbers provided in the financial statements </w:t>
      </w:r>
      <w:r w:rsidR="004C68B4">
        <w:rPr>
          <w:rFonts w:cs="Calibri"/>
          <w:lang w:val="en-GB"/>
        </w:rPr>
        <w:t>present</w:t>
      </w:r>
      <w:r w:rsidRPr="00F67CC4">
        <w:rPr>
          <w:rFonts w:cs="Calibri"/>
          <w:lang w:val="en-GB"/>
        </w:rPr>
        <w:t xml:space="preserve"> a </w:t>
      </w:r>
      <w:r w:rsidR="001A463F">
        <w:rPr>
          <w:rFonts w:cs="Calibri"/>
          <w:lang w:val="en-GB"/>
        </w:rPr>
        <w:t>true</w:t>
      </w:r>
      <w:r w:rsidRPr="00F67CC4">
        <w:rPr>
          <w:rFonts w:cs="Calibri"/>
          <w:lang w:val="en-GB"/>
        </w:rPr>
        <w:t xml:space="preserve"> </w:t>
      </w:r>
      <w:r w:rsidR="00CB3A28" w:rsidRPr="00F67CC4">
        <w:rPr>
          <w:rFonts w:cs="Calibri"/>
          <w:lang w:val="en-GB"/>
        </w:rPr>
        <w:t xml:space="preserve">and </w:t>
      </w:r>
      <w:r w:rsidR="001A463F">
        <w:rPr>
          <w:rFonts w:cs="Calibri"/>
          <w:lang w:val="en-GB"/>
        </w:rPr>
        <w:t>fair</w:t>
      </w:r>
      <w:r w:rsidR="00CB3A28" w:rsidRPr="00F67CC4">
        <w:rPr>
          <w:rFonts w:cs="Calibri"/>
          <w:lang w:val="en-GB"/>
        </w:rPr>
        <w:t xml:space="preserve"> </w:t>
      </w:r>
      <w:r w:rsidRPr="00F67CC4">
        <w:rPr>
          <w:rFonts w:cs="Calibri"/>
          <w:lang w:val="en-GB"/>
        </w:rPr>
        <w:t>view of the financial situation of a company. One of the recent attempts of standard setters to provide this</w:t>
      </w:r>
      <w:r w:rsidR="004C68B4">
        <w:rPr>
          <w:rFonts w:cs="Calibri"/>
          <w:lang w:val="en-GB"/>
        </w:rPr>
        <w:t xml:space="preserve"> as</w:t>
      </w:r>
      <w:r w:rsidR="006363DC" w:rsidRPr="00F67CC4">
        <w:rPr>
          <w:rFonts w:cs="Calibri"/>
          <w:lang w:val="en-GB"/>
        </w:rPr>
        <w:t xml:space="preserve">surance </w:t>
      </w:r>
      <w:r w:rsidRPr="00F67CC4">
        <w:rPr>
          <w:rFonts w:cs="Calibri"/>
          <w:lang w:val="en-GB"/>
        </w:rPr>
        <w:t>is the introduction of</w:t>
      </w:r>
      <w:r w:rsidR="00BF6D79" w:rsidRPr="00F67CC4">
        <w:rPr>
          <w:rFonts w:cs="Calibri"/>
          <w:lang w:val="en-GB"/>
        </w:rPr>
        <w:t xml:space="preserve"> the</w:t>
      </w:r>
      <w:r w:rsidR="00776BAD" w:rsidRPr="00F67CC4">
        <w:rPr>
          <w:rFonts w:cs="Calibri"/>
          <w:lang w:val="en-GB"/>
        </w:rPr>
        <w:t xml:space="preserve"> </w:t>
      </w:r>
      <w:r w:rsidRPr="00F67CC4">
        <w:rPr>
          <w:rFonts w:cs="Calibri"/>
          <w:lang w:val="en-GB"/>
        </w:rPr>
        <w:t>International Financial Reporting Standards</w:t>
      </w:r>
      <w:r w:rsidR="00776BAD" w:rsidRPr="00F67CC4">
        <w:rPr>
          <w:rFonts w:cs="Calibri"/>
          <w:lang w:val="en-GB"/>
        </w:rPr>
        <w:t xml:space="preserve"> (IFRS)</w:t>
      </w:r>
      <w:r w:rsidR="004C68B4">
        <w:rPr>
          <w:rFonts w:cs="Calibri"/>
          <w:lang w:val="en-GB"/>
        </w:rPr>
        <w:t xml:space="preserve"> in 2005</w:t>
      </w:r>
      <w:r w:rsidRPr="00F67CC4">
        <w:rPr>
          <w:rFonts w:cs="Calibri"/>
          <w:lang w:val="en-GB"/>
        </w:rPr>
        <w:t xml:space="preserve"> which became obligatory</w:t>
      </w:r>
      <w:r w:rsidR="001A463F">
        <w:rPr>
          <w:rFonts w:cs="Calibri"/>
          <w:lang w:val="en-GB"/>
        </w:rPr>
        <w:t xml:space="preserve"> to adopt by</w:t>
      </w:r>
      <w:r w:rsidR="006363DC" w:rsidRPr="00F67CC4">
        <w:rPr>
          <w:rFonts w:cs="Calibri"/>
          <w:lang w:val="en-GB"/>
        </w:rPr>
        <w:t xml:space="preserve"> all </w:t>
      </w:r>
      <w:r w:rsidR="004C68B4">
        <w:rPr>
          <w:rFonts w:cs="Calibri"/>
          <w:lang w:val="en-GB"/>
        </w:rPr>
        <w:t>the stock exchange quoted companies in the European Union.</w:t>
      </w:r>
    </w:p>
    <w:p w:rsidR="006363DC" w:rsidRPr="00F67CC4" w:rsidRDefault="009A7A82" w:rsidP="00F74511">
      <w:pPr>
        <w:spacing w:line="360" w:lineRule="auto"/>
        <w:rPr>
          <w:rFonts w:cs="Calibri"/>
          <w:lang w:val="en-GB"/>
        </w:rPr>
      </w:pPr>
      <w:r>
        <w:rPr>
          <w:rFonts w:cs="Calibri"/>
          <w:lang w:val="en-GB"/>
        </w:rPr>
        <w:t xml:space="preserve">The </w:t>
      </w:r>
      <w:r w:rsidR="001C6A3E" w:rsidRPr="00F67CC4">
        <w:rPr>
          <w:rFonts w:cs="Calibri"/>
          <w:lang w:val="en-GB"/>
        </w:rPr>
        <w:t>IFRS</w:t>
      </w:r>
      <w:r>
        <w:rPr>
          <w:rFonts w:cs="Calibri"/>
          <w:lang w:val="en-GB"/>
        </w:rPr>
        <w:t xml:space="preserve"> were introduced</w:t>
      </w:r>
      <w:r w:rsidR="001C6A3E" w:rsidRPr="00F67CC4">
        <w:rPr>
          <w:rFonts w:cs="Calibri"/>
          <w:lang w:val="en-GB"/>
        </w:rPr>
        <w:t xml:space="preserve"> to </w:t>
      </w:r>
      <w:r w:rsidR="00BF6D79" w:rsidRPr="00F67CC4">
        <w:rPr>
          <w:rFonts w:cs="Calibri"/>
          <w:lang w:val="en-GB"/>
        </w:rPr>
        <w:t>strengthen</w:t>
      </w:r>
      <w:r w:rsidR="001C6A3E" w:rsidRPr="00F67CC4">
        <w:rPr>
          <w:rFonts w:cs="Calibri"/>
          <w:lang w:val="en-GB"/>
        </w:rPr>
        <w:t xml:space="preserve"> uniformity in accounting rules and regulations </w:t>
      </w:r>
      <w:r w:rsidR="00BF6D79" w:rsidRPr="00F67CC4">
        <w:rPr>
          <w:rFonts w:cs="Calibri"/>
          <w:lang w:val="en-GB"/>
        </w:rPr>
        <w:t>in order to</w:t>
      </w:r>
      <w:r w:rsidR="001C6A3E" w:rsidRPr="00F67CC4">
        <w:rPr>
          <w:rFonts w:cs="Calibri"/>
          <w:lang w:val="en-GB"/>
        </w:rPr>
        <w:t xml:space="preserve"> make the financial statements of companies more </w:t>
      </w:r>
      <w:r w:rsidR="005728B9" w:rsidRPr="00F67CC4">
        <w:rPr>
          <w:rFonts w:cs="Calibri"/>
          <w:lang w:val="en-GB"/>
        </w:rPr>
        <w:t>comparable</w:t>
      </w:r>
      <w:r w:rsidR="001C6A3E" w:rsidRPr="00F67CC4">
        <w:rPr>
          <w:rFonts w:cs="Calibri"/>
          <w:lang w:val="en-GB"/>
        </w:rPr>
        <w:t xml:space="preserve"> and transparent</w:t>
      </w:r>
      <w:r w:rsidR="006363DC" w:rsidRPr="00F67CC4">
        <w:rPr>
          <w:rFonts w:cs="Calibri"/>
          <w:lang w:val="en-GB"/>
        </w:rPr>
        <w:t xml:space="preserve">. These aims of IFRS should create more value for stakeholders by </w:t>
      </w:r>
      <w:r w:rsidR="005728B9" w:rsidRPr="00F67CC4">
        <w:rPr>
          <w:rFonts w:cs="Calibri"/>
          <w:lang w:val="en-GB"/>
        </w:rPr>
        <w:t xml:space="preserve">being better informed about the financial situation of a company. </w:t>
      </w:r>
      <w:r w:rsidR="00CB3A28" w:rsidRPr="00F67CC4">
        <w:rPr>
          <w:rFonts w:cs="Calibri"/>
          <w:lang w:val="en-GB"/>
        </w:rPr>
        <w:t>These aims should be achie</w:t>
      </w:r>
      <w:r w:rsidR="00776BAD" w:rsidRPr="00F67CC4">
        <w:rPr>
          <w:rFonts w:cs="Calibri"/>
          <w:lang w:val="en-GB"/>
        </w:rPr>
        <w:t xml:space="preserve">ved by IFRS with the use of </w:t>
      </w:r>
      <w:r w:rsidR="00CB3A28" w:rsidRPr="00F67CC4">
        <w:rPr>
          <w:rFonts w:cs="Calibri"/>
          <w:lang w:val="en-GB"/>
        </w:rPr>
        <w:t xml:space="preserve">fair-value as most important </w:t>
      </w:r>
      <w:r w:rsidR="00776BAD" w:rsidRPr="00F67CC4">
        <w:rPr>
          <w:rFonts w:cs="Calibri"/>
          <w:lang w:val="en-GB"/>
        </w:rPr>
        <w:t>principle</w:t>
      </w:r>
      <w:r w:rsidR="001A463F">
        <w:rPr>
          <w:rFonts w:cs="Calibri"/>
          <w:lang w:val="en-GB"/>
        </w:rPr>
        <w:t xml:space="preserve"> </w:t>
      </w:r>
      <w:r w:rsidR="005728B9" w:rsidRPr="00F67CC4">
        <w:rPr>
          <w:rFonts w:cs="Calibri"/>
          <w:lang w:val="en-GB"/>
        </w:rPr>
        <w:t>(EC No 1606/2002, p243/2)</w:t>
      </w:r>
      <w:r w:rsidR="001A463F">
        <w:rPr>
          <w:rFonts w:cs="Calibri"/>
          <w:lang w:val="en-GB"/>
        </w:rPr>
        <w:t>.</w:t>
      </w:r>
    </w:p>
    <w:p w:rsidR="001C6A3E" w:rsidRPr="00F67CC4" w:rsidRDefault="00BF6D79" w:rsidP="00F74511">
      <w:pPr>
        <w:spacing w:line="360" w:lineRule="auto"/>
        <w:rPr>
          <w:rFonts w:cs="Calibri"/>
          <w:lang w:val="en-GB"/>
        </w:rPr>
      </w:pPr>
      <w:r w:rsidRPr="00F67CC4">
        <w:rPr>
          <w:rFonts w:cs="Calibri"/>
          <w:lang w:val="en-GB"/>
        </w:rPr>
        <w:t xml:space="preserve">Despite the introduction of these new standards, managers </w:t>
      </w:r>
      <w:r w:rsidR="001A463F">
        <w:rPr>
          <w:rFonts w:cs="Calibri"/>
          <w:lang w:val="en-GB"/>
        </w:rPr>
        <w:t>will still have incentives</w:t>
      </w:r>
      <w:r w:rsidRPr="00F67CC4">
        <w:rPr>
          <w:rFonts w:cs="Calibri"/>
          <w:lang w:val="en-GB"/>
        </w:rPr>
        <w:t xml:space="preserve"> to use earnings management</w:t>
      </w:r>
      <w:r w:rsidR="000F4C55">
        <w:rPr>
          <w:rFonts w:cs="Calibri"/>
          <w:lang w:val="en-GB"/>
        </w:rPr>
        <w:t xml:space="preserve">; </w:t>
      </w:r>
      <w:r w:rsidR="001A463F">
        <w:rPr>
          <w:rFonts w:cs="Calibri"/>
          <w:lang w:val="en-GB"/>
        </w:rPr>
        <w:t xml:space="preserve">to achieve a personal and/or company target. </w:t>
      </w:r>
      <w:r w:rsidRPr="00F67CC4">
        <w:rPr>
          <w:rFonts w:cs="Calibri"/>
          <w:lang w:val="en-GB"/>
        </w:rPr>
        <w:t>To accomplish this</w:t>
      </w:r>
      <w:r w:rsidR="005728B9" w:rsidRPr="00F67CC4">
        <w:rPr>
          <w:rFonts w:cs="Calibri"/>
          <w:lang w:val="en-GB"/>
        </w:rPr>
        <w:t xml:space="preserve"> target</w:t>
      </w:r>
      <w:r w:rsidRPr="00F67CC4">
        <w:rPr>
          <w:rFonts w:cs="Calibri"/>
          <w:lang w:val="en-GB"/>
        </w:rPr>
        <w:t>, earnings management can be exec</w:t>
      </w:r>
      <w:r w:rsidR="005728B9" w:rsidRPr="00F67CC4">
        <w:rPr>
          <w:rFonts w:cs="Calibri"/>
          <w:lang w:val="en-GB"/>
        </w:rPr>
        <w:t xml:space="preserve">uted by using the </w:t>
      </w:r>
      <w:r w:rsidRPr="00F67CC4">
        <w:rPr>
          <w:rFonts w:cs="Calibri"/>
          <w:lang w:val="en-GB"/>
        </w:rPr>
        <w:t>method of adjusting accruals or</w:t>
      </w:r>
      <w:r w:rsidR="006C40E5" w:rsidRPr="00F67CC4">
        <w:rPr>
          <w:rFonts w:cs="Calibri"/>
          <w:lang w:val="en-GB"/>
        </w:rPr>
        <w:t xml:space="preserve"> real </w:t>
      </w:r>
      <w:r w:rsidR="009A7A82">
        <w:rPr>
          <w:rFonts w:cs="Calibri"/>
          <w:lang w:val="en-GB"/>
        </w:rPr>
        <w:t>activities</w:t>
      </w:r>
      <w:r w:rsidR="005728B9" w:rsidRPr="00F67CC4">
        <w:rPr>
          <w:rStyle w:val="FootnoteReference"/>
          <w:rFonts w:cs="Calibri"/>
          <w:lang w:val="en-GB"/>
        </w:rPr>
        <w:footnoteReference w:id="3"/>
      </w:r>
      <w:r w:rsidR="009A7A82">
        <w:rPr>
          <w:rFonts w:cs="Calibri"/>
          <w:lang w:val="en-GB"/>
        </w:rPr>
        <w:t>.</w:t>
      </w:r>
      <w:r w:rsidR="006C40E5" w:rsidRPr="00F67CC4">
        <w:rPr>
          <w:rFonts w:cs="Calibri"/>
          <w:lang w:val="en-GB"/>
        </w:rPr>
        <w:t xml:space="preserve"> </w:t>
      </w:r>
      <w:r w:rsidR="004351D3" w:rsidRPr="00F67CC4">
        <w:rPr>
          <w:rFonts w:cs="Calibri"/>
          <w:lang w:val="en-GB"/>
        </w:rPr>
        <w:t xml:space="preserve">In previous researches about </w:t>
      </w:r>
      <w:r w:rsidR="00DB0A57">
        <w:rPr>
          <w:rFonts w:cs="Calibri"/>
          <w:lang w:val="en-GB"/>
        </w:rPr>
        <w:t xml:space="preserve">the use of </w:t>
      </w:r>
      <w:r w:rsidR="004351D3" w:rsidRPr="00F67CC4">
        <w:rPr>
          <w:rFonts w:cs="Calibri"/>
          <w:lang w:val="en-GB"/>
        </w:rPr>
        <w:t xml:space="preserve">earnings management, </w:t>
      </w:r>
      <w:r w:rsidR="001A463F">
        <w:rPr>
          <w:rFonts w:cs="Calibri"/>
          <w:lang w:val="en-GB"/>
        </w:rPr>
        <w:t>generally only</w:t>
      </w:r>
      <w:r w:rsidR="004351D3" w:rsidRPr="00F67CC4">
        <w:rPr>
          <w:rFonts w:cs="Calibri"/>
          <w:lang w:val="en-GB"/>
        </w:rPr>
        <w:t xml:space="preserve"> the accruals-based </w:t>
      </w:r>
      <w:r w:rsidR="004351D3" w:rsidRPr="00F67CC4">
        <w:rPr>
          <w:rFonts w:cs="Calibri"/>
          <w:lang w:val="en-GB"/>
        </w:rPr>
        <w:lastRenderedPageBreak/>
        <w:t>method is used to detect</w:t>
      </w:r>
      <w:r w:rsidR="00DB0A57">
        <w:rPr>
          <w:rFonts w:cs="Calibri"/>
          <w:lang w:val="en-GB"/>
        </w:rPr>
        <w:t xml:space="preserve"> the use of</w:t>
      </w:r>
      <w:r w:rsidR="004351D3" w:rsidRPr="00F67CC4">
        <w:rPr>
          <w:rFonts w:cs="Calibri"/>
          <w:lang w:val="en-GB"/>
        </w:rPr>
        <w:t xml:space="preserve"> earnings management. </w:t>
      </w:r>
      <w:r w:rsidR="001C6A3E" w:rsidRPr="00F67CC4">
        <w:rPr>
          <w:rFonts w:cs="Calibri"/>
          <w:lang w:val="en-GB"/>
        </w:rPr>
        <w:t>B</w:t>
      </w:r>
      <w:r w:rsidR="00F84B33" w:rsidRPr="00F67CC4">
        <w:rPr>
          <w:rFonts w:cs="Calibri"/>
          <w:lang w:val="en-GB"/>
        </w:rPr>
        <w:t>ut Graham et al. (2005) suggest</w:t>
      </w:r>
      <w:r w:rsidR="001C6A3E" w:rsidRPr="00F67CC4">
        <w:rPr>
          <w:rFonts w:cs="Calibri"/>
          <w:lang w:val="en-GB"/>
        </w:rPr>
        <w:t xml:space="preserve"> that firms switched to managing earnings by using real </w:t>
      </w:r>
      <w:r w:rsidR="004351D3" w:rsidRPr="00F67CC4">
        <w:rPr>
          <w:rFonts w:cs="Calibri"/>
          <w:lang w:val="en-GB"/>
        </w:rPr>
        <w:t>activities</w:t>
      </w:r>
      <w:r w:rsidR="001C6A3E" w:rsidRPr="00F67CC4">
        <w:rPr>
          <w:rFonts w:cs="Calibri"/>
          <w:lang w:val="en-GB"/>
        </w:rPr>
        <w:t xml:space="preserve">, possibly because </w:t>
      </w:r>
      <w:r w:rsidR="005728B9" w:rsidRPr="00F67CC4">
        <w:rPr>
          <w:rFonts w:cs="Calibri"/>
          <w:lang w:val="en-GB"/>
        </w:rPr>
        <w:t>this method</w:t>
      </w:r>
      <w:r w:rsidR="001C6A3E" w:rsidRPr="00F67CC4">
        <w:rPr>
          <w:rFonts w:cs="Calibri"/>
          <w:lang w:val="en-GB"/>
        </w:rPr>
        <w:t xml:space="preserve">, although more costly, </w:t>
      </w:r>
      <w:r w:rsidR="004351D3" w:rsidRPr="00F67CC4">
        <w:rPr>
          <w:rFonts w:cs="Calibri"/>
          <w:lang w:val="en-GB"/>
        </w:rPr>
        <w:t>is</w:t>
      </w:r>
      <w:r w:rsidR="001C6A3E" w:rsidRPr="00F67CC4">
        <w:rPr>
          <w:rFonts w:cs="Calibri"/>
          <w:lang w:val="en-GB"/>
        </w:rPr>
        <w:t xml:space="preserve"> likely harder to detect. This statement is strengthened by the following sentences of Graham et al. (2005):</w:t>
      </w:r>
    </w:p>
    <w:p w:rsidR="001C6A3E" w:rsidRPr="00F67CC4" w:rsidRDefault="00F84B33" w:rsidP="00F74511">
      <w:pPr>
        <w:spacing w:line="360" w:lineRule="auto"/>
        <w:rPr>
          <w:rFonts w:cs="Calibri"/>
          <w:b/>
          <w:i/>
          <w:lang w:val="en-GB"/>
        </w:rPr>
      </w:pPr>
      <w:r w:rsidRPr="00F67CC4">
        <w:rPr>
          <w:rFonts w:cs="Calibri"/>
          <w:i/>
          <w:lang w:val="en-GB"/>
        </w:rPr>
        <w:t>‘</w:t>
      </w:r>
      <w:r w:rsidR="001C6A3E" w:rsidRPr="00F67CC4">
        <w:rPr>
          <w:rFonts w:cs="Calibri"/>
          <w:i/>
          <w:lang w:val="en-GB"/>
        </w:rPr>
        <w:t>We find s</w:t>
      </w:r>
      <w:r w:rsidR="001A463F">
        <w:rPr>
          <w:rFonts w:cs="Calibri"/>
          <w:i/>
          <w:lang w:val="en-GB"/>
        </w:rPr>
        <w:t>trong evidence that managers take</w:t>
      </w:r>
      <w:r w:rsidR="001C6A3E" w:rsidRPr="00F67CC4">
        <w:rPr>
          <w:rFonts w:cs="Calibri"/>
          <w:i/>
          <w:lang w:val="en-GB"/>
        </w:rPr>
        <w:t xml:space="preserve"> real economic actions to maintain accounting appearances. In particular, 80% of survey participants report that they would decrease discretionary spending on R&amp;D, advertising, and maintenance </w:t>
      </w:r>
      <w:r w:rsidR="00926723" w:rsidRPr="00F67CC4">
        <w:rPr>
          <w:rFonts w:cs="Calibri"/>
          <w:i/>
          <w:lang w:val="en-GB"/>
        </w:rPr>
        <w:t xml:space="preserve">(…) </w:t>
      </w:r>
      <w:r w:rsidR="001C6A3E" w:rsidRPr="00F67CC4">
        <w:rPr>
          <w:rFonts w:cs="Calibri"/>
          <w:i/>
          <w:lang w:val="en-GB"/>
        </w:rPr>
        <w:t>to meet an earnings target. More than half (55.3%) state that they would delay starting a new project to meet earnings target, even if such delay entai</w:t>
      </w:r>
      <w:r w:rsidRPr="00F67CC4">
        <w:rPr>
          <w:rFonts w:cs="Calibri"/>
          <w:i/>
          <w:lang w:val="en-GB"/>
        </w:rPr>
        <w:t>led a small sacrifice in value</w:t>
      </w:r>
      <w:r w:rsidR="00926723" w:rsidRPr="00F67CC4">
        <w:rPr>
          <w:rFonts w:cs="Calibri"/>
          <w:i/>
          <w:lang w:val="en-GB"/>
        </w:rPr>
        <w:t xml:space="preserve"> (…)</w:t>
      </w:r>
      <w:r w:rsidRPr="00F67CC4">
        <w:rPr>
          <w:rFonts w:cs="Calibri"/>
          <w:i/>
          <w:lang w:val="en-GB"/>
        </w:rPr>
        <w:t>.’</w:t>
      </w:r>
      <w:r w:rsidRPr="00F67CC4">
        <w:rPr>
          <w:rFonts w:cs="Calibri"/>
          <w:b/>
          <w:i/>
          <w:lang w:val="en-GB"/>
        </w:rPr>
        <w:t xml:space="preserve"> </w:t>
      </w:r>
      <w:r w:rsidRPr="001A463F">
        <w:rPr>
          <w:rFonts w:cs="Calibri"/>
          <w:lang w:val="en-GB"/>
        </w:rPr>
        <w:t xml:space="preserve">(Graham et al. 2005, </w:t>
      </w:r>
      <w:r w:rsidR="00CD06C2" w:rsidRPr="001A463F">
        <w:rPr>
          <w:rFonts w:cs="Calibri"/>
          <w:lang w:val="en-GB"/>
        </w:rPr>
        <w:t>pp.</w:t>
      </w:r>
      <w:r w:rsidR="00926723" w:rsidRPr="001A463F">
        <w:rPr>
          <w:rFonts w:cs="Calibri"/>
          <w:lang w:val="en-GB"/>
        </w:rPr>
        <w:t xml:space="preserve"> 32-35</w:t>
      </w:r>
      <w:r w:rsidRPr="001A463F">
        <w:rPr>
          <w:rFonts w:cs="Calibri"/>
          <w:lang w:val="en-GB"/>
        </w:rPr>
        <w:t>)</w:t>
      </w:r>
    </w:p>
    <w:p w:rsidR="005728B9" w:rsidRPr="00F67CC4" w:rsidRDefault="001C6A3E" w:rsidP="00F74511">
      <w:pPr>
        <w:spacing w:line="360" w:lineRule="auto"/>
        <w:rPr>
          <w:rFonts w:cs="Calibri"/>
          <w:lang w:val="en-GB"/>
        </w:rPr>
      </w:pPr>
      <w:r w:rsidRPr="00F67CC4">
        <w:rPr>
          <w:rFonts w:cs="Calibri"/>
          <w:lang w:val="en-GB"/>
        </w:rPr>
        <w:t xml:space="preserve">This possible switch by using more real activities </w:t>
      </w:r>
      <w:r w:rsidR="004351D3" w:rsidRPr="00F67CC4">
        <w:rPr>
          <w:rFonts w:cs="Calibri"/>
          <w:lang w:val="en-GB"/>
        </w:rPr>
        <w:t xml:space="preserve">for earnings </w:t>
      </w:r>
      <w:r w:rsidRPr="00F67CC4">
        <w:rPr>
          <w:rFonts w:cs="Calibri"/>
          <w:lang w:val="en-GB"/>
        </w:rPr>
        <w:t xml:space="preserve">management </w:t>
      </w:r>
      <w:r w:rsidR="005728B9" w:rsidRPr="00F67CC4">
        <w:rPr>
          <w:rFonts w:cs="Calibri"/>
          <w:lang w:val="en-GB"/>
        </w:rPr>
        <w:t>relative</w:t>
      </w:r>
      <w:r w:rsidRPr="00F67CC4">
        <w:rPr>
          <w:rFonts w:cs="Calibri"/>
          <w:lang w:val="en-GB"/>
        </w:rPr>
        <w:t xml:space="preserve"> to accruals-</w:t>
      </w:r>
      <w:r w:rsidR="003806A9">
        <w:rPr>
          <w:rFonts w:cs="Calibri"/>
          <w:lang w:val="en-GB"/>
        </w:rPr>
        <w:t xml:space="preserve">based earnings management is </w:t>
      </w:r>
      <w:r w:rsidR="005728B9" w:rsidRPr="00F67CC4">
        <w:rPr>
          <w:rFonts w:cs="Calibri"/>
          <w:lang w:val="en-GB"/>
        </w:rPr>
        <w:t xml:space="preserve">the origin of </w:t>
      </w:r>
      <w:r w:rsidRPr="00F67CC4">
        <w:rPr>
          <w:rFonts w:cs="Calibri"/>
          <w:lang w:val="en-GB"/>
        </w:rPr>
        <w:t>this res</w:t>
      </w:r>
      <w:r w:rsidR="00A81A82" w:rsidRPr="00F67CC4">
        <w:rPr>
          <w:rFonts w:cs="Calibri"/>
          <w:lang w:val="en-GB"/>
        </w:rPr>
        <w:t xml:space="preserve">earch. </w:t>
      </w:r>
      <w:r w:rsidR="005728B9" w:rsidRPr="00F67CC4">
        <w:rPr>
          <w:rFonts w:cs="Calibri"/>
          <w:lang w:val="en-GB"/>
        </w:rPr>
        <w:t xml:space="preserve">First the influence of IFRS on the total amount of </w:t>
      </w:r>
      <w:r w:rsidR="00DB0A57">
        <w:rPr>
          <w:rFonts w:cs="Calibri"/>
          <w:lang w:val="en-GB"/>
        </w:rPr>
        <w:t xml:space="preserve">the use of </w:t>
      </w:r>
      <w:r w:rsidR="005728B9" w:rsidRPr="00F67CC4">
        <w:rPr>
          <w:rFonts w:cs="Calibri"/>
          <w:lang w:val="en-GB"/>
        </w:rPr>
        <w:t xml:space="preserve">earnings management will be checked, before the possible substitution between the two methods for managing </w:t>
      </w:r>
      <w:r w:rsidR="00DB0A57">
        <w:rPr>
          <w:rFonts w:cs="Calibri"/>
          <w:lang w:val="en-GB"/>
        </w:rPr>
        <w:t xml:space="preserve">the </w:t>
      </w:r>
      <w:r w:rsidR="005728B9" w:rsidRPr="00F67CC4">
        <w:rPr>
          <w:rFonts w:cs="Calibri"/>
          <w:lang w:val="en-GB"/>
        </w:rPr>
        <w:t xml:space="preserve">earnings will </w:t>
      </w:r>
      <w:r w:rsidR="00B37668" w:rsidRPr="00F67CC4">
        <w:rPr>
          <w:rFonts w:cs="Calibri"/>
          <w:lang w:val="en-GB"/>
        </w:rPr>
        <w:t xml:space="preserve">be </w:t>
      </w:r>
      <w:r w:rsidR="005728B9" w:rsidRPr="00F67CC4">
        <w:rPr>
          <w:rFonts w:cs="Calibri"/>
          <w:lang w:val="en-GB"/>
        </w:rPr>
        <w:t>investigated.</w:t>
      </w:r>
    </w:p>
    <w:p w:rsidR="001C6A3E" w:rsidRPr="00F67CC4" w:rsidRDefault="007E5FE7" w:rsidP="00F74511">
      <w:pPr>
        <w:spacing w:line="360" w:lineRule="auto"/>
        <w:rPr>
          <w:rFonts w:cs="Calibri"/>
          <w:lang w:val="en-GB"/>
        </w:rPr>
      </w:pPr>
      <w:r w:rsidRPr="00F67CC4">
        <w:rPr>
          <w:rFonts w:cs="Calibri"/>
          <w:b/>
          <w:lang w:val="en-GB"/>
        </w:rPr>
        <w:t xml:space="preserve">1.2 </w:t>
      </w:r>
      <w:r w:rsidR="001C6A3E" w:rsidRPr="00F67CC4">
        <w:rPr>
          <w:rFonts w:cs="Calibri"/>
          <w:b/>
          <w:lang w:val="en-GB"/>
        </w:rPr>
        <w:t>Research question and relevance</w:t>
      </w:r>
      <w:r w:rsidR="001C6A3E" w:rsidRPr="00F67CC4">
        <w:rPr>
          <w:rFonts w:cs="Calibri"/>
          <w:b/>
          <w:lang w:val="en-GB"/>
        </w:rPr>
        <w:br/>
      </w:r>
      <w:r w:rsidR="00475391">
        <w:rPr>
          <w:rFonts w:cs="Calibri"/>
          <w:lang w:val="en-GB"/>
        </w:rPr>
        <w:t>One of t</w:t>
      </w:r>
      <w:r w:rsidR="001C6A3E" w:rsidRPr="00F67CC4">
        <w:rPr>
          <w:rFonts w:cs="Calibri"/>
          <w:lang w:val="en-GB"/>
        </w:rPr>
        <w:t>he goal</w:t>
      </w:r>
      <w:r w:rsidR="00475391">
        <w:rPr>
          <w:rFonts w:cs="Calibri"/>
          <w:lang w:val="en-GB"/>
        </w:rPr>
        <w:t>s</w:t>
      </w:r>
      <w:r w:rsidR="001C6A3E" w:rsidRPr="00F67CC4">
        <w:rPr>
          <w:rFonts w:cs="Calibri"/>
          <w:lang w:val="en-GB"/>
        </w:rPr>
        <w:t xml:space="preserve"> of IFRS</w:t>
      </w:r>
      <w:r w:rsidR="003806A9">
        <w:rPr>
          <w:rFonts w:cs="Calibri"/>
          <w:lang w:val="en-GB"/>
        </w:rPr>
        <w:t xml:space="preserve">, as </w:t>
      </w:r>
      <w:r w:rsidR="00DB0A57">
        <w:rPr>
          <w:rFonts w:cs="Calibri"/>
          <w:lang w:val="en-GB"/>
        </w:rPr>
        <w:t>signalled</w:t>
      </w:r>
      <w:r w:rsidR="003806A9">
        <w:rPr>
          <w:rFonts w:cs="Calibri"/>
          <w:lang w:val="en-GB"/>
        </w:rPr>
        <w:t xml:space="preserve"> in the introduction,</w:t>
      </w:r>
      <w:r w:rsidR="001C6A3E" w:rsidRPr="00F67CC4">
        <w:rPr>
          <w:rFonts w:cs="Calibri"/>
          <w:lang w:val="en-GB"/>
        </w:rPr>
        <w:t xml:space="preserve"> </w:t>
      </w:r>
      <w:r w:rsidR="009A2AC6" w:rsidRPr="00F67CC4">
        <w:rPr>
          <w:rFonts w:cs="Calibri"/>
          <w:lang w:val="en-GB"/>
        </w:rPr>
        <w:t>is</w:t>
      </w:r>
      <w:r w:rsidR="001C6A3E" w:rsidRPr="00F67CC4">
        <w:rPr>
          <w:rFonts w:cs="Calibri"/>
          <w:lang w:val="en-GB"/>
        </w:rPr>
        <w:t xml:space="preserve"> creating more transparency and reliability of the financial statements</w:t>
      </w:r>
      <w:r w:rsidR="003806A9">
        <w:rPr>
          <w:rFonts w:cs="Calibri"/>
          <w:lang w:val="en-GB"/>
        </w:rPr>
        <w:t xml:space="preserve"> </w:t>
      </w:r>
      <w:r w:rsidR="001C6A3E" w:rsidRPr="00F67CC4">
        <w:rPr>
          <w:rFonts w:cs="Calibri"/>
          <w:lang w:val="en-GB"/>
        </w:rPr>
        <w:t>which should have a</w:t>
      </w:r>
      <w:r w:rsidR="009A2AC6" w:rsidRPr="00F67CC4">
        <w:rPr>
          <w:rFonts w:cs="Calibri"/>
          <w:lang w:val="en-GB"/>
        </w:rPr>
        <w:t>n</w:t>
      </w:r>
      <w:r w:rsidR="001C6A3E" w:rsidRPr="00F67CC4">
        <w:rPr>
          <w:rFonts w:cs="Calibri"/>
          <w:lang w:val="en-GB"/>
        </w:rPr>
        <w:t xml:space="preserve"> effect on the (less) use of earnings management. IFRS changed the regulations</w:t>
      </w:r>
      <w:r w:rsidR="0095016D" w:rsidRPr="00F67CC4">
        <w:rPr>
          <w:rFonts w:cs="Calibri"/>
          <w:lang w:val="en-GB"/>
        </w:rPr>
        <w:t xml:space="preserve"> by combining rigid rules with subjective valuations in the valuation</w:t>
      </w:r>
      <w:r w:rsidR="004B1539" w:rsidRPr="00F67CC4">
        <w:rPr>
          <w:rFonts w:cs="Calibri"/>
          <w:lang w:val="en-GB"/>
        </w:rPr>
        <w:t xml:space="preserve"> of assets and </w:t>
      </w:r>
      <w:r w:rsidR="001C6A3E" w:rsidRPr="00F67CC4">
        <w:rPr>
          <w:rFonts w:cs="Calibri"/>
          <w:lang w:val="en-GB"/>
        </w:rPr>
        <w:t xml:space="preserve">liabilities for the composition of the financial statements. </w:t>
      </w:r>
    </w:p>
    <w:p w:rsidR="003806A9" w:rsidRDefault="003806A9" w:rsidP="00641E88">
      <w:pPr>
        <w:spacing w:line="360" w:lineRule="auto"/>
        <w:rPr>
          <w:rFonts w:cs="Calibri"/>
          <w:lang w:val="en-GB"/>
        </w:rPr>
      </w:pPr>
      <w:r>
        <w:rPr>
          <w:rFonts w:cs="Calibri"/>
          <w:lang w:val="en-GB"/>
        </w:rPr>
        <w:t xml:space="preserve">Although IFRS have the objective to </w:t>
      </w:r>
      <w:r w:rsidR="001C6A3E" w:rsidRPr="00F67CC4">
        <w:rPr>
          <w:rFonts w:cs="Calibri"/>
          <w:lang w:val="en-GB"/>
        </w:rPr>
        <w:t>creat</w:t>
      </w:r>
      <w:r>
        <w:rPr>
          <w:rFonts w:cs="Calibri"/>
          <w:lang w:val="en-GB"/>
        </w:rPr>
        <w:t xml:space="preserve">e </w:t>
      </w:r>
      <w:r w:rsidR="001C6A3E" w:rsidRPr="00F67CC4">
        <w:rPr>
          <w:rFonts w:cs="Calibri"/>
          <w:lang w:val="en-GB"/>
        </w:rPr>
        <w:t xml:space="preserve">a fair </w:t>
      </w:r>
      <w:r>
        <w:rPr>
          <w:rFonts w:cs="Calibri"/>
          <w:lang w:val="en-GB"/>
        </w:rPr>
        <w:t xml:space="preserve">and true </w:t>
      </w:r>
      <w:r w:rsidR="001C6A3E" w:rsidRPr="00F67CC4">
        <w:rPr>
          <w:rFonts w:cs="Calibri"/>
          <w:lang w:val="en-GB"/>
        </w:rPr>
        <w:t xml:space="preserve">view of the financial situation, managers will </w:t>
      </w:r>
      <w:r w:rsidR="004351D3" w:rsidRPr="00F67CC4">
        <w:rPr>
          <w:rFonts w:cs="Calibri"/>
          <w:lang w:val="en-GB"/>
        </w:rPr>
        <w:t xml:space="preserve">still </w:t>
      </w:r>
      <w:r w:rsidR="00A81A82" w:rsidRPr="00F67CC4">
        <w:rPr>
          <w:rFonts w:cs="Calibri"/>
          <w:lang w:val="en-GB"/>
        </w:rPr>
        <w:t>search</w:t>
      </w:r>
      <w:r w:rsidR="001C6A3E" w:rsidRPr="00F67CC4">
        <w:rPr>
          <w:rFonts w:cs="Calibri"/>
          <w:lang w:val="en-GB"/>
        </w:rPr>
        <w:t xml:space="preserve"> for possibilities to show a better financial position of a company</w:t>
      </w:r>
      <w:r w:rsidR="00B7049A" w:rsidRPr="00F67CC4">
        <w:rPr>
          <w:rFonts w:cs="Calibri"/>
          <w:lang w:val="en-GB"/>
        </w:rPr>
        <w:t>;</w:t>
      </w:r>
      <w:r w:rsidR="001C6A3E" w:rsidRPr="00F67CC4">
        <w:rPr>
          <w:rFonts w:cs="Calibri"/>
          <w:lang w:val="en-GB"/>
        </w:rPr>
        <w:t xml:space="preserve"> for their own or company’s </w:t>
      </w:r>
      <w:r w:rsidR="000F4C55">
        <w:rPr>
          <w:rFonts w:cs="Calibri"/>
          <w:lang w:val="en-GB"/>
        </w:rPr>
        <w:t>interest</w:t>
      </w:r>
      <w:r w:rsidR="001C6A3E" w:rsidRPr="00F67CC4">
        <w:rPr>
          <w:rFonts w:cs="Calibri"/>
          <w:lang w:val="en-GB"/>
        </w:rPr>
        <w:t xml:space="preserve">. </w:t>
      </w:r>
      <w:r>
        <w:rPr>
          <w:rFonts w:cs="Calibri"/>
          <w:lang w:val="en-GB"/>
        </w:rPr>
        <w:t xml:space="preserve">According to Graham et al. (2005), real activities are used to manage earnings, while only the accruals-based method generally was used to detect the use of earnings management. In this thesis, the influence of the introduction of IFRS in 2005 on the use of the two methods for detecting earnings management is investigated. With the data from </w:t>
      </w:r>
      <w:r w:rsidR="004351D3" w:rsidRPr="00F67CC4">
        <w:rPr>
          <w:rFonts w:cs="Calibri"/>
          <w:lang w:val="en-GB"/>
        </w:rPr>
        <w:t xml:space="preserve">three </w:t>
      </w:r>
      <w:r w:rsidR="008D6F2A" w:rsidRPr="00F67CC4">
        <w:rPr>
          <w:rFonts w:cs="Calibri"/>
          <w:lang w:val="en-GB"/>
        </w:rPr>
        <w:t xml:space="preserve">French Civil law </w:t>
      </w:r>
      <w:r w:rsidR="004351D3" w:rsidRPr="00F67CC4">
        <w:rPr>
          <w:rFonts w:cs="Calibri"/>
          <w:lang w:val="en-GB"/>
        </w:rPr>
        <w:t>countries</w:t>
      </w:r>
      <w:r>
        <w:rPr>
          <w:rFonts w:cs="Calibri"/>
          <w:lang w:val="en-GB"/>
        </w:rPr>
        <w:t xml:space="preserve"> </w:t>
      </w:r>
      <w:r w:rsidR="008D6F2A" w:rsidRPr="00F67CC4">
        <w:rPr>
          <w:rFonts w:cs="Calibri"/>
          <w:lang w:val="en-GB"/>
        </w:rPr>
        <w:t>The Netherlands, Belgium and France</w:t>
      </w:r>
      <w:r w:rsidR="000F4C55">
        <w:rPr>
          <w:rFonts w:cs="Calibri"/>
          <w:lang w:val="en-GB"/>
        </w:rPr>
        <w:t>, the</w:t>
      </w:r>
      <w:r>
        <w:rPr>
          <w:rFonts w:cs="Calibri"/>
          <w:lang w:val="en-GB"/>
        </w:rPr>
        <w:t xml:space="preserve"> possible influence of the introduction of IFRS is investigated. The </w:t>
      </w:r>
      <w:r w:rsidR="00D65D47">
        <w:rPr>
          <w:rFonts w:cs="Calibri"/>
          <w:lang w:val="en-GB"/>
        </w:rPr>
        <w:t xml:space="preserve">specific </w:t>
      </w:r>
      <w:r>
        <w:rPr>
          <w:rFonts w:cs="Calibri"/>
          <w:lang w:val="en-GB"/>
        </w:rPr>
        <w:t>use of three French Civil law countries might have influence on the results of the research</w:t>
      </w:r>
      <w:r w:rsidR="00D65D47">
        <w:rPr>
          <w:rFonts w:cs="Calibri"/>
          <w:lang w:val="en-GB"/>
        </w:rPr>
        <w:t xml:space="preserve"> by the characteristics of this type of law.</w:t>
      </w:r>
      <w:r>
        <w:rPr>
          <w:rFonts w:cs="Calibri"/>
          <w:lang w:val="en-GB"/>
        </w:rPr>
        <w:t xml:space="preserve"> The characteristics of the different types of laws and the possible influence of the characteristics of the French Civil law</w:t>
      </w:r>
      <w:r w:rsidR="000F4C55">
        <w:rPr>
          <w:rFonts w:cs="Calibri"/>
          <w:lang w:val="en-GB"/>
        </w:rPr>
        <w:t xml:space="preserve"> on the outcome</w:t>
      </w:r>
      <w:r>
        <w:rPr>
          <w:rFonts w:cs="Calibri"/>
          <w:lang w:val="en-GB"/>
        </w:rPr>
        <w:t xml:space="preserve"> will be </w:t>
      </w:r>
      <w:r w:rsidR="00DB0A57">
        <w:rPr>
          <w:rFonts w:cs="Calibri"/>
          <w:lang w:val="en-GB"/>
        </w:rPr>
        <w:t>commented</w:t>
      </w:r>
      <w:r>
        <w:rPr>
          <w:rFonts w:cs="Calibri"/>
          <w:lang w:val="en-GB"/>
        </w:rPr>
        <w:t xml:space="preserve"> in section 4.3.  </w:t>
      </w:r>
    </w:p>
    <w:p w:rsidR="006146DA" w:rsidRDefault="006146DA" w:rsidP="00641E88">
      <w:pPr>
        <w:spacing w:line="360" w:lineRule="auto"/>
        <w:rPr>
          <w:rFonts w:cs="Calibri"/>
          <w:lang w:val="en-GB"/>
        </w:rPr>
      </w:pPr>
    </w:p>
    <w:p w:rsidR="006146DA" w:rsidRDefault="006146DA" w:rsidP="00641E88">
      <w:pPr>
        <w:spacing w:line="360" w:lineRule="auto"/>
        <w:rPr>
          <w:rFonts w:cs="Calibri"/>
          <w:lang w:val="en-GB"/>
        </w:rPr>
      </w:pPr>
    </w:p>
    <w:p w:rsidR="00641E88" w:rsidRDefault="00641E88" w:rsidP="00641E88">
      <w:pPr>
        <w:spacing w:line="360" w:lineRule="auto"/>
        <w:rPr>
          <w:rFonts w:cs="Calibri"/>
          <w:lang w:val="en-GB"/>
        </w:rPr>
      </w:pPr>
      <w:r>
        <w:rPr>
          <w:rFonts w:cs="Calibri"/>
          <w:lang w:val="en-GB"/>
        </w:rPr>
        <w:lastRenderedPageBreak/>
        <w:t>The introduction of IFRS, the use of</w:t>
      </w:r>
      <w:r w:rsidR="00D65D47">
        <w:rPr>
          <w:rFonts w:cs="Calibri"/>
          <w:lang w:val="en-GB"/>
        </w:rPr>
        <w:t xml:space="preserve"> two methods for detecting</w:t>
      </w:r>
      <w:r>
        <w:rPr>
          <w:rFonts w:cs="Calibri"/>
          <w:lang w:val="en-GB"/>
        </w:rPr>
        <w:t xml:space="preserve"> earnings management and the use of data from F</w:t>
      </w:r>
      <w:r w:rsidR="00D65D47">
        <w:rPr>
          <w:rFonts w:cs="Calibri"/>
          <w:lang w:val="en-GB"/>
        </w:rPr>
        <w:t xml:space="preserve">rench Civil </w:t>
      </w:r>
      <w:r w:rsidR="000F4C55">
        <w:rPr>
          <w:rFonts w:cs="Calibri"/>
          <w:lang w:val="en-GB"/>
        </w:rPr>
        <w:t xml:space="preserve">law countries; all these aspects </w:t>
      </w:r>
      <w:r w:rsidR="00D65D47">
        <w:rPr>
          <w:rFonts w:cs="Calibri"/>
          <w:lang w:val="en-GB"/>
        </w:rPr>
        <w:t>provide the following main question of this thesis:</w:t>
      </w:r>
    </w:p>
    <w:p w:rsidR="001C6A3E" w:rsidRPr="00F67CC4" w:rsidRDefault="00DB0A57" w:rsidP="00F74511">
      <w:pPr>
        <w:spacing w:line="360" w:lineRule="auto"/>
        <w:rPr>
          <w:rFonts w:cs="Calibri"/>
          <w:b/>
          <w:bCs/>
          <w:i/>
          <w:lang w:val="en-GB"/>
        </w:rPr>
      </w:pPr>
      <w:r>
        <w:rPr>
          <w:rFonts w:cs="Calibri"/>
          <w:b/>
          <w:bCs/>
          <w:i/>
          <w:lang w:val="en-GB"/>
        </w:rPr>
        <w:t>Does</w:t>
      </w:r>
      <w:r w:rsidR="0061454F" w:rsidRPr="00D65D47">
        <w:rPr>
          <w:rFonts w:cs="Calibri"/>
          <w:b/>
          <w:bCs/>
          <w:i/>
          <w:lang w:val="en-GB"/>
        </w:rPr>
        <w:t xml:space="preserve"> a</w:t>
      </w:r>
      <w:r w:rsidR="008F6CEC" w:rsidRPr="00D65D47">
        <w:rPr>
          <w:rFonts w:cs="Calibri"/>
          <w:b/>
          <w:bCs/>
          <w:i/>
          <w:lang w:val="en-GB"/>
        </w:rPr>
        <w:t xml:space="preserve"> relation</w:t>
      </w:r>
      <w:r>
        <w:rPr>
          <w:rFonts w:cs="Calibri"/>
          <w:b/>
          <w:bCs/>
          <w:i/>
          <w:lang w:val="en-GB"/>
        </w:rPr>
        <w:t xml:space="preserve"> exists</w:t>
      </w:r>
      <w:r w:rsidR="001C6A3E" w:rsidRPr="00D65D47">
        <w:rPr>
          <w:rFonts w:cs="Calibri"/>
          <w:b/>
          <w:bCs/>
          <w:i/>
          <w:lang w:val="en-GB"/>
        </w:rPr>
        <w:t xml:space="preserve"> </w:t>
      </w:r>
      <w:r w:rsidR="0061454F" w:rsidRPr="00D65D47">
        <w:rPr>
          <w:rFonts w:cs="Calibri"/>
          <w:b/>
          <w:bCs/>
          <w:i/>
          <w:lang w:val="en-GB"/>
        </w:rPr>
        <w:t>between</w:t>
      </w:r>
      <w:r w:rsidR="008F6CEC" w:rsidRPr="00D65D47">
        <w:rPr>
          <w:rFonts w:cs="Calibri"/>
          <w:b/>
          <w:bCs/>
          <w:i/>
          <w:lang w:val="en-GB"/>
        </w:rPr>
        <w:t xml:space="preserve"> </w:t>
      </w:r>
      <w:r w:rsidR="001C6A3E" w:rsidRPr="00D65D47">
        <w:rPr>
          <w:rFonts w:cs="Calibri"/>
          <w:b/>
          <w:bCs/>
          <w:i/>
          <w:lang w:val="en-GB"/>
        </w:rPr>
        <w:t xml:space="preserve">the introduction of IFRS in 2005 </w:t>
      </w:r>
      <w:r w:rsidR="008F6CEC" w:rsidRPr="00D65D47">
        <w:rPr>
          <w:rFonts w:cs="Calibri"/>
          <w:b/>
          <w:bCs/>
          <w:i/>
          <w:lang w:val="en-GB"/>
        </w:rPr>
        <w:t xml:space="preserve">and </w:t>
      </w:r>
      <w:r w:rsidR="001C6A3E" w:rsidRPr="00D65D47">
        <w:rPr>
          <w:rFonts w:cs="Calibri"/>
          <w:b/>
          <w:bCs/>
          <w:i/>
          <w:lang w:val="en-GB"/>
        </w:rPr>
        <w:t xml:space="preserve">the choice of method of </w:t>
      </w:r>
      <w:r>
        <w:rPr>
          <w:rFonts w:cs="Calibri"/>
          <w:b/>
          <w:bCs/>
          <w:i/>
          <w:lang w:val="en-GB"/>
        </w:rPr>
        <w:t xml:space="preserve">the use of </w:t>
      </w:r>
      <w:r w:rsidR="001C6A3E" w:rsidRPr="00D65D47">
        <w:rPr>
          <w:rFonts w:cs="Calibri"/>
          <w:b/>
          <w:bCs/>
          <w:i/>
          <w:lang w:val="en-GB"/>
        </w:rPr>
        <w:t>earnings management</w:t>
      </w:r>
      <w:r w:rsidR="008F6CEC" w:rsidRPr="00D65D47">
        <w:rPr>
          <w:rFonts w:cs="Calibri"/>
          <w:b/>
          <w:bCs/>
          <w:i/>
          <w:lang w:val="en-GB"/>
        </w:rPr>
        <w:t>, accruals-based or real activities manipulation,</w:t>
      </w:r>
      <w:r w:rsidR="001C6A3E" w:rsidRPr="00D65D47">
        <w:rPr>
          <w:rFonts w:cs="Calibri"/>
          <w:b/>
          <w:bCs/>
          <w:i/>
          <w:lang w:val="en-GB"/>
        </w:rPr>
        <w:t xml:space="preserve"> in </w:t>
      </w:r>
      <w:r w:rsidR="00E60219" w:rsidRPr="00D65D47">
        <w:rPr>
          <w:rFonts w:cs="Calibri"/>
          <w:b/>
          <w:bCs/>
          <w:i/>
          <w:lang w:val="en-GB"/>
        </w:rPr>
        <w:t>the French Civil law countries The Netherlands</w:t>
      </w:r>
      <w:r w:rsidR="00893F97" w:rsidRPr="00D65D47">
        <w:rPr>
          <w:rFonts w:cs="Calibri"/>
          <w:b/>
          <w:bCs/>
          <w:i/>
          <w:lang w:val="en-GB"/>
        </w:rPr>
        <w:t>, Belgium</w:t>
      </w:r>
      <w:r w:rsidR="00C81FCC" w:rsidRPr="00D65D47">
        <w:rPr>
          <w:rFonts w:cs="Calibri"/>
          <w:b/>
          <w:bCs/>
          <w:i/>
          <w:lang w:val="en-GB"/>
        </w:rPr>
        <w:t xml:space="preserve"> </w:t>
      </w:r>
      <w:r w:rsidR="00893F97" w:rsidRPr="00D65D47">
        <w:rPr>
          <w:rFonts w:cs="Calibri"/>
          <w:b/>
          <w:bCs/>
          <w:i/>
          <w:lang w:val="en-GB"/>
        </w:rPr>
        <w:t>and France</w:t>
      </w:r>
      <w:r w:rsidR="001C6A3E" w:rsidRPr="00F67CC4">
        <w:rPr>
          <w:rFonts w:cs="Calibri"/>
          <w:b/>
          <w:bCs/>
          <w:i/>
          <w:lang w:val="en-GB"/>
        </w:rPr>
        <w:t>?</w:t>
      </w:r>
    </w:p>
    <w:p w:rsidR="001C6A3E" w:rsidRPr="00F67CC4" w:rsidRDefault="001C6A3E" w:rsidP="00F74511">
      <w:pPr>
        <w:spacing w:line="360" w:lineRule="auto"/>
        <w:rPr>
          <w:rFonts w:cs="Calibri"/>
          <w:lang w:val="en-GB"/>
        </w:rPr>
      </w:pPr>
      <w:r w:rsidRPr="00F67CC4">
        <w:rPr>
          <w:rFonts w:cs="Calibri"/>
          <w:lang w:val="en-GB"/>
        </w:rPr>
        <w:t>The answering of th</w:t>
      </w:r>
      <w:r w:rsidR="00D65D47">
        <w:rPr>
          <w:rFonts w:cs="Calibri"/>
          <w:lang w:val="en-GB"/>
        </w:rPr>
        <w:t>e</w:t>
      </w:r>
      <w:r w:rsidRPr="00F67CC4">
        <w:rPr>
          <w:rFonts w:cs="Calibri"/>
          <w:lang w:val="en-GB"/>
        </w:rPr>
        <w:t xml:space="preserve"> main question </w:t>
      </w:r>
      <w:r w:rsidR="00D65D47">
        <w:rPr>
          <w:rFonts w:cs="Calibri"/>
          <w:lang w:val="en-GB"/>
        </w:rPr>
        <w:t xml:space="preserve">will be supported by first answering </w:t>
      </w:r>
      <w:r w:rsidRPr="00F67CC4">
        <w:rPr>
          <w:rFonts w:cs="Calibri"/>
          <w:lang w:val="en-GB"/>
        </w:rPr>
        <w:t>the following sub-questions</w:t>
      </w:r>
      <w:r w:rsidR="00D65D47">
        <w:rPr>
          <w:rFonts w:cs="Calibri"/>
          <w:lang w:val="en-GB"/>
        </w:rPr>
        <w:t xml:space="preserve"> of the thesis</w:t>
      </w:r>
      <w:r w:rsidRPr="00F67CC4">
        <w:rPr>
          <w:rFonts w:cs="Calibri"/>
          <w:lang w:val="en-GB"/>
        </w:rPr>
        <w:t>:</w:t>
      </w:r>
    </w:p>
    <w:p w:rsidR="001C6A3E" w:rsidRPr="00F67CC4" w:rsidRDefault="001C6A3E" w:rsidP="00BE2C16">
      <w:pPr>
        <w:pStyle w:val="ListParagraph"/>
        <w:numPr>
          <w:ilvl w:val="0"/>
          <w:numId w:val="6"/>
        </w:numPr>
        <w:spacing w:line="360" w:lineRule="auto"/>
        <w:rPr>
          <w:rFonts w:cs="Calibri"/>
          <w:i/>
          <w:lang w:val="en-GB"/>
        </w:rPr>
      </w:pPr>
      <w:r w:rsidRPr="00F67CC4">
        <w:rPr>
          <w:rFonts w:cs="Calibri"/>
          <w:i/>
          <w:lang w:val="en-GB"/>
        </w:rPr>
        <w:t xml:space="preserve">What </w:t>
      </w:r>
      <w:r w:rsidR="00962F52" w:rsidRPr="00F67CC4">
        <w:rPr>
          <w:rFonts w:cs="Calibri"/>
          <w:i/>
          <w:lang w:val="en-GB"/>
        </w:rPr>
        <w:t xml:space="preserve">general and specific </w:t>
      </w:r>
      <w:r w:rsidRPr="00F67CC4">
        <w:rPr>
          <w:rFonts w:cs="Calibri"/>
          <w:i/>
          <w:lang w:val="en-GB"/>
        </w:rPr>
        <w:t xml:space="preserve">research </w:t>
      </w:r>
      <w:r w:rsidR="00061264" w:rsidRPr="00F67CC4">
        <w:rPr>
          <w:rFonts w:cs="Calibri"/>
          <w:i/>
          <w:lang w:val="en-GB"/>
        </w:rPr>
        <w:t>approaches</w:t>
      </w:r>
      <w:r w:rsidR="00962F52" w:rsidRPr="00F67CC4">
        <w:rPr>
          <w:rFonts w:cs="Calibri"/>
          <w:i/>
          <w:lang w:val="en-GB"/>
        </w:rPr>
        <w:t xml:space="preserve"> </w:t>
      </w:r>
      <w:r w:rsidR="00061264" w:rsidRPr="00F67CC4">
        <w:rPr>
          <w:rFonts w:cs="Calibri"/>
          <w:i/>
          <w:lang w:val="en-GB"/>
        </w:rPr>
        <w:t>are</w:t>
      </w:r>
      <w:r w:rsidRPr="00F67CC4">
        <w:rPr>
          <w:rFonts w:cs="Calibri"/>
          <w:i/>
          <w:lang w:val="en-GB"/>
        </w:rPr>
        <w:t xml:space="preserve"> most appropriate for this </w:t>
      </w:r>
      <w:r w:rsidR="0012210F">
        <w:rPr>
          <w:rFonts w:cs="Calibri"/>
          <w:i/>
          <w:lang w:val="en-GB"/>
        </w:rPr>
        <w:t>thesis</w:t>
      </w:r>
      <w:r w:rsidRPr="00F67CC4">
        <w:rPr>
          <w:rFonts w:cs="Calibri"/>
          <w:i/>
          <w:lang w:val="en-GB"/>
        </w:rPr>
        <w:t>?</w:t>
      </w:r>
    </w:p>
    <w:p w:rsidR="001C6A3E" w:rsidRPr="00F67CC4" w:rsidRDefault="001C6A3E" w:rsidP="00BE2C16">
      <w:pPr>
        <w:pStyle w:val="ListParagraph"/>
        <w:numPr>
          <w:ilvl w:val="0"/>
          <w:numId w:val="6"/>
        </w:numPr>
        <w:spacing w:line="360" w:lineRule="auto"/>
        <w:rPr>
          <w:rFonts w:cs="Calibri"/>
          <w:i/>
          <w:lang w:val="en-GB"/>
        </w:rPr>
      </w:pPr>
      <w:r w:rsidRPr="00F67CC4">
        <w:rPr>
          <w:rFonts w:cs="Calibri"/>
          <w:i/>
          <w:lang w:val="en-GB"/>
        </w:rPr>
        <w:t xml:space="preserve">What </w:t>
      </w:r>
      <w:r w:rsidR="004F078B" w:rsidRPr="00F67CC4">
        <w:rPr>
          <w:rFonts w:cs="Calibri"/>
          <w:i/>
          <w:lang w:val="en-GB"/>
        </w:rPr>
        <w:t>are</w:t>
      </w:r>
      <w:r w:rsidRPr="00F67CC4">
        <w:rPr>
          <w:rFonts w:cs="Calibri"/>
          <w:i/>
          <w:lang w:val="en-GB"/>
        </w:rPr>
        <w:t xml:space="preserve"> the </w:t>
      </w:r>
      <w:r w:rsidR="00EA203E" w:rsidRPr="00F67CC4">
        <w:rPr>
          <w:rFonts w:cs="Calibri"/>
          <w:i/>
          <w:lang w:val="en-GB"/>
        </w:rPr>
        <w:t xml:space="preserve">definition and </w:t>
      </w:r>
      <w:r w:rsidR="00DB0A57">
        <w:rPr>
          <w:rFonts w:cs="Calibri"/>
          <w:i/>
          <w:lang w:val="en-GB"/>
        </w:rPr>
        <w:t xml:space="preserve">the </w:t>
      </w:r>
      <w:r w:rsidR="00EA203E" w:rsidRPr="00F67CC4">
        <w:rPr>
          <w:rFonts w:cs="Calibri"/>
          <w:i/>
          <w:lang w:val="en-GB"/>
        </w:rPr>
        <w:t>purpose</w:t>
      </w:r>
      <w:r w:rsidRPr="00F67CC4">
        <w:rPr>
          <w:rFonts w:cs="Calibri"/>
          <w:i/>
          <w:lang w:val="en-GB"/>
        </w:rPr>
        <w:t xml:space="preserve"> of the International Financial Reporting Standards (IFRS)?</w:t>
      </w:r>
    </w:p>
    <w:p w:rsidR="001C6A3E" w:rsidRPr="00F67CC4" w:rsidRDefault="001C6A3E" w:rsidP="00BE2C16">
      <w:pPr>
        <w:pStyle w:val="ListParagraph"/>
        <w:numPr>
          <w:ilvl w:val="0"/>
          <w:numId w:val="6"/>
        </w:numPr>
        <w:spacing w:line="360" w:lineRule="auto"/>
        <w:rPr>
          <w:rFonts w:cs="Calibri"/>
          <w:i/>
          <w:lang w:val="en-GB"/>
        </w:rPr>
      </w:pPr>
      <w:r w:rsidRPr="00F67CC4">
        <w:rPr>
          <w:rFonts w:cs="Calibri"/>
          <w:i/>
          <w:lang w:val="en-GB"/>
        </w:rPr>
        <w:t>What is the influe</w:t>
      </w:r>
      <w:r w:rsidR="00EA203E" w:rsidRPr="00F67CC4">
        <w:rPr>
          <w:rFonts w:cs="Calibri"/>
          <w:i/>
          <w:lang w:val="en-GB"/>
        </w:rPr>
        <w:t xml:space="preserve">nce of IFRS on the valuation of </w:t>
      </w:r>
      <w:r w:rsidR="009A1214">
        <w:rPr>
          <w:rFonts w:cs="Calibri"/>
          <w:i/>
          <w:lang w:val="en-GB"/>
        </w:rPr>
        <w:t>assets and liabilities</w:t>
      </w:r>
      <w:r w:rsidR="00EA203E" w:rsidRPr="00F67CC4">
        <w:rPr>
          <w:rFonts w:cs="Calibri"/>
          <w:i/>
          <w:lang w:val="en-GB"/>
        </w:rPr>
        <w:t xml:space="preserve"> in the financial statements</w:t>
      </w:r>
      <w:r w:rsidRPr="00F67CC4">
        <w:rPr>
          <w:rFonts w:cs="Calibri"/>
          <w:i/>
          <w:lang w:val="en-GB"/>
        </w:rPr>
        <w:t>?</w:t>
      </w:r>
    </w:p>
    <w:p w:rsidR="001C6A3E" w:rsidRPr="00F67CC4" w:rsidRDefault="001C6A3E" w:rsidP="00BE2C16">
      <w:pPr>
        <w:pStyle w:val="ListParagraph"/>
        <w:numPr>
          <w:ilvl w:val="0"/>
          <w:numId w:val="6"/>
        </w:numPr>
        <w:spacing w:line="360" w:lineRule="auto"/>
        <w:rPr>
          <w:rFonts w:cs="Calibri"/>
          <w:i/>
          <w:lang w:val="en-GB"/>
        </w:rPr>
      </w:pPr>
      <w:r w:rsidRPr="00F67CC4">
        <w:rPr>
          <w:rFonts w:cs="Calibri"/>
          <w:i/>
          <w:lang w:val="en-GB"/>
        </w:rPr>
        <w:t xml:space="preserve">What is </w:t>
      </w:r>
      <w:r w:rsidR="00DB0A57">
        <w:rPr>
          <w:rFonts w:cs="Calibri"/>
          <w:i/>
          <w:lang w:val="en-GB"/>
        </w:rPr>
        <w:t xml:space="preserve">the content of the term </w:t>
      </w:r>
      <w:r w:rsidRPr="00F67CC4">
        <w:rPr>
          <w:rFonts w:cs="Calibri"/>
          <w:i/>
          <w:lang w:val="en-GB"/>
        </w:rPr>
        <w:t>earnings management?</w:t>
      </w:r>
    </w:p>
    <w:p w:rsidR="001C6A3E" w:rsidRPr="00F67CC4" w:rsidRDefault="00DB0A57" w:rsidP="00BE2C16">
      <w:pPr>
        <w:pStyle w:val="ListParagraph"/>
        <w:numPr>
          <w:ilvl w:val="0"/>
          <w:numId w:val="6"/>
        </w:numPr>
        <w:spacing w:line="360" w:lineRule="auto"/>
        <w:rPr>
          <w:rFonts w:cs="Calibri"/>
          <w:i/>
          <w:lang w:val="en-GB"/>
        </w:rPr>
      </w:pPr>
      <w:r>
        <w:rPr>
          <w:rFonts w:cs="Calibri"/>
          <w:i/>
          <w:lang w:val="en-GB"/>
        </w:rPr>
        <w:t xml:space="preserve">In which way is the use of </w:t>
      </w:r>
      <w:r w:rsidR="001C6A3E" w:rsidRPr="00F67CC4">
        <w:rPr>
          <w:rFonts w:cs="Calibri"/>
          <w:i/>
          <w:lang w:val="en-GB"/>
        </w:rPr>
        <w:t xml:space="preserve">earnings management </w:t>
      </w:r>
      <w:r w:rsidR="00EA203E" w:rsidRPr="00F67CC4">
        <w:rPr>
          <w:rFonts w:cs="Calibri"/>
          <w:i/>
          <w:lang w:val="en-GB"/>
        </w:rPr>
        <w:t>detected</w:t>
      </w:r>
      <w:r w:rsidR="001C6A3E" w:rsidRPr="00F67CC4">
        <w:rPr>
          <w:rFonts w:cs="Calibri"/>
          <w:i/>
          <w:lang w:val="en-GB"/>
        </w:rPr>
        <w:t xml:space="preserve"> and measured?</w:t>
      </w:r>
    </w:p>
    <w:p w:rsidR="001C6A3E" w:rsidRPr="00F67CC4" w:rsidRDefault="00DD5DD9" w:rsidP="00BE2C16">
      <w:pPr>
        <w:pStyle w:val="ListParagraph"/>
        <w:numPr>
          <w:ilvl w:val="0"/>
          <w:numId w:val="6"/>
        </w:numPr>
        <w:spacing w:line="360" w:lineRule="auto"/>
        <w:rPr>
          <w:rFonts w:cs="Calibri"/>
          <w:i/>
          <w:lang w:val="en-GB"/>
        </w:rPr>
      </w:pPr>
      <w:r>
        <w:rPr>
          <w:rFonts w:cs="Calibri"/>
          <w:i/>
          <w:lang w:val="en-GB"/>
        </w:rPr>
        <w:t>What do</w:t>
      </w:r>
      <w:r w:rsidR="001C6A3E" w:rsidRPr="00F67CC4">
        <w:rPr>
          <w:rFonts w:cs="Calibri"/>
          <w:i/>
          <w:lang w:val="en-GB"/>
        </w:rPr>
        <w:t xml:space="preserve"> prio</w:t>
      </w:r>
      <w:r w:rsidR="004A3B52">
        <w:rPr>
          <w:rFonts w:cs="Calibri"/>
          <w:i/>
          <w:lang w:val="en-GB"/>
        </w:rPr>
        <w:t xml:space="preserve">r literature and researches </w:t>
      </w:r>
      <w:r w:rsidR="00DB0A57">
        <w:rPr>
          <w:rFonts w:cs="Calibri"/>
          <w:i/>
          <w:lang w:val="en-GB"/>
        </w:rPr>
        <w:t xml:space="preserve">communicated </w:t>
      </w:r>
      <w:r w:rsidR="001C6A3E" w:rsidRPr="00F67CC4">
        <w:rPr>
          <w:rFonts w:cs="Calibri"/>
          <w:i/>
          <w:lang w:val="en-GB"/>
        </w:rPr>
        <w:t xml:space="preserve"> about the relationship of IFRS and </w:t>
      </w:r>
      <w:r w:rsidR="00DB0A57">
        <w:rPr>
          <w:rFonts w:cs="Calibri"/>
          <w:i/>
          <w:lang w:val="en-GB"/>
        </w:rPr>
        <w:t xml:space="preserve">the use of </w:t>
      </w:r>
      <w:r w:rsidR="001C6A3E" w:rsidRPr="00F67CC4">
        <w:rPr>
          <w:rFonts w:cs="Calibri"/>
          <w:i/>
          <w:lang w:val="en-GB"/>
        </w:rPr>
        <w:t>earnings management?</w:t>
      </w:r>
    </w:p>
    <w:p w:rsidR="001C6A3E" w:rsidRPr="00F67CC4" w:rsidRDefault="001C6A3E" w:rsidP="00BE2C16">
      <w:pPr>
        <w:pStyle w:val="ListParagraph"/>
        <w:numPr>
          <w:ilvl w:val="0"/>
          <w:numId w:val="6"/>
        </w:numPr>
        <w:spacing w:line="360" w:lineRule="auto"/>
        <w:rPr>
          <w:rFonts w:cs="Calibri"/>
          <w:i/>
          <w:lang w:val="en-GB"/>
        </w:rPr>
      </w:pPr>
      <w:r w:rsidRPr="00F67CC4">
        <w:rPr>
          <w:rFonts w:cs="Calibri"/>
          <w:i/>
          <w:lang w:val="en-GB"/>
        </w:rPr>
        <w:t xml:space="preserve">Which specific factors of </w:t>
      </w:r>
      <w:r w:rsidR="008B3F10" w:rsidRPr="00F67CC4">
        <w:rPr>
          <w:rFonts w:cs="Calibri"/>
          <w:i/>
          <w:lang w:val="en-GB"/>
        </w:rPr>
        <w:t>French Civil law countries</w:t>
      </w:r>
      <w:r w:rsidRPr="00F67CC4">
        <w:rPr>
          <w:rFonts w:cs="Calibri"/>
          <w:i/>
          <w:lang w:val="en-GB"/>
        </w:rPr>
        <w:t xml:space="preserve"> </w:t>
      </w:r>
      <w:r w:rsidR="00EA203E" w:rsidRPr="00F67CC4">
        <w:rPr>
          <w:rFonts w:cs="Calibri"/>
          <w:i/>
          <w:lang w:val="en-GB"/>
        </w:rPr>
        <w:t xml:space="preserve">may </w:t>
      </w:r>
      <w:r w:rsidRPr="00F67CC4">
        <w:rPr>
          <w:rFonts w:cs="Calibri"/>
          <w:i/>
          <w:lang w:val="en-GB"/>
        </w:rPr>
        <w:t>influence the use of earnings management</w:t>
      </w:r>
      <w:r w:rsidR="00D65D47">
        <w:rPr>
          <w:rFonts w:cs="Calibri"/>
          <w:i/>
          <w:lang w:val="en-GB"/>
        </w:rPr>
        <w:t xml:space="preserve"> and the transition to IFRS</w:t>
      </w:r>
      <w:r w:rsidRPr="00F67CC4">
        <w:rPr>
          <w:rFonts w:cs="Calibri"/>
          <w:i/>
          <w:lang w:val="en-GB"/>
        </w:rPr>
        <w:t>?</w:t>
      </w:r>
    </w:p>
    <w:p w:rsidR="001C6A3E" w:rsidRPr="00F67CC4" w:rsidRDefault="001C6A3E" w:rsidP="00BE2C16">
      <w:pPr>
        <w:pStyle w:val="ListParagraph"/>
        <w:numPr>
          <w:ilvl w:val="0"/>
          <w:numId w:val="6"/>
        </w:numPr>
        <w:spacing w:line="360" w:lineRule="auto"/>
        <w:rPr>
          <w:rFonts w:cs="Calibri"/>
          <w:i/>
          <w:lang w:val="en-GB"/>
        </w:rPr>
      </w:pPr>
      <w:r w:rsidRPr="00F67CC4">
        <w:rPr>
          <w:rFonts w:cs="Calibri"/>
          <w:i/>
          <w:lang w:val="en-GB"/>
        </w:rPr>
        <w:t>What hypo</w:t>
      </w:r>
      <w:r w:rsidR="00EA203E" w:rsidRPr="00F67CC4">
        <w:rPr>
          <w:rFonts w:cs="Calibri"/>
          <w:i/>
          <w:lang w:val="en-GB"/>
        </w:rPr>
        <w:t>theses are formulated for this thesis</w:t>
      </w:r>
      <w:r w:rsidRPr="00F67CC4">
        <w:rPr>
          <w:rFonts w:cs="Calibri"/>
          <w:i/>
          <w:lang w:val="en-GB"/>
        </w:rPr>
        <w:t>?</w:t>
      </w:r>
    </w:p>
    <w:p w:rsidR="001C6A3E" w:rsidRPr="00F67CC4" w:rsidRDefault="00DB0A57" w:rsidP="00BE2C16">
      <w:pPr>
        <w:pStyle w:val="ListParagraph"/>
        <w:numPr>
          <w:ilvl w:val="0"/>
          <w:numId w:val="6"/>
        </w:numPr>
        <w:spacing w:line="360" w:lineRule="auto"/>
        <w:rPr>
          <w:rFonts w:cs="Calibri"/>
          <w:i/>
          <w:lang w:val="en-GB"/>
        </w:rPr>
      </w:pPr>
      <w:r>
        <w:rPr>
          <w:rFonts w:cs="Calibri"/>
          <w:i/>
          <w:lang w:val="en-GB"/>
        </w:rPr>
        <w:t xml:space="preserve">In which way is the empirical part of the </w:t>
      </w:r>
      <w:r w:rsidR="001C6A3E" w:rsidRPr="00F67CC4">
        <w:rPr>
          <w:rFonts w:cs="Calibri"/>
          <w:i/>
          <w:lang w:val="en-GB"/>
        </w:rPr>
        <w:t>research designed?</w:t>
      </w:r>
    </w:p>
    <w:p w:rsidR="00963AFB" w:rsidRPr="00F67CC4" w:rsidRDefault="00963AFB" w:rsidP="00BE2C16">
      <w:pPr>
        <w:pStyle w:val="ListParagraph"/>
        <w:numPr>
          <w:ilvl w:val="0"/>
          <w:numId w:val="6"/>
        </w:numPr>
        <w:spacing w:line="360" w:lineRule="auto"/>
        <w:rPr>
          <w:rFonts w:cs="Calibri"/>
          <w:i/>
          <w:lang w:val="en-GB"/>
        </w:rPr>
      </w:pPr>
      <w:r w:rsidRPr="00F67CC4">
        <w:rPr>
          <w:rFonts w:cs="Calibri"/>
          <w:i/>
          <w:lang w:val="en-GB"/>
        </w:rPr>
        <w:t>What is the result of the empirical research?</w:t>
      </w:r>
    </w:p>
    <w:p w:rsidR="00EA203E" w:rsidRPr="00F67CC4" w:rsidRDefault="00EA203E" w:rsidP="00BE2C16">
      <w:pPr>
        <w:pStyle w:val="ListParagraph"/>
        <w:numPr>
          <w:ilvl w:val="0"/>
          <w:numId w:val="6"/>
        </w:numPr>
        <w:spacing w:line="360" w:lineRule="auto"/>
        <w:rPr>
          <w:rFonts w:cs="Calibri"/>
          <w:i/>
          <w:lang w:val="en-GB"/>
        </w:rPr>
      </w:pPr>
      <w:r w:rsidRPr="00F67CC4">
        <w:rPr>
          <w:rFonts w:cs="Calibri"/>
          <w:i/>
          <w:lang w:val="en-GB"/>
        </w:rPr>
        <w:t>What is the conclusion of th</w:t>
      </w:r>
      <w:r w:rsidR="00DC0EAA" w:rsidRPr="00F67CC4">
        <w:rPr>
          <w:rFonts w:cs="Calibri"/>
          <w:i/>
          <w:lang w:val="en-GB"/>
        </w:rPr>
        <w:t>is</w:t>
      </w:r>
      <w:r w:rsidRPr="00F67CC4">
        <w:rPr>
          <w:rFonts w:cs="Calibri"/>
          <w:i/>
          <w:lang w:val="en-GB"/>
        </w:rPr>
        <w:t xml:space="preserve"> research?</w:t>
      </w:r>
    </w:p>
    <w:p w:rsidR="00D7429B" w:rsidRPr="00F67CC4" w:rsidRDefault="00702B98" w:rsidP="00F74511">
      <w:pPr>
        <w:spacing w:line="360" w:lineRule="auto"/>
        <w:rPr>
          <w:rFonts w:cs="Calibri"/>
          <w:lang w:val="en-GB"/>
        </w:rPr>
      </w:pPr>
      <w:r w:rsidRPr="00F67CC4">
        <w:rPr>
          <w:rFonts w:cs="Calibri"/>
          <w:lang w:val="en-GB"/>
        </w:rPr>
        <w:t xml:space="preserve">The </w:t>
      </w:r>
      <w:r w:rsidR="006146DA">
        <w:rPr>
          <w:rFonts w:cs="Calibri"/>
          <w:lang w:val="en-GB"/>
        </w:rPr>
        <w:t xml:space="preserve">possible </w:t>
      </w:r>
      <w:r w:rsidRPr="00F67CC4">
        <w:rPr>
          <w:rFonts w:cs="Calibri"/>
          <w:lang w:val="en-GB"/>
        </w:rPr>
        <w:t xml:space="preserve">influence of </w:t>
      </w:r>
      <w:r w:rsidR="00DB0A57">
        <w:rPr>
          <w:rFonts w:cs="Calibri"/>
          <w:lang w:val="en-GB"/>
        </w:rPr>
        <w:t xml:space="preserve">the </w:t>
      </w:r>
      <w:r w:rsidRPr="00F67CC4">
        <w:rPr>
          <w:rFonts w:cs="Calibri"/>
          <w:lang w:val="en-GB"/>
        </w:rPr>
        <w:t xml:space="preserve">new </w:t>
      </w:r>
      <w:r w:rsidR="001C6A3E" w:rsidRPr="00F67CC4">
        <w:rPr>
          <w:rFonts w:cs="Calibri"/>
          <w:lang w:val="en-GB"/>
        </w:rPr>
        <w:t xml:space="preserve">accounting standards on the use of the different methods of earnings management is what makes this research interesting. Has the introduction of IFRS </w:t>
      </w:r>
      <w:r w:rsidR="00DB0A57">
        <w:rPr>
          <w:rFonts w:cs="Calibri"/>
          <w:lang w:val="en-GB"/>
        </w:rPr>
        <w:t>decreased the</w:t>
      </w:r>
      <w:r w:rsidR="001C6A3E" w:rsidRPr="00F67CC4">
        <w:rPr>
          <w:rFonts w:cs="Calibri"/>
          <w:lang w:val="en-GB"/>
        </w:rPr>
        <w:t xml:space="preserve"> use of earnings management and what </w:t>
      </w:r>
      <w:r w:rsidR="00296295" w:rsidRPr="00F67CC4">
        <w:rPr>
          <w:rFonts w:cs="Calibri"/>
          <w:lang w:val="en-GB"/>
        </w:rPr>
        <w:t>is</w:t>
      </w:r>
      <w:r w:rsidR="001C6A3E" w:rsidRPr="00F67CC4">
        <w:rPr>
          <w:rFonts w:cs="Calibri"/>
          <w:lang w:val="en-GB"/>
        </w:rPr>
        <w:t xml:space="preserve"> its influence on the use of the two main methods for </w:t>
      </w:r>
      <w:r w:rsidR="008D6F2A" w:rsidRPr="00F67CC4">
        <w:rPr>
          <w:rFonts w:cs="Calibri"/>
          <w:lang w:val="en-GB"/>
        </w:rPr>
        <w:t>managing</w:t>
      </w:r>
      <w:r w:rsidR="00DB0A57">
        <w:rPr>
          <w:rFonts w:cs="Calibri"/>
          <w:lang w:val="en-GB"/>
        </w:rPr>
        <w:t xml:space="preserve"> the</w:t>
      </w:r>
      <w:r w:rsidR="008D6F2A" w:rsidRPr="00F67CC4">
        <w:rPr>
          <w:rFonts w:cs="Calibri"/>
          <w:lang w:val="en-GB"/>
        </w:rPr>
        <w:t xml:space="preserve"> earnings</w:t>
      </w:r>
      <w:r w:rsidR="001C6A3E" w:rsidRPr="00F67CC4">
        <w:rPr>
          <w:rFonts w:cs="Calibri"/>
          <w:lang w:val="en-GB"/>
        </w:rPr>
        <w:t xml:space="preserve">? These possible changes in the use of earnings management can be used to </w:t>
      </w:r>
      <w:r w:rsidR="004A3B52">
        <w:rPr>
          <w:rFonts w:cs="Calibri"/>
          <w:lang w:val="en-GB"/>
        </w:rPr>
        <w:t>create</w:t>
      </w:r>
      <w:r w:rsidR="001C6A3E" w:rsidRPr="00F67CC4">
        <w:rPr>
          <w:rFonts w:cs="Calibri"/>
          <w:lang w:val="en-GB"/>
        </w:rPr>
        <w:t xml:space="preserve"> a better </w:t>
      </w:r>
      <w:r w:rsidR="004A3B52">
        <w:rPr>
          <w:rFonts w:cs="Calibri"/>
          <w:lang w:val="en-GB"/>
        </w:rPr>
        <w:t>understanding</w:t>
      </w:r>
      <w:r w:rsidR="001C6A3E" w:rsidRPr="00F67CC4">
        <w:rPr>
          <w:rFonts w:cs="Calibri"/>
          <w:lang w:val="en-GB"/>
        </w:rPr>
        <w:t xml:space="preserve"> on </w:t>
      </w:r>
      <w:r w:rsidR="00DB0A57">
        <w:rPr>
          <w:rFonts w:cs="Calibri"/>
          <w:lang w:val="en-GB"/>
        </w:rPr>
        <w:t>in which way managers determine when and in which way earnings</w:t>
      </w:r>
      <w:r w:rsidR="001C6A3E" w:rsidRPr="00F67CC4">
        <w:rPr>
          <w:rFonts w:cs="Calibri"/>
          <w:lang w:val="en-GB"/>
        </w:rPr>
        <w:t xml:space="preserve"> are managed. </w:t>
      </w:r>
      <w:r w:rsidR="00D7429B" w:rsidRPr="00F67CC4">
        <w:rPr>
          <w:rFonts w:cs="Calibri"/>
          <w:lang w:val="en-GB"/>
        </w:rPr>
        <w:t>The focu</w:t>
      </w:r>
      <w:r w:rsidR="00D65D47">
        <w:rPr>
          <w:rFonts w:cs="Calibri"/>
          <w:lang w:val="en-GB"/>
        </w:rPr>
        <w:t>s on French Civil law countries</w:t>
      </w:r>
      <w:r w:rsidR="00D7429B" w:rsidRPr="00F67CC4">
        <w:rPr>
          <w:rFonts w:cs="Calibri"/>
          <w:lang w:val="en-GB"/>
        </w:rPr>
        <w:t xml:space="preserve"> will </w:t>
      </w:r>
      <w:r w:rsidR="00DB0A57">
        <w:rPr>
          <w:rFonts w:cs="Calibri"/>
          <w:lang w:val="en-GB"/>
        </w:rPr>
        <w:t>present</w:t>
      </w:r>
      <w:r w:rsidR="00D7429B" w:rsidRPr="00F67CC4">
        <w:rPr>
          <w:rFonts w:cs="Calibri"/>
          <w:lang w:val="en-GB"/>
        </w:rPr>
        <w:t xml:space="preserve"> more insight on</w:t>
      </w:r>
      <w:r w:rsidR="00F0356D">
        <w:rPr>
          <w:rFonts w:cs="Calibri"/>
          <w:lang w:val="en-GB"/>
        </w:rPr>
        <w:t xml:space="preserve"> the possible influence of the characteristics of this type of countries on</w:t>
      </w:r>
      <w:r w:rsidR="00893F97" w:rsidRPr="00F67CC4">
        <w:rPr>
          <w:rFonts w:cs="Calibri"/>
          <w:lang w:val="en-GB"/>
        </w:rPr>
        <w:t xml:space="preserve"> the</w:t>
      </w:r>
      <w:r w:rsidR="00F0356D">
        <w:rPr>
          <w:rFonts w:cs="Calibri"/>
          <w:lang w:val="en-GB"/>
        </w:rPr>
        <w:t xml:space="preserve"> total</w:t>
      </w:r>
      <w:r w:rsidR="00D65D47">
        <w:rPr>
          <w:rFonts w:cs="Calibri"/>
          <w:lang w:val="en-GB"/>
        </w:rPr>
        <w:t xml:space="preserve"> amount of</w:t>
      </w:r>
      <w:r w:rsidR="00DB0A57">
        <w:rPr>
          <w:rFonts w:cs="Calibri"/>
          <w:lang w:val="en-GB"/>
        </w:rPr>
        <w:t xml:space="preserve"> the use of</w:t>
      </w:r>
      <w:r w:rsidR="00D65D47">
        <w:rPr>
          <w:rFonts w:cs="Calibri"/>
          <w:lang w:val="en-GB"/>
        </w:rPr>
        <w:t xml:space="preserve"> earnings management and the </w:t>
      </w:r>
      <w:r w:rsidR="00F0356D">
        <w:rPr>
          <w:rFonts w:cs="Calibri"/>
          <w:lang w:val="en-GB"/>
        </w:rPr>
        <w:t>choice of method for performing earnings management.</w:t>
      </w:r>
    </w:p>
    <w:p w:rsidR="006E55EE" w:rsidRDefault="008D62A2" w:rsidP="000C5E71">
      <w:pPr>
        <w:spacing w:line="360" w:lineRule="auto"/>
        <w:rPr>
          <w:rFonts w:cs="Calibri"/>
          <w:lang w:val="en-GB"/>
        </w:rPr>
      </w:pPr>
      <w:r w:rsidRPr="00F67CC4">
        <w:rPr>
          <w:rFonts w:cs="Calibri"/>
          <w:b/>
          <w:lang w:val="en-GB"/>
        </w:rPr>
        <w:lastRenderedPageBreak/>
        <w:t xml:space="preserve">1.3 </w:t>
      </w:r>
      <w:r w:rsidR="001C6A3E" w:rsidRPr="00F67CC4">
        <w:rPr>
          <w:rFonts w:cs="Calibri"/>
          <w:b/>
          <w:lang w:val="en-GB"/>
        </w:rPr>
        <w:t>Contribution to prior research</w:t>
      </w:r>
      <w:r w:rsidR="00322E16" w:rsidRPr="00F67CC4">
        <w:rPr>
          <w:rFonts w:cs="Calibri"/>
          <w:b/>
          <w:lang w:val="en-GB"/>
        </w:rPr>
        <w:br/>
      </w:r>
      <w:r w:rsidR="000C5E71" w:rsidRPr="00F67CC4">
        <w:rPr>
          <w:rFonts w:cs="Calibri"/>
          <w:lang w:val="en-GB"/>
        </w:rPr>
        <w:t xml:space="preserve">The contribution of this </w:t>
      </w:r>
      <w:r w:rsidR="00814812">
        <w:rPr>
          <w:rFonts w:cs="Calibri"/>
          <w:lang w:val="en-GB"/>
        </w:rPr>
        <w:t>thesis</w:t>
      </w:r>
      <w:r w:rsidR="001C6A3E" w:rsidRPr="00F67CC4">
        <w:rPr>
          <w:rFonts w:cs="Calibri"/>
          <w:lang w:val="en-GB"/>
        </w:rPr>
        <w:t xml:space="preserve"> to prior research </w:t>
      </w:r>
      <w:r w:rsidR="000C5E71" w:rsidRPr="00F67CC4">
        <w:rPr>
          <w:rFonts w:cs="Calibri"/>
          <w:lang w:val="en-GB"/>
        </w:rPr>
        <w:t xml:space="preserve">will be that </w:t>
      </w:r>
      <w:r w:rsidR="00C05578" w:rsidRPr="00F67CC4">
        <w:rPr>
          <w:rFonts w:cs="Calibri"/>
          <w:lang w:val="en-GB"/>
        </w:rPr>
        <w:t>the</w:t>
      </w:r>
      <w:r w:rsidR="006E55EE">
        <w:rPr>
          <w:rFonts w:cs="Calibri"/>
          <w:lang w:val="en-GB"/>
        </w:rPr>
        <w:t xml:space="preserve"> possible</w:t>
      </w:r>
      <w:r w:rsidR="00C05578" w:rsidRPr="00F67CC4">
        <w:rPr>
          <w:rFonts w:cs="Calibri"/>
          <w:lang w:val="en-GB"/>
        </w:rPr>
        <w:t xml:space="preserve"> influence of IFRS on </w:t>
      </w:r>
      <w:r w:rsidR="00DB0A57">
        <w:rPr>
          <w:rFonts w:cs="Calibri"/>
          <w:lang w:val="en-GB"/>
        </w:rPr>
        <w:t xml:space="preserve">the use of </w:t>
      </w:r>
      <w:r w:rsidR="00C05578" w:rsidRPr="00F67CC4">
        <w:rPr>
          <w:rFonts w:cs="Calibri"/>
          <w:lang w:val="en-GB"/>
        </w:rPr>
        <w:t>earnings management and the method for exec</w:t>
      </w:r>
      <w:r w:rsidR="00DB1DF5" w:rsidRPr="00F67CC4">
        <w:rPr>
          <w:rFonts w:cs="Calibri"/>
          <w:lang w:val="en-GB"/>
        </w:rPr>
        <w:t>uting this will be investigated</w:t>
      </w:r>
      <w:r w:rsidR="004A3B52">
        <w:rPr>
          <w:rFonts w:cs="Calibri"/>
          <w:lang w:val="en-GB"/>
        </w:rPr>
        <w:t>, distinctive the check on real activities manipulation</w:t>
      </w:r>
      <w:r w:rsidR="00C05578" w:rsidRPr="00F67CC4">
        <w:rPr>
          <w:rFonts w:cs="Calibri"/>
          <w:lang w:val="en-GB"/>
        </w:rPr>
        <w:t>.</w:t>
      </w:r>
      <w:r w:rsidR="00DB1DF5" w:rsidRPr="00F67CC4">
        <w:rPr>
          <w:rFonts w:cs="Calibri"/>
          <w:lang w:val="en-GB"/>
        </w:rPr>
        <w:t xml:space="preserve"> </w:t>
      </w:r>
      <w:r w:rsidR="006146DA">
        <w:rPr>
          <w:rFonts w:cs="Calibri"/>
          <w:lang w:val="en-GB"/>
        </w:rPr>
        <w:t>A</w:t>
      </w:r>
      <w:r w:rsidR="00DB1DF5" w:rsidRPr="00F67CC4">
        <w:rPr>
          <w:rFonts w:cs="Calibri"/>
          <w:lang w:val="en-GB"/>
        </w:rPr>
        <w:t xml:space="preserve">ccruals-based earnings management has already been researched in other studies, </w:t>
      </w:r>
      <w:r w:rsidR="006E55EE">
        <w:rPr>
          <w:rFonts w:cs="Calibri"/>
          <w:lang w:val="en-GB"/>
        </w:rPr>
        <w:t xml:space="preserve">while the use of </w:t>
      </w:r>
      <w:r w:rsidR="00DB1DF5" w:rsidRPr="00F67CC4">
        <w:rPr>
          <w:rFonts w:cs="Calibri"/>
          <w:lang w:val="en-GB"/>
        </w:rPr>
        <w:t>real earnings management</w:t>
      </w:r>
      <w:r w:rsidR="006E55EE">
        <w:rPr>
          <w:rFonts w:cs="Calibri"/>
          <w:lang w:val="en-GB"/>
        </w:rPr>
        <w:t xml:space="preserve"> in </w:t>
      </w:r>
      <w:r w:rsidR="00DB0A57">
        <w:rPr>
          <w:rFonts w:cs="Calibri"/>
          <w:lang w:val="en-GB"/>
        </w:rPr>
        <w:t xml:space="preserve">scientific economic </w:t>
      </w:r>
      <w:r w:rsidR="006E55EE">
        <w:rPr>
          <w:rFonts w:cs="Calibri"/>
          <w:lang w:val="en-GB"/>
        </w:rPr>
        <w:t>researches</w:t>
      </w:r>
      <w:r w:rsidR="00DB1DF5" w:rsidRPr="00F67CC4">
        <w:rPr>
          <w:rFonts w:cs="Calibri"/>
          <w:lang w:val="en-GB"/>
        </w:rPr>
        <w:t xml:space="preserve"> is relative new. </w:t>
      </w:r>
      <w:r w:rsidR="00DE2124">
        <w:rPr>
          <w:rFonts w:cs="Calibri"/>
          <w:lang w:val="en-GB"/>
        </w:rPr>
        <w:t xml:space="preserve">Lippens (2010) has performed a research on the influence of the introduction of IFRS on the use of accruals-based and real earnings management. The main difference with this research is the data; Lippens uses data from 6 countries, while this thesis specifies on three French Civil law countries. </w:t>
      </w:r>
      <w:r w:rsidR="00DB1DF5" w:rsidRPr="00F67CC4">
        <w:rPr>
          <w:rFonts w:cs="Calibri"/>
          <w:lang w:val="en-GB"/>
        </w:rPr>
        <w:t>The two methods</w:t>
      </w:r>
      <w:r w:rsidR="006E55EE">
        <w:rPr>
          <w:rFonts w:cs="Calibri"/>
          <w:lang w:val="en-GB"/>
        </w:rPr>
        <w:t xml:space="preserve"> of</w:t>
      </w:r>
      <w:r w:rsidR="00DB0A57">
        <w:rPr>
          <w:rFonts w:cs="Calibri"/>
          <w:lang w:val="en-GB"/>
        </w:rPr>
        <w:t xml:space="preserve"> the use of</w:t>
      </w:r>
      <w:r w:rsidR="006E55EE">
        <w:rPr>
          <w:rFonts w:cs="Calibri"/>
          <w:lang w:val="en-GB"/>
        </w:rPr>
        <w:t xml:space="preserve"> earnings management</w:t>
      </w:r>
      <w:r w:rsidR="00DB1DF5" w:rsidRPr="00F67CC4">
        <w:rPr>
          <w:rFonts w:cs="Calibri"/>
          <w:lang w:val="en-GB"/>
        </w:rPr>
        <w:t xml:space="preserve"> in combination with specific factors like the</w:t>
      </w:r>
      <w:r w:rsidR="006E55EE">
        <w:rPr>
          <w:rFonts w:cs="Calibri"/>
          <w:lang w:val="en-GB"/>
        </w:rPr>
        <w:t xml:space="preserve"> strength of the</w:t>
      </w:r>
      <w:r w:rsidR="00DB1DF5" w:rsidRPr="00F67CC4">
        <w:rPr>
          <w:rFonts w:cs="Calibri"/>
          <w:lang w:val="en-GB"/>
        </w:rPr>
        <w:t xml:space="preserve"> legal system in French Civil law countries </w:t>
      </w:r>
      <w:r w:rsidR="00DB0A57">
        <w:rPr>
          <w:rFonts w:cs="Calibri"/>
          <w:lang w:val="en-GB"/>
        </w:rPr>
        <w:t>present</w:t>
      </w:r>
      <w:r w:rsidR="00926789">
        <w:rPr>
          <w:rFonts w:cs="Calibri"/>
          <w:lang w:val="en-GB"/>
        </w:rPr>
        <w:t>s</w:t>
      </w:r>
      <w:r w:rsidR="00DB0A57">
        <w:rPr>
          <w:rFonts w:cs="Calibri"/>
          <w:lang w:val="en-GB"/>
        </w:rPr>
        <w:t xml:space="preserve"> </w:t>
      </w:r>
      <w:r w:rsidR="006E55EE">
        <w:rPr>
          <w:rFonts w:cs="Calibri"/>
          <w:lang w:val="en-GB"/>
        </w:rPr>
        <w:t xml:space="preserve">more insight on which factors might influence on the choices of managers to manage </w:t>
      </w:r>
      <w:r w:rsidR="00926789">
        <w:rPr>
          <w:rFonts w:cs="Calibri"/>
          <w:lang w:val="en-GB"/>
        </w:rPr>
        <w:t xml:space="preserve">the </w:t>
      </w:r>
      <w:r w:rsidR="006E55EE">
        <w:rPr>
          <w:rFonts w:cs="Calibri"/>
          <w:lang w:val="en-GB"/>
        </w:rPr>
        <w:t>earnings.</w:t>
      </w:r>
    </w:p>
    <w:p w:rsidR="007D24E5" w:rsidRPr="00F67CC4" w:rsidRDefault="007D24E5" w:rsidP="007D24E5">
      <w:pPr>
        <w:spacing w:before="240" w:line="360" w:lineRule="auto"/>
        <w:rPr>
          <w:rFonts w:cs="Calibri"/>
          <w:lang w:val="en-GB"/>
        </w:rPr>
      </w:pPr>
      <w:r w:rsidRPr="00F67CC4">
        <w:rPr>
          <w:rFonts w:cs="Calibri"/>
          <w:lang w:val="en-GB"/>
        </w:rPr>
        <w:t xml:space="preserve">The focus on </w:t>
      </w:r>
      <w:r w:rsidR="00926789">
        <w:rPr>
          <w:rFonts w:cs="Calibri"/>
          <w:lang w:val="en-GB"/>
        </w:rPr>
        <w:t xml:space="preserve">French Civil law countries presents </w:t>
      </w:r>
      <w:r w:rsidRPr="00F67CC4">
        <w:rPr>
          <w:rFonts w:cs="Calibri"/>
          <w:lang w:val="en-GB"/>
        </w:rPr>
        <w:t>a better view on what influence factors like the legal and</w:t>
      </w:r>
      <w:r w:rsidR="00926789">
        <w:rPr>
          <w:rFonts w:cs="Calibri"/>
          <w:lang w:val="en-GB"/>
        </w:rPr>
        <w:t xml:space="preserve"> the</w:t>
      </w:r>
      <w:r w:rsidRPr="00F67CC4">
        <w:rPr>
          <w:rFonts w:cs="Calibri"/>
          <w:lang w:val="en-GB"/>
        </w:rPr>
        <w:t xml:space="preserve"> political system in the countries might have or did have on the implementation of IFRS and the use of different </w:t>
      </w:r>
      <w:r w:rsidR="00195B5B">
        <w:rPr>
          <w:rFonts w:cs="Calibri"/>
          <w:lang w:val="en-GB"/>
        </w:rPr>
        <w:t>methods</w:t>
      </w:r>
      <w:r w:rsidRPr="00F67CC4">
        <w:rPr>
          <w:rFonts w:cs="Calibri"/>
          <w:lang w:val="en-GB"/>
        </w:rPr>
        <w:t xml:space="preserve"> </w:t>
      </w:r>
      <w:r w:rsidR="00195B5B">
        <w:rPr>
          <w:rFonts w:cs="Calibri"/>
          <w:lang w:val="en-GB"/>
        </w:rPr>
        <w:t>for managing</w:t>
      </w:r>
      <w:r w:rsidR="00926789">
        <w:rPr>
          <w:rFonts w:cs="Calibri"/>
          <w:lang w:val="en-GB"/>
        </w:rPr>
        <w:t xml:space="preserve"> the</w:t>
      </w:r>
      <w:r w:rsidRPr="00F67CC4">
        <w:rPr>
          <w:rFonts w:cs="Calibri"/>
          <w:lang w:val="en-GB"/>
        </w:rPr>
        <w:t xml:space="preserve"> earnings. As will be </w:t>
      </w:r>
      <w:r w:rsidR="00926789">
        <w:rPr>
          <w:rFonts w:cs="Calibri"/>
          <w:lang w:val="en-GB"/>
        </w:rPr>
        <w:t>commented</w:t>
      </w:r>
      <w:r w:rsidRPr="00F67CC4">
        <w:rPr>
          <w:rFonts w:cs="Calibri"/>
          <w:lang w:val="en-GB"/>
        </w:rPr>
        <w:t xml:space="preserve"> in chapter 4, factors like being a ‘code’ or ‘common’ law country for example will possibly have their influence on the results. But this type of research </w:t>
      </w:r>
      <w:r w:rsidR="00926789">
        <w:rPr>
          <w:rFonts w:cs="Calibri"/>
          <w:lang w:val="en-GB"/>
        </w:rPr>
        <w:t>in addition has</w:t>
      </w:r>
      <w:r w:rsidRPr="00F67CC4">
        <w:rPr>
          <w:rFonts w:cs="Calibri"/>
          <w:lang w:val="en-GB"/>
        </w:rPr>
        <w:t xml:space="preserve"> its limitations; the results that are found will not be generalizable for other types of law countries. </w:t>
      </w:r>
    </w:p>
    <w:p w:rsidR="001C6A3E" w:rsidRPr="00F67CC4" w:rsidRDefault="00322E16" w:rsidP="00F74511">
      <w:pPr>
        <w:spacing w:line="360" w:lineRule="auto"/>
        <w:rPr>
          <w:rFonts w:cs="Calibri"/>
          <w:lang w:val="en-GB"/>
        </w:rPr>
      </w:pPr>
      <w:r w:rsidRPr="00F67CC4">
        <w:rPr>
          <w:rFonts w:cs="Calibri"/>
          <w:b/>
          <w:lang w:val="en-GB"/>
        </w:rPr>
        <w:t xml:space="preserve">1.4 </w:t>
      </w:r>
      <w:r w:rsidR="001C6A3E" w:rsidRPr="00F67CC4">
        <w:rPr>
          <w:rFonts w:cs="Calibri"/>
          <w:b/>
          <w:lang w:val="en-GB"/>
        </w:rPr>
        <w:t>Methodology</w:t>
      </w:r>
      <w:r w:rsidRPr="00F67CC4">
        <w:rPr>
          <w:rFonts w:cs="Calibri"/>
          <w:b/>
          <w:lang w:val="en-GB"/>
        </w:rPr>
        <w:br/>
      </w:r>
      <w:r w:rsidR="000057B7">
        <w:rPr>
          <w:rFonts w:cs="Calibri"/>
          <w:lang w:val="en-GB"/>
        </w:rPr>
        <w:t xml:space="preserve">In order to execute the research, the positive approach is chosen. </w:t>
      </w:r>
      <w:r w:rsidR="001C6A3E" w:rsidRPr="00F67CC4">
        <w:rPr>
          <w:rFonts w:cs="Calibri"/>
          <w:lang w:val="en-GB"/>
        </w:rPr>
        <w:t>The different general research approaches that can be used for research are explained</w:t>
      </w:r>
      <w:r w:rsidR="00E82E46" w:rsidRPr="00F67CC4">
        <w:rPr>
          <w:rFonts w:cs="Calibri"/>
          <w:lang w:val="en-GB"/>
        </w:rPr>
        <w:t xml:space="preserve"> in more detail</w:t>
      </w:r>
      <w:r w:rsidR="001C6A3E" w:rsidRPr="00F67CC4">
        <w:rPr>
          <w:rFonts w:cs="Calibri"/>
          <w:lang w:val="en-GB"/>
        </w:rPr>
        <w:t xml:space="preserve"> in chapter 2. </w:t>
      </w:r>
      <w:r w:rsidR="00CE644C" w:rsidRPr="00F67CC4">
        <w:rPr>
          <w:rFonts w:cs="Calibri"/>
          <w:lang w:val="en-GB"/>
        </w:rPr>
        <w:t>The use of the positive approach can be specified with the use of</w:t>
      </w:r>
      <w:r w:rsidR="001C6A3E" w:rsidRPr="00F67CC4">
        <w:rPr>
          <w:rFonts w:cs="Calibri"/>
          <w:lang w:val="en-GB"/>
        </w:rPr>
        <w:t xml:space="preserve"> the Positive Accounting Theory (PAT) for this research. The d</w:t>
      </w:r>
      <w:r w:rsidR="00DC0EAA" w:rsidRPr="00F67CC4">
        <w:rPr>
          <w:rFonts w:cs="Calibri"/>
          <w:lang w:val="en-GB"/>
        </w:rPr>
        <w:t>escribing and predicting focus</w:t>
      </w:r>
      <w:r w:rsidR="001C6A3E" w:rsidRPr="00F67CC4">
        <w:rPr>
          <w:rFonts w:cs="Calibri"/>
          <w:lang w:val="en-GB"/>
        </w:rPr>
        <w:t xml:space="preserve"> of this kind of research method was decisive </w:t>
      </w:r>
      <w:r w:rsidR="004A59ED" w:rsidRPr="00F67CC4">
        <w:rPr>
          <w:rFonts w:cs="Calibri"/>
          <w:lang w:val="en-GB"/>
        </w:rPr>
        <w:t>in choosing for</w:t>
      </w:r>
      <w:r w:rsidR="00926789">
        <w:rPr>
          <w:rFonts w:cs="Calibri"/>
          <w:lang w:val="en-GB"/>
        </w:rPr>
        <w:t xml:space="preserve"> the PAT-approach. </w:t>
      </w:r>
      <w:r w:rsidR="001C6A3E" w:rsidRPr="00F67CC4">
        <w:rPr>
          <w:rFonts w:cs="Calibri"/>
          <w:lang w:val="en-GB"/>
        </w:rPr>
        <w:t xml:space="preserve">As a </w:t>
      </w:r>
      <w:r w:rsidR="004568EA" w:rsidRPr="00F67CC4">
        <w:rPr>
          <w:rFonts w:cs="Calibri"/>
          <w:lang w:val="en-GB"/>
        </w:rPr>
        <w:t>component</w:t>
      </w:r>
      <w:r w:rsidR="001C6A3E" w:rsidRPr="00F67CC4">
        <w:rPr>
          <w:rFonts w:cs="Calibri"/>
          <w:lang w:val="en-GB"/>
        </w:rPr>
        <w:t xml:space="preserve"> of the PAT, the agency theory has </w:t>
      </w:r>
      <w:r w:rsidR="004568EA" w:rsidRPr="00F67CC4">
        <w:rPr>
          <w:rFonts w:cs="Calibri"/>
          <w:lang w:val="en-GB"/>
        </w:rPr>
        <w:t xml:space="preserve">its influence </w:t>
      </w:r>
      <w:r w:rsidR="006A5CAD" w:rsidRPr="00F67CC4">
        <w:rPr>
          <w:rFonts w:cs="Calibri"/>
          <w:lang w:val="en-GB"/>
        </w:rPr>
        <w:t xml:space="preserve">in this research </w:t>
      </w:r>
      <w:r w:rsidR="004568EA" w:rsidRPr="00F67CC4">
        <w:rPr>
          <w:rFonts w:cs="Calibri"/>
          <w:lang w:val="en-GB"/>
        </w:rPr>
        <w:t>by</w:t>
      </w:r>
      <w:r w:rsidR="001C6A3E" w:rsidRPr="00F67CC4">
        <w:rPr>
          <w:rFonts w:cs="Calibri"/>
          <w:lang w:val="en-GB"/>
        </w:rPr>
        <w:t xml:space="preserve"> assum</w:t>
      </w:r>
      <w:r w:rsidR="004568EA" w:rsidRPr="00F67CC4">
        <w:rPr>
          <w:rFonts w:cs="Calibri"/>
          <w:lang w:val="en-GB"/>
        </w:rPr>
        <w:t>ing</w:t>
      </w:r>
      <w:r w:rsidR="001C6A3E" w:rsidRPr="00F67CC4">
        <w:rPr>
          <w:rFonts w:cs="Calibri"/>
          <w:lang w:val="en-GB"/>
        </w:rPr>
        <w:t xml:space="preserve"> that managers act with self-interest and that they do not</w:t>
      </w:r>
      <w:r w:rsidR="009A1214">
        <w:rPr>
          <w:rFonts w:cs="Calibri"/>
          <w:lang w:val="en-GB"/>
        </w:rPr>
        <w:t xml:space="preserve"> always</w:t>
      </w:r>
      <w:r w:rsidR="001C6A3E" w:rsidRPr="00F67CC4">
        <w:rPr>
          <w:rFonts w:cs="Calibri"/>
          <w:lang w:val="en-GB"/>
        </w:rPr>
        <w:t xml:space="preserve"> take into account what possible influence their actions </w:t>
      </w:r>
      <w:r w:rsidR="00D038EB">
        <w:rPr>
          <w:rFonts w:cs="Calibri"/>
          <w:lang w:val="en-GB"/>
        </w:rPr>
        <w:t>might</w:t>
      </w:r>
      <w:r w:rsidR="001C6A3E" w:rsidRPr="00F67CC4">
        <w:rPr>
          <w:rFonts w:cs="Calibri"/>
          <w:lang w:val="en-GB"/>
        </w:rPr>
        <w:t xml:space="preserve"> have on other stakeholders. Acting in self-interest can be one of the motivations for managers to </w:t>
      </w:r>
      <w:r w:rsidR="00D038EB">
        <w:rPr>
          <w:rFonts w:cs="Calibri"/>
          <w:lang w:val="en-GB"/>
        </w:rPr>
        <w:t xml:space="preserve">use </w:t>
      </w:r>
      <w:r w:rsidR="001C6A3E" w:rsidRPr="00F67CC4">
        <w:rPr>
          <w:rFonts w:cs="Calibri"/>
          <w:lang w:val="en-GB"/>
        </w:rPr>
        <w:t>earnings management in its various ways</w:t>
      </w:r>
      <w:r w:rsidR="006A5CAD" w:rsidRPr="00F67CC4">
        <w:rPr>
          <w:rFonts w:cs="Calibri"/>
          <w:lang w:val="en-GB"/>
        </w:rPr>
        <w:t xml:space="preserve">. </w:t>
      </w:r>
    </w:p>
    <w:p w:rsidR="003A61BB" w:rsidRPr="00F67CC4" w:rsidRDefault="007D24E5" w:rsidP="00F74511">
      <w:pPr>
        <w:spacing w:line="360" w:lineRule="auto"/>
        <w:rPr>
          <w:rFonts w:cs="Calibri"/>
          <w:lang w:val="en-GB"/>
        </w:rPr>
      </w:pPr>
      <w:r>
        <w:rPr>
          <w:rFonts w:cs="Calibri"/>
          <w:lang w:val="en-GB"/>
        </w:rPr>
        <w:t xml:space="preserve">Next to the determination of </w:t>
      </w:r>
      <w:r w:rsidR="00D038EB">
        <w:rPr>
          <w:rFonts w:cs="Calibri"/>
          <w:lang w:val="en-GB"/>
        </w:rPr>
        <w:t>the</w:t>
      </w:r>
      <w:r>
        <w:rPr>
          <w:rFonts w:cs="Calibri"/>
          <w:lang w:val="en-GB"/>
        </w:rPr>
        <w:t xml:space="preserve"> general and specific approaches are used for this thesis, the methods for detecting accruals-based and real earnings management </w:t>
      </w:r>
      <w:r w:rsidR="00926789">
        <w:rPr>
          <w:rFonts w:cs="Calibri"/>
          <w:lang w:val="en-GB"/>
        </w:rPr>
        <w:t>is</w:t>
      </w:r>
      <w:r>
        <w:rPr>
          <w:rFonts w:cs="Calibri"/>
          <w:lang w:val="en-GB"/>
        </w:rPr>
        <w:t xml:space="preserve"> determined. </w:t>
      </w:r>
      <w:r w:rsidR="002B6500" w:rsidRPr="00F67CC4">
        <w:rPr>
          <w:rFonts w:cs="Calibri"/>
          <w:lang w:val="en-GB"/>
        </w:rPr>
        <w:t>Earnings management by</w:t>
      </w:r>
      <w:r w:rsidR="001C6A3E" w:rsidRPr="00F67CC4">
        <w:rPr>
          <w:rFonts w:cs="Calibri"/>
          <w:lang w:val="en-GB"/>
        </w:rPr>
        <w:t xml:space="preserve"> accruals will be measured by using the </w:t>
      </w:r>
      <w:r w:rsidR="00C63571" w:rsidRPr="00F67CC4">
        <w:rPr>
          <w:rFonts w:cs="Calibri"/>
          <w:lang w:val="en-GB"/>
        </w:rPr>
        <w:t xml:space="preserve">Modified </w:t>
      </w:r>
      <w:r w:rsidR="00E013D6" w:rsidRPr="00F67CC4">
        <w:rPr>
          <w:rFonts w:cs="Calibri"/>
          <w:lang w:val="en-GB"/>
        </w:rPr>
        <w:t>Jones model (1995</w:t>
      </w:r>
      <w:r w:rsidR="001C6A3E" w:rsidRPr="00F67CC4">
        <w:rPr>
          <w:rFonts w:cs="Calibri"/>
          <w:lang w:val="en-GB"/>
        </w:rPr>
        <w:t>) and real earnings management by the model developed by</w:t>
      </w:r>
      <w:r w:rsidR="003A61BB" w:rsidRPr="00F67CC4">
        <w:rPr>
          <w:rFonts w:cs="Calibri"/>
          <w:lang w:val="en-GB"/>
        </w:rPr>
        <w:t xml:space="preserve"> </w:t>
      </w:r>
      <w:r w:rsidR="002B6500" w:rsidRPr="00F67CC4">
        <w:rPr>
          <w:rFonts w:cs="Calibri"/>
          <w:lang w:val="en-GB"/>
        </w:rPr>
        <w:t xml:space="preserve">Roychowdhury (2006). </w:t>
      </w:r>
      <w:r w:rsidR="00157E95">
        <w:rPr>
          <w:rFonts w:cs="Calibri"/>
          <w:lang w:val="en-GB"/>
        </w:rPr>
        <w:t>The process for deciding to choose for these models will be commented in sections 3.4.2 and 3.4.3.</w:t>
      </w:r>
    </w:p>
    <w:p w:rsidR="00926789" w:rsidRPr="00926789" w:rsidRDefault="001C6A3E" w:rsidP="00F74511">
      <w:pPr>
        <w:spacing w:line="360" w:lineRule="auto"/>
        <w:rPr>
          <w:rFonts w:cs="Calibri"/>
          <w:lang w:val="en-GB"/>
        </w:rPr>
      </w:pPr>
      <w:r w:rsidRPr="00F67CC4">
        <w:rPr>
          <w:rFonts w:cs="Calibri"/>
          <w:lang w:val="en-GB"/>
        </w:rPr>
        <w:lastRenderedPageBreak/>
        <w:t xml:space="preserve">These models will be </w:t>
      </w:r>
      <w:r w:rsidR="00EB609F" w:rsidRPr="00F67CC4">
        <w:rPr>
          <w:rFonts w:cs="Calibri"/>
          <w:lang w:val="en-GB"/>
        </w:rPr>
        <w:t>used</w:t>
      </w:r>
      <w:r w:rsidRPr="00F67CC4">
        <w:rPr>
          <w:rFonts w:cs="Calibri"/>
          <w:lang w:val="en-GB"/>
        </w:rPr>
        <w:t xml:space="preserve"> on a sample of </w:t>
      </w:r>
      <w:r w:rsidR="00893F97" w:rsidRPr="00F67CC4">
        <w:rPr>
          <w:rFonts w:cs="Calibri"/>
          <w:lang w:val="en-GB"/>
        </w:rPr>
        <w:t>95</w:t>
      </w:r>
      <w:r w:rsidR="008B3F10" w:rsidRPr="00F67CC4">
        <w:rPr>
          <w:rFonts w:cs="Calibri"/>
          <w:lang w:val="en-GB"/>
        </w:rPr>
        <w:t xml:space="preserve"> companies which contain </w:t>
      </w:r>
      <w:r w:rsidRPr="00F67CC4">
        <w:rPr>
          <w:rFonts w:cs="Calibri"/>
          <w:lang w:val="en-GB"/>
        </w:rPr>
        <w:t>listed companies</w:t>
      </w:r>
      <w:r w:rsidR="008B3F10" w:rsidRPr="00F67CC4">
        <w:rPr>
          <w:rFonts w:cs="Calibri"/>
          <w:lang w:val="en-GB"/>
        </w:rPr>
        <w:t xml:space="preserve"> from The N</w:t>
      </w:r>
      <w:r w:rsidR="00893F97" w:rsidRPr="00F67CC4">
        <w:rPr>
          <w:rFonts w:cs="Calibri"/>
          <w:lang w:val="en-GB"/>
        </w:rPr>
        <w:t>etherlands, Belgium and</w:t>
      </w:r>
      <w:r w:rsidR="008B3F10" w:rsidRPr="00F67CC4">
        <w:rPr>
          <w:rFonts w:cs="Calibri"/>
          <w:lang w:val="en-GB"/>
        </w:rPr>
        <w:t xml:space="preserve"> France</w:t>
      </w:r>
      <w:r w:rsidRPr="00F67CC4">
        <w:rPr>
          <w:rFonts w:cs="Calibri"/>
          <w:lang w:val="en-GB"/>
        </w:rPr>
        <w:t xml:space="preserve"> that meet the</w:t>
      </w:r>
      <w:r w:rsidR="00425991">
        <w:rPr>
          <w:rFonts w:cs="Calibri"/>
          <w:lang w:val="en-GB"/>
        </w:rPr>
        <w:t xml:space="preserve"> established</w:t>
      </w:r>
      <w:r w:rsidRPr="00F67CC4">
        <w:rPr>
          <w:rFonts w:cs="Calibri"/>
          <w:lang w:val="en-GB"/>
        </w:rPr>
        <w:t xml:space="preserve"> criteria</w:t>
      </w:r>
      <w:r w:rsidR="008B3F10" w:rsidRPr="00F67CC4">
        <w:rPr>
          <w:rFonts w:cs="Calibri"/>
          <w:lang w:val="en-GB"/>
        </w:rPr>
        <w:t xml:space="preserve">. </w:t>
      </w:r>
      <w:r w:rsidR="00B27C99">
        <w:rPr>
          <w:rFonts w:cs="Calibri"/>
          <w:lang w:val="en-GB"/>
        </w:rPr>
        <w:t xml:space="preserve">With the use of the Wharton Research Data Service (WRDS), the companies that meet the requirements are selected before the data of these companies is obtained from </w:t>
      </w:r>
      <w:r w:rsidR="008B3F10" w:rsidRPr="00F67CC4">
        <w:rPr>
          <w:rFonts w:cs="Calibri"/>
          <w:lang w:val="en-GB"/>
        </w:rPr>
        <w:t xml:space="preserve">the Thomson One Banker </w:t>
      </w:r>
      <w:r w:rsidR="00821154" w:rsidRPr="00F67CC4">
        <w:rPr>
          <w:rFonts w:cs="Calibri"/>
          <w:lang w:val="en-GB"/>
        </w:rPr>
        <w:t>database</w:t>
      </w:r>
      <w:r w:rsidRPr="00F67CC4">
        <w:rPr>
          <w:rFonts w:cs="Calibri"/>
          <w:lang w:val="en-GB"/>
        </w:rPr>
        <w:t xml:space="preserve">. </w:t>
      </w:r>
      <w:r w:rsidR="00B27C99">
        <w:rPr>
          <w:rFonts w:cs="Calibri"/>
          <w:lang w:val="en-GB"/>
        </w:rPr>
        <w:t>With the data, the Modified Jones model (1995) and the model developed by Roychowdhury (2006) are executed. These indications of</w:t>
      </w:r>
      <w:r w:rsidR="00926789">
        <w:rPr>
          <w:rFonts w:cs="Calibri"/>
          <w:lang w:val="en-GB"/>
        </w:rPr>
        <w:t xml:space="preserve"> the use of</w:t>
      </w:r>
      <w:r w:rsidR="00B27C99">
        <w:rPr>
          <w:rFonts w:cs="Calibri"/>
          <w:lang w:val="en-GB"/>
        </w:rPr>
        <w:t xml:space="preserve"> earnings management will be used to check for the possible influence of the independent variables country, accounting standards and size on the dependent variables total amount of </w:t>
      </w:r>
      <w:r w:rsidR="00926789">
        <w:rPr>
          <w:rFonts w:cs="Calibri"/>
          <w:lang w:val="en-GB"/>
        </w:rPr>
        <w:t xml:space="preserve">the used </w:t>
      </w:r>
      <w:r w:rsidR="00B27C99">
        <w:rPr>
          <w:rFonts w:cs="Calibri"/>
          <w:lang w:val="en-GB"/>
        </w:rPr>
        <w:t>earnings management, accruals-based and real earnings m</w:t>
      </w:r>
      <w:r w:rsidR="00B27C99" w:rsidRPr="00926789">
        <w:rPr>
          <w:rFonts w:cs="Calibri"/>
          <w:lang w:val="en-GB"/>
        </w:rPr>
        <w:t xml:space="preserve">anagement. </w:t>
      </w:r>
      <w:r w:rsidR="00926789" w:rsidRPr="00926789">
        <w:rPr>
          <w:rFonts w:cs="Calibri"/>
          <w:lang w:val="en-GB"/>
        </w:rPr>
        <w:t xml:space="preserve">In order to </w:t>
      </w:r>
      <w:r w:rsidR="00E72E74">
        <w:rPr>
          <w:rFonts w:cs="Calibri"/>
          <w:lang w:val="en-GB"/>
        </w:rPr>
        <w:t>draw a conclusion ab</w:t>
      </w:r>
      <w:r w:rsidR="00926789" w:rsidRPr="00926789">
        <w:rPr>
          <w:rFonts w:cs="Calibri"/>
          <w:lang w:val="en-GB"/>
        </w:rPr>
        <w:t>o</w:t>
      </w:r>
      <w:r w:rsidR="00E72E74">
        <w:rPr>
          <w:rFonts w:cs="Calibri"/>
          <w:lang w:val="en-GB"/>
        </w:rPr>
        <w:t>ut the use of earning</w:t>
      </w:r>
      <w:r w:rsidR="00926789" w:rsidRPr="00926789">
        <w:rPr>
          <w:rFonts w:cs="Calibri"/>
          <w:lang w:val="en-GB"/>
        </w:rPr>
        <w:t>s management in total and the possible substitution effect in the methods of executing earnings management due to the introduction of IFRS, the possible influence is checked by multiple regression.</w:t>
      </w:r>
      <w:r w:rsidR="00926789">
        <w:rPr>
          <w:rFonts w:cs="Calibri"/>
          <w:b/>
          <w:lang w:val="en-GB"/>
        </w:rPr>
        <w:t xml:space="preserve"> </w:t>
      </w:r>
    </w:p>
    <w:p w:rsidR="001C6A3E" w:rsidRPr="00926789" w:rsidRDefault="00322E16" w:rsidP="00322E16">
      <w:pPr>
        <w:spacing w:line="360" w:lineRule="auto"/>
        <w:rPr>
          <w:rFonts w:cs="Calibri"/>
          <w:lang w:val="en-GB"/>
        </w:rPr>
      </w:pPr>
      <w:r w:rsidRPr="00F67CC4">
        <w:rPr>
          <w:rFonts w:cs="Calibri"/>
          <w:b/>
          <w:lang w:val="en-GB"/>
        </w:rPr>
        <w:t xml:space="preserve">1.5 </w:t>
      </w:r>
      <w:r w:rsidR="001C6A3E" w:rsidRPr="00F67CC4">
        <w:rPr>
          <w:rFonts w:cs="Calibri"/>
          <w:b/>
          <w:lang w:val="en-GB"/>
        </w:rPr>
        <w:t xml:space="preserve">Structure of the </w:t>
      </w:r>
      <w:r w:rsidR="00EB609F" w:rsidRPr="00F67CC4">
        <w:rPr>
          <w:rFonts w:cs="Calibri"/>
          <w:b/>
          <w:lang w:val="en-GB"/>
        </w:rPr>
        <w:t>thesis</w:t>
      </w:r>
      <w:r w:rsidRPr="00F67CC4">
        <w:rPr>
          <w:rFonts w:cs="Calibri"/>
          <w:b/>
          <w:lang w:val="en-GB"/>
        </w:rPr>
        <w:br/>
      </w:r>
      <w:r w:rsidR="001C6A3E" w:rsidRPr="00F67CC4">
        <w:rPr>
          <w:rFonts w:cs="Calibri"/>
          <w:lang w:val="en-GB"/>
        </w:rPr>
        <w:t>In order to get to an an</w:t>
      </w:r>
      <w:r w:rsidR="00CB3CB4">
        <w:rPr>
          <w:rFonts w:cs="Calibri"/>
          <w:lang w:val="en-GB"/>
        </w:rPr>
        <w:t>swer on the main-question of the thesis</w:t>
      </w:r>
      <w:r w:rsidR="001C6A3E" w:rsidRPr="00F67CC4">
        <w:rPr>
          <w:rFonts w:cs="Calibri"/>
          <w:lang w:val="en-GB"/>
        </w:rPr>
        <w:t xml:space="preserve">, each chapter provides an answer to one </w:t>
      </w:r>
      <w:r w:rsidR="002B6500" w:rsidRPr="00F67CC4">
        <w:rPr>
          <w:rFonts w:cs="Calibri"/>
          <w:lang w:val="en-GB"/>
        </w:rPr>
        <w:t xml:space="preserve">or more </w:t>
      </w:r>
      <w:r w:rsidR="001C6A3E" w:rsidRPr="00F67CC4">
        <w:rPr>
          <w:rFonts w:cs="Calibri"/>
          <w:lang w:val="en-GB"/>
        </w:rPr>
        <w:t xml:space="preserve">of the sub-questions that are listed in the introduction. In </w:t>
      </w:r>
      <w:r w:rsidR="002B6500" w:rsidRPr="00F67CC4">
        <w:rPr>
          <w:rFonts w:cs="Calibri"/>
          <w:lang w:val="en-GB"/>
        </w:rPr>
        <w:t>c</w:t>
      </w:r>
      <w:r w:rsidR="00EB609F" w:rsidRPr="00F67CC4">
        <w:rPr>
          <w:rFonts w:cs="Calibri"/>
          <w:lang w:val="en-GB"/>
        </w:rPr>
        <w:t>hapter 2, sub</w:t>
      </w:r>
      <w:r w:rsidR="00ED197E">
        <w:rPr>
          <w:rFonts w:cs="Calibri"/>
          <w:lang w:val="en-GB"/>
        </w:rPr>
        <w:t>-</w:t>
      </w:r>
      <w:r w:rsidR="00EB609F" w:rsidRPr="00F67CC4">
        <w:rPr>
          <w:rFonts w:cs="Calibri"/>
          <w:lang w:val="en-GB"/>
        </w:rPr>
        <w:t xml:space="preserve">question 2 about </w:t>
      </w:r>
      <w:r w:rsidR="004B1539" w:rsidRPr="00F67CC4">
        <w:rPr>
          <w:rFonts w:cs="Calibri"/>
          <w:lang w:val="en-GB"/>
        </w:rPr>
        <w:t>research a</w:t>
      </w:r>
      <w:r w:rsidR="001C6A3E" w:rsidRPr="00F67CC4">
        <w:rPr>
          <w:rFonts w:cs="Calibri"/>
          <w:lang w:val="en-GB"/>
        </w:rPr>
        <w:t xml:space="preserve">pproaches, both general and </w:t>
      </w:r>
      <w:r w:rsidR="00926789">
        <w:rPr>
          <w:rFonts w:cs="Calibri"/>
          <w:lang w:val="en-GB"/>
        </w:rPr>
        <w:t xml:space="preserve">the term </w:t>
      </w:r>
      <w:r w:rsidR="001C6A3E" w:rsidRPr="00F67CC4">
        <w:rPr>
          <w:rFonts w:cs="Calibri"/>
          <w:lang w:val="en-GB"/>
        </w:rPr>
        <w:t>earnings management-</w:t>
      </w:r>
      <w:r w:rsidR="00227425" w:rsidRPr="00F67CC4">
        <w:rPr>
          <w:rFonts w:cs="Calibri"/>
          <w:lang w:val="en-GB"/>
        </w:rPr>
        <w:t>specific</w:t>
      </w:r>
      <w:r w:rsidR="001C6A3E" w:rsidRPr="00F67CC4">
        <w:rPr>
          <w:rFonts w:cs="Calibri"/>
          <w:lang w:val="en-GB"/>
        </w:rPr>
        <w:t xml:space="preserve"> are </w:t>
      </w:r>
      <w:r w:rsidR="00926789">
        <w:rPr>
          <w:rFonts w:cs="Calibri"/>
          <w:lang w:val="en-GB"/>
        </w:rPr>
        <w:t>commented</w:t>
      </w:r>
      <w:r w:rsidR="001C6A3E" w:rsidRPr="00F67CC4">
        <w:rPr>
          <w:rFonts w:cs="Calibri"/>
          <w:lang w:val="en-GB"/>
        </w:rPr>
        <w:t xml:space="preserve"> before </w:t>
      </w:r>
      <w:r w:rsidR="00ED197E">
        <w:rPr>
          <w:rFonts w:cs="Calibri"/>
          <w:lang w:val="en-GB"/>
        </w:rPr>
        <w:t>sub-</w:t>
      </w:r>
      <w:r w:rsidR="00EB609F" w:rsidRPr="00F67CC4">
        <w:rPr>
          <w:rFonts w:cs="Calibri"/>
          <w:lang w:val="en-GB"/>
        </w:rPr>
        <w:t xml:space="preserve">questions 3 and 4 </w:t>
      </w:r>
      <w:r w:rsidR="007E69E2" w:rsidRPr="00F67CC4">
        <w:rPr>
          <w:rFonts w:cs="Calibri"/>
          <w:lang w:val="en-GB"/>
        </w:rPr>
        <w:t xml:space="preserve">are answered with </w:t>
      </w:r>
      <w:r w:rsidR="001C6A3E" w:rsidRPr="00F67CC4">
        <w:rPr>
          <w:rFonts w:cs="Calibri"/>
          <w:lang w:val="en-GB"/>
        </w:rPr>
        <w:t xml:space="preserve">the </w:t>
      </w:r>
      <w:r w:rsidR="002B6500" w:rsidRPr="00F67CC4">
        <w:rPr>
          <w:rFonts w:cs="Calibri"/>
          <w:lang w:val="en-GB"/>
        </w:rPr>
        <w:t>t</w:t>
      </w:r>
      <w:r w:rsidR="001C6A3E" w:rsidRPr="00F67CC4">
        <w:rPr>
          <w:rFonts w:cs="Calibri"/>
          <w:lang w:val="en-GB"/>
        </w:rPr>
        <w:t>heoretic</w:t>
      </w:r>
      <w:r w:rsidR="002B6500" w:rsidRPr="00F67CC4">
        <w:rPr>
          <w:rFonts w:cs="Calibri"/>
          <w:lang w:val="en-GB"/>
        </w:rPr>
        <w:t>al f</w:t>
      </w:r>
      <w:r w:rsidR="001C6A3E" w:rsidRPr="00F67CC4">
        <w:rPr>
          <w:rFonts w:cs="Calibri"/>
          <w:lang w:val="en-GB"/>
        </w:rPr>
        <w:t xml:space="preserve">ramework of the </w:t>
      </w:r>
      <w:r w:rsidR="00814812">
        <w:rPr>
          <w:rFonts w:cs="Calibri"/>
          <w:lang w:val="en-GB"/>
        </w:rPr>
        <w:t>thesis</w:t>
      </w:r>
      <w:r w:rsidR="00673F14" w:rsidRPr="00F67CC4">
        <w:rPr>
          <w:rFonts w:cs="Calibri"/>
          <w:lang w:val="en-GB"/>
        </w:rPr>
        <w:t>;</w:t>
      </w:r>
      <w:r w:rsidR="00C7620D" w:rsidRPr="00F67CC4">
        <w:rPr>
          <w:rFonts w:cs="Calibri"/>
          <w:lang w:val="en-GB"/>
        </w:rPr>
        <w:t xml:space="preserve"> earnings management and IFRS </w:t>
      </w:r>
      <w:r w:rsidR="007E69E2" w:rsidRPr="00F67CC4">
        <w:rPr>
          <w:rFonts w:cs="Calibri"/>
          <w:lang w:val="en-GB"/>
        </w:rPr>
        <w:t xml:space="preserve">described </w:t>
      </w:r>
      <w:r w:rsidR="002B6500" w:rsidRPr="00F67CC4">
        <w:rPr>
          <w:rFonts w:cs="Calibri"/>
          <w:lang w:val="en-GB"/>
        </w:rPr>
        <w:t>in c</w:t>
      </w:r>
      <w:r w:rsidR="001C6A3E" w:rsidRPr="00F67CC4">
        <w:rPr>
          <w:rFonts w:cs="Calibri"/>
          <w:lang w:val="en-GB"/>
        </w:rPr>
        <w:t>hapter 3</w:t>
      </w:r>
      <w:r w:rsidR="00C7620D" w:rsidRPr="00F67CC4">
        <w:rPr>
          <w:rFonts w:cs="Calibri"/>
          <w:lang w:val="en-GB"/>
        </w:rPr>
        <w:t xml:space="preserve">. </w:t>
      </w:r>
      <w:r w:rsidR="00926789">
        <w:rPr>
          <w:rFonts w:cs="Calibri"/>
          <w:lang w:val="en-GB"/>
        </w:rPr>
        <w:t xml:space="preserve">To answer subs-questions 6 and 7, after the theoretical framework is provided, in chapter 4 prior researches and specific factors are reviewed. </w:t>
      </w:r>
      <w:r w:rsidR="000B72DE">
        <w:rPr>
          <w:rFonts w:cs="Calibri"/>
          <w:lang w:val="en-GB"/>
        </w:rPr>
        <w:t xml:space="preserve">After the review of all the relevant literature in the first four chapters, the chapters 5-8 </w:t>
      </w:r>
      <w:r w:rsidR="00926789">
        <w:rPr>
          <w:rFonts w:cs="Calibri"/>
          <w:lang w:val="en-GB"/>
        </w:rPr>
        <w:t>focus on the research design,</w:t>
      </w:r>
      <w:r w:rsidR="000B72DE">
        <w:rPr>
          <w:rFonts w:cs="Calibri"/>
          <w:lang w:val="en-GB"/>
        </w:rPr>
        <w:t xml:space="preserve"> the results of the research and the conclusions. </w:t>
      </w:r>
      <w:r w:rsidR="00ED197E">
        <w:rPr>
          <w:rFonts w:cs="Calibri"/>
          <w:lang w:val="en-GB"/>
        </w:rPr>
        <w:t>Sub-</w:t>
      </w:r>
      <w:r w:rsidR="00EB609F" w:rsidRPr="00F67CC4">
        <w:rPr>
          <w:rFonts w:cs="Calibri"/>
          <w:lang w:val="en-GB"/>
        </w:rPr>
        <w:t>question 8</w:t>
      </w:r>
      <w:r w:rsidR="00393C77">
        <w:rPr>
          <w:rFonts w:cs="Calibri"/>
          <w:lang w:val="en-GB"/>
        </w:rPr>
        <w:t>,</w:t>
      </w:r>
      <w:r w:rsidR="00EB609F" w:rsidRPr="00F67CC4">
        <w:rPr>
          <w:rFonts w:cs="Calibri"/>
          <w:lang w:val="en-GB"/>
        </w:rPr>
        <w:t xml:space="preserve"> </w:t>
      </w:r>
      <w:r w:rsidR="00926789">
        <w:rPr>
          <w:rFonts w:cs="Calibri"/>
          <w:lang w:val="en-GB"/>
        </w:rPr>
        <w:t xml:space="preserve">which is about </w:t>
      </w:r>
      <w:r w:rsidR="00393C77">
        <w:rPr>
          <w:rFonts w:cs="Calibri"/>
          <w:lang w:val="en-GB"/>
        </w:rPr>
        <w:t>developing</w:t>
      </w:r>
      <w:r w:rsidR="00EB609F" w:rsidRPr="00F67CC4">
        <w:rPr>
          <w:rFonts w:cs="Calibri"/>
          <w:lang w:val="en-GB"/>
        </w:rPr>
        <w:t xml:space="preserve"> the hypotheses</w:t>
      </w:r>
      <w:r w:rsidR="004D7AFB">
        <w:rPr>
          <w:rFonts w:cs="Calibri"/>
          <w:lang w:val="en-GB"/>
        </w:rPr>
        <w:t>,</w:t>
      </w:r>
      <w:r w:rsidR="00EB609F" w:rsidRPr="00F67CC4">
        <w:rPr>
          <w:rFonts w:cs="Calibri"/>
          <w:lang w:val="en-GB"/>
        </w:rPr>
        <w:t xml:space="preserve"> is answered in chapter 5. </w:t>
      </w:r>
      <w:r w:rsidR="004D7AFB">
        <w:rPr>
          <w:rFonts w:cs="Calibri"/>
          <w:lang w:val="en-GB"/>
        </w:rPr>
        <w:t>Next,</w:t>
      </w:r>
      <w:r w:rsidR="00ED197E">
        <w:rPr>
          <w:rFonts w:cs="Calibri"/>
          <w:lang w:val="en-GB"/>
        </w:rPr>
        <w:t xml:space="preserve"> sub-</w:t>
      </w:r>
      <w:r w:rsidR="00EB609F" w:rsidRPr="00F67CC4">
        <w:rPr>
          <w:rFonts w:cs="Calibri"/>
          <w:lang w:val="en-GB"/>
        </w:rPr>
        <w:t>question 9 about</w:t>
      </w:r>
      <w:r w:rsidR="001C6A3E" w:rsidRPr="00F67CC4">
        <w:rPr>
          <w:rFonts w:cs="Calibri"/>
          <w:lang w:val="en-GB"/>
        </w:rPr>
        <w:t xml:space="preserve"> the </w:t>
      </w:r>
      <w:r w:rsidR="002B6500" w:rsidRPr="00F67CC4">
        <w:rPr>
          <w:rFonts w:cs="Calibri"/>
          <w:lang w:val="en-GB"/>
        </w:rPr>
        <w:t>design of the r</w:t>
      </w:r>
      <w:r w:rsidR="001C6A3E" w:rsidRPr="00F67CC4">
        <w:rPr>
          <w:rFonts w:cs="Calibri"/>
          <w:lang w:val="en-GB"/>
        </w:rPr>
        <w:t xml:space="preserve">esearch will </w:t>
      </w:r>
      <w:r w:rsidR="002B6500" w:rsidRPr="00F67CC4">
        <w:rPr>
          <w:rFonts w:cs="Calibri"/>
          <w:lang w:val="en-GB"/>
        </w:rPr>
        <w:t xml:space="preserve">be </w:t>
      </w:r>
      <w:r w:rsidR="00EB609F" w:rsidRPr="00F67CC4">
        <w:rPr>
          <w:rFonts w:cs="Calibri"/>
          <w:lang w:val="en-GB"/>
        </w:rPr>
        <w:t>answered</w:t>
      </w:r>
      <w:r w:rsidR="002B6500" w:rsidRPr="00F67CC4">
        <w:rPr>
          <w:rFonts w:cs="Calibri"/>
          <w:lang w:val="en-GB"/>
        </w:rPr>
        <w:t xml:space="preserve"> in c</w:t>
      </w:r>
      <w:r w:rsidR="001C6A3E" w:rsidRPr="00F67CC4">
        <w:rPr>
          <w:rFonts w:cs="Calibri"/>
          <w:lang w:val="en-GB"/>
        </w:rPr>
        <w:t xml:space="preserve">hapter 6. In </w:t>
      </w:r>
      <w:r w:rsidR="002B6500" w:rsidRPr="00F67CC4">
        <w:rPr>
          <w:rFonts w:cs="Calibri"/>
          <w:lang w:val="en-GB"/>
        </w:rPr>
        <w:t>chapter 7 the r</w:t>
      </w:r>
      <w:r w:rsidR="001C6A3E" w:rsidRPr="00F67CC4">
        <w:rPr>
          <w:rFonts w:cs="Calibri"/>
          <w:lang w:val="en-GB"/>
        </w:rPr>
        <w:t>esults of the</w:t>
      </w:r>
      <w:r w:rsidR="004D7AFB">
        <w:rPr>
          <w:rFonts w:cs="Calibri"/>
          <w:lang w:val="en-GB"/>
        </w:rPr>
        <w:t xml:space="preserve"> empirical part of the</w:t>
      </w:r>
      <w:r w:rsidR="001C6A3E" w:rsidRPr="00F67CC4">
        <w:rPr>
          <w:rFonts w:cs="Calibri"/>
          <w:lang w:val="en-GB"/>
        </w:rPr>
        <w:t xml:space="preserve"> research will be provided</w:t>
      </w:r>
      <w:r w:rsidR="00EB609F" w:rsidRPr="00F67CC4">
        <w:rPr>
          <w:rFonts w:cs="Calibri"/>
          <w:lang w:val="en-GB"/>
        </w:rPr>
        <w:t>, which is the answer on sub</w:t>
      </w:r>
      <w:r w:rsidR="00ED197E">
        <w:rPr>
          <w:rFonts w:cs="Calibri"/>
          <w:lang w:val="en-GB"/>
        </w:rPr>
        <w:t>-question 10 before sub-</w:t>
      </w:r>
      <w:r w:rsidR="00EB609F" w:rsidRPr="00F67CC4">
        <w:rPr>
          <w:rFonts w:cs="Calibri"/>
          <w:lang w:val="en-GB"/>
        </w:rPr>
        <w:t xml:space="preserve">question 11 about the conclusion is answered </w:t>
      </w:r>
      <w:r w:rsidR="004D7AFB">
        <w:rPr>
          <w:rFonts w:cs="Calibri"/>
          <w:lang w:val="en-GB"/>
        </w:rPr>
        <w:t>in c</w:t>
      </w:r>
      <w:r w:rsidR="001C6A3E" w:rsidRPr="00F67CC4">
        <w:rPr>
          <w:rFonts w:cs="Calibri"/>
          <w:lang w:val="en-GB"/>
        </w:rPr>
        <w:t xml:space="preserve">hapter 8. </w:t>
      </w:r>
    </w:p>
    <w:p w:rsidR="001C6A3E" w:rsidRPr="008C581E" w:rsidRDefault="002B6500" w:rsidP="00F74511">
      <w:pPr>
        <w:spacing w:line="360" w:lineRule="auto"/>
        <w:rPr>
          <w:rFonts w:cs="Calibri"/>
          <w:sz w:val="24"/>
          <w:szCs w:val="24"/>
          <w:lang w:val="en-GB"/>
        </w:rPr>
      </w:pPr>
      <w:r w:rsidRPr="00F67CC4">
        <w:rPr>
          <w:rFonts w:cs="Calibri"/>
          <w:b/>
          <w:lang w:val="en-GB"/>
        </w:rPr>
        <w:br w:type="page"/>
      </w:r>
      <w:r w:rsidR="001C6A3E" w:rsidRPr="008C581E">
        <w:rPr>
          <w:rFonts w:cs="Calibri"/>
          <w:b/>
          <w:sz w:val="24"/>
          <w:szCs w:val="24"/>
          <w:lang w:val="en-GB"/>
        </w:rPr>
        <w:lastRenderedPageBreak/>
        <w:t>2 Research Approaches</w:t>
      </w:r>
    </w:p>
    <w:p w:rsidR="001C6A3E" w:rsidRPr="00F67CC4" w:rsidRDefault="001C6A3E" w:rsidP="00925ED8">
      <w:pPr>
        <w:spacing w:line="360" w:lineRule="auto"/>
        <w:rPr>
          <w:rFonts w:cs="Calibri"/>
          <w:lang w:val="en-GB"/>
        </w:rPr>
      </w:pPr>
      <w:r w:rsidRPr="00F67CC4">
        <w:rPr>
          <w:rFonts w:cs="Calibri"/>
          <w:b/>
          <w:lang w:val="en-GB"/>
        </w:rPr>
        <w:t>2.1 Introduction</w:t>
      </w:r>
      <w:r w:rsidRPr="00F67CC4">
        <w:rPr>
          <w:rFonts w:cs="Calibri"/>
          <w:b/>
          <w:lang w:val="en-GB"/>
        </w:rPr>
        <w:br/>
      </w:r>
      <w:r w:rsidRPr="00F67CC4">
        <w:rPr>
          <w:rFonts w:cs="Calibri"/>
          <w:lang w:val="en-GB"/>
        </w:rPr>
        <w:t>Res</w:t>
      </w:r>
      <w:r w:rsidR="00393C77">
        <w:rPr>
          <w:rFonts w:cs="Calibri"/>
          <w:lang w:val="en-GB"/>
        </w:rPr>
        <w:t>earch in the field of accounting</w:t>
      </w:r>
      <w:r w:rsidRPr="00F67CC4">
        <w:rPr>
          <w:rFonts w:cs="Calibri"/>
          <w:lang w:val="en-GB"/>
        </w:rPr>
        <w:t xml:space="preserve"> can be </w:t>
      </w:r>
      <w:r w:rsidR="0069734C">
        <w:rPr>
          <w:rFonts w:cs="Calibri"/>
          <w:lang w:val="en-GB"/>
        </w:rPr>
        <w:t>performed</w:t>
      </w:r>
      <w:r w:rsidRPr="00F67CC4">
        <w:rPr>
          <w:rFonts w:cs="Calibri"/>
          <w:lang w:val="en-GB"/>
        </w:rPr>
        <w:t xml:space="preserve"> on many topics and each</w:t>
      </w:r>
      <w:r w:rsidR="002B6500" w:rsidRPr="00F67CC4">
        <w:rPr>
          <w:rFonts w:cs="Calibri"/>
          <w:lang w:val="en-GB"/>
        </w:rPr>
        <w:t xml:space="preserve"> topic can be approached from </w:t>
      </w:r>
      <w:r w:rsidRPr="00F67CC4">
        <w:rPr>
          <w:rFonts w:cs="Calibri"/>
          <w:lang w:val="en-GB"/>
        </w:rPr>
        <w:t>different angle</w:t>
      </w:r>
      <w:r w:rsidR="002B6500" w:rsidRPr="00F67CC4">
        <w:rPr>
          <w:rFonts w:cs="Calibri"/>
          <w:lang w:val="en-GB"/>
        </w:rPr>
        <w:t>s</w:t>
      </w:r>
      <w:r w:rsidRPr="00F67CC4">
        <w:rPr>
          <w:rFonts w:cs="Calibri"/>
          <w:lang w:val="en-GB"/>
        </w:rPr>
        <w:t xml:space="preserve">. By using a different approach and angle, different aspects of a topic will be </w:t>
      </w:r>
      <w:r w:rsidR="0069734C">
        <w:rPr>
          <w:rFonts w:cs="Calibri"/>
          <w:lang w:val="en-GB"/>
        </w:rPr>
        <w:t>investigated</w:t>
      </w:r>
      <w:r w:rsidRPr="00F67CC4">
        <w:rPr>
          <w:rFonts w:cs="Calibri"/>
          <w:lang w:val="en-GB"/>
        </w:rPr>
        <w:t xml:space="preserve"> and highlighted. In this chapter</w:t>
      </w:r>
      <w:r w:rsidR="00E067C7" w:rsidRPr="00F67CC4">
        <w:rPr>
          <w:rFonts w:cs="Calibri"/>
          <w:lang w:val="en-GB"/>
        </w:rPr>
        <w:t>,</w:t>
      </w:r>
      <w:r w:rsidRPr="00F67CC4">
        <w:rPr>
          <w:rFonts w:cs="Calibri"/>
          <w:lang w:val="en-GB"/>
        </w:rPr>
        <w:t xml:space="preserve"> general- and earnings management specific-approaches will be </w:t>
      </w:r>
      <w:r w:rsidR="0069734C">
        <w:rPr>
          <w:rFonts w:cs="Calibri"/>
          <w:lang w:val="en-GB"/>
        </w:rPr>
        <w:t>presented</w:t>
      </w:r>
      <w:r w:rsidRPr="00F67CC4">
        <w:rPr>
          <w:rFonts w:cs="Calibri"/>
          <w:lang w:val="en-GB"/>
        </w:rPr>
        <w:t xml:space="preserve"> to </w:t>
      </w:r>
      <w:r w:rsidR="0069734C">
        <w:rPr>
          <w:rFonts w:cs="Calibri"/>
          <w:lang w:val="en-GB"/>
        </w:rPr>
        <w:t xml:space="preserve">present </w:t>
      </w:r>
      <w:r w:rsidRPr="00F67CC4">
        <w:rPr>
          <w:rFonts w:cs="Calibri"/>
          <w:lang w:val="en-GB"/>
        </w:rPr>
        <w:t xml:space="preserve">an overview on what approaches </w:t>
      </w:r>
      <w:r w:rsidR="00E067C7" w:rsidRPr="00F67CC4">
        <w:rPr>
          <w:rFonts w:cs="Calibri"/>
          <w:lang w:val="en-GB"/>
        </w:rPr>
        <w:t>can</w:t>
      </w:r>
      <w:r w:rsidRPr="00F67CC4">
        <w:rPr>
          <w:rFonts w:cs="Calibri"/>
          <w:lang w:val="en-GB"/>
        </w:rPr>
        <w:t xml:space="preserve"> be </w:t>
      </w:r>
      <w:r w:rsidR="00F92C63" w:rsidRPr="00F67CC4">
        <w:rPr>
          <w:rFonts w:cs="Calibri"/>
          <w:lang w:val="en-GB"/>
        </w:rPr>
        <w:t>cho</w:t>
      </w:r>
      <w:r w:rsidR="00E067C7" w:rsidRPr="00F67CC4">
        <w:rPr>
          <w:rFonts w:cs="Calibri"/>
          <w:lang w:val="en-GB"/>
        </w:rPr>
        <w:t>sen</w:t>
      </w:r>
      <w:r w:rsidRPr="00F67CC4">
        <w:rPr>
          <w:rFonts w:cs="Calibri"/>
          <w:lang w:val="en-GB"/>
        </w:rPr>
        <w:t xml:space="preserve"> from and which approaches are chosen </w:t>
      </w:r>
      <w:r w:rsidR="0069734C">
        <w:rPr>
          <w:rFonts w:cs="Calibri"/>
          <w:lang w:val="en-GB"/>
        </w:rPr>
        <w:t>in</w:t>
      </w:r>
      <w:r w:rsidRPr="00F67CC4">
        <w:rPr>
          <w:rFonts w:cs="Calibri"/>
          <w:lang w:val="en-GB"/>
        </w:rPr>
        <w:t xml:space="preserve"> this research. </w:t>
      </w:r>
    </w:p>
    <w:p w:rsidR="001C6A3E" w:rsidRPr="00F67CC4" w:rsidRDefault="001C6A3E" w:rsidP="00925ED8">
      <w:pPr>
        <w:spacing w:line="360" w:lineRule="auto"/>
        <w:rPr>
          <w:rFonts w:cs="Calibri"/>
          <w:lang w:val="en-GB"/>
        </w:rPr>
      </w:pPr>
      <w:r w:rsidRPr="00F67CC4">
        <w:rPr>
          <w:rFonts w:cs="Calibri"/>
          <w:b/>
          <w:lang w:val="en-GB"/>
        </w:rPr>
        <w:t>2.2 General research approaches</w:t>
      </w:r>
      <w:r w:rsidRPr="00F67CC4">
        <w:rPr>
          <w:rFonts w:cs="Calibri"/>
          <w:b/>
          <w:lang w:val="en-GB"/>
        </w:rPr>
        <w:br/>
      </w:r>
      <w:r w:rsidR="0069734C">
        <w:rPr>
          <w:rFonts w:cs="Calibri"/>
          <w:lang w:val="en-GB"/>
        </w:rPr>
        <w:t>On accounting different perspectives exist;</w:t>
      </w:r>
      <w:r w:rsidRPr="00F67CC4">
        <w:rPr>
          <w:rFonts w:cs="Calibri"/>
          <w:lang w:val="en-GB"/>
        </w:rPr>
        <w:t xml:space="preserve"> it can</w:t>
      </w:r>
      <w:r w:rsidR="00E067C7" w:rsidRPr="00F67CC4">
        <w:rPr>
          <w:rFonts w:cs="Calibri"/>
          <w:lang w:val="en-GB"/>
        </w:rPr>
        <w:t xml:space="preserve"> be</w:t>
      </w:r>
      <w:r w:rsidRPr="00F67CC4">
        <w:rPr>
          <w:rFonts w:cs="Calibri"/>
          <w:lang w:val="en-GB"/>
        </w:rPr>
        <w:t xml:space="preserve"> explain</w:t>
      </w:r>
      <w:r w:rsidR="00E067C7" w:rsidRPr="00F67CC4">
        <w:rPr>
          <w:rFonts w:cs="Calibri"/>
          <w:lang w:val="en-GB"/>
        </w:rPr>
        <w:t>ing</w:t>
      </w:r>
      <w:r w:rsidRPr="00F67CC4">
        <w:rPr>
          <w:rFonts w:cs="Calibri"/>
          <w:lang w:val="en-GB"/>
        </w:rPr>
        <w:t>, predict</w:t>
      </w:r>
      <w:r w:rsidR="00E067C7" w:rsidRPr="00F67CC4">
        <w:rPr>
          <w:rFonts w:cs="Calibri"/>
          <w:lang w:val="en-GB"/>
        </w:rPr>
        <w:t>ing</w:t>
      </w:r>
      <w:r w:rsidRPr="00F67CC4">
        <w:rPr>
          <w:rFonts w:cs="Calibri"/>
          <w:lang w:val="en-GB"/>
        </w:rPr>
        <w:t>, prescrib</w:t>
      </w:r>
      <w:r w:rsidR="00E067C7" w:rsidRPr="00F67CC4">
        <w:rPr>
          <w:rFonts w:cs="Calibri"/>
          <w:lang w:val="en-GB"/>
        </w:rPr>
        <w:t>ing or describing</w:t>
      </w:r>
      <w:r w:rsidRPr="00F67CC4">
        <w:rPr>
          <w:rFonts w:cs="Calibri"/>
          <w:lang w:val="en-GB"/>
        </w:rPr>
        <w:t xml:space="preserve"> aspects</w:t>
      </w:r>
      <w:r w:rsidR="00F92C63" w:rsidRPr="00F67CC4">
        <w:rPr>
          <w:rFonts w:cs="Calibri"/>
          <w:lang w:val="en-GB"/>
        </w:rPr>
        <w:t xml:space="preserve"> and phenomena</w:t>
      </w:r>
      <w:r w:rsidRPr="00F67CC4">
        <w:rPr>
          <w:rFonts w:cs="Calibri"/>
          <w:lang w:val="en-GB"/>
        </w:rPr>
        <w:t>. Because no universal approach</w:t>
      </w:r>
      <w:r w:rsidR="0069734C">
        <w:rPr>
          <w:rFonts w:cs="Calibri"/>
          <w:lang w:val="en-GB"/>
        </w:rPr>
        <w:t xml:space="preserve"> exists</w:t>
      </w:r>
      <w:r w:rsidRPr="00F67CC4">
        <w:rPr>
          <w:rFonts w:cs="Calibri"/>
          <w:lang w:val="en-GB"/>
        </w:rPr>
        <w:t>, several general research appro</w:t>
      </w:r>
      <w:r w:rsidR="0069734C">
        <w:rPr>
          <w:rFonts w:cs="Calibri"/>
          <w:lang w:val="en-GB"/>
        </w:rPr>
        <w:t>aches in the field of accounting</w:t>
      </w:r>
      <w:r w:rsidRPr="00F67CC4">
        <w:rPr>
          <w:rFonts w:cs="Calibri"/>
          <w:lang w:val="en-GB"/>
        </w:rPr>
        <w:t xml:space="preserve"> are developed. According to Deegan and Unerman (2011), theories of accounting can be divided in (1) inductive accounting theories, (2) predictive accounting theories and (3) prescriptive (normative) accounting theories.</w:t>
      </w:r>
    </w:p>
    <w:p w:rsidR="001C6A3E" w:rsidRPr="00F67CC4" w:rsidRDefault="001C6A3E" w:rsidP="004227B5">
      <w:pPr>
        <w:spacing w:line="360" w:lineRule="auto"/>
        <w:rPr>
          <w:rFonts w:cs="Calibri"/>
          <w:lang w:val="en-GB"/>
        </w:rPr>
      </w:pPr>
      <w:r w:rsidRPr="00F67CC4">
        <w:rPr>
          <w:rFonts w:cs="Calibri"/>
          <w:lang w:val="en-GB"/>
        </w:rPr>
        <w:t xml:space="preserve">The inductive </w:t>
      </w:r>
      <w:r w:rsidR="00F84B33" w:rsidRPr="00F67CC4">
        <w:rPr>
          <w:rFonts w:cs="Calibri"/>
          <w:lang w:val="en-GB"/>
        </w:rPr>
        <w:t>theories of accounting are</w:t>
      </w:r>
      <w:r w:rsidRPr="00F67CC4">
        <w:rPr>
          <w:rFonts w:cs="Calibri"/>
          <w:lang w:val="en-GB"/>
        </w:rPr>
        <w:t xml:space="preserve"> the development of ideas or theories through observation. By observation, common practices </w:t>
      </w:r>
      <w:r w:rsidR="002B6500" w:rsidRPr="00F67CC4">
        <w:rPr>
          <w:rFonts w:cs="Calibri"/>
          <w:lang w:val="en-GB"/>
        </w:rPr>
        <w:t>are</w:t>
      </w:r>
      <w:r w:rsidRPr="00F67CC4">
        <w:rPr>
          <w:rFonts w:cs="Calibri"/>
          <w:lang w:val="en-GB"/>
        </w:rPr>
        <w:t xml:space="preserve"> codified in the form of doctrines or conventions of accounting (Deegan and Unerman 2011, p</w:t>
      </w:r>
      <w:r w:rsidR="0069734C">
        <w:rPr>
          <w:rFonts w:cs="Calibri"/>
          <w:lang w:val="en-GB"/>
        </w:rPr>
        <w:t xml:space="preserve"> </w:t>
      </w:r>
      <w:r w:rsidRPr="00F67CC4">
        <w:rPr>
          <w:rFonts w:cs="Calibri"/>
          <w:lang w:val="en-GB"/>
        </w:rPr>
        <w:t>7)</w:t>
      </w:r>
      <w:r w:rsidR="004F078B" w:rsidRPr="00F67CC4">
        <w:rPr>
          <w:rFonts w:cs="Calibri"/>
          <w:lang w:val="en-GB"/>
        </w:rPr>
        <w:t>.</w:t>
      </w:r>
      <w:r w:rsidRPr="00F67CC4">
        <w:rPr>
          <w:rFonts w:cs="Calibri"/>
          <w:lang w:val="en-GB"/>
        </w:rPr>
        <w:t xml:space="preserve"> </w:t>
      </w:r>
    </w:p>
    <w:p w:rsidR="001C6A3E" w:rsidRPr="00F67CC4" w:rsidRDefault="001C6A3E" w:rsidP="001D115F">
      <w:pPr>
        <w:spacing w:line="360" w:lineRule="auto"/>
        <w:rPr>
          <w:rFonts w:cs="Calibri"/>
          <w:lang w:val="en-GB"/>
        </w:rPr>
      </w:pPr>
      <w:r w:rsidRPr="00F67CC4">
        <w:rPr>
          <w:rFonts w:cs="Calibri"/>
          <w:lang w:val="en-GB"/>
        </w:rPr>
        <w:t xml:space="preserve">The second </w:t>
      </w:r>
      <w:r w:rsidR="002B6500" w:rsidRPr="00F67CC4">
        <w:rPr>
          <w:rFonts w:cs="Calibri"/>
          <w:lang w:val="en-GB"/>
        </w:rPr>
        <w:t xml:space="preserve">type of </w:t>
      </w:r>
      <w:r w:rsidRPr="00F67CC4">
        <w:rPr>
          <w:rFonts w:cs="Calibri"/>
          <w:lang w:val="en-GB"/>
        </w:rPr>
        <w:t>a</w:t>
      </w:r>
      <w:r w:rsidR="00F84B33" w:rsidRPr="00F67CC4">
        <w:rPr>
          <w:rFonts w:cs="Calibri"/>
          <w:lang w:val="en-GB"/>
        </w:rPr>
        <w:t>ccounting theories are</w:t>
      </w:r>
      <w:r w:rsidR="00DC0EAA" w:rsidRPr="00F67CC4">
        <w:rPr>
          <w:rFonts w:cs="Calibri"/>
          <w:lang w:val="en-GB"/>
        </w:rPr>
        <w:t xml:space="preserve"> the predictive </w:t>
      </w:r>
      <w:r w:rsidR="00F84B33" w:rsidRPr="00F67CC4">
        <w:rPr>
          <w:rFonts w:cs="Calibri"/>
          <w:lang w:val="en-GB"/>
        </w:rPr>
        <w:t>theories which focus</w:t>
      </w:r>
      <w:r w:rsidRPr="00F67CC4">
        <w:rPr>
          <w:rFonts w:cs="Calibri"/>
          <w:lang w:val="en-GB"/>
        </w:rPr>
        <w:t xml:space="preserve"> on explaining and predicting, rather than prescribing accounting practices. Predicting and explaining phenomena by observation, what inductive and predictive theories do, are classified as positive research</w:t>
      </w:r>
      <w:r w:rsidR="00E32196" w:rsidRPr="00F67CC4">
        <w:rPr>
          <w:rFonts w:cs="Calibri"/>
          <w:lang w:val="en-GB"/>
        </w:rPr>
        <w:t xml:space="preserve"> approaches</w:t>
      </w:r>
      <w:r w:rsidR="0090574D">
        <w:rPr>
          <w:rFonts w:cs="Calibri"/>
          <w:lang w:val="en-GB"/>
        </w:rPr>
        <w:t>.</w:t>
      </w:r>
    </w:p>
    <w:p w:rsidR="001C6A3E" w:rsidRPr="00F67CC4" w:rsidRDefault="001C6A3E" w:rsidP="004227B5">
      <w:pPr>
        <w:spacing w:line="360" w:lineRule="auto"/>
        <w:rPr>
          <w:rFonts w:cs="Calibri"/>
          <w:lang w:val="en-GB"/>
        </w:rPr>
      </w:pPr>
      <w:r w:rsidRPr="00F67CC4">
        <w:rPr>
          <w:rFonts w:cs="Calibri"/>
          <w:lang w:val="en-GB"/>
        </w:rPr>
        <w:t xml:space="preserve">The last </w:t>
      </w:r>
      <w:r w:rsidR="00F84B33" w:rsidRPr="00F67CC4">
        <w:rPr>
          <w:rFonts w:cs="Calibri"/>
          <w:lang w:val="en-GB"/>
        </w:rPr>
        <w:t xml:space="preserve">type of </w:t>
      </w:r>
      <w:r w:rsidR="00DC0EAA" w:rsidRPr="00F67CC4">
        <w:rPr>
          <w:rFonts w:cs="Calibri"/>
          <w:lang w:val="en-GB"/>
        </w:rPr>
        <w:t>a</w:t>
      </w:r>
      <w:r w:rsidR="00F84B33" w:rsidRPr="00F67CC4">
        <w:rPr>
          <w:rFonts w:cs="Calibri"/>
          <w:lang w:val="en-GB"/>
        </w:rPr>
        <w:t>ccounting theories</w:t>
      </w:r>
      <w:r w:rsidR="00DC0EAA" w:rsidRPr="00F67CC4">
        <w:rPr>
          <w:rFonts w:cs="Calibri"/>
          <w:lang w:val="en-GB"/>
        </w:rPr>
        <w:t xml:space="preserve"> are</w:t>
      </w:r>
      <w:r w:rsidRPr="00F67CC4">
        <w:rPr>
          <w:rFonts w:cs="Calibri"/>
          <w:lang w:val="en-GB"/>
        </w:rPr>
        <w:t xml:space="preserve"> prescriptive (normative) whi</w:t>
      </w:r>
      <w:r w:rsidR="002B6500" w:rsidRPr="00F67CC4">
        <w:rPr>
          <w:rFonts w:cs="Calibri"/>
          <w:lang w:val="en-GB"/>
        </w:rPr>
        <w:t>ch are</w:t>
      </w:r>
      <w:r w:rsidRPr="00F67CC4">
        <w:rPr>
          <w:rFonts w:cs="Calibri"/>
          <w:lang w:val="en-GB"/>
        </w:rPr>
        <w:t xml:space="preserve"> not based on observations but on what the resear</w:t>
      </w:r>
      <w:r w:rsidR="002B6500" w:rsidRPr="00F67CC4">
        <w:rPr>
          <w:rFonts w:cs="Calibri"/>
          <w:lang w:val="en-GB"/>
        </w:rPr>
        <w:t>cher believes should occur. These theories are</w:t>
      </w:r>
      <w:r w:rsidRPr="00F67CC4">
        <w:rPr>
          <w:rFonts w:cs="Calibri"/>
          <w:lang w:val="en-GB"/>
        </w:rPr>
        <w:t xml:space="preserve"> based on norms, values and beliefs held by the re</w:t>
      </w:r>
      <w:r w:rsidR="00F84B33" w:rsidRPr="00F67CC4">
        <w:rPr>
          <w:rFonts w:cs="Calibri"/>
          <w:lang w:val="en-GB"/>
        </w:rPr>
        <w:t xml:space="preserve">searchers proposing the theory </w:t>
      </w:r>
      <w:r w:rsidRPr="00F67CC4">
        <w:rPr>
          <w:rFonts w:cs="Calibri"/>
          <w:lang w:val="en-GB"/>
        </w:rPr>
        <w:t>(Deegan and Unerman 2006, p377-378)</w:t>
      </w:r>
      <w:r w:rsidR="00F84B33" w:rsidRPr="00F67CC4">
        <w:rPr>
          <w:rFonts w:cs="Calibri"/>
          <w:lang w:val="en-GB"/>
        </w:rPr>
        <w:t xml:space="preserve">. </w:t>
      </w:r>
      <w:r w:rsidR="002B6500" w:rsidRPr="00F67CC4">
        <w:rPr>
          <w:rFonts w:cs="Calibri"/>
          <w:lang w:val="en-GB"/>
        </w:rPr>
        <w:t xml:space="preserve"> A limitation of using the</w:t>
      </w:r>
      <w:r w:rsidRPr="00F67CC4">
        <w:rPr>
          <w:rFonts w:cs="Calibri"/>
          <w:lang w:val="en-GB"/>
        </w:rPr>
        <w:t>s</w:t>
      </w:r>
      <w:r w:rsidR="002B6500" w:rsidRPr="00F67CC4">
        <w:rPr>
          <w:rFonts w:cs="Calibri"/>
          <w:lang w:val="en-GB"/>
        </w:rPr>
        <w:t>e</w:t>
      </w:r>
      <w:r w:rsidRPr="00F67CC4">
        <w:rPr>
          <w:rFonts w:cs="Calibri"/>
          <w:lang w:val="en-GB"/>
        </w:rPr>
        <w:t xml:space="preserve"> theor</w:t>
      </w:r>
      <w:r w:rsidR="002B6500" w:rsidRPr="00F67CC4">
        <w:rPr>
          <w:rFonts w:cs="Calibri"/>
          <w:lang w:val="en-GB"/>
        </w:rPr>
        <w:t>ies</w:t>
      </w:r>
      <w:r w:rsidRPr="00F67CC4">
        <w:rPr>
          <w:rFonts w:cs="Calibri"/>
          <w:lang w:val="en-GB"/>
        </w:rPr>
        <w:t xml:space="preserve"> is that </w:t>
      </w:r>
      <w:r w:rsidR="00E32196" w:rsidRPr="00F67CC4">
        <w:rPr>
          <w:rFonts w:cs="Calibri"/>
          <w:lang w:val="en-GB"/>
        </w:rPr>
        <w:t>research is</w:t>
      </w:r>
      <w:r w:rsidRPr="00F67CC4">
        <w:rPr>
          <w:rFonts w:cs="Calibri"/>
          <w:lang w:val="en-GB"/>
        </w:rPr>
        <w:t xml:space="preserve"> not necessarily based on observation</w:t>
      </w:r>
      <w:r w:rsidR="00412177">
        <w:rPr>
          <w:rFonts w:cs="Calibri"/>
          <w:lang w:val="en-GB"/>
        </w:rPr>
        <w:t>s</w:t>
      </w:r>
      <w:r w:rsidRPr="00F67CC4">
        <w:rPr>
          <w:rFonts w:cs="Calibri"/>
          <w:lang w:val="en-GB"/>
        </w:rPr>
        <w:t xml:space="preserve"> and </w:t>
      </w:r>
      <w:r w:rsidR="0069734C">
        <w:rPr>
          <w:rFonts w:cs="Calibri"/>
          <w:lang w:val="en-GB"/>
        </w:rPr>
        <w:t>consequently</w:t>
      </w:r>
      <w:r w:rsidRPr="00F67CC4">
        <w:rPr>
          <w:rFonts w:cs="Calibri"/>
          <w:lang w:val="en-GB"/>
        </w:rPr>
        <w:t xml:space="preserve"> cannot be evaluated on whether the theory reflect</w:t>
      </w:r>
      <w:r w:rsidR="00E32196" w:rsidRPr="00F67CC4">
        <w:rPr>
          <w:rFonts w:cs="Calibri"/>
          <w:lang w:val="en-GB"/>
        </w:rPr>
        <w:t>s</w:t>
      </w:r>
      <w:r w:rsidRPr="00F67CC4">
        <w:rPr>
          <w:rFonts w:cs="Calibri"/>
          <w:lang w:val="en-GB"/>
        </w:rPr>
        <w:t xml:space="preserve"> actual accounting practice. </w:t>
      </w:r>
    </w:p>
    <w:p w:rsidR="004D39B1" w:rsidRPr="00F67CC4" w:rsidRDefault="0069734C" w:rsidP="008828E7">
      <w:pPr>
        <w:spacing w:line="360" w:lineRule="auto"/>
        <w:rPr>
          <w:rFonts w:cs="Calibri"/>
          <w:lang w:val="en-GB"/>
        </w:rPr>
      </w:pPr>
      <w:r>
        <w:rPr>
          <w:rFonts w:cs="Calibri"/>
          <w:lang w:val="en-GB"/>
        </w:rPr>
        <w:t>When comparing</w:t>
      </w:r>
      <w:r w:rsidR="001C6A3E" w:rsidRPr="00F67CC4">
        <w:rPr>
          <w:rFonts w:cs="Calibri"/>
          <w:lang w:val="en-GB"/>
        </w:rPr>
        <w:t xml:space="preserve"> these </w:t>
      </w:r>
      <w:r w:rsidR="00AC45D2" w:rsidRPr="00F67CC4">
        <w:rPr>
          <w:rFonts w:cs="Calibri"/>
          <w:lang w:val="en-GB"/>
        </w:rPr>
        <w:t xml:space="preserve">different types of </w:t>
      </w:r>
      <w:r w:rsidR="001C6A3E" w:rsidRPr="00F67CC4">
        <w:rPr>
          <w:rFonts w:cs="Calibri"/>
          <w:lang w:val="en-GB"/>
        </w:rPr>
        <w:t>theories for this research, the positive research and</w:t>
      </w:r>
      <w:r w:rsidR="004D39B1" w:rsidRPr="00F67CC4">
        <w:rPr>
          <w:rFonts w:cs="Calibri"/>
          <w:lang w:val="en-GB"/>
        </w:rPr>
        <w:t xml:space="preserve"> more specific</w:t>
      </w:r>
      <w:r w:rsidR="001C6A3E" w:rsidRPr="00F67CC4">
        <w:rPr>
          <w:rFonts w:cs="Calibri"/>
          <w:lang w:val="en-GB"/>
        </w:rPr>
        <w:t xml:space="preserve"> the predict</w:t>
      </w:r>
      <w:r w:rsidR="00AC45D2" w:rsidRPr="00F67CC4">
        <w:rPr>
          <w:rFonts w:cs="Calibri"/>
          <w:lang w:val="en-GB"/>
        </w:rPr>
        <w:t>ive theories</w:t>
      </w:r>
      <w:r w:rsidR="001C6A3E" w:rsidRPr="00F67CC4">
        <w:rPr>
          <w:rFonts w:cs="Calibri"/>
          <w:lang w:val="en-GB"/>
        </w:rPr>
        <w:t xml:space="preserve"> of accounting will be most appropriate. With</w:t>
      </w:r>
      <w:r>
        <w:rPr>
          <w:rFonts w:cs="Calibri"/>
          <w:lang w:val="en-GB"/>
        </w:rPr>
        <w:t xml:space="preserve"> the use of data and models, </w:t>
      </w:r>
      <w:r w:rsidR="00CB75AF">
        <w:rPr>
          <w:rFonts w:cs="Calibri"/>
          <w:lang w:val="en-GB"/>
        </w:rPr>
        <w:t>possible change</w:t>
      </w:r>
      <w:r w:rsidR="001C6A3E" w:rsidRPr="00F67CC4">
        <w:rPr>
          <w:rFonts w:cs="Calibri"/>
          <w:lang w:val="en-GB"/>
        </w:rPr>
        <w:t xml:space="preserve"> </w:t>
      </w:r>
      <w:r w:rsidR="00691361" w:rsidRPr="00F67CC4">
        <w:rPr>
          <w:rFonts w:cs="Calibri"/>
          <w:lang w:val="en-GB"/>
        </w:rPr>
        <w:t xml:space="preserve">in the total use of earnings management </w:t>
      </w:r>
      <w:r w:rsidR="001C6A3E" w:rsidRPr="00F67CC4">
        <w:rPr>
          <w:rFonts w:cs="Calibri"/>
          <w:lang w:val="en-GB"/>
        </w:rPr>
        <w:t xml:space="preserve">and a possible substitution effect in </w:t>
      </w:r>
      <w:r>
        <w:rPr>
          <w:rFonts w:cs="Calibri"/>
          <w:lang w:val="en-GB"/>
        </w:rPr>
        <w:t xml:space="preserve">the </w:t>
      </w:r>
      <w:r w:rsidR="001C6A3E" w:rsidRPr="00F67CC4">
        <w:rPr>
          <w:rFonts w:cs="Calibri"/>
          <w:lang w:val="en-GB"/>
        </w:rPr>
        <w:t xml:space="preserve">earnings management </w:t>
      </w:r>
      <w:r w:rsidR="00691361" w:rsidRPr="00F67CC4">
        <w:rPr>
          <w:rFonts w:cs="Calibri"/>
          <w:lang w:val="en-GB"/>
        </w:rPr>
        <w:t>method</w:t>
      </w:r>
      <w:r w:rsidR="00C3083B">
        <w:rPr>
          <w:rFonts w:cs="Calibri"/>
          <w:lang w:val="en-GB"/>
        </w:rPr>
        <w:t>s</w:t>
      </w:r>
      <w:r w:rsidR="001C6A3E" w:rsidRPr="00F67CC4">
        <w:rPr>
          <w:rFonts w:cs="Calibri"/>
          <w:lang w:val="en-GB"/>
        </w:rPr>
        <w:t xml:space="preserve"> will be explained by the introduction of </w:t>
      </w:r>
      <w:r w:rsidR="00F92C63" w:rsidRPr="00F67CC4">
        <w:rPr>
          <w:rFonts w:cs="Calibri"/>
          <w:lang w:val="en-GB"/>
        </w:rPr>
        <w:t xml:space="preserve">the </w:t>
      </w:r>
      <w:r w:rsidR="001C6A3E" w:rsidRPr="00F67CC4">
        <w:rPr>
          <w:rFonts w:cs="Calibri"/>
          <w:lang w:val="en-GB"/>
        </w:rPr>
        <w:t xml:space="preserve">new standards. </w:t>
      </w:r>
      <w:r w:rsidR="004D39B1" w:rsidRPr="00F67CC4">
        <w:rPr>
          <w:rFonts w:cs="Calibri"/>
          <w:lang w:val="en-GB"/>
        </w:rPr>
        <w:t>Having determined that the Positive approach is chosen</w:t>
      </w:r>
      <w:r w:rsidR="00691361" w:rsidRPr="00F67CC4">
        <w:rPr>
          <w:rFonts w:cs="Calibri"/>
          <w:lang w:val="en-GB"/>
        </w:rPr>
        <w:t xml:space="preserve"> for this research</w:t>
      </w:r>
      <w:r w:rsidR="004D39B1" w:rsidRPr="00F67CC4">
        <w:rPr>
          <w:rFonts w:cs="Calibri"/>
          <w:lang w:val="en-GB"/>
        </w:rPr>
        <w:t xml:space="preserve">, this type of approach will </w:t>
      </w:r>
      <w:r w:rsidR="00691361" w:rsidRPr="00F67CC4">
        <w:rPr>
          <w:rFonts w:cs="Calibri"/>
          <w:lang w:val="en-GB"/>
        </w:rPr>
        <w:t xml:space="preserve">further </w:t>
      </w:r>
      <w:r w:rsidR="004D39B1" w:rsidRPr="00F67CC4">
        <w:rPr>
          <w:rFonts w:cs="Calibri"/>
          <w:lang w:val="en-GB"/>
        </w:rPr>
        <w:t xml:space="preserve">be </w:t>
      </w:r>
      <w:r>
        <w:rPr>
          <w:rFonts w:cs="Calibri"/>
          <w:lang w:val="en-GB"/>
        </w:rPr>
        <w:t>commented</w:t>
      </w:r>
      <w:r w:rsidR="004D39B1" w:rsidRPr="00F67CC4">
        <w:rPr>
          <w:rFonts w:cs="Calibri"/>
          <w:lang w:val="en-GB"/>
        </w:rPr>
        <w:t xml:space="preserve"> in the next section.</w:t>
      </w:r>
    </w:p>
    <w:p w:rsidR="001C6A3E" w:rsidRPr="00F67CC4" w:rsidRDefault="00A812E3" w:rsidP="00E12777">
      <w:pPr>
        <w:spacing w:line="360" w:lineRule="auto"/>
        <w:rPr>
          <w:rFonts w:cs="Calibri"/>
          <w:bCs/>
          <w:lang w:val="en-GB"/>
        </w:rPr>
      </w:pPr>
      <w:r>
        <w:rPr>
          <w:rFonts w:cs="Calibri"/>
          <w:b/>
          <w:lang w:val="en-GB"/>
        </w:rPr>
        <w:lastRenderedPageBreak/>
        <w:t>2.2.1 Positive Theories</w:t>
      </w:r>
      <w:r w:rsidR="0069727B" w:rsidRPr="00F67CC4">
        <w:rPr>
          <w:rFonts w:cs="Calibri"/>
          <w:b/>
          <w:lang w:val="en-GB"/>
        </w:rPr>
        <w:br/>
      </w:r>
      <w:r w:rsidR="00381F2E" w:rsidRPr="00F67CC4">
        <w:rPr>
          <w:rFonts w:cs="Calibri"/>
          <w:bCs/>
          <w:lang w:val="en-GB"/>
        </w:rPr>
        <w:t>P</w:t>
      </w:r>
      <w:r w:rsidR="0069727B" w:rsidRPr="00F67CC4">
        <w:rPr>
          <w:rFonts w:cs="Calibri"/>
          <w:bCs/>
          <w:lang w:val="en-GB"/>
        </w:rPr>
        <w:t>ositive theories try to</w:t>
      </w:r>
      <w:r w:rsidR="00040CDE">
        <w:rPr>
          <w:rFonts w:cs="Calibri"/>
          <w:bCs/>
          <w:lang w:val="en-GB"/>
        </w:rPr>
        <w:t xml:space="preserve"> explain observed phenomena </w:t>
      </w:r>
      <w:r w:rsidR="0069727B" w:rsidRPr="00F67CC4">
        <w:rPr>
          <w:rFonts w:cs="Calibri"/>
          <w:bCs/>
          <w:lang w:val="en-GB"/>
        </w:rPr>
        <w:t xml:space="preserve">without indicating </w:t>
      </w:r>
      <w:r w:rsidR="001E5506">
        <w:rPr>
          <w:rFonts w:cs="Calibri"/>
          <w:bCs/>
          <w:lang w:val="en-GB"/>
        </w:rPr>
        <w:t>in which way</w:t>
      </w:r>
      <w:r w:rsidR="0069727B" w:rsidRPr="00F67CC4">
        <w:rPr>
          <w:rFonts w:cs="Calibri"/>
          <w:bCs/>
          <w:lang w:val="en-GB"/>
        </w:rPr>
        <w:t xml:space="preserve"> things should be (Schroeder, Clark, Cathey 2010, p</w:t>
      </w:r>
      <w:r w:rsidR="001E5506">
        <w:rPr>
          <w:rFonts w:cs="Calibri"/>
          <w:bCs/>
          <w:lang w:val="en-GB"/>
        </w:rPr>
        <w:t xml:space="preserve"> </w:t>
      </w:r>
      <w:r w:rsidR="0069727B" w:rsidRPr="00F67CC4">
        <w:rPr>
          <w:rFonts w:cs="Calibri"/>
          <w:bCs/>
          <w:lang w:val="en-GB"/>
        </w:rPr>
        <w:t>123)</w:t>
      </w:r>
      <w:r w:rsidR="00F92C63" w:rsidRPr="00F67CC4">
        <w:rPr>
          <w:rFonts w:cs="Calibri"/>
          <w:bCs/>
          <w:lang w:val="en-GB"/>
        </w:rPr>
        <w:t>.</w:t>
      </w:r>
      <w:r w:rsidR="0069727B" w:rsidRPr="00F67CC4">
        <w:rPr>
          <w:rFonts w:cs="Calibri"/>
          <w:bCs/>
          <w:lang w:val="en-GB"/>
        </w:rPr>
        <w:t xml:space="preserve"> </w:t>
      </w:r>
      <w:r>
        <w:rPr>
          <w:rFonts w:cs="Calibri"/>
          <w:bCs/>
          <w:lang w:val="en-GB"/>
        </w:rPr>
        <w:t>This explanatory attribute</w:t>
      </w:r>
      <w:r w:rsidR="00381F2E" w:rsidRPr="00F67CC4">
        <w:rPr>
          <w:rFonts w:cs="Calibri"/>
          <w:bCs/>
          <w:lang w:val="en-GB"/>
        </w:rPr>
        <w:t xml:space="preserve"> of positive theories </w:t>
      </w:r>
      <w:r w:rsidR="001C6A3E" w:rsidRPr="00F67CC4">
        <w:rPr>
          <w:rFonts w:cs="Calibri"/>
          <w:bCs/>
          <w:lang w:val="en-GB"/>
        </w:rPr>
        <w:t xml:space="preserve">continues on what already was concluded in the previous section and </w:t>
      </w:r>
      <w:r w:rsidR="005E7A8B" w:rsidRPr="00F67CC4">
        <w:rPr>
          <w:rFonts w:cs="Calibri"/>
          <w:bCs/>
          <w:lang w:val="en-GB"/>
        </w:rPr>
        <w:t xml:space="preserve">strengthens the choice </w:t>
      </w:r>
      <w:r w:rsidR="00087CB9" w:rsidRPr="00F67CC4">
        <w:rPr>
          <w:rFonts w:cs="Calibri"/>
          <w:bCs/>
          <w:lang w:val="en-GB"/>
        </w:rPr>
        <w:t>of the positive</w:t>
      </w:r>
      <w:r w:rsidR="005E7A8B" w:rsidRPr="00F67CC4">
        <w:rPr>
          <w:rFonts w:cs="Calibri"/>
          <w:bCs/>
          <w:lang w:val="en-GB"/>
        </w:rPr>
        <w:t xml:space="preserve"> theory </w:t>
      </w:r>
      <w:r w:rsidR="001E5506">
        <w:rPr>
          <w:rFonts w:cs="Calibri"/>
          <w:bCs/>
          <w:lang w:val="en-GB"/>
        </w:rPr>
        <w:t>in</w:t>
      </w:r>
      <w:r w:rsidR="001C6A3E" w:rsidRPr="00F67CC4">
        <w:rPr>
          <w:rFonts w:cs="Calibri"/>
          <w:bCs/>
          <w:lang w:val="en-GB"/>
        </w:rPr>
        <w:t xml:space="preserve"> thi</w:t>
      </w:r>
      <w:r w:rsidR="007E69E2" w:rsidRPr="00F67CC4">
        <w:rPr>
          <w:rFonts w:cs="Calibri"/>
          <w:bCs/>
          <w:lang w:val="en-GB"/>
        </w:rPr>
        <w:t>s research</w:t>
      </w:r>
      <w:r w:rsidR="007E69E2" w:rsidRPr="00F67CC4">
        <w:rPr>
          <w:rFonts w:cs="Calibri"/>
          <w:b/>
          <w:bCs/>
          <w:lang w:val="en-GB"/>
        </w:rPr>
        <w:t>.</w:t>
      </w:r>
      <w:r w:rsidR="007E69E2" w:rsidRPr="00F67CC4">
        <w:rPr>
          <w:rFonts w:cs="Calibri"/>
          <w:bCs/>
          <w:lang w:val="en-GB"/>
        </w:rPr>
        <w:t xml:space="preserve"> The positive theories</w:t>
      </w:r>
      <w:r w:rsidR="001C6A3E" w:rsidRPr="00F67CC4">
        <w:rPr>
          <w:rFonts w:cs="Calibri"/>
          <w:bCs/>
          <w:lang w:val="en-GB"/>
        </w:rPr>
        <w:t xml:space="preserve"> can be divided in </w:t>
      </w:r>
      <w:r w:rsidR="007E69E2" w:rsidRPr="00F67CC4">
        <w:rPr>
          <w:rFonts w:cs="Calibri"/>
          <w:bCs/>
          <w:lang w:val="en-GB"/>
        </w:rPr>
        <w:t xml:space="preserve">the </w:t>
      </w:r>
      <w:r w:rsidR="001C6A3E" w:rsidRPr="00F67CC4">
        <w:rPr>
          <w:rFonts w:cs="Calibri"/>
          <w:bCs/>
          <w:lang w:val="en-GB"/>
        </w:rPr>
        <w:t>legitimacy, institutional, stakeholder</w:t>
      </w:r>
      <w:r>
        <w:rPr>
          <w:rFonts w:cs="Calibri"/>
          <w:bCs/>
          <w:lang w:val="en-GB"/>
        </w:rPr>
        <w:t xml:space="preserve"> and </w:t>
      </w:r>
      <w:r w:rsidR="00030DFC">
        <w:rPr>
          <w:rFonts w:cs="Calibri"/>
          <w:bCs/>
          <w:lang w:val="en-GB"/>
        </w:rPr>
        <w:t xml:space="preserve">the </w:t>
      </w:r>
      <w:r>
        <w:rPr>
          <w:rFonts w:cs="Calibri"/>
          <w:bCs/>
          <w:lang w:val="en-GB"/>
        </w:rPr>
        <w:t xml:space="preserve">positive accounting </w:t>
      </w:r>
      <w:r w:rsidR="00030DFC">
        <w:rPr>
          <w:rFonts w:cs="Calibri"/>
          <w:bCs/>
          <w:lang w:val="en-GB"/>
        </w:rPr>
        <w:t>theory</w:t>
      </w:r>
      <w:r w:rsidR="001C6A3E" w:rsidRPr="00F67CC4">
        <w:rPr>
          <w:rFonts w:cs="Calibri"/>
          <w:bCs/>
          <w:lang w:val="en-GB"/>
        </w:rPr>
        <w:t xml:space="preserve"> (Deegan and Unerman 2011, p</w:t>
      </w:r>
      <w:r w:rsidR="00030DFC">
        <w:rPr>
          <w:rFonts w:cs="Calibri"/>
          <w:bCs/>
          <w:lang w:val="en-GB"/>
        </w:rPr>
        <w:t xml:space="preserve"> </w:t>
      </w:r>
      <w:r w:rsidR="001C6A3E" w:rsidRPr="00F67CC4">
        <w:rPr>
          <w:rFonts w:cs="Calibri"/>
          <w:bCs/>
          <w:lang w:val="en-GB"/>
        </w:rPr>
        <w:t>255)</w:t>
      </w:r>
      <w:r w:rsidR="004F078B" w:rsidRPr="00F67CC4">
        <w:rPr>
          <w:rFonts w:cs="Calibri"/>
          <w:bCs/>
          <w:lang w:val="en-GB"/>
        </w:rPr>
        <w:t>.</w:t>
      </w:r>
      <w:r>
        <w:rPr>
          <w:rFonts w:cs="Calibri"/>
          <w:bCs/>
          <w:lang w:val="en-GB"/>
        </w:rPr>
        <w:t xml:space="preserve"> The political economy theories</w:t>
      </w:r>
      <w:r w:rsidR="001C6A3E" w:rsidRPr="00F67CC4">
        <w:rPr>
          <w:rFonts w:cs="Calibri"/>
          <w:bCs/>
          <w:lang w:val="en-GB"/>
        </w:rPr>
        <w:t>, as the l</w:t>
      </w:r>
      <w:r>
        <w:rPr>
          <w:rFonts w:cs="Calibri"/>
          <w:bCs/>
          <w:lang w:val="en-GB"/>
        </w:rPr>
        <w:t>egitimacy and stakeholder theories</w:t>
      </w:r>
      <w:r w:rsidR="001C6A3E" w:rsidRPr="00F67CC4">
        <w:rPr>
          <w:rFonts w:cs="Calibri"/>
          <w:bCs/>
          <w:lang w:val="en-GB"/>
        </w:rPr>
        <w:t xml:space="preserve"> by Gray et al. (1996)</w:t>
      </w:r>
      <w:r w:rsidR="00030DFC">
        <w:rPr>
          <w:rFonts w:cs="Calibri"/>
          <w:bCs/>
          <w:lang w:val="en-GB"/>
        </w:rPr>
        <w:t xml:space="preserve"> together are</w:t>
      </w:r>
      <w:r w:rsidR="001C6A3E" w:rsidRPr="00F67CC4">
        <w:rPr>
          <w:rFonts w:cs="Calibri"/>
          <w:bCs/>
          <w:lang w:val="en-GB"/>
        </w:rPr>
        <w:t xml:space="preserve"> is defined as </w:t>
      </w:r>
      <w:r w:rsidR="001C6A3E" w:rsidRPr="00F67CC4">
        <w:rPr>
          <w:rFonts w:cs="Calibri"/>
          <w:bCs/>
          <w:i/>
          <w:lang w:val="en-GB"/>
        </w:rPr>
        <w:t xml:space="preserve">‘the social, political and economic framework within which human life takes </w:t>
      </w:r>
      <w:r w:rsidR="007E69E2" w:rsidRPr="00F67CC4">
        <w:rPr>
          <w:rFonts w:cs="Calibri"/>
          <w:bCs/>
          <w:i/>
          <w:lang w:val="en-GB"/>
        </w:rPr>
        <w:t>place.’</w:t>
      </w:r>
      <w:r w:rsidR="007E69E2" w:rsidRPr="00F67CC4">
        <w:rPr>
          <w:rFonts w:cs="Calibri"/>
          <w:bCs/>
          <w:lang w:val="en-GB"/>
        </w:rPr>
        <w:t xml:space="preserve"> (Gray et al. 1996, p</w:t>
      </w:r>
      <w:r w:rsidR="00030DFC">
        <w:rPr>
          <w:rFonts w:cs="Calibri"/>
          <w:bCs/>
          <w:lang w:val="en-GB"/>
        </w:rPr>
        <w:t xml:space="preserve"> </w:t>
      </w:r>
      <w:r w:rsidR="007E69E2" w:rsidRPr="00F67CC4">
        <w:rPr>
          <w:rFonts w:cs="Calibri"/>
          <w:bCs/>
          <w:lang w:val="en-GB"/>
        </w:rPr>
        <w:t>47)</w:t>
      </w:r>
      <w:r w:rsidR="00C3083B">
        <w:rPr>
          <w:rFonts w:cs="Calibri"/>
          <w:bCs/>
          <w:lang w:val="en-GB"/>
        </w:rPr>
        <w:t>.</w:t>
      </w:r>
      <w:r w:rsidR="001C6A3E" w:rsidRPr="00F67CC4">
        <w:rPr>
          <w:rFonts w:cs="Calibri"/>
          <w:bCs/>
          <w:lang w:val="en-GB"/>
        </w:rPr>
        <w:t xml:space="preserve"> The society, politics and economics are inseparable, </w:t>
      </w:r>
      <w:r w:rsidR="00030DFC">
        <w:rPr>
          <w:rFonts w:cs="Calibri"/>
          <w:bCs/>
          <w:lang w:val="en-GB"/>
        </w:rPr>
        <w:t>consequently</w:t>
      </w:r>
      <w:r w:rsidR="001C6A3E" w:rsidRPr="00F67CC4">
        <w:rPr>
          <w:rFonts w:cs="Calibri"/>
          <w:bCs/>
          <w:lang w:val="en-GB"/>
        </w:rPr>
        <w:t xml:space="preserve"> all these aspects should be considered when solving economic issues</w:t>
      </w:r>
      <w:r w:rsidR="007E69E2" w:rsidRPr="00F67CC4">
        <w:rPr>
          <w:rFonts w:cs="Calibri"/>
          <w:bCs/>
          <w:lang w:val="en-GB"/>
        </w:rPr>
        <w:t xml:space="preserve"> (Deegan and Unerman</w:t>
      </w:r>
      <w:r w:rsidR="004F078B" w:rsidRPr="00F67CC4">
        <w:rPr>
          <w:rFonts w:cs="Calibri"/>
          <w:bCs/>
          <w:lang w:val="en-GB"/>
        </w:rPr>
        <w:t xml:space="preserve"> 2011</w:t>
      </w:r>
      <w:r w:rsidR="007E69E2" w:rsidRPr="00F67CC4">
        <w:rPr>
          <w:rFonts w:cs="Calibri"/>
          <w:bCs/>
          <w:lang w:val="en-GB"/>
        </w:rPr>
        <w:t>,</w:t>
      </w:r>
      <w:r w:rsidR="004F078B" w:rsidRPr="00F67CC4">
        <w:rPr>
          <w:rFonts w:cs="Calibri"/>
          <w:bCs/>
          <w:lang w:val="en-GB"/>
        </w:rPr>
        <w:t xml:space="preserve"> p</w:t>
      </w:r>
      <w:r w:rsidR="00030DFC">
        <w:rPr>
          <w:rFonts w:cs="Calibri"/>
          <w:bCs/>
          <w:lang w:val="en-GB"/>
        </w:rPr>
        <w:t xml:space="preserve"> </w:t>
      </w:r>
      <w:r w:rsidR="004F078B" w:rsidRPr="00F67CC4">
        <w:rPr>
          <w:rFonts w:cs="Calibri"/>
          <w:bCs/>
          <w:lang w:val="en-GB"/>
        </w:rPr>
        <w:t>322).</w:t>
      </w:r>
    </w:p>
    <w:p w:rsidR="001C6A3E" w:rsidRPr="00F67CC4" w:rsidRDefault="001C6A3E" w:rsidP="00E12777">
      <w:pPr>
        <w:spacing w:line="360" w:lineRule="auto"/>
        <w:rPr>
          <w:rFonts w:cs="Calibri"/>
          <w:bCs/>
          <w:lang w:val="en-GB"/>
        </w:rPr>
      </w:pPr>
      <w:r w:rsidRPr="00F67CC4">
        <w:rPr>
          <w:rFonts w:cs="Calibri"/>
          <w:bCs/>
          <w:lang w:val="en-GB"/>
        </w:rPr>
        <w:t xml:space="preserve">The Positive Accounting Theory (PAT) </w:t>
      </w:r>
      <w:r w:rsidR="004F078B" w:rsidRPr="00F67CC4">
        <w:rPr>
          <w:rFonts w:cs="Calibri"/>
          <w:bCs/>
          <w:lang w:val="en-GB"/>
        </w:rPr>
        <w:t>‘</w:t>
      </w:r>
      <w:r w:rsidRPr="00F67CC4">
        <w:rPr>
          <w:rFonts w:cs="Calibri"/>
          <w:bCs/>
          <w:i/>
          <w:lang w:val="en-GB"/>
        </w:rPr>
        <w:t>is concerned with explaining accounting practice</w:t>
      </w:r>
      <w:r w:rsidR="004F4489" w:rsidRPr="00F67CC4">
        <w:rPr>
          <w:rFonts w:cs="Calibri"/>
          <w:bCs/>
          <w:i/>
          <w:lang w:val="en-GB"/>
        </w:rPr>
        <w:t>s</w:t>
      </w:r>
      <w:r w:rsidRPr="00F67CC4">
        <w:rPr>
          <w:rFonts w:cs="Calibri"/>
          <w:bCs/>
          <w:i/>
          <w:lang w:val="en-GB"/>
        </w:rPr>
        <w:t>. It is designed to explain and predict which firms will and which firms will not use particular method</w:t>
      </w:r>
      <w:r w:rsidR="00F92C63" w:rsidRPr="00F67CC4">
        <w:rPr>
          <w:rFonts w:cs="Calibri"/>
          <w:bCs/>
          <w:i/>
          <w:lang w:val="en-GB"/>
        </w:rPr>
        <w:t xml:space="preserve"> (</w:t>
      </w:r>
      <w:r w:rsidRPr="00F67CC4">
        <w:rPr>
          <w:rFonts w:cs="Calibri"/>
          <w:bCs/>
          <w:i/>
          <w:lang w:val="en-GB"/>
        </w:rPr>
        <w:t>…</w:t>
      </w:r>
      <w:r w:rsidR="00F92C63" w:rsidRPr="00F67CC4">
        <w:rPr>
          <w:rFonts w:cs="Calibri"/>
          <w:bCs/>
          <w:i/>
          <w:lang w:val="en-GB"/>
        </w:rPr>
        <w:t>)</w:t>
      </w:r>
      <w:r w:rsidRPr="00F67CC4">
        <w:rPr>
          <w:rFonts w:cs="Calibri"/>
          <w:bCs/>
          <w:i/>
          <w:lang w:val="en-GB"/>
        </w:rPr>
        <w:t xml:space="preserve"> but it says nothing as to </w:t>
      </w:r>
      <w:r w:rsidR="004F4489" w:rsidRPr="00F67CC4">
        <w:rPr>
          <w:rFonts w:cs="Calibri"/>
          <w:bCs/>
          <w:i/>
          <w:lang w:val="en-GB"/>
        </w:rPr>
        <w:t>which method a firm should use.</w:t>
      </w:r>
      <w:r w:rsidR="004F078B" w:rsidRPr="00F67CC4">
        <w:rPr>
          <w:rFonts w:cs="Calibri"/>
          <w:bCs/>
          <w:i/>
          <w:lang w:val="en-GB"/>
        </w:rPr>
        <w:t>’</w:t>
      </w:r>
      <w:r w:rsidRPr="00F67CC4">
        <w:rPr>
          <w:rFonts w:cs="Calibri"/>
          <w:bCs/>
          <w:lang w:val="en-GB"/>
        </w:rPr>
        <w:t xml:space="preserve"> (Watts and Zimmerman 1986, p</w:t>
      </w:r>
      <w:r w:rsidR="00030DFC">
        <w:rPr>
          <w:rFonts w:cs="Calibri"/>
          <w:bCs/>
          <w:lang w:val="en-GB"/>
        </w:rPr>
        <w:t xml:space="preserve"> </w:t>
      </w:r>
      <w:r w:rsidRPr="00F67CC4">
        <w:rPr>
          <w:rFonts w:cs="Calibri"/>
          <w:bCs/>
          <w:lang w:val="en-GB"/>
        </w:rPr>
        <w:t>7)</w:t>
      </w:r>
      <w:r w:rsidR="00C3083B">
        <w:rPr>
          <w:rFonts w:cs="Calibri"/>
          <w:bCs/>
          <w:lang w:val="en-GB"/>
        </w:rPr>
        <w:t>.</w:t>
      </w:r>
      <w:r w:rsidRPr="00F67CC4">
        <w:rPr>
          <w:rFonts w:cs="Calibri"/>
          <w:bCs/>
          <w:lang w:val="en-GB"/>
        </w:rPr>
        <w:t xml:space="preserve"> PAT is about individuals and their relationship in providing resources to an organization and </w:t>
      </w:r>
      <w:r w:rsidR="00030DFC">
        <w:rPr>
          <w:rFonts w:cs="Calibri"/>
          <w:bCs/>
          <w:lang w:val="en-GB"/>
        </w:rPr>
        <w:t>in which way</w:t>
      </w:r>
      <w:r w:rsidRPr="00F67CC4">
        <w:rPr>
          <w:rFonts w:cs="Calibri"/>
          <w:bCs/>
          <w:lang w:val="en-GB"/>
        </w:rPr>
        <w:t xml:space="preserve"> accounting is used </w:t>
      </w:r>
      <w:r w:rsidR="007E69E2" w:rsidRPr="00F67CC4">
        <w:rPr>
          <w:rFonts w:cs="Calibri"/>
          <w:bCs/>
          <w:lang w:val="en-GB"/>
        </w:rPr>
        <w:t xml:space="preserve">by managers </w:t>
      </w:r>
      <w:r w:rsidRPr="00F67CC4">
        <w:rPr>
          <w:rFonts w:cs="Calibri"/>
          <w:bCs/>
          <w:lang w:val="en-GB"/>
        </w:rPr>
        <w:t>to assist in the functioning of these relationships (Deegan and Unerman 2011, p256)</w:t>
      </w:r>
      <w:r w:rsidR="004F078B" w:rsidRPr="00F67CC4">
        <w:rPr>
          <w:rFonts w:cs="Calibri"/>
          <w:bCs/>
          <w:lang w:val="en-GB"/>
        </w:rPr>
        <w:t>.</w:t>
      </w:r>
      <w:r w:rsidRPr="00F67CC4">
        <w:rPr>
          <w:rFonts w:cs="Calibri"/>
          <w:bCs/>
          <w:lang w:val="en-GB"/>
        </w:rPr>
        <w:t xml:space="preserve"> </w:t>
      </w:r>
    </w:p>
    <w:p w:rsidR="00030DFC" w:rsidRDefault="00F92C63" w:rsidP="00DE5205">
      <w:pPr>
        <w:spacing w:line="360" w:lineRule="auto"/>
        <w:rPr>
          <w:rFonts w:cs="Calibri"/>
          <w:bCs/>
          <w:lang w:val="en-GB"/>
        </w:rPr>
      </w:pPr>
      <w:r w:rsidRPr="00F67CC4">
        <w:rPr>
          <w:rFonts w:cs="Calibri"/>
          <w:bCs/>
          <w:lang w:val="en-GB"/>
        </w:rPr>
        <w:t>When the</w:t>
      </w:r>
      <w:r w:rsidR="001C6A3E" w:rsidRPr="00F67CC4">
        <w:rPr>
          <w:rFonts w:cs="Calibri"/>
          <w:bCs/>
          <w:lang w:val="en-GB"/>
        </w:rPr>
        <w:t xml:space="preserve"> </w:t>
      </w:r>
      <w:r w:rsidRPr="00F67CC4">
        <w:rPr>
          <w:rFonts w:cs="Calibri"/>
          <w:bCs/>
          <w:lang w:val="en-GB"/>
        </w:rPr>
        <w:t xml:space="preserve">different research </w:t>
      </w:r>
      <w:r w:rsidR="001C6A3E" w:rsidRPr="00F67CC4">
        <w:rPr>
          <w:rFonts w:cs="Calibri"/>
          <w:bCs/>
          <w:lang w:val="en-GB"/>
        </w:rPr>
        <w:t>approaches</w:t>
      </w:r>
      <w:r w:rsidR="000B48B9" w:rsidRPr="00F67CC4">
        <w:rPr>
          <w:rFonts w:cs="Calibri"/>
          <w:bCs/>
          <w:lang w:val="en-GB"/>
        </w:rPr>
        <w:t xml:space="preserve"> </w:t>
      </w:r>
      <w:r w:rsidR="00030DFC">
        <w:rPr>
          <w:rFonts w:cs="Calibri"/>
          <w:bCs/>
          <w:lang w:val="en-GB"/>
        </w:rPr>
        <w:t xml:space="preserve">are compared </w:t>
      </w:r>
      <w:r w:rsidR="000B48B9" w:rsidRPr="00F67CC4">
        <w:rPr>
          <w:rFonts w:cs="Calibri"/>
          <w:bCs/>
          <w:lang w:val="en-GB"/>
        </w:rPr>
        <w:t xml:space="preserve">within the </w:t>
      </w:r>
      <w:r w:rsidR="00030DFC">
        <w:rPr>
          <w:rFonts w:cs="Calibri"/>
          <w:bCs/>
          <w:lang w:val="en-GB"/>
        </w:rPr>
        <w:t>field of accounting</w:t>
      </w:r>
      <w:r w:rsidR="001C6A3E" w:rsidRPr="00F67CC4">
        <w:rPr>
          <w:rFonts w:cs="Calibri"/>
          <w:bCs/>
          <w:lang w:val="en-GB"/>
        </w:rPr>
        <w:t xml:space="preserve">, the conclusion is that the Positive research </w:t>
      </w:r>
      <w:r w:rsidR="00510FA0" w:rsidRPr="00F67CC4">
        <w:rPr>
          <w:rFonts w:cs="Calibri"/>
          <w:bCs/>
          <w:lang w:val="en-GB"/>
        </w:rPr>
        <w:t xml:space="preserve">approach </w:t>
      </w:r>
      <w:r w:rsidR="001C6A3E" w:rsidRPr="00F67CC4">
        <w:rPr>
          <w:rFonts w:cs="Calibri"/>
          <w:bCs/>
          <w:lang w:val="en-GB"/>
        </w:rPr>
        <w:t xml:space="preserve">with its </w:t>
      </w:r>
      <w:r w:rsidR="00C3083B">
        <w:rPr>
          <w:rFonts w:cs="Calibri"/>
          <w:bCs/>
          <w:lang w:val="en-GB"/>
        </w:rPr>
        <w:t>fundament</w:t>
      </w:r>
      <w:r w:rsidR="001C6A3E" w:rsidRPr="00F67CC4">
        <w:rPr>
          <w:rFonts w:cs="Calibri"/>
          <w:bCs/>
          <w:lang w:val="en-GB"/>
        </w:rPr>
        <w:t xml:space="preserve"> of observation</w:t>
      </w:r>
      <w:r w:rsidR="000B48B9" w:rsidRPr="00F67CC4">
        <w:rPr>
          <w:rFonts w:cs="Calibri"/>
          <w:bCs/>
          <w:lang w:val="en-GB"/>
        </w:rPr>
        <w:t xml:space="preserve"> and explanation</w:t>
      </w:r>
      <w:r w:rsidR="001C6A3E" w:rsidRPr="00F67CC4">
        <w:rPr>
          <w:rFonts w:cs="Calibri"/>
          <w:bCs/>
          <w:lang w:val="en-GB"/>
        </w:rPr>
        <w:t xml:space="preserve"> is the most appropriate approach </w:t>
      </w:r>
      <w:r w:rsidR="00030DFC">
        <w:rPr>
          <w:rFonts w:cs="Calibri"/>
          <w:bCs/>
          <w:lang w:val="en-GB"/>
        </w:rPr>
        <w:t>in</w:t>
      </w:r>
      <w:r w:rsidR="001C6A3E" w:rsidRPr="00F67CC4">
        <w:rPr>
          <w:rFonts w:cs="Calibri"/>
          <w:bCs/>
          <w:lang w:val="en-GB"/>
        </w:rPr>
        <w:t xml:space="preserve"> this research. More specifically, the Positive Accounting Theory (PAT) developed by Watts and Zimmerman (1978) is the most</w:t>
      </w:r>
      <w:r w:rsidR="00040CDE">
        <w:rPr>
          <w:rFonts w:cs="Calibri"/>
          <w:bCs/>
          <w:lang w:val="en-GB"/>
        </w:rPr>
        <w:t xml:space="preserve"> appropriate specific approach </w:t>
      </w:r>
      <w:r w:rsidR="001C6A3E" w:rsidRPr="00F67CC4">
        <w:rPr>
          <w:rFonts w:cs="Calibri"/>
          <w:bCs/>
          <w:lang w:val="en-GB"/>
        </w:rPr>
        <w:t>because of its ex</w:t>
      </w:r>
      <w:r w:rsidR="00510FA0" w:rsidRPr="00F67CC4">
        <w:rPr>
          <w:rFonts w:cs="Calibri"/>
          <w:bCs/>
          <w:lang w:val="en-GB"/>
        </w:rPr>
        <w:t>plaining and predicting focus on</w:t>
      </w:r>
      <w:r w:rsidR="001C6A3E" w:rsidRPr="00F67CC4">
        <w:rPr>
          <w:rFonts w:cs="Calibri"/>
          <w:bCs/>
          <w:lang w:val="en-GB"/>
        </w:rPr>
        <w:t xml:space="preserve"> the accounting practice. This explaining and predicting </w:t>
      </w:r>
      <w:r w:rsidR="00510FA0" w:rsidRPr="00F67CC4">
        <w:rPr>
          <w:rFonts w:cs="Calibri"/>
          <w:bCs/>
          <w:lang w:val="en-GB"/>
        </w:rPr>
        <w:t xml:space="preserve">of phenomena </w:t>
      </w:r>
      <w:r w:rsidR="00030DFC">
        <w:rPr>
          <w:rFonts w:cs="Calibri"/>
          <w:bCs/>
          <w:lang w:val="en-GB"/>
        </w:rPr>
        <w:t xml:space="preserve">in this research is performing by checking the influence of the introduction of IFRS on in which way and on which level the published earnings are managed. </w:t>
      </w:r>
    </w:p>
    <w:p w:rsidR="00BE14C6" w:rsidRDefault="001C6A3E" w:rsidP="00925ED8">
      <w:pPr>
        <w:spacing w:line="360" w:lineRule="auto"/>
        <w:rPr>
          <w:rFonts w:cs="Calibri"/>
          <w:lang w:val="en-GB"/>
        </w:rPr>
      </w:pPr>
      <w:r w:rsidRPr="00F67CC4">
        <w:rPr>
          <w:rFonts w:cs="Calibri"/>
          <w:b/>
          <w:bCs/>
          <w:lang w:val="en-GB"/>
        </w:rPr>
        <w:t>2.3 Earnings management specific approaches</w:t>
      </w:r>
      <w:r w:rsidRPr="00F67CC4">
        <w:rPr>
          <w:rFonts w:cs="Calibri"/>
          <w:b/>
          <w:bCs/>
          <w:lang w:val="en-GB"/>
        </w:rPr>
        <w:br/>
      </w:r>
      <w:r w:rsidR="00EB0D2A" w:rsidRPr="00F67CC4">
        <w:rPr>
          <w:rFonts w:cs="Calibri"/>
          <w:lang w:val="en-GB"/>
        </w:rPr>
        <w:t xml:space="preserve">After </w:t>
      </w:r>
      <w:r w:rsidR="00030DFC">
        <w:rPr>
          <w:rFonts w:cs="Calibri"/>
          <w:lang w:val="en-GB"/>
        </w:rPr>
        <w:t xml:space="preserve">the determination before </w:t>
      </w:r>
      <w:r w:rsidR="00EB0D2A" w:rsidRPr="00F67CC4">
        <w:rPr>
          <w:rFonts w:cs="Calibri"/>
          <w:lang w:val="en-GB"/>
        </w:rPr>
        <w:t xml:space="preserve">that </w:t>
      </w:r>
      <w:r w:rsidRPr="00F67CC4">
        <w:rPr>
          <w:rFonts w:cs="Calibri"/>
          <w:lang w:val="en-GB"/>
        </w:rPr>
        <w:t>the Positive Accounting Theory (PAT) is most appropriate</w:t>
      </w:r>
      <w:r w:rsidR="000B48B9" w:rsidRPr="00F67CC4">
        <w:rPr>
          <w:rFonts w:cs="Calibri"/>
          <w:lang w:val="en-GB"/>
        </w:rPr>
        <w:t xml:space="preserve"> as general approach</w:t>
      </w:r>
      <w:r w:rsidRPr="00F67CC4">
        <w:rPr>
          <w:rFonts w:cs="Calibri"/>
          <w:lang w:val="en-GB"/>
        </w:rPr>
        <w:t xml:space="preserve">, the focus will be on more specific approaches. </w:t>
      </w:r>
      <w:r w:rsidR="00030DFC">
        <w:rPr>
          <w:rFonts w:cs="Calibri"/>
          <w:lang w:val="en-GB"/>
        </w:rPr>
        <w:t>In which way</w:t>
      </w:r>
      <w:r w:rsidR="00BE14C6">
        <w:rPr>
          <w:rFonts w:cs="Calibri"/>
          <w:lang w:val="en-GB"/>
        </w:rPr>
        <w:t xml:space="preserve"> are </w:t>
      </w:r>
      <w:r w:rsidR="00030DFC">
        <w:rPr>
          <w:rFonts w:cs="Calibri"/>
          <w:lang w:val="en-GB"/>
        </w:rPr>
        <w:t xml:space="preserve">the published </w:t>
      </w:r>
      <w:r w:rsidR="00BE14C6">
        <w:rPr>
          <w:rFonts w:cs="Calibri"/>
          <w:lang w:val="en-GB"/>
        </w:rPr>
        <w:t xml:space="preserve">earnings managed? Which items </w:t>
      </w:r>
      <w:r w:rsidR="00030DFC">
        <w:rPr>
          <w:rFonts w:cs="Calibri"/>
          <w:lang w:val="en-GB"/>
        </w:rPr>
        <w:t xml:space="preserve">in </w:t>
      </w:r>
      <w:r w:rsidR="00BE14C6">
        <w:rPr>
          <w:rFonts w:cs="Calibri"/>
          <w:lang w:val="en-GB"/>
        </w:rPr>
        <w:t>the financial statements are used to perform earnings management? In t</w:t>
      </w:r>
      <w:r w:rsidR="00A812E3">
        <w:rPr>
          <w:rFonts w:cs="Calibri"/>
          <w:lang w:val="en-GB"/>
        </w:rPr>
        <w:t>his section, the accruals-based</w:t>
      </w:r>
      <w:r w:rsidR="00BE14C6">
        <w:rPr>
          <w:rFonts w:cs="Calibri"/>
          <w:lang w:val="en-GB"/>
        </w:rPr>
        <w:t xml:space="preserve"> and real method for d</w:t>
      </w:r>
      <w:r w:rsidR="00030DFC">
        <w:rPr>
          <w:rFonts w:cs="Calibri"/>
          <w:lang w:val="en-GB"/>
        </w:rPr>
        <w:t>etecting earnings management will be presented</w:t>
      </w:r>
      <w:r w:rsidR="00BE14C6">
        <w:rPr>
          <w:rFonts w:cs="Calibri"/>
          <w:lang w:val="en-GB"/>
        </w:rPr>
        <w:t xml:space="preserve">. </w:t>
      </w:r>
    </w:p>
    <w:p w:rsidR="00030DFC" w:rsidRDefault="00030DFC" w:rsidP="00F74511">
      <w:pPr>
        <w:spacing w:line="360" w:lineRule="auto"/>
        <w:rPr>
          <w:rFonts w:cs="Calibri"/>
          <w:b/>
          <w:lang w:val="en-GB"/>
        </w:rPr>
      </w:pPr>
    </w:p>
    <w:p w:rsidR="001C6A3E" w:rsidRPr="00F67CC4" w:rsidRDefault="001C6A3E" w:rsidP="00F74511">
      <w:pPr>
        <w:spacing w:line="360" w:lineRule="auto"/>
        <w:rPr>
          <w:rFonts w:cs="Calibri"/>
          <w:lang w:val="en-GB"/>
        </w:rPr>
      </w:pPr>
      <w:r w:rsidRPr="00F67CC4">
        <w:rPr>
          <w:rFonts w:cs="Calibri"/>
          <w:b/>
          <w:lang w:val="en-GB"/>
        </w:rPr>
        <w:lastRenderedPageBreak/>
        <w:t>2.3.1 Accrual-based approach</w:t>
      </w:r>
      <w:r w:rsidRPr="00F67CC4">
        <w:rPr>
          <w:rFonts w:cs="Calibri"/>
          <w:lang w:val="en-GB"/>
        </w:rPr>
        <w:t xml:space="preserve"> </w:t>
      </w:r>
      <w:r w:rsidRPr="00F67CC4">
        <w:rPr>
          <w:rFonts w:cs="Calibri"/>
          <w:lang w:val="en-GB"/>
        </w:rPr>
        <w:br/>
      </w:r>
      <w:r w:rsidR="00A812E3">
        <w:rPr>
          <w:rFonts w:cs="Calibri"/>
          <w:lang w:val="en-GB"/>
        </w:rPr>
        <w:t xml:space="preserve">The focus of the accruals-based method for detecting </w:t>
      </w:r>
      <w:r w:rsidR="00030DFC">
        <w:rPr>
          <w:rFonts w:cs="Calibri"/>
          <w:lang w:val="en-GB"/>
        </w:rPr>
        <w:t xml:space="preserve">the use of </w:t>
      </w:r>
      <w:r w:rsidR="00A812E3">
        <w:rPr>
          <w:rFonts w:cs="Calibri"/>
          <w:lang w:val="en-GB"/>
        </w:rPr>
        <w:t>earnings management can be on different aspects of the accruals</w:t>
      </w:r>
      <w:r w:rsidR="00942605" w:rsidRPr="00F67CC4">
        <w:rPr>
          <w:rFonts w:cs="Calibri"/>
          <w:lang w:val="en-GB"/>
        </w:rPr>
        <w:t xml:space="preserve">; </w:t>
      </w:r>
      <w:r w:rsidRPr="00F67CC4">
        <w:rPr>
          <w:rFonts w:cs="Calibri"/>
          <w:lang w:val="en-GB"/>
        </w:rPr>
        <w:t>the aggregation</w:t>
      </w:r>
      <w:r w:rsidR="0061179F" w:rsidRPr="00F67CC4">
        <w:rPr>
          <w:rFonts w:cs="Calibri"/>
          <w:lang w:val="en-GB"/>
        </w:rPr>
        <w:t xml:space="preserve"> of </w:t>
      </w:r>
      <w:r w:rsidR="00030DFC">
        <w:rPr>
          <w:rFonts w:cs="Calibri"/>
          <w:lang w:val="en-GB"/>
        </w:rPr>
        <w:t xml:space="preserve">the </w:t>
      </w:r>
      <w:r w:rsidR="0061179F" w:rsidRPr="00F67CC4">
        <w:rPr>
          <w:rFonts w:cs="Calibri"/>
          <w:lang w:val="en-GB"/>
        </w:rPr>
        <w:t>accruals</w:t>
      </w:r>
      <w:r w:rsidRPr="00F67CC4">
        <w:rPr>
          <w:rFonts w:cs="Calibri"/>
          <w:lang w:val="en-GB"/>
        </w:rPr>
        <w:t>, specific accruals and the distribution of</w:t>
      </w:r>
      <w:r w:rsidR="00030DFC">
        <w:rPr>
          <w:rFonts w:cs="Calibri"/>
          <w:lang w:val="en-GB"/>
        </w:rPr>
        <w:t xml:space="preserve"> the</w:t>
      </w:r>
      <w:r w:rsidRPr="00F67CC4">
        <w:rPr>
          <w:rFonts w:cs="Calibri"/>
          <w:lang w:val="en-GB"/>
        </w:rPr>
        <w:t xml:space="preserve"> accruals. </w:t>
      </w:r>
    </w:p>
    <w:p w:rsidR="00002FF0" w:rsidRPr="00F67CC4" w:rsidRDefault="001C6A3E" w:rsidP="00F74511">
      <w:pPr>
        <w:spacing w:line="360" w:lineRule="auto"/>
        <w:rPr>
          <w:rFonts w:cs="Calibri"/>
          <w:bCs/>
          <w:lang w:val="en-GB"/>
        </w:rPr>
      </w:pPr>
      <w:r w:rsidRPr="00F67CC4">
        <w:rPr>
          <w:rFonts w:cs="Calibri"/>
          <w:lang w:val="en-GB"/>
        </w:rPr>
        <w:t xml:space="preserve">When the focus is on the aggregate accruals, the total </w:t>
      </w:r>
      <w:r w:rsidR="00E2716D">
        <w:rPr>
          <w:rFonts w:cs="Calibri"/>
          <w:lang w:val="en-GB"/>
        </w:rPr>
        <w:t xml:space="preserve">amount of </w:t>
      </w:r>
      <w:r w:rsidR="00030DFC">
        <w:rPr>
          <w:rFonts w:cs="Calibri"/>
          <w:lang w:val="en-GB"/>
        </w:rPr>
        <w:t xml:space="preserve">the </w:t>
      </w:r>
      <w:r w:rsidRPr="00F67CC4">
        <w:rPr>
          <w:rFonts w:cs="Calibri"/>
          <w:lang w:val="en-GB"/>
        </w:rPr>
        <w:t xml:space="preserve">accruals and the change in this total </w:t>
      </w:r>
      <w:r w:rsidR="00942605" w:rsidRPr="00F67CC4">
        <w:rPr>
          <w:rFonts w:cs="Calibri"/>
          <w:lang w:val="en-GB"/>
        </w:rPr>
        <w:t>amount are the measures of managements’</w:t>
      </w:r>
      <w:r w:rsidRPr="00F67CC4">
        <w:rPr>
          <w:rFonts w:cs="Calibri"/>
          <w:lang w:val="en-GB"/>
        </w:rPr>
        <w:t xml:space="preserve"> discretion over </w:t>
      </w:r>
      <w:r w:rsidR="00030DFC">
        <w:rPr>
          <w:rFonts w:cs="Calibri"/>
          <w:lang w:val="en-GB"/>
        </w:rPr>
        <w:t xml:space="preserve">the </w:t>
      </w:r>
      <w:r w:rsidRPr="00F67CC4">
        <w:rPr>
          <w:rFonts w:cs="Calibri"/>
          <w:lang w:val="en-GB"/>
        </w:rPr>
        <w:t>earnings</w:t>
      </w:r>
      <w:r w:rsidRPr="00F67CC4">
        <w:rPr>
          <w:rFonts w:cs="Calibri"/>
          <w:bCs/>
          <w:lang w:val="en-GB"/>
        </w:rPr>
        <w:t xml:space="preserve"> </w:t>
      </w:r>
      <w:r w:rsidR="00455A59" w:rsidRPr="00F67CC4">
        <w:rPr>
          <w:rFonts w:cs="Calibri"/>
          <w:bCs/>
          <w:lang w:val="en-GB"/>
        </w:rPr>
        <w:t>(McNichols</w:t>
      </w:r>
      <w:r w:rsidRPr="00F67CC4">
        <w:rPr>
          <w:rFonts w:cs="Calibri"/>
          <w:bCs/>
          <w:lang w:val="en-GB"/>
        </w:rPr>
        <w:t xml:space="preserve"> 2000</w:t>
      </w:r>
      <w:r w:rsidR="00455A59" w:rsidRPr="00F67CC4">
        <w:rPr>
          <w:rFonts w:cs="Calibri"/>
          <w:bCs/>
          <w:lang w:val="en-GB"/>
        </w:rPr>
        <w:t>,</w:t>
      </w:r>
      <w:r w:rsidRPr="00F67CC4">
        <w:rPr>
          <w:rFonts w:cs="Calibri"/>
          <w:bCs/>
          <w:lang w:val="en-GB"/>
        </w:rPr>
        <w:t xml:space="preserve"> p</w:t>
      </w:r>
      <w:r w:rsidR="00030DFC">
        <w:rPr>
          <w:rFonts w:cs="Calibri"/>
          <w:bCs/>
          <w:lang w:val="en-GB"/>
        </w:rPr>
        <w:t xml:space="preserve"> </w:t>
      </w:r>
      <w:r w:rsidRPr="00F67CC4">
        <w:rPr>
          <w:rFonts w:cs="Calibri"/>
          <w:bCs/>
          <w:lang w:val="en-GB"/>
        </w:rPr>
        <w:t>316)</w:t>
      </w:r>
      <w:r w:rsidR="004F078B" w:rsidRPr="00F67CC4">
        <w:rPr>
          <w:rFonts w:cs="Calibri"/>
          <w:bCs/>
          <w:lang w:val="en-GB"/>
        </w:rPr>
        <w:t>.</w:t>
      </w:r>
      <w:r w:rsidRPr="00F67CC4">
        <w:rPr>
          <w:rFonts w:cs="Calibri"/>
          <w:bCs/>
          <w:lang w:val="en-GB"/>
        </w:rPr>
        <w:t xml:space="preserve"> </w:t>
      </w:r>
      <w:r w:rsidR="00030DFC">
        <w:rPr>
          <w:rFonts w:cs="Calibri"/>
          <w:bCs/>
          <w:lang w:val="en-GB"/>
        </w:rPr>
        <w:t>In order to check for the economic circumstances of a company, i</w:t>
      </w:r>
      <w:r w:rsidRPr="00F67CC4">
        <w:rPr>
          <w:rFonts w:cs="Calibri"/>
          <w:bCs/>
          <w:lang w:val="en-GB"/>
        </w:rPr>
        <w:t>mportant aspects that should be checked for are non</w:t>
      </w:r>
      <w:r w:rsidR="00061264" w:rsidRPr="00F67CC4">
        <w:rPr>
          <w:rFonts w:cs="Calibri"/>
          <w:bCs/>
          <w:lang w:val="en-GB"/>
        </w:rPr>
        <w:t>-</w:t>
      </w:r>
      <w:r w:rsidRPr="00F67CC4">
        <w:rPr>
          <w:rFonts w:cs="Calibri"/>
          <w:bCs/>
          <w:lang w:val="en-GB"/>
        </w:rPr>
        <w:t>discretionary factors like sales and Property, Plant &amp; Equipment (PP&amp;E) in relation to the total accruals (McNichols 2000</w:t>
      </w:r>
      <w:r w:rsidR="00455A59" w:rsidRPr="00F67CC4">
        <w:rPr>
          <w:rFonts w:cs="Calibri"/>
          <w:bCs/>
          <w:lang w:val="en-GB"/>
        </w:rPr>
        <w:t>,</w:t>
      </w:r>
      <w:r w:rsidRPr="00F67CC4">
        <w:rPr>
          <w:rFonts w:cs="Calibri"/>
          <w:bCs/>
          <w:lang w:val="en-GB"/>
        </w:rPr>
        <w:t xml:space="preserve"> p</w:t>
      </w:r>
      <w:r w:rsidR="00030DFC">
        <w:rPr>
          <w:rFonts w:cs="Calibri"/>
          <w:bCs/>
          <w:lang w:val="en-GB"/>
        </w:rPr>
        <w:t xml:space="preserve"> </w:t>
      </w:r>
      <w:r w:rsidRPr="00F67CC4">
        <w:rPr>
          <w:rFonts w:cs="Calibri"/>
          <w:bCs/>
          <w:lang w:val="en-GB"/>
        </w:rPr>
        <w:t>316)</w:t>
      </w:r>
      <w:r w:rsidR="004F078B" w:rsidRPr="00F67CC4">
        <w:rPr>
          <w:rFonts w:cs="Calibri"/>
          <w:bCs/>
          <w:lang w:val="en-GB"/>
        </w:rPr>
        <w:t>.</w:t>
      </w:r>
      <w:r w:rsidRPr="00F67CC4">
        <w:rPr>
          <w:rFonts w:cs="Calibri"/>
          <w:bCs/>
          <w:lang w:val="en-GB"/>
        </w:rPr>
        <w:t xml:space="preserve"> </w:t>
      </w:r>
    </w:p>
    <w:p w:rsidR="001C6A3E" w:rsidRPr="00F67CC4" w:rsidRDefault="001C6A3E" w:rsidP="00F74511">
      <w:pPr>
        <w:spacing w:line="360" w:lineRule="auto"/>
        <w:rPr>
          <w:rFonts w:cs="Calibri"/>
          <w:b/>
          <w:bCs/>
          <w:lang w:val="en-GB"/>
        </w:rPr>
      </w:pPr>
      <w:r w:rsidRPr="00F67CC4">
        <w:rPr>
          <w:rFonts w:cs="Calibri"/>
          <w:bCs/>
          <w:lang w:val="en-GB"/>
        </w:rPr>
        <w:t>Research on specific accruals focuses on a single accrual that is sizable and re</w:t>
      </w:r>
      <w:r w:rsidR="00061264" w:rsidRPr="00F67CC4">
        <w:rPr>
          <w:rFonts w:cs="Calibri"/>
          <w:bCs/>
          <w:lang w:val="en-GB"/>
        </w:rPr>
        <w:t>quires substantial judgment. Mc</w:t>
      </w:r>
      <w:r w:rsidRPr="00F67CC4">
        <w:rPr>
          <w:rFonts w:cs="Calibri"/>
          <w:bCs/>
          <w:lang w:val="en-GB"/>
        </w:rPr>
        <w:t>Nichols (2000) points out</w:t>
      </w:r>
      <w:r w:rsidR="00E2716D">
        <w:rPr>
          <w:rFonts w:cs="Calibri"/>
          <w:bCs/>
          <w:lang w:val="en-GB"/>
        </w:rPr>
        <w:t xml:space="preserve"> that</w:t>
      </w:r>
      <w:r w:rsidRPr="00F67CC4">
        <w:rPr>
          <w:rFonts w:cs="Calibri"/>
          <w:bCs/>
          <w:lang w:val="en-GB"/>
        </w:rPr>
        <w:t xml:space="preserve"> prior </w:t>
      </w:r>
      <w:r w:rsidR="007E5FE7" w:rsidRPr="00F67CC4">
        <w:rPr>
          <w:rFonts w:cs="Calibri"/>
          <w:bCs/>
          <w:lang w:val="en-GB"/>
        </w:rPr>
        <w:t xml:space="preserve">studies </w:t>
      </w:r>
      <w:r w:rsidR="00F34124" w:rsidRPr="00F67CC4">
        <w:rPr>
          <w:rFonts w:cs="Calibri"/>
          <w:bCs/>
          <w:lang w:val="en-GB"/>
        </w:rPr>
        <w:t>have found that managements’</w:t>
      </w:r>
      <w:r w:rsidRPr="00F67CC4">
        <w:rPr>
          <w:rFonts w:cs="Calibri"/>
          <w:bCs/>
          <w:lang w:val="en-GB"/>
        </w:rPr>
        <w:t xml:space="preserve"> discretion is likely to be reflected in a specifi</w:t>
      </w:r>
      <w:r w:rsidR="00A81A82" w:rsidRPr="00F67CC4">
        <w:rPr>
          <w:rFonts w:cs="Calibri"/>
          <w:bCs/>
          <w:lang w:val="en-GB"/>
        </w:rPr>
        <w:t>c accrual or set of accruals like</w:t>
      </w:r>
      <w:r w:rsidRPr="00F67CC4">
        <w:rPr>
          <w:rFonts w:cs="Calibri"/>
          <w:bCs/>
          <w:lang w:val="en-GB"/>
        </w:rPr>
        <w:t xml:space="preserve"> bad debts, loss reser</w:t>
      </w:r>
      <w:r w:rsidR="00E2716D">
        <w:rPr>
          <w:rFonts w:cs="Calibri"/>
          <w:bCs/>
          <w:lang w:val="en-GB"/>
        </w:rPr>
        <w:t>ves and loan losses for example</w:t>
      </w:r>
      <w:r w:rsidRPr="00F67CC4">
        <w:rPr>
          <w:rFonts w:cs="Calibri"/>
          <w:b/>
          <w:bCs/>
          <w:lang w:val="en-GB"/>
        </w:rPr>
        <w:t xml:space="preserve"> </w:t>
      </w:r>
      <w:r w:rsidR="0043289E" w:rsidRPr="00F67CC4">
        <w:rPr>
          <w:rFonts w:cs="Calibri"/>
          <w:bCs/>
          <w:lang w:val="en-GB"/>
        </w:rPr>
        <w:t>(McNichols 2000, p</w:t>
      </w:r>
      <w:r w:rsidR="00AB6CB4">
        <w:rPr>
          <w:rFonts w:cs="Calibri"/>
          <w:bCs/>
          <w:lang w:val="en-GB"/>
        </w:rPr>
        <w:t xml:space="preserve"> </w:t>
      </w:r>
      <w:r w:rsidR="0043289E" w:rsidRPr="00F67CC4">
        <w:rPr>
          <w:rFonts w:cs="Calibri"/>
          <w:bCs/>
          <w:lang w:val="en-GB"/>
        </w:rPr>
        <w:t>316)</w:t>
      </w:r>
      <w:r w:rsidR="00E2716D">
        <w:rPr>
          <w:rFonts w:cs="Calibri"/>
          <w:bCs/>
          <w:lang w:val="en-GB"/>
        </w:rPr>
        <w:t>.</w:t>
      </w:r>
    </w:p>
    <w:p w:rsidR="001C6A3E" w:rsidRPr="00F67CC4" w:rsidRDefault="001C6A3E" w:rsidP="00F74511">
      <w:pPr>
        <w:spacing w:line="360" w:lineRule="auto"/>
        <w:rPr>
          <w:rFonts w:cs="Calibri"/>
          <w:bCs/>
          <w:lang w:val="en-GB"/>
        </w:rPr>
      </w:pPr>
      <w:r w:rsidRPr="00F67CC4">
        <w:rPr>
          <w:rFonts w:cs="Calibri"/>
          <w:bCs/>
          <w:lang w:val="en-GB"/>
        </w:rPr>
        <w:t xml:space="preserve">The third and last approach for examining accruals is the examination of </w:t>
      </w:r>
      <w:r w:rsidR="00AB6CB4">
        <w:rPr>
          <w:rFonts w:cs="Calibri"/>
          <w:bCs/>
          <w:lang w:val="en-GB"/>
        </w:rPr>
        <w:t xml:space="preserve">the </w:t>
      </w:r>
      <w:r w:rsidRPr="00F67CC4">
        <w:rPr>
          <w:rFonts w:cs="Calibri"/>
          <w:bCs/>
          <w:lang w:val="en-GB"/>
        </w:rPr>
        <w:t xml:space="preserve">statistical properties of earnings to identify behaviour of earnings around a specified benchmark such as </w:t>
      </w:r>
      <w:r w:rsidR="0043289E" w:rsidRPr="00F67CC4">
        <w:rPr>
          <w:rFonts w:cs="Calibri"/>
          <w:bCs/>
          <w:lang w:val="en-GB"/>
        </w:rPr>
        <w:t>zero earnings or prior quarters’</w:t>
      </w:r>
      <w:r w:rsidRPr="00F67CC4">
        <w:rPr>
          <w:rFonts w:cs="Calibri"/>
          <w:bCs/>
          <w:lang w:val="en-GB"/>
        </w:rPr>
        <w:t xml:space="preserve"> earnings. This approach developed by Burgs</w:t>
      </w:r>
      <w:r w:rsidR="00061264" w:rsidRPr="00F67CC4">
        <w:rPr>
          <w:rFonts w:cs="Calibri"/>
          <w:bCs/>
          <w:lang w:val="en-GB"/>
        </w:rPr>
        <w:t>tahler and Dichev (1997) and DeG</w:t>
      </w:r>
      <w:r w:rsidRPr="00F67CC4">
        <w:rPr>
          <w:rFonts w:cs="Calibri"/>
          <w:bCs/>
          <w:lang w:val="en-GB"/>
        </w:rPr>
        <w:t>eorge et al. (1999) tests whether the amounts that differ from the benchmark are distributed smoo</w:t>
      </w:r>
      <w:r w:rsidR="004F078B" w:rsidRPr="00F67CC4">
        <w:rPr>
          <w:rFonts w:cs="Calibri"/>
          <w:bCs/>
          <w:lang w:val="en-GB"/>
        </w:rPr>
        <w:t>thly or reflect discontinuities</w:t>
      </w:r>
      <w:r w:rsidR="00455A59" w:rsidRPr="00F67CC4">
        <w:rPr>
          <w:rFonts w:cs="Calibri"/>
          <w:bCs/>
          <w:lang w:val="en-GB"/>
        </w:rPr>
        <w:t xml:space="preserve"> (McNichols</w:t>
      </w:r>
      <w:r w:rsidRPr="00F67CC4">
        <w:rPr>
          <w:rFonts w:cs="Calibri"/>
          <w:bCs/>
          <w:lang w:val="en-GB"/>
        </w:rPr>
        <w:t xml:space="preserve"> 2000</w:t>
      </w:r>
      <w:r w:rsidR="00455A59" w:rsidRPr="00F67CC4">
        <w:rPr>
          <w:rFonts w:cs="Calibri"/>
          <w:bCs/>
          <w:lang w:val="en-GB"/>
        </w:rPr>
        <w:t>,</w:t>
      </w:r>
      <w:r w:rsidRPr="00F67CC4">
        <w:rPr>
          <w:rFonts w:cs="Calibri"/>
          <w:bCs/>
          <w:lang w:val="en-GB"/>
        </w:rPr>
        <w:t xml:space="preserve"> p</w:t>
      </w:r>
      <w:r w:rsidR="00AB6CB4">
        <w:rPr>
          <w:rFonts w:cs="Calibri"/>
          <w:bCs/>
          <w:lang w:val="en-GB"/>
        </w:rPr>
        <w:t xml:space="preserve"> </w:t>
      </w:r>
      <w:r w:rsidRPr="00F67CC4">
        <w:rPr>
          <w:rFonts w:cs="Calibri"/>
          <w:bCs/>
          <w:lang w:val="en-GB"/>
        </w:rPr>
        <w:t>316)</w:t>
      </w:r>
      <w:r w:rsidR="004F078B" w:rsidRPr="00F67CC4">
        <w:rPr>
          <w:rFonts w:cs="Calibri"/>
          <w:bCs/>
          <w:lang w:val="en-GB"/>
        </w:rPr>
        <w:t>.</w:t>
      </w:r>
    </w:p>
    <w:p w:rsidR="00B84045" w:rsidRPr="00F67CC4" w:rsidRDefault="00AB6CB4" w:rsidP="00B84045">
      <w:pPr>
        <w:spacing w:line="360" w:lineRule="auto"/>
        <w:rPr>
          <w:rFonts w:cs="Calibri"/>
          <w:bCs/>
          <w:lang w:val="en-GB"/>
        </w:rPr>
      </w:pPr>
      <w:r>
        <w:rPr>
          <w:rFonts w:cs="Calibri"/>
          <w:bCs/>
          <w:lang w:val="en-GB"/>
        </w:rPr>
        <w:t xml:space="preserve">When </w:t>
      </w:r>
      <w:r w:rsidR="0043289E" w:rsidRPr="00F67CC4">
        <w:rPr>
          <w:rFonts w:cs="Calibri"/>
          <w:bCs/>
          <w:lang w:val="en-GB"/>
        </w:rPr>
        <w:t xml:space="preserve">these approaches </w:t>
      </w:r>
      <w:r>
        <w:rPr>
          <w:rFonts w:cs="Calibri"/>
          <w:bCs/>
          <w:lang w:val="en-GB"/>
        </w:rPr>
        <w:t xml:space="preserve">are compared </w:t>
      </w:r>
      <w:r w:rsidR="0043289E" w:rsidRPr="00F67CC4">
        <w:rPr>
          <w:rFonts w:cs="Calibri"/>
          <w:bCs/>
          <w:lang w:val="en-GB"/>
        </w:rPr>
        <w:t>to</w:t>
      </w:r>
      <w:r w:rsidR="00833C23">
        <w:rPr>
          <w:rFonts w:cs="Calibri"/>
          <w:bCs/>
          <w:lang w:val="en-GB"/>
        </w:rPr>
        <w:t xml:space="preserve"> be</w:t>
      </w:r>
      <w:r w:rsidR="0043289E" w:rsidRPr="00F67CC4">
        <w:rPr>
          <w:rFonts w:cs="Calibri"/>
          <w:bCs/>
          <w:lang w:val="en-GB"/>
        </w:rPr>
        <w:t xml:space="preserve"> use</w:t>
      </w:r>
      <w:r w:rsidR="00833C23">
        <w:rPr>
          <w:rFonts w:cs="Calibri"/>
          <w:bCs/>
          <w:lang w:val="en-GB"/>
        </w:rPr>
        <w:t>d</w:t>
      </w:r>
      <w:r w:rsidR="0043289E" w:rsidRPr="00F67CC4">
        <w:rPr>
          <w:rFonts w:cs="Calibri"/>
          <w:bCs/>
          <w:lang w:val="en-GB"/>
        </w:rPr>
        <w:t xml:space="preserve"> </w:t>
      </w:r>
      <w:r>
        <w:rPr>
          <w:rFonts w:cs="Calibri"/>
          <w:bCs/>
          <w:lang w:val="en-GB"/>
        </w:rPr>
        <w:t>in</w:t>
      </w:r>
      <w:r w:rsidR="0043289E" w:rsidRPr="00F67CC4">
        <w:rPr>
          <w:rFonts w:cs="Calibri"/>
          <w:bCs/>
          <w:lang w:val="en-GB"/>
        </w:rPr>
        <w:t xml:space="preserve"> this research, the </w:t>
      </w:r>
      <w:r>
        <w:rPr>
          <w:rFonts w:cs="Calibri"/>
          <w:bCs/>
          <w:lang w:val="en-GB"/>
        </w:rPr>
        <w:t>finding</w:t>
      </w:r>
      <w:r w:rsidR="0043289E" w:rsidRPr="00F67CC4">
        <w:rPr>
          <w:rFonts w:cs="Calibri"/>
          <w:bCs/>
          <w:lang w:val="en-GB"/>
        </w:rPr>
        <w:t xml:space="preserve"> is that the</w:t>
      </w:r>
      <w:r w:rsidR="00833C23">
        <w:rPr>
          <w:rFonts w:cs="Calibri"/>
          <w:bCs/>
          <w:lang w:val="en-GB"/>
        </w:rPr>
        <w:t xml:space="preserve"> aggregate accruals,</w:t>
      </w:r>
      <w:r w:rsidR="0043289E" w:rsidRPr="00F67CC4">
        <w:rPr>
          <w:rFonts w:cs="Calibri"/>
          <w:bCs/>
          <w:lang w:val="en-GB"/>
        </w:rPr>
        <w:t xml:space="preserve"> </w:t>
      </w:r>
      <w:r w:rsidR="00833C23">
        <w:rPr>
          <w:rFonts w:cs="Calibri"/>
          <w:bCs/>
          <w:lang w:val="en-GB"/>
        </w:rPr>
        <w:t xml:space="preserve">the </w:t>
      </w:r>
      <w:r w:rsidR="0043289E" w:rsidRPr="00F67CC4">
        <w:rPr>
          <w:rFonts w:cs="Calibri"/>
          <w:bCs/>
          <w:lang w:val="en-GB"/>
        </w:rPr>
        <w:t>total amount of accruals</w:t>
      </w:r>
      <w:r w:rsidR="00833C23">
        <w:rPr>
          <w:rFonts w:cs="Calibri"/>
          <w:bCs/>
          <w:lang w:val="en-GB"/>
        </w:rPr>
        <w:t>,</w:t>
      </w:r>
      <w:r w:rsidR="0043289E" w:rsidRPr="00F67CC4">
        <w:rPr>
          <w:rFonts w:cs="Calibri"/>
          <w:bCs/>
          <w:lang w:val="en-GB"/>
        </w:rPr>
        <w:t xml:space="preserve"> </w:t>
      </w:r>
      <w:r>
        <w:rPr>
          <w:rFonts w:cs="Calibri"/>
          <w:bCs/>
          <w:lang w:val="en-GB"/>
        </w:rPr>
        <w:t xml:space="preserve">in this research </w:t>
      </w:r>
      <w:r w:rsidR="0043289E" w:rsidRPr="00F67CC4">
        <w:rPr>
          <w:rFonts w:cs="Calibri"/>
          <w:bCs/>
          <w:lang w:val="en-GB"/>
        </w:rPr>
        <w:t xml:space="preserve">will be used. The total amount of accruals will be used to determine the total amount of earnings management by the </w:t>
      </w:r>
      <w:r w:rsidR="002B42C7">
        <w:rPr>
          <w:rFonts w:cs="Calibri"/>
          <w:bCs/>
          <w:lang w:val="en-GB"/>
        </w:rPr>
        <w:t xml:space="preserve">accruals-based </w:t>
      </w:r>
      <w:r w:rsidR="0043289E" w:rsidRPr="00F67CC4">
        <w:rPr>
          <w:rFonts w:cs="Calibri"/>
          <w:bCs/>
          <w:lang w:val="en-GB"/>
        </w:rPr>
        <w:t xml:space="preserve">method. </w:t>
      </w:r>
      <w:r w:rsidR="00B84045" w:rsidRPr="00F67CC4">
        <w:rPr>
          <w:rFonts w:cs="Calibri"/>
          <w:bCs/>
          <w:lang w:val="en-GB"/>
        </w:rPr>
        <w:t xml:space="preserve">Models like the Jones model (1991) and </w:t>
      </w:r>
      <w:r>
        <w:rPr>
          <w:rFonts w:cs="Calibri"/>
          <w:bCs/>
          <w:lang w:val="en-GB"/>
        </w:rPr>
        <w:t xml:space="preserve">the </w:t>
      </w:r>
      <w:r w:rsidR="00B84045" w:rsidRPr="00F67CC4">
        <w:rPr>
          <w:rFonts w:cs="Calibri"/>
          <w:bCs/>
          <w:lang w:val="en-GB"/>
        </w:rPr>
        <w:t xml:space="preserve">Modified Jones model (1995) are aggregate accruals models </w:t>
      </w:r>
      <w:r>
        <w:rPr>
          <w:rFonts w:cs="Calibri"/>
          <w:bCs/>
          <w:lang w:val="en-GB"/>
        </w:rPr>
        <w:t xml:space="preserve">that focus on the residual of </w:t>
      </w:r>
      <w:r w:rsidR="00B84045" w:rsidRPr="00F67CC4">
        <w:rPr>
          <w:rFonts w:cs="Calibri"/>
          <w:bCs/>
          <w:lang w:val="en-GB"/>
        </w:rPr>
        <w:t>the regression of</w:t>
      </w:r>
      <w:r>
        <w:rPr>
          <w:rFonts w:cs="Calibri"/>
          <w:bCs/>
          <w:lang w:val="en-GB"/>
        </w:rPr>
        <w:t xml:space="preserve"> the</w:t>
      </w:r>
      <w:r w:rsidR="00B84045" w:rsidRPr="00F67CC4">
        <w:rPr>
          <w:rFonts w:cs="Calibri"/>
          <w:bCs/>
          <w:lang w:val="en-GB"/>
        </w:rPr>
        <w:t xml:space="preserve"> total accruals controlli</w:t>
      </w:r>
      <w:r w:rsidR="00E2716D">
        <w:rPr>
          <w:rFonts w:cs="Calibri"/>
          <w:bCs/>
          <w:lang w:val="en-GB"/>
        </w:rPr>
        <w:t>ng for nondiscretionary factors</w:t>
      </w:r>
      <w:r w:rsidR="00B84045" w:rsidRPr="00F67CC4">
        <w:rPr>
          <w:rFonts w:cs="Calibri"/>
          <w:bCs/>
          <w:lang w:val="en-GB"/>
        </w:rPr>
        <w:t xml:space="preserve"> (McNichols 2000, p317)</w:t>
      </w:r>
      <w:r w:rsidR="00E2716D">
        <w:rPr>
          <w:rFonts w:cs="Calibri"/>
          <w:bCs/>
          <w:lang w:val="en-GB"/>
        </w:rPr>
        <w:t>.</w:t>
      </w:r>
      <w:r w:rsidR="00B84045" w:rsidRPr="00F67CC4">
        <w:rPr>
          <w:rFonts w:cs="Calibri"/>
          <w:bCs/>
          <w:lang w:val="en-GB"/>
        </w:rPr>
        <w:t xml:space="preserve"> </w:t>
      </w:r>
      <w:r w:rsidR="0043289E" w:rsidRPr="00F67CC4">
        <w:rPr>
          <w:rFonts w:cs="Calibri"/>
          <w:bCs/>
          <w:lang w:val="en-GB"/>
        </w:rPr>
        <w:t xml:space="preserve">Various </w:t>
      </w:r>
      <w:r w:rsidR="002B42C7">
        <w:rPr>
          <w:rFonts w:cs="Calibri"/>
          <w:bCs/>
          <w:lang w:val="en-GB"/>
        </w:rPr>
        <w:t xml:space="preserve">models for detecting </w:t>
      </w:r>
      <w:r w:rsidR="0043289E" w:rsidRPr="00F67CC4">
        <w:rPr>
          <w:rFonts w:cs="Calibri"/>
          <w:bCs/>
          <w:lang w:val="en-GB"/>
        </w:rPr>
        <w:t>a</w:t>
      </w:r>
      <w:r w:rsidR="00B84045" w:rsidRPr="00F67CC4">
        <w:rPr>
          <w:rFonts w:cs="Calibri"/>
          <w:bCs/>
          <w:lang w:val="en-GB"/>
        </w:rPr>
        <w:t>cc</w:t>
      </w:r>
      <w:r w:rsidR="002B42C7">
        <w:rPr>
          <w:rFonts w:cs="Calibri"/>
          <w:bCs/>
          <w:lang w:val="en-GB"/>
        </w:rPr>
        <w:t>ruals-</w:t>
      </w:r>
      <w:r w:rsidR="0043289E" w:rsidRPr="00F67CC4">
        <w:rPr>
          <w:rFonts w:cs="Calibri"/>
          <w:bCs/>
          <w:lang w:val="en-GB"/>
        </w:rPr>
        <w:t>based</w:t>
      </w:r>
      <w:r w:rsidR="002B42C7">
        <w:rPr>
          <w:rFonts w:cs="Calibri"/>
          <w:bCs/>
          <w:lang w:val="en-GB"/>
        </w:rPr>
        <w:t xml:space="preserve"> earnings</w:t>
      </w:r>
      <w:r w:rsidR="0043289E" w:rsidRPr="00F67CC4">
        <w:rPr>
          <w:rFonts w:cs="Calibri"/>
          <w:bCs/>
          <w:lang w:val="en-GB"/>
        </w:rPr>
        <w:t xml:space="preserve"> </w:t>
      </w:r>
      <w:r w:rsidR="002B42C7">
        <w:rPr>
          <w:rFonts w:cs="Calibri"/>
          <w:bCs/>
          <w:lang w:val="en-GB"/>
        </w:rPr>
        <w:t>management</w:t>
      </w:r>
      <w:r w:rsidR="0043289E" w:rsidRPr="00F67CC4">
        <w:rPr>
          <w:rFonts w:cs="Calibri"/>
          <w:bCs/>
          <w:lang w:val="en-GB"/>
        </w:rPr>
        <w:t xml:space="preserve"> </w:t>
      </w:r>
      <w:r>
        <w:rPr>
          <w:rFonts w:cs="Calibri"/>
          <w:bCs/>
          <w:lang w:val="en-GB"/>
        </w:rPr>
        <w:t>will be presented</w:t>
      </w:r>
      <w:r w:rsidR="00B84045" w:rsidRPr="00F67CC4">
        <w:rPr>
          <w:rFonts w:cs="Calibri"/>
          <w:bCs/>
          <w:lang w:val="en-GB"/>
        </w:rPr>
        <w:t xml:space="preserve"> in section 3.4.</w:t>
      </w:r>
      <w:r w:rsidR="00B84045" w:rsidRPr="00F67CC4">
        <w:rPr>
          <w:rFonts w:cs="Calibri"/>
          <w:b/>
          <w:bCs/>
          <w:lang w:val="en-GB"/>
        </w:rPr>
        <w:t xml:space="preserve"> </w:t>
      </w:r>
    </w:p>
    <w:p w:rsidR="001C6A3E" w:rsidRPr="00F67CC4" w:rsidRDefault="001C6A3E" w:rsidP="00925ED8">
      <w:pPr>
        <w:spacing w:line="360" w:lineRule="auto"/>
        <w:rPr>
          <w:rFonts w:cs="Calibri"/>
          <w:lang w:val="en-GB"/>
        </w:rPr>
      </w:pPr>
      <w:r w:rsidRPr="00F67CC4">
        <w:rPr>
          <w:rFonts w:cs="Calibri"/>
          <w:b/>
          <w:lang w:val="en-GB"/>
        </w:rPr>
        <w:t>2.3.2 Real activities manipulation approach</w:t>
      </w:r>
      <w:r w:rsidRPr="00F67CC4">
        <w:rPr>
          <w:rFonts w:cs="Calibri"/>
          <w:b/>
          <w:lang w:val="en-GB"/>
        </w:rPr>
        <w:br/>
      </w:r>
      <w:r w:rsidR="002B42C7">
        <w:rPr>
          <w:rFonts w:cs="Calibri"/>
          <w:lang w:val="en-GB"/>
        </w:rPr>
        <w:t xml:space="preserve">The other general method for detecting </w:t>
      </w:r>
      <w:r w:rsidR="00AA3550">
        <w:rPr>
          <w:rFonts w:cs="Calibri"/>
          <w:lang w:val="en-GB"/>
        </w:rPr>
        <w:t xml:space="preserve">the use of </w:t>
      </w:r>
      <w:r w:rsidR="002B42C7">
        <w:rPr>
          <w:rFonts w:cs="Calibri"/>
          <w:lang w:val="en-GB"/>
        </w:rPr>
        <w:t xml:space="preserve">earnings management is by checking real activities. </w:t>
      </w:r>
      <w:r w:rsidRPr="00F67CC4">
        <w:rPr>
          <w:rFonts w:cs="Calibri"/>
          <w:lang w:val="en-GB"/>
        </w:rPr>
        <w:t xml:space="preserve">Like the accruals-based method, </w:t>
      </w:r>
      <w:r w:rsidR="00AA3550">
        <w:rPr>
          <w:rFonts w:cs="Calibri"/>
          <w:lang w:val="en-GB"/>
        </w:rPr>
        <w:t xml:space="preserve">the </w:t>
      </w:r>
      <w:r w:rsidRPr="00F67CC4">
        <w:rPr>
          <w:rFonts w:cs="Calibri"/>
          <w:lang w:val="en-GB"/>
        </w:rPr>
        <w:t xml:space="preserve">real activities manipulation can be executed in various ways. The manipulation of earnings through this method can be executed by using operating, investing and financing activities. </w:t>
      </w:r>
      <w:r w:rsidR="004A2E6C" w:rsidRPr="00F67CC4">
        <w:rPr>
          <w:rFonts w:cs="Calibri"/>
          <w:lang w:val="en-GB"/>
        </w:rPr>
        <w:t xml:space="preserve">The real activities manipulation method </w:t>
      </w:r>
      <w:r w:rsidR="00A81A82" w:rsidRPr="00F67CC4">
        <w:rPr>
          <w:rFonts w:cs="Calibri"/>
          <w:lang w:val="en-GB"/>
        </w:rPr>
        <w:t xml:space="preserve">in </w:t>
      </w:r>
      <w:r w:rsidR="00AA3550">
        <w:rPr>
          <w:rFonts w:cs="Calibri"/>
          <w:lang w:val="en-GB"/>
        </w:rPr>
        <w:t xml:space="preserve">more </w:t>
      </w:r>
      <w:r w:rsidR="00A81A82" w:rsidRPr="00F67CC4">
        <w:rPr>
          <w:rFonts w:cs="Calibri"/>
          <w:lang w:val="en-GB"/>
        </w:rPr>
        <w:t xml:space="preserve">detail </w:t>
      </w:r>
      <w:r w:rsidR="00AA3550">
        <w:rPr>
          <w:rFonts w:cs="Calibri"/>
          <w:lang w:val="en-GB"/>
        </w:rPr>
        <w:t xml:space="preserve">will be </w:t>
      </w:r>
      <w:r w:rsidR="00AA3550">
        <w:rPr>
          <w:rFonts w:cs="Calibri"/>
          <w:lang w:val="en-GB"/>
        </w:rPr>
        <w:lastRenderedPageBreak/>
        <w:t xml:space="preserve">explained </w:t>
      </w:r>
      <w:r w:rsidR="00A81A82" w:rsidRPr="00F67CC4">
        <w:rPr>
          <w:rFonts w:cs="Calibri"/>
          <w:lang w:val="en-GB"/>
        </w:rPr>
        <w:t xml:space="preserve">by focussing on which </w:t>
      </w:r>
      <w:r w:rsidRPr="00F67CC4">
        <w:rPr>
          <w:rFonts w:cs="Calibri"/>
          <w:lang w:val="en-GB"/>
        </w:rPr>
        <w:t>activities</w:t>
      </w:r>
      <w:r w:rsidR="002B42C7">
        <w:rPr>
          <w:rFonts w:cs="Calibri"/>
          <w:lang w:val="en-GB"/>
        </w:rPr>
        <w:t xml:space="preserve"> and related financial statement items</w:t>
      </w:r>
      <w:r w:rsidR="00A81A82" w:rsidRPr="00F67CC4">
        <w:rPr>
          <w:rFonts w:cs="Calibri"/>
          <w:lang w:val="en-GB"/>
        </w:rPr>
        <w:t xml:space="preserve"> </w:t>
      </w:r>
      <w:r w:rsidR="00AA3550">
        <w:rPr>
          <w:rFonts w:cs="Calibri"/>
          <w:lang w:val="en-GB"/>
        </w:rPr>
        <w:t>by managers are manipulated.</w:t>
      </w:r>
    </w:p>
    <w:p w:rsidR="001C6A3E" w:rsidRPr="00F67CC4" w:rsidRDefault="001C6A3E" w:rsidP="00F74511">
      <w:pPr>
        <w:spacing w:line="360" w:lineRule="auto"/>
        <w:rPr>
          <w:rFonts w:cs="Calibri"/>
          <w:b/>
          <w:lang w:val="en-GB"/>
        </w:rPr>
      </w:pPr>
      <w:r w:rsidRPr="00F67CC4">
        <w:rPr>
          <w:rFonts w:cs="Calibri"/>
          <w:b/>
          <w:lang w:val="en-GB"/>
        </w:rPr>
        <w:t>2.3.2.1 Manipulation of operating activities</w:t>
      </w:r>
      <w:r w:rsidRPr="00F67CC4">
        <w:rPr>
          <w:rFonts w:cs="Calibri"/>
          <w:u w:val="single"/>
          <w:lang w:val="en-GB"/>
        </w:rPr>
        <w:br/>
      </w:r>
      <w:r w:rsidR="002B42C7" w:rsidRPr="00370FDE">
        <w:rPr>
          <w:rFonts w:cs="Calibri"/>
          <w:lang w:val="en-GB"/>
        </w:rPr>
        <w:t>O</w:t>
      </w:r>
      <w:r w:rsidRPr="00370FDE">
        <w:rPr>
          <w:rFonts w:cs="Calibri"/>
          <w:lang w:val="en-GB"/>
        </w:rPr>
        <w:t>perating activities generate</w:t>
      </w:r>
      <w:r w:rsidR="00C326B5" w:rsidRPr="00370FDE">
        <w:rPr>
          <w:rFonts w:cs="Calibri"/>
          <w:lang w:val="en-GB"/>
        </w:rPr>
        <w:t xml:space="preserve"> the in- and outflows of cash in</w:t>
      </w:r>
      <w:r w:rsidRPr="00370FDE">
        <w:rPr>
          <w:rFonts w:cs="Calibri"/>
          <w:lang w:val="en-GB"/>
        </w:rPr>
        <w:t xml:space="preserve"> a company which determine the net income of a company. These cash flows can be manipulated by adjusting</w:t>
      </w:r>
      <w:r w:rsidR="00D66829" w:rsidRPr="00370FDE">
        <w:rPr>
          <w:rFonts w:cs="Calibri"/>
          <w:lang w:val="en-GB"/>
        </w:rPr>
        <w:t xml:space="preserve"> the amount of</w:t>
      </w:r>
      <w:r w:rsidRPr="00370FDE">
        <w:rPr>
          <w:rFonts w:cs="Calibri"/>
          <w:lang w:val="en-GB"/>
        </w:rPr>
        <w:t xml:space="preserve"> discretionary expenditures with the R</w:t>
      </w:r>
      <w:r w:rsidR="00C326B5" w:rsidRPr="00370FDE">
        <w:rPr>
          <w:rFonts w:cs="Calibri"/>
          <w:lang w:val="en-GB"/>
        </w:rPr>
        <w:t xml:space="preserve">esearch </w:t>
      </w:r>
      <w:r w:rsidRPr="00370FDE">
        <w:rPr>
          <w:rFonts w:cs="Calibri"/>
          <w:lang w:val="en-GB"/>
        </w:rPr>
        <w:t>&amp;</w:t>
      </w:r>
      <w:r w:rsidR="00C326B5" w:rsidRPr="00370FDE">
        <w:rPr>
          <w:rFonts w:cs="Calibri"/>
          <w:lang w:val="en-GB"/>
        </w:rPr>
        <w:t xml:space="preserve"> </w:t>
      </w:r>
      <w:r w:rsidR="00040CDE" w:rsidRPr="00370FDE">
        <w:rPr>
          <w:rFonts w:cs="Calibri"/>
          <w:lang w:val="en-GB"/>
        </w:rPr>
        <w:t>Development</w:t>
      </w:r>
      <w:r w:rsidR="00C326B5" w:rsidRPr="00370FDE">
        <w:rPr>
          <w:rFonts w:cs="Calibri"/>
          <w:lang w:val="en-GB"/>
        </w:rPr>
        <w:t xml:space="preserve"> (R&amp;D) a</w:t>
      </w:r>
      <w:r w:rsidRPr="00370FDE">
        <w:rPr>
          <w:rFonts w:cs="Calibri"/>
          <w:lang w:val="en-GB"/>
        </w:rPr>
        <w:t>n</w:t>
      </w:r>
      <w:r w:rsidR="00C326B5" w:rsidRPr="00370FDE">
        <w:rPr>
          <w:rFonts w:cs="Calibri"/>
          <w:lang w:val="en-GB"/>
        </w:rPr>
        <w:t>d</w:t>
      </w:r>
      <w:r w:rsidRPr="00370FDE">
        <w:rPr>
          <w:rFonts w:cs="Calibri"/>
          <w:lang w:val="en-GB"/>
        </w:rPr>
        <w:t xml:space="preserve"> </w:t>
      </w:r>
      <w:r w:rsidR="00C326B5" w:rsidRPr="00370FDE">
        <w:rPr>
          <w:rFonts w:cs="Calibri"/>
          <w:lang w:val="en-GB"/>
        </w:rPr>
        <w:t>Selling, General and Administrative (</w:t>
      </w:r>
      <w:r w:rsidRPr="00370FDE">
        <w:rPr>
          <w:rFonts w:cs="Calibri"/>
          <w:lang w:val="en-GB"/>
        </w:rPr>
        <w:t>SG</w:t>
      </w:r>
      <w:r w:rsidR="00C326B5" w:rsidRPr="00370FDE">
        <w:rPr>
          <w:rFonts w:cs="Calibri"/>
          <w:lang w:val="en-GB"/>
        </w:rPr>
        <w:t>&amp;</w:t>
      </w:r>
      <w:r w:rsidRPr="00370FDE">
        <w:rPr>
          <w:rFonts w:cs="Calibri"/>
          <w:lang w:val="en-GB"/>
        </w:rPr>
        <w:t>A</w:t>
      </w:r>
      <w:r w:rsidR="00C326B5" w:rsidRPr="00370FDE">
        <w:rPr>
          <w:rFonts w:cs="Calibri"/>
          <w:lang w:val="en-GB"/>
        </w:rPr>
        <w:t>)</w:t>
      </w:r>
      <w:r w:rsidRPr="00370FDE">
        <w:rPr>
          <w:rFonts w:cs="Calibri"/>
          <w:lang w:val="en-GB"/>
        </w:rPr>
        <w:t xml:space="preserve"> as most common</w:t>
      </w:r>
      <w:r w:rsidR="002B42C7" w:rsidRPr="00370FDE">
        <w:rPr>
          <w:rFonts w:cs="Calibri"/>
          <w:lang w:val="en-GB"/>
        </w:rPr>
        <w:t xml:space="preserve"> manipulated expenditures</w:t>
      </w:r>
      <w:r w:rsidRPr="00370FDE">
        <w:rPr>
          <w:rFonts w:cs="Calibri"/>
          <w:lang w:val="en-GB"/>
        </w:rPr>
        <w:t>. When expenditures like R&amp;D do not immediately generate revenues and income, it is likely that these discretionary expenditures are use</w:t>
      </w:r>
      <w:r w:rsidR="004F078B" w:rsidRPr="00370FDE">
        <w:rPr>
          <w:rFonts w:cs="Calibri"/>
          <w:lang w:val="en-GB"/>
        </w:rPr>
        <w:t xml:space="preserve">d for </w:t>
      </w:r>
      <w:r w:rsidR="00E72E74">
        <w:rPr>
          <w:rFonts w:cs="Calibri"/>
          <w:lang w:val="en-GB"/>
        </w:rPr>
        <w:t xml:space="preserve">real </w:t>
      </w:r>
      <w:r w:rsidR="004F078B" w:rsidRPr="00370FDE">
        <w:rPr>
          <w:rFonts w:cs="Calibri"/>
          <w:lang w:val="en-GB"/>
        </w:rPr>
        <w:t>earnings management</w:t>
      </w:r>
      <w:r w:rsidRPr="00370FDE">
        <w:rPr>
          <w:rFonts w:cs="Calibri"/>
          <w:lang w:val="en-GB"/>
        </w:rPr>
        <w:t xml:space="preserve"> (Roychowdhury, 2006 p</w:t>
      </w:r>
      <w:r w:rsidR="00370FDE">
        <w:rPr>
          <w:rFonts w:cs="Calibri"/>
          <w:lang w:val="en-GB"/>
        </w:rPr>
        <w:t xml:space="preserve"> </w:t>
      </w:r>
      <w:r w:rsidRPr="00370FDE">
        <w:rPr>
          <w:rFonts w:cs="Calibri"/>
          <w:lang w:val="en-GB"/>
        </w:rPr>
        <w:t>340)</w:t>
      </w:r>
      <w:r w:rsidR="004F078B" w:rsidRPr="00370FDE">
        <w:rPr>
          <w:rFonts w:cs="Calibri"/>
          <w:lang w:val="en-GB"/>
        </w:rPr>
        <w:t>.</w:t>
      </w:r>
    </w:p>
    <w:p w:rsidR="00C326B5" w:rsidRPr="00F67CC4" w:rsidRDefault="001C6A3E" w:rsidP="00F74511">
      <w:pPr>
        <w:spacing w:line="360" w:lineRule="auto"/>
        <w:rPr>
          <w:rFonts w:cs="Calibri"/>
          <w:lang w:val="en-GB"/>
        </w:rPr>
      </w:pPr>
      <w:r w:rsidRPr="00F67CC4">
        <w:rPr>
          <w:rFonts w:cs="Calibri"/>
          <w:lang w:val="en-GB"/>
        </w:rPr>
        <w:t xml:space="preserve">Next to the use of expenditures for real activities manipulation, sales and production are </w:t>
      </w:r>
      <w:r w:rsidR="00DB21E4">
        <w:rPr>
          <w:rFonts w:cs="Calibri"/>
          <w:lang w:val="en-GB"/>
        </w:rPr>
        <w:t>in addition</w:t>
      </w:r>
      <w:r w:rsidRPr="00F67CC4">
        <w:rPr>
          <w:rFonts w:cs="Calibri"/>
          <w:lang w:val="en-GB"/>
        </w:rPr>
        <w:t xml:space="preserve"> used to adjust the financial numbers. Roychowdhury (2006) defines sales manipulation as </w:t>
      </w:r>
      <w:r w:rsidR="00CF5047">
        <w:rPr>
          <w:rFonts w:cs="Calibri"/>
          <w:lang w:val="en-GB"/>
        </w:rPr>
        <w:t>‘</w:t>
      </w:r>
      <w:r w:rsidR="00F34124" w:rsidRPr="00F67CC4">
        <w:rPr>
          <w:rFonts w:cs="Calibri"/>
          <w:lang w:val="en-GB"/>
        </w:rPr>
        <w:t xml:space="preserve">(…) </w:t>
      </w:r>
      <w:r w:rsidRPr="00F67CC4">
        <w:rPr>
          <w:rFonts w:cs="Calibri"/>
          <w:i/>
          <w:lang w:val="en-GB"/>
        </w:rPr>
        <w:t>managers’ attempts to temporarily increase sales during the year by offering price discounts or more lenient credit terms.</w:t>
      </w:r>
      <w:r w:rsidR="00CF5047">
        <w:rPr>
          <w:rFonts w:cs="Calibri"/>
          <w:i/>
          <w:lang w:val="en-GB"/>
        </w:rPr>
        <w:t>’</w:t>
      </w:r>
      <w:r w:rsidR="00F34124" w:rsidRPr="00F67CC4">
        <w:rPr>
          <w:rFonts w:cs="Calibri"/>
          <w:lang w:val="en-GB"/>
        </w:rPr>
        <w:t xml:space="preserve"> (Roychowdhury 2006, p</w:t>
      </w:r>
      <w:r w:rsidR="00370FDE">
        <w:rPr>
          <w:rFonts w:cs="Calibri"/>
          <w:lang w:val="en-GB"/>
        </w:rPr>
        <w:t xml:space="preserve"> </w:t>
      </w:r>
      <w:r w:rsidR="00F34124" w:rsidRPr="00F67CC4">
        <w:rPr>
          <w:rFonts w:cs="Calibri"/>
          <w:lang w:val="en-GB"/>
        </w:rPr>
        <w:t>340)</w:t>
      </w:r>
      <w:r w:rsidR="00C326B5" w:rsidRPr="00F67CC4">
        <w:rPr>
          <w:rFonts w:cs="Calibri"/>
          <w:lang w:val="en-GB"/>
        </w:rPr>
        <w:t xml:space="preserve"> </w:t>
      </w:r>
    </w:p>
    <w:p w:rsidR="001C6A3E" w:rsidRPr="00F67CC4" w:rsidRDefault="001C6A3E" w:rsidP="00F74511">
      <w:pPr>
        <w:spacing w:line="360" w:lineRule="auto"/>
        <w:rPr>
          <w:rFonts w:cs="Calibri"/>
          <w:lang w:val="en-GB"/>
        </w:rPr>
      </w:pPr>
      <w:r w:rsidRPr="00F67CC4">
        <w:rPr>
          <w:rFonts w:cs="Calibri"/>
          <w:lang w:val="en-GB"/>
        </w:rPr>
        <w:t xml:space="preserve">Such price discounts </w:t>
      </w:r>
      <w:r w:rsidR="00CF5047">
        <w:rPr>
          <w:rFonts w:cs="Calibri"/>
          <w:lang w:val="en-GB"/>
        </w:rPr>
        <w:t>should</w:t>
      </w:r>
      <w:r w:rsidRPr="00F67CC4">
        <w:rPr>
          <w:rFonts w:cs="Calibri"/>
          <w:lang w:val="en-GB"/>
        </w:rPr>
        <w:t xml:space="preserve"> result in more cash inflow, but with a lower margin which will cause </w:t>
      </w:r>
      <w:r w:rsidR="002C4FFE">
        <w:rPr>
          <w:rFonts w:cs="Calibri"/>
          <w:lang w:val="en-GB"/>
        </w:rPr>
        <w:t>an abnormal high ratio of production costs relative to sales</w:t>
      </w:r>
      <w:r w:rsidR="00F34124" w:rsidRPr="00F67CC4">
        <w:rPr>
          <w:rFonts w:cs="Calibri"/>
          <w:lang w:val="en-GB"/>
        </w:rPr>
        <w:t xml:space="preserve"> (Roychowdhury</w:t>
      </w:r>
      <w:r w:rsidRPr="00F67CC4">
        <w:rPr>
          <w:rFonts w:cs="Calibri"/>
          <w:lang w:val="en-GB"/>
        </w:rPr>
        <w:t xml:space="preserve"> 2006</w:t>
      </w:r>
      <w:r w:rsidR="00F34124" w:rsidRPr="00F67CC4">
        <w:rPr>
          <w:rFonts w:cs="Calibri"/>
          <w:lang w:val="en-GB"/>
        </w:rPr>
        <w:t>,</w:t>
      </w:r>
      <w:r w:rsidRPr="00F67CC4">
        <w:rPr>
          <w:rFonts w:cs="Calibri"/>
          <w:lang w:val="en-GB"/>
        </w:rPr>
        <w:t xml:space="preserve"> p</w:t>
      </w:r>
      <w:r w:rsidR="00DB21E4">
        <w:rPr>
          <w:rFonts w:cs="Calibri"/>
          <w:lang w:val="en-GB"/>
        </w:rPr>
        <w:t xml:space="preserve"> </w:t>
      </w:r>
      <w:r w:rsidRPr="00F67CC4">
        <w:rPr>
          <w:rFonts w:cs="Calibri"/>
          <w:lang w:val="en-GB"/>
        </w:rPr>
        <w:t>340)</w:t>
      </w:r>
      <w:r w:rsidR="004F078B" w:rsidRPr="00F67CC4">
        <w:rPr>
          <w:rFonts w:cs="Calibri"/>
          <w:lang w:val="en-GB"/>
        </w:rPr>
        <w:t>.</w:t>
      </w:r>
      <w:r w:rsidRPr="00F67CC4">
        <w:rPr>
          <w:rFonts w:cs="Calibri"/>
          <w:lang w:val="en-GB"/>
        </w:rPr>
        <w:t xml:space="preserve"> In contrast to the declined margins by giving price discounts on products, managers can </w:t>
      </w:r>
      <w:r w:rsidR="00CF5047">
        <w:rPr>
          <w:rFonts w:cs="Calibri"/>
          <w:lang w:val="en-GB"/>
        </w:rPr>
        <w:t>increase the margin on</w:t>
      </w:r>
      <w:r w:rsidRPr="00F67CC4">
        <w:rPr>
          <w:rFonts w:cs="Calibri"/>
          <w:lang w:val="en-GB"/>
        </w:rPr>
        <w:t xml:space="preserve"> prod</w:t>
      </w:r>
      <w:r w:rsidR="00F34124" w:rsidRPr="00F67CC4">
        <w:rPr>
          <w:rFonts w:cs="Calibri"/>
          <w:lang w:val="en-GB"/>
        </w:rPr>
        <w:t>uct</w:t>
      </w:r>
      <w:r w:rsidR="002C4FFE">
        <w:rPr>
          <w:rFonts w:cs="Calibri"/>
          <w:lang w:val="en-GB"/>
        </w:rPr>
        <w:t>s</w:t>
      </w:r>
      <w:r w:rsidR="00F34124" w:rsidRPr="00F67CC4">
        <w:rPr>
          <w:rFonts w:cs="Calibri"/>
          <w:lang w:val="en-GB"/>
        </w:rPr>
        <w:t xml:space="preserve"> by increasing the total production</w:t>
      </w:r>
      <w:r w:rsidRPr="00F67CC4">
        <w:rPr>
          <w:rFonts w:cs="Calibri"/>
          <w:lang w:val="en-GB"/>
        </w:rPr>
        <w:t xml:space="preserve">. </w:t>
      </w:r>
      <w:r w:rsidR="00F34124" w:rsidRPr="00F67CC4">
        <w:rPr>
          <w:rFonts w:cs="Calibri"/>
          <w:lang w:val="en-GB"/>
        </w:rPr>
        <w:t xml:space="preserve">When a firm produces more goods, </w:t>
      </w:r>
      <w:r w:rsidRPr="00F67CC4">
        <w:rPr>
          <w:rFonts w:cs="Calibri"/>
          <w:lang w:val="en-GB"/>
        </w:rPr>
        <w:t xml:space="preserve">fixed overhead costs can be divided over a larger number of units which will decrease the cost of goods sold (COGS) and </w:t>
      </w:r>
      <w:r w:rsidR="00DB21E4">
        <w:rPr>
          <w:rFonts w:cs="Calibri"/>
          <w:lang w:val="en-GB"/>
        </w:rPr>
        <w:t>consequently</w:t>
      </w:r>
      <w:r w:rsidRPr="00F67CC4">
        <w:rPr>
          <w:rFonts w:cs="Calibri"/>
          <w:lang w:val="en-GB"/>
        </w:rPr>
        <w:t xml:space="preserve"> incre</w:t>
      </w:r>
      <w:r w:rsidR="00F34124" w:rsidRPr="00F67CC4">
        <w:rPr>
          <w:rFonts w:cs="Calibri"/>
          <w:lang w:val="en-GB"/>
        </w:rPr>
        <w:t>ase the firms’ operating margin</w:t>
      </w:r>
      <w:r w:rsidRPr="00F67CC4">
        <w:rPr>
          <w:rFonts w:cs="Calibri"/>
          <w:lang w:val="en-GB"/>
        </w:rPr>
        <w:t xml:space="preserve">. </w:t>
      </w:r>
      <w:r w:rsidR="00F34124" w:rsidRPr="00F67CC4">
        <w:rPr>
          <w:rFonts w:cs="Calibri"/>
          <w:lang w:val="en-GB"/>
        </w:rPr>
        <w:t>This is not allowed</w:t>
      </w:r>
      <w:r w:rsidR="00C326B5" w:rsidRPr="00F67CC4">
        <w:rPr>
          <w:rFonts w:cs="Calibri"/>
          <w:lang w:val="en-GB"/>
        </w:rPr>
        <w:t xml:space="preserve"> </w:t>
      </w:r>
      <w:r w:rsidR="00064705">
        <w:rPr>
          <w:rFonts w:cs="Calibri"/>
          <w:lang w:val="en-GB"/>
        </w:rPr>
        <w:t>according to the accounting principles</w:t>
      </w:r>
      <w:r w:rsidR="00F34124" w:rsidRPr="00F67CC4">
        <w:rPr>
          <w:rFonts w:cs="Calibri"/>
          <w:lang w:val="en-GB"/>
        </w:rPr>
        <w:t>, because it</w:t>
      </w:r>
      <w:r w:rsidRPr="00F67CC4">
        <w:rPr>
          <w:rFonts w:cs="Calibri"/>
          <w:lang w:val="en-GB"/>
        </w:rPr>
        <w:t xml:space="preserve"> </w:t>
      </w:r>
      <w:r w:rsidR="0073613B" w:rsidRPr="00F67CC4">
        <w:rPr>
          <w:rFonts w:cs="Calibri"/>
          <w:lang w:val="en-GB"/>
        </w:rPr>
        <w:t>is in conflict</w:t>
      </w:r>
      <w:r w:rsidRPr="00F67CC4">
        <w:rPr>
          <w:rFonts w:cs="Calibri"/>
          <w:lang w:val="en-GB"/>
        </w:rPr>
        <w:t xml:space="preserve"> with the matching principle; production and holding costs of the over-produced items </w:t>
      </w:r>
      <w:r w:rsidR="002C4FFE">
        <w:rPr>
          <w:rFonts w:cs="Calibri"/>
          <w:lang w:val="en-GB"/>
        </w:rPr>
        <w:t>should be</w:t>
      </w:r>
      <w:r w:rsidRPr="00F67CC4">
        <w:rPr>
          <w:rFonts w:cs="Calibri"/>
          <w:lang w:val="en-GB"/>
        </w:rPr>
        <w:t xml:space="preserve"> tak</w:t>
      </w:r>
      <w:r w:rsidR="004F078B" w:rsidRPr="00F67CC4">
        <w:rPr>
          <w:rFonts w:cs="Calibri"/>
          <w:lang w:val="en-GB"/>
        </w:rPr>
        <w:t xml:space="preserve">en in the same period of </w:t>
      </w:r>
      <w:r w:rsidR="00DB21E4">
        <w:rPr>
          <w:rFonts w:cs="Calibri"/>
          <w:lang w:val="en-GB"/>
        </w:rPr>
        <w:t xml:space="preserve">the </w:t>
      </w:r>
      <w:r w:rsidR="004F078B" w:rsidRPr="00F67CC4">
        <w:rPr>
          <w:rFonts w:cs="Calibri"/>
          <w:lang w:val="en-GB"/>
        </w:rPr>
        <w:t xml:space="preserve">sales </w:t>
      </w:r>
      <w:r w:rsidRPr="00F67CC4">
        <w:rPr>
          <w:rFonts w:cs="Calibri"/>
          <w:lang w:val="en-GB"/>
        </w:rPr>
        <w:t>(Roychowdhury, 2006 p</w:t>
      </w:r>
      <w:r w:rsidR="00370FDE">
        <w:rPr>
          <w:rFonts w:cs="Calibri"/>
          <w:lang w:val="en-GB"/>
        </w:rPr>
        <w:t xml:space="preserve"> </w:t>
      </w:r>
      <w:r w:rsidRPr="00F67CC4">
        <w:rPr>
          <w:rFonts w:cs="Calibri"/>
          <w:lang w:val="en-GB"/>
        </w:rPr>
        <w:t>340)</w:t>
      </w:r>
      <w:r w:rsidR="004F078B" w:rsidRPr="00F67CC4">
        <w:rPr>
          <w:rFonts w:cs="Calibri"/>
          <w:lang w:val="en-GB"/>
        </w:rPr>
        <w:t>.</w:t>
      </w:r>
    </w:p>
    <w:p w:rsidR="001C6A3E" w:rsidRPr="00F67CC4" w:rsidRDefault="001C6A3E" w:rsidP="00F74511">
      <w:pPr>
        <w:spacing w:line="360" w:lineRule="auto"/>
        <w:rPr>
          <w:rFonts w:cs="Calibri"/>
          <w:bCs/>
          <w:lang w:val="en-GB"/>
        </w:rPr>
      </w:pPr>
      <w:r w:rsidRPr="00F67CC4">
        <w:rPr>
          <w:rFonts w:cs="Calibri"/>
          <w:b/>
          <w:bCs/>
          <w:lang w:val="en-GB"/>
        </w:rPr>
        <w:t>2.3.2.2 Manipulation of investing activities</w:t>
      </w:r>
      <w:r w:rsidRPr="00F67CC4">
        <w:rPr>
          <w:rFonts w:cs="Calibri"/>
          <w:bCs/>
          <w:u w:val="single"/>
          <w:lang w:val="en-GB"/>
        </w:rPr>
        <w:br/>
      </w:r>
      <w:r w:rsidRPr="00F67CC4">
        <w:rPr>
          <w:rFonts w:cs="Calibri"/>
          <w:bCs/>
          <w:lang w:val="en-GB"/>
        </w:rPr>
        <w:t xml:space="preserve">Earnings </w:t>
      </w:r>
      <w:r w:rsidR="00DB21E4">
        <w:rPr>
          <w:rFonts w:cs="Calibri"/>
          <w:bCs/>
          <w:lang w:val="en-GB"/>
        </w:rPr>
        <w:t xml:space="preserve">in addition </w:t>
      </w:r>
      <w:r w:rsidRPr="00F67CC4">
        <w:rPr>
          <w:rFonts w:cs="Calibri"/>
          <w:bCs/>
          <w:lang w:val="en-GB"/>
        </w:rPr>
        <w:t xml:space="preserve">can be managed by using the income </w:t>
      </w:r>
      <w:r w:rsidR="00F54792" w:rsidRPr="00F67CC4">
        <w:rPr>
          <w:rFonts w:cs="Calibri"/>
          <w:bCs/>
          <w:lang w:val="en-GB"/>
        </w:rPr>
        <w:t>from sales of long-term assets for</w:t>
      </w:r>
      <w:r w:rsidRPr="00F67CC4">
        <w:rPr>
          <w:rFonts w:cs="Calibri"/>
          <w:bCs/>
          <w:lang w:val="en-GB"/>
        </w:rPr>
        <w:t xml:space="preserve"> </w:t>
      </w:r>
      <w:r w:rsidR="005D2B32" w:rsidRPr="00F67CC4">
        <w:rPr>
          <w:rFonts w:cs="Calibri"/>
          <w:bCs/>
          <w:lang w:val="en-GB"/>
        </w:rPr>
        <w:t>adjust</w:t>
      </w:r>
      <w:r w:rsidR="00F54792" w:rsidRPr="00F67CC4">
        <w:rPr>
          <w:rFonts w:cs="Calibri"/>
          <w:bCs/>
          <w:lang w:val="en-GB"/>
        </w:rPr>
        <w:t>ing</w:t>
      </w:r>
      <w:r w:rsidR="005D2B32" w:rsidRPr="00F67CC4">
        <w:rPr>
          <w:rFonts w:cs="Calibri"/>
          <w:bCs/>
          <w:lang w:val="en-GB"/>
        </w:rPr>
        <w:t xml:space="preserve"> earnings</w:t>
      </w:r>
      <w:r w:rsidR="004F078B" w:rsidRPr="00F67CC4">
        <w:rPr>
          <w:rFonts w:cs="Calibri"/>
          <w:bCs/>
          <w:lang w:val="en-GB"/>
        </w:rPr>
        <w:t xml:space="preserve">. </w:t>
      </w:r>
      <w:r w:rsidRPr="00F67CC4">
        <w:rPr>
          <w:rFonts w:cs="Calibri"/>
          <w:bCs/>
          <w:lang w:val="en-GB"/>
        </w:rPr>
        <w:t>Bartov</w:t>
      </w:r>
      <w:r w:rsidR="005D2B32" w:rsidRPr="00F67CC4">
        <w:rPr>
          <w:rFonts w:cs="Calibri"/>
          <w:bCs/>
          <w:lang w:val="en-GB"/>
        </w:rPr>
        <w:t xml:space="preserve"> (1993) concludes that </w:t>
      </w:r>
      <w:r w:rsidRPr="00F67CC4">
        <w:rPr>
          <w:rFonts w:cs="Calibri"/>
          <w:bCs/>
          <w:lang w:val="en-GB"/>
        </w:rPr>
        <w:t xml:space="preserve">managers choose the timing of asset sales </w:t>
      </w:r>
      <w:r w:rsidR="005D2B32" w:rsidRPr="00F67CC4">
        <w:rPr>
          <w:rFonts w:cs="Calibri"/>
          <w:bCs/>
          <w:lang w:val="en-GB"/>
        </w:rPr>
        <w:t>that the income from these sales smooth</w:t>
      </w:r>
      <w:r w:rsidR="00064705">
        <w:rPr>
          <w:rFonts w:cs="Calibri"/>
          <w:bCs/>
          <w:lang w:val="en-GB"/>
        </w:rPr>
        <w:t>en</w:t>
      </w:r>
      <w:r w:rsidR="00F54792" w:rsidRPr="00F67CC4">
        <w:rPr>
          <w:rFonts w:cs="Calibri"/>
          <w:bCs/>
          <w:lang w:val="en-GB"/>
        </w:rPr>
        <w:t xml:space="preserve">s </w:t>
      </w:r>
      <w:r w:rsidR="005D2B32" w:rsidRPr="00F67CC4">
        <w:rPr>
          <w:rFonts w:cs="Calibri"/>
          <w:bCs/>
          <w:lang w:val="en-GB"/>
        </w:rPr>
        <w:t>inter</w:t>
      </w:r>
      <w:r w:rsidR="00F54792" w:rsidRPr="00F67CC4">
        <w:rPr>
          <w:rFonts w:cs="Calibri"/>
          <w:bCs/>
          <w:lang w:val="en-GB"/>
        </w:rPr>
        <w:t>-</w:t>
      </w:r>
      <w:r w:rsidR="005D2B32" w:rsidRPr="00F67CC4">
        <w:rPr>
          <w:rFonts w:cs="Calibri"/>
          <w:bCs/>
          <w:lang w:val="en-GB"/>
        </w:rPr>
        <w:t>temporal earnings changes and mitigates accounting-based</w:t>
      </w:r>
      <w:r w:rsidR="00064705">
        <w:rPr>
          <w:rFonts w:cs="Calibri"/>
          <w:bCs/>
          <w:lang w:val="en-GB"/>
        </w:rPr>
        <w:t xml:space="preserve"> restrictions in debt covenants</w:t>
      </w:r>
      <w:r w:rsidR="005D2B32" w:rsidRPr="00F67CC4">
        <w:rPr>
          <w:rFonts w:cs="Calibri"/>
          <w:bCs/>
          <w:lang w:val="en-GB"/>
        </w:rPr>
        <w:t xml:space="preserve"> (Bartov 1993, p</w:t>
      </w:r>
      <w:r w:rsidR="002D02CC">
        <w:rPr>
          <w:rFonts w:cs="Calibri"/>
          <w:bCs/>
          <w:lang w:val="en-GB"/>
        </w:rPr>
        <w:t xml:space="preserve"> </w:t>
      </w:r>
      <w:r w:rsidR="005D2B32" w:rsidRPr="00F67CC4">
        <w:rPr>
          <w:rFonts w:cs="Calibri"/>
          <w:bCs/>
          <w:lang w:val="en-GB"/>
        </w:rPr>
        <w:t>854)</w:t>
      </w:r>
      <w:r w:rsidR="00064705">
        <w:rPr>
          <w:rFonts w:cs="Calibri"/>
          <w:bCs/>
          <w:lang w:val="en-GB"/>
        </w:rPr>
        <w:t>.</w:t>
      </w:r>
      <w:r w:rsidR="005D2B32" w:rsidRPr="00F67CC4">
        <w:rPr>
          <w:rFonts w:cs="Calibri"/>
          <w:bCs/>
          <w:lang w:val="en-GB"/>
        </w:rPr>
        <w:t xml:space="preserve"> </w:t>
      </w:r>
      <w:r w:rsidRPr="00F67CC4">
        <w:rPr>
          <w:rFonts w:cs="Calibri"/>
          <w:bCs/>
          <w:lang w:val="en-GB"/>
        </w:rPr>
        <w:t>Other investing transactions that are likeable for manipulation are business acquisitions, lease</w:t>
      </w:r>
      <w:r w:rsidR="00F54792" w:rsidRPr="00F67CC4">
        <w:rPr>
          <w:rFonts w:cs="Calibri"/>
          <w:bCs/>
          <w:lang w:val="en-GB"/>
        </w:rPr>
        <w:t>s, issuance of convertible debt</w:t>
      </w:r>
      <w:r w:rsidRPr="00F67CC4">
        <w:rPr>
          <w:rFonts w:cs="Calibri"/>
          <w:bCs/>
          <w:lang w:val="en-GB"/>
        </w:rPr>
        <w:t xml:space="preserve"> and equity investment</w:t>
      </w:r>
      <w:r w:rsidR="00F54792" w:rsidRPr="00F67CC4">
        <w:rPr>
          <w:rFonts w:cs="Calibri"/>
          <w:bCs/>
          <w:lang w:val="en-GB"/>
        </w:rPr>
        <w:t>s</w:t>
      </w:r>
      <w:r w:rsidRPr="00F67CC4">
        <w:rPr>
          <w:rFonts w:cs="Calibri"/>
          <w:bCs/>
          <w:lang w:val="en-GB"/>
        </w:rPr>
        <w:t xml:space="preserve">. These transactions are </w:t>
      </w:r>
      <w:r w:rsidR="002D02CC">
        <w:rPr>
          <w:rFonts w:cs="Calibri"/>
          <w:bCs/>
          <w:lang w:val="en-GB"/>
        </w:rPr>
        <w:t>performed</w:t>
      </w:r>
      <w:r w:rsidRPr="00F67CC4">
        <w:rPr>
          <w:rFonts w:cs="Calibri"/>
          <w:bCs/>
          <w:lang w:val="en-GB"/>
        </w:rPr>
        <w:t xml:space="preserve"> in order to increase </w:t>
      </w:r>
      <w:r w:rsidR="002D02CC">
        <w:rPr>
          <w:rFonts w:cs="Calibri"/>
          <w:bCs/>
          <w:lang w:val="en-GB"/>
        </w:rPr>
        <w:t xml:space="preserve">the </w:t>
      </w:r>
      <w:r w:rsidRPr="00F67CC4">
        <w:rPr>
          <w:rFonts w:cs="Calibri"/>
          <w:bCs/>
          <w:lang w:val="en-GB"/>
        </w:rPr>
        <w:t>reported earnings</w:t>
      </w:r>
      <w:r w:rsidR="004F078B" w:rsidRPr="00F67CC4">
        <w:rPr>
          <w:rFonts w:cs="Calibri"/>
          <w:bCs/>
          <w:lang w:val="en-GB"/>
        </w:rPr>
        <w:t xml:space="preserve"> and/or improve</w:t>
      </w:r>
      <w:r w:rsidR="002D02CC">
        <w:rPr>
          <w:rFonts w:cs="Calibri"/>
          <w:bCs/>
          <w:lang w:val="en-GB"/>
        </w:rPr>
        <w:t xml:space="preserve"> the</w:t>
      </w:r>
      <w:r w:rsidR="004F078B" w:rsidRPr="00F67CC4">
        <w:rPr>
          <w:rFonts w:cs="Calibri"/>
          <w:bCs/>
          <w:lang w:val="en-GB"/>
        </w:rPr>
        <w:t xml:space="preserve"> leverage ratios</w:t>
      </w:r>
      <w:r w:rsidRPr="00F67CC4">
        <w:rPr>
          <w:rFonts w:cs="Calibri"/>
          <w:bCs/>
          <w:lang w:val="en-GB"/>
        </w:rPr>
        <w:t xml:space="preserve"> (Xu, Taylor, Dugan, 2007 p</w:t>
      </w:r>
      <w:r w:rsidR="002D02CC">
        <w:rPr>
          <w:rFonts w:cs="Calibri"/>
          <w:bCs/>
          <w:lang w:val="en-GB"/>
        </w:rPr>
        <w:t xml:space="preserve"> </w:t>
      </w:r>
      <w:r w:rsidRPr="00F67CC4">
        <w:rPr>
          <w:rFonts w:cs="Calibri"/>
          <w:bCs/>
          <w:lang w:val="en-GB"/>
        </w:rPr>
        <w:t>210)</w:t>
      </w:r>
      <w:r w:rsidR="004F078B" w:rsidRPr="00F67CC4">
        <w:rPr>
          <w:rFonts w:cs="Calibri"/>
          <w:bCs/>
          <w:lang w:val="en-GB"/>
        </w:rPr>
        <w:t>.</w:t>
      </w:r>
    </w:p>
    <w:p w:rsidR="009D5070" w:rsidRDefault="001C6A3E" w:rsidP="00F74511">
      <w:pPr>
        <w:spacing w:line="360" w:lineRule="auto"/>
        <w:rPr>
          <w:rFonts w:cs="Calibri"/>
          <w:bCs/>
          <w:lang w:val="en-GB"/>
        </w:rPr>
      </w:pPr>
      <w:r w:rsidRPr="00F67CC4">
        <w:rPr>
          <w:rFonts w:cs="Calibri"/>
          <w:b/>
          <w:lang w:val="en-GB"/>
        </w:rPr>
        <w:t>2.3.2.3 Manipulation of financing activities</w:t>
      </w:r>
      <w:r w:rsidRPr="00F67CC4">
        <w:rPr>
          <w:rFonts w:cs="Calibri"/>
          <w:u w:val="single"/>
          <w:lang w:val="en-GB"/>
        </w:rPr>
        <w:br/>
      </w:r>
      <w:r w:rsidRPr="00F67CC4">
        <w:rPr>
          <w:rFonts w:cs="Calibri"/>
          <w:lang w:val="en-GB"/>
        </w:rPr>
        <w:t xml:space="preserve">For the financing of a company, stocks can be issued on the stock market. These stocks can be used </w:t>
      </w:r>
      <w:r w:rsidRPr="00F67CC4">
        <w:rPr>
          <w:rFonts w:cs="Calibri"/>
          <w:lang w:val="en-GB"/>
        </w:rPr>
        <w:lastRenderedPageBreak/>
        <w:t xml:space="preserve">as </w:t>
      </w:r>
      <w:r w:rsidR="00F54792" w:rsidRPr="00F67CC4">
        <w:rPr>
          <w:rFonts w:cs="Calibri"/>
          <w:lang w:val="en-GB"/>
        </w:rPr>
        <w:t>an instrument of manipulation by</w:t>
      </w:r>
      <w:r w:rsidRPr="00F67CC4">
        <w:rPr>
          <w:rFonts w:cs="Calibri"/>
          <w:lang w:val="en-GB"/>
        </w:rPr>
        <w:t xml:space="preserve"> a company by repurchasing </w:t>
      </w:r>
      <w:r w:rsidR="00F54792" w:rsidRPr="00F67CC4">
        <w:rPr>
          <w:rFonts w:cs="Calibri"/>
          <w:lang w:val="en-GB"/>
        </w:rPr>
        <w:t>the</w:t>
      </w:r>
      <w:r w:rsidR="009D5070">
        <w:rPr>
          <w:rFonts w:cs="Calibri"/>
          <w:lang w:val="en-GB"/>
        </w:rPr>
        <w:t>se</w:t>
      </w:r>
      <w:r w:rsidR="00F54792" w:rsidRPr="00F67CC4">
        <w:rPr>
          <w:rFonts w:cs="Calibri"/>
          <w:lang w:val="en-GB"/>
        </w:rPr>
        <w:t xml:space="preserve"> stocks</w:t>
      </w:r>
      <w:r w:rsidRPr="00F67CC4">
        <w:rPr>
          <w:rFonts w:cs="Calibri"/>
          <w:lang w:val="en-GB"/>
        </w:rPr>
        <w:t xml:space="preserve"> which decreases the number of common shares outstanding and </w:t>
      </w:r>
      <w:r w:rsidR="002D02CC">
        <w:rPr>
          <w:rFonts w:cs="Calibri"/>
          <w:lang w:val="en-GB"/>
        </w:rPr>
        <w:t>consequently</w:t>
      </w:r>
      <w:r w:rsidRPr="00F67CC4">
        <w:rPr>
          <w:rFonts w:cs="Calibri"/>
          <w:lang w:val="en-GB"/>
        </w:rPr>
        <w:t xml:space="preserve"> </w:t>
      </w:r>
      <w:r w:rsidR="004F078B" w:rsidRPr="00F67CC4">
        <w:rPr>
          <w:rFonts w:cs="Calibri"/>
          <w:lang w:val="en-GB"/>
        </w:rPr>
        <w:t>may increase</w:t>
      </w:r>
      <w:r w:rsidR="00F54792" w:rsidRPr="00F67CC4">
        <w:rPr>
          <w:rFonts w:cs="Calibri"/>
          <w:lang w:val="en-GB"/>
        </w:rPr>
        <w:t xml:space="preserve"> the</w:t>
      </w:r>
      <w:r w:rsidR="004F078B" w:rsidRPr="00F67CC4">
        <w:rPr>
          <w:rFonts w:cs="Calibri"/>
          <w:lang w:val="en-GB"/>
        </w:rPr>
        <w:t xml:space="preserve"> earnings per share</w:t>
      </w:r>
      <w:r w:rsidRPr="00F67CC4">
        <w:rPr>
          <w:rFonts w:cs="Calibri"/>
          <w:lang w:val="en-GB"/>
        </w:rPr>
        <w:t xml:space="preserve"> (Xu, Taylor, Dugan, 2007 p211)</w:t>
      </w:r>
      <w:r w:rsidR="004F078B" w:rsidRPr="00F67CC4">
        <w:rPr>
          <w:rFonts w:cs="Calibri"/>
          <w:lang w:val="en-GB"/>
        </w:rPr>
        <w:t>.</w:t>
      </w:r>
      <w:r w:rsidRPr="00F67CC4">
        <w:rPr>
          <w:rFonts w:cs="Calibri"/>
          <w:lang w:val="en-GB"/>
        </w:rPr>
        <w:t xml:space="preserve"> But this statement only hold</w:t>
      </w:r>
      <w:r w:rsidR="002D02CC">
        <w:rPr>
          <w:rFonts w:cs="Calibri"/>
          <w:lang w:val="en-GB"/>
        </w:rPr>
        <w:t>s under the condition that the price-earnings</w:t>
      </w:r>
      <w:r w:rsidRPr="00F67CC4">
        <w:rPr>
          <w:rFonts w:cs="Calibri"/>
          <w:lang w:val="en-GB"/>
        </w:rPr>
        <w:t xml:space="preserve"> ratio is larger than the foregone rate of return o</w:t>
      </w:r>
      <w:r w:rsidR="004F078B" w:rsidRPr="00F67CC4">
        <w:rPr>
          <w:rFonts w:cs="Calibri"/>
          <w:lang w:val="en-GB"/>
        </w:rPr>
        <w:t xml:space="preserve">n cash paid for the repurchase </w:t>
      </w:r>
      <w:r w:rsidRPr="00F67CC4">
        <w:rPr>
          <w:rFonts w:cs="Calibri"/>
          <w:bCs/>
          <w:lang w:val="en-GB"/>
        </w:rPr>
        <w:t>(Guay</w:t>
      </w:r>
      <w:r w:rsidR="009D5070">
        <w:rPr>
          <w:rFonts w:cs="Calibri"/>
          <w:bCs/>
          <w:lang w:val="en-GB"/>
        </w:rPr>
        <w:t xml:space="preserve"> 2002</w:t>
      </w:r>
      <w:r w:rsidRPr="00F67CC4">
        <w:rPr>
          <w:rFonts w:cs="Calibri"/>
          <w:bCs/>
          <w:lang w:val="en-GB"/>
        </w:rPr>
        <w:t>; Hribar et al. 2006)</w:t>
      </w:r>
      <w:r w:rsidR="004F078B" w:rsidRPr="00F67CC4">
        <w:rPr>
          <w:rFonts w:cs="Calibri"/>
          <w:bCs/>
          <w:lang w:val="en-GB"/>
        </w:rPr>
        <w:t>.</w:t>
      </w:r>
      <w:r w:rsidRPr="00F67CC4">
        <w:rPr>
          <w:rFonts w:cs="Calibri"/>
          <w:lang w:val="en-GB"/>
        </w:rPr>
        <w:t xml:space="preserve"> </w:t>
      </w:r>
      <w:r w:rsidRPr="00F67CC4">
        <w:rPr>
          <w:rFonts w:cs="Calibri"/>
          <w:bCs/>
          <w:lang w:val="en-GB"/>
        </w:rPr>
        <w:t>Hribar et al. (2006) find a dispro</w:t>
      </w:r>
      <w:r w:rsidR="002D02CC">
        <w:rPr>
          <w:rFonts w:cs="Calibri"/>
          <w:bCs/>
          <w:lang w:val="en-GB"/>
        </w:rPr>
        <w:t>portionately large number of E</w:t>
      </w:r>
      <w:r w:rsidR="00F87AA4">
        <w:rPr>
          <w:rFonts w:cs="Calibri"/>
          <w:bCs/>
          <w:lang w:val="en-GB"/>
        </w:rPr>
        <w:t>arnings per S</w:t>
      </w:r>
      <w:r w:rsidR="002D02CC">
        <w:rPr>
          <w:rFonts w:cs="Calibri"/>
          <w:bCs/>
          <w:lang w:val="en-GB"/>
        </w:rPr>
        <w:t>hare</w:t>
      </w:r>
      <w:r w:rsidR="00F87AA4">
        <w:rPr>
          <w:rFonts w:cs="Calibri"/>
          <w:bCs/>
          <w:lang w:val="en-GB"/>
        </w:rPr>
        <w:t xml:space="preserve"> </w:t>
      </w:r>
      <w:r w:rsidRPr="00F67CC4">
        <w:rPr>
          <w:rFonts w:cs="Calibri"/>
          <w:bCs/>
          <w:lang w:val="en-GB"/>
        </w:rPr>
        <w:t>increasing stock</w:t>
      </w:r>
      <w:r w:rsidR="00F87AA4">
        <w:rPr>
          <w:rFonts w:cs="Calibri"/>
          <w:bCs/>
          <w:lang w:val="en-GB"/>
        </w:rPr>
        <w:t xml:space="preserve"> </w:t>
      </w:r>
      <w:r w:rsidRPr="00F67CC4">
        <w:rPr>
          <w:rFonts w:cs="Calibri"/>
          <w:bCs/>
          <w:lang w:val="en-GB"/>
        </w:rPr>
        <w:t>repurchases among firms that would have missed analyst expectations without these repurchases.</w:t>
      </w:r>
    </w:p>
    <w:p w:rsidR="001C6A3E" w:rsidRPr="00370FDE" w:rsidRDefault="001C6A3E" w:rsidP="00F74511">
      <w:pPr>
        <w:spacing w:line="360" w:lineRule="auto"/>
        <w:rPr>
          <w:rFonts w:cs="Calibri"/>
          <w:bCs/>
          <w:lang w:val="en-GB"/>
        </w:rPr>
      </w:pPr>
      <w:r w:rsidRPr="00370FDE">
        <w:rPr>
          <w:rFonts w:cs="Calibri"/>
          <w:lang w:val="en-GB"/>
        </w:rPr>
        <w:t xml:space="preserve">Not only stocks itself, but </w:t>
      </w:r>
      <w:r w:rsidR="00F87AA4" w:rsidRPr="00370FDE">
        <w:rPr>
          <w:rFonts w:cs="Calibri"/>
          <w:lang w:val="en-GB"/>
        </w:rPr>
        <w:t>in addition</w:t>
      </w:r>
      <w:r w:rsidRPr="00370FDE">
        <w:rPr>
          <w:rFonts w:cs="Calibri"/>
          <w:lang w:val="en-GB"/>
        </w:rPr>
        <w:t xml:space="preserve"> stock options can be used for manipulation by adjusting the granting of stock options to maintain a trend of increasing earnings and</w:t>
      </w:r>
      <w:r w:rsidR="004F078B" w:rsidRPr="00370FDE">
        <w:rPr>
          <w:rFonts w:cs="Calibri"/>
          <w:lang w:val="en-GB"/>
        </w:rPr>
        <w:t xml:space="preserve"> to meet analysts’ expectations</w:t>
      </w:r>
      <w:r w:rsidRPr="00370FDE">
        <w:rPr>
          <w:rFonts w:cs="Calibri"/>
          <w:lang w:val="en-GB"/>
        </w:rPr>
        <w:t xml:space="preserve"> (Xu, Taylor, Dugan, 2007 p</w:t>
      </w:r>
      <w:r w:rsidR="00370FDE" w:rsidRPr="00370FDE">
        <w:rPr>
          <w:rFonts w:cs="Calibri"/>
          <w:lang w:val="en-GB"/>
        </w:rPr>
        <w:t xml:space="preserve"> </w:t>
      </w:r>
      <w:r w:rsidRPr="00370FDE">
        <w:rPr>
          <w:rFonts w:cs="Calibri"/>
          <w:lang w:val="en-GB"/>
        </w:rPr>
        <w:t xml:space="preserve">212). </w:t>
      </w:r>
    </w:p>
    <w:p w:rsidR="0070793A" w:rsidRPr="0070793A" w:rsidRDefault="001C6A3E" w:rsidP="0070793A">
      <w:pPr>
        <w:spacing w:line="360" w:lineRule="auto"/>
        <w:rPr>
          <w:lang w:val="en-GB"/>
        </w:rPr>
      </w:pPr>
      <w:r w:rsidRPr="00F67CC4">
        <w:rPr>
          <w:rFonts w:cs="Calibri"/>
          <w:b/>
          <w:lang w:val="en-GB"/>
        </w:rPr>
        <w:t>2.4 Summary</w:t>
      </w:r>
      <w:r w:rsidRPr="00F67CC4">
        <w:rPr>
          <w:rFonts w:cs="Calibri"/>
          <w:b/>
          <w:lang w:val="en-GB"/>
        </w:rPr>
        <w:br/>
      </w:r>
      <w:r w:rsidR="0014405E" w:rsidRPr="0070793A">
        <w:rPr>
          <w:lang w:val="en-GB"/>
        </w:rPr>
        <w:t xml:space="preserve">In order to </w:t>
      </w:r>
      <w:r w:rsidR="00293737" w:rsidRPr="0070793A">
        <w:rPr>
          <w:lang w:val="en-GB"/>
        </w:rPr>
        <w:t>answer</w:t>
      </w:r>
      <w:r w:rsidR="00780B8B" w:rsidRPr="0070793A">
        <w:rPr>
          <w:lang w:val="en-GB"/>
        </w:rPr>
        <w:t xml:space="preserve"> </w:t>
      </w:r>
      <w:r w:rsidRPr="0070793A">
        <w:rPr>
          <w:lang w:val="en-GB"/>
        </w:rPr>
        <w:t>sub-question</w:t>
      </w:r>
      <w:r w:rsidR="00780B8B" w:rsidRPr="0070793A">
        <w:rPr>
          <w:lang w:val="en-GB"/>
        </w:rPr>
        <w:t xml:space="preserve"> 1</w:t>
      </w:r>
      <w:r w:rsidR="0014405E" w:rsidRPr="0070793A">
        <w:rPr>
          <w:lang w:val="en-GB"/>
        </w:rPr>
        <w:t xml:space="preserve"> about the </w:t>
      </w:r>
      <w:r w:rsidR="005A0439" w:rsidRPr="0070793A">
        <w:rPr>
          <w:lang w:val="en-GB"/>
        </w:rPr>
        <w:t xml:space="preserve">general and specific </w:t>
      </w:r>
      <w:r w:rsidRPr="0070793A">
        <w:rPr>
          <w:lang w:val="en-GB"/>
        </w:rPr>
        <w:t>research approach</w:t>
      </w:r>
      <w:r w:rsidR="005A0439" w:rsidRPr="0070793A">
        <w:rPr>
          <w:lang w:val="en-GB"/>
        </w:rPr>
        <w:t>es</w:t>
      </w:r>
      <w:r w:rsidR="0014405E" w:rsidRPr="0070793A">
        <w:rPr>
          <w:lang w:val="en-GB"/>
        </w:rPr>
        <w:t xml:space="preserve">, the general and </w:t>
      </w:r>
      <w:r w:rsidR="00F87AA4">
        <w:rPr>
          <w:lang w:val="en-GB"/>
        </w:rPr>
        <w:t xml:space="preserve">the </w:t>
      </w:r>
      <w:r w:rsidR="0014405E" w:rsidRPr="0070793A">
        <w:rPr>
          <w:lang w:val="en-GB"/>
        </w:rPr>
        <w:t xml:space="preserve">more specific accounting approaches that can be used </w:t>
      </w:r>
      <w:r w:rsidR="00F87AA4">
        <w:rPr>
          <w:lang w:val="en-GB"/>
        </w:rPr>
        <w:t>in</w:t>
      </w:r>
      <w:r w:rsidR="0014405E" w:rsidRPr="0070793A">
        <w:rPr>
          <w:lang w:val="en-GB"/>
        </w:rPr>
        <w:t xml:space="preserve"> research </w:t>
      </w:r>
      <w:r w:rsidR="00F87AA4">
        <w:rPr>
          <w:lang w:val="en-GB"/>
        </w:rPr>
        <w:t>have been presented</w:t>
      </w:r>
      <w:r w:rsidR="0014405E" w:rsidRPr="0070793A">
        <w:rPr>
          <w:lang w:val="en-GB"/>
        </w:rPr>
        <w:t xml:space="preserve">. </w:t>
      </w:r>
      <w:r w:rsidRPr="0070793A">
        <w:rPr>
          <w:lang w:val="en-GB"/>
        </w:rPr>
        <w:t xml:space="preserve">With the focus on the general research </w:t>
      </w:r>
      <w:r w:rsidR="005A0439" w:rsidRPr="0070793A">
        <w:rPr>
          <w:lang w:val="en-GB"/>
        </w:rPr>
        <w:t>approaches in the</w:t>
      </w:r>
      <w:r w:rsidR="00E72E74">
        <w:rPr>
          <w:lang w:val="en-GB"/>
        </w:rPr>
        <w:t xml:space="preserve"> accounting</w:t>
      </w:r>
      <w:r w:rsidR="005A0439" w:rsidRPr="0070793A">
        <w:rPr>
          <w:lang w:val="en-GB"/>
        </w:rPr>
        <w:t>,</w:t>
      </w:r>
      <w:r w:rsidR="001E7578" w:rsidRPr="0070793A">
        <w:rPr>
          <w:lang w:val="en-GB"/>
        </w:rPr>
        <w:t xml:space="preserve"> the normative and </w:t>
      </w:r>
      <w:r w:rsidR="00746EA4">
        <w:rPr>
          <w:lang w:val="en-GB"/>
        </w:rPr>
        <w:t xml:space="preserve">the </w:t>
      </w:r>
      <w:r w:rsidR="001E7578" w:rsidRPr="0070793A">
        <w:rPr>
          <w:lang w:val="en-GB"/>
        </w:rPr>
        <w:t>positive theories</w:t>
      </w:r>
      <w:r w:rsidRPr="0070793A">
        <w:rPr>
          <w:lang w:val="en-GB"/>
        </w:rPr>
        <w:t xml:space="preserve"> </w:t>
      </w:r>
      <w:r w:rsidR="00746EA4">
        <w:rPr>
          <w:lang w:val="en-GB"/>
        </w:rPr>
        <w:t>have been commented</w:t>
      </w:r>
      <w:r w:rsidR="00A81A82" w:rsidRPr="0070793A">
        <w:rPr>
          <w:lang w:val="en-GB"/>
        </w:rPr>
        <w:t xml:space="preserve"> </w:t>
      </w:r>
      <w:r w:rsidRPr="0070793A">
        <w:rPr>
          <w:lang w:val="en-GB"/>
        </w:rPr>
        <w:t xml:space="preserve">and </w:t>
      </w:r>
      <w:r w:rsidR="001E7578" w:rsidRPr="0070793A">
        <w:rPr>
          <w:lang w:val="en-GB"/>
        </w:rPr>
        <w:t xml:space="preserve">the </w:t>
      </w:r>
      <w:r w:rsidR="00746EA4">
        <w:rPr>
          <w:lang w:val="en-GB"/>
        </w:rPr>
        <w:t>finding</w:t>
      </w:r>
      <w:r w:rsidR="001E7578" w:rsidRPr="0070793A">
        <w:rPr>
          <w:lang w:val="en-GB"/>
        </w:rPr>
        <w:t xml:space="preserve"> is </w:t>
      </w:r>
      <w:r w:rsidRPr="0070793A">
        <w:rPr>
          <w:lang w:val="en-GB"/>
        </w:rPr>
        <w:t xml:space="preserve">that the positive theory and more specific the Positive Accounting Theory (PAT) is the most appropriate </w:t>
      </w:r>
      <w:r w:rsidR="0014405E" w:rsidRPr="0070793A">
        <w:rPr>
          <w:lang w:val="en-GB"/>
        </w:rPr>
        <w:t>approach</w:t>
      </w:r>
      <w:r w:rsidRPr="0070793A">
        <w:rPr>
          <w:lang w:val="en-GB"/>
        </w:rPr>
        <w:t xml:space="preserve"> </w:t>
      </w:r>
      <w:r w:rsidR="00746EA4">
        <w:rPr>
          <w:lang w:val="en-GB"/>
        </w:rPr>
        <w:t>in</w:t>
      </w:r>
      <w:r w:rsidRPr="0070793A">
        <w:rPr>
          <w:lang w:val="en-GB"/>
        </w:rPr>
        <w:t xml:space="preserve"> this research</w:t>
      </w:r>
      <w:r w:rsidR="001E7578" w:rsidRPr="0070793A">
        <w:rPr>
          <w:lang w:val="en-GB"/>
        </w:rPr>
        <w:t xml:space="preserve">. With the use of the PAT, observations will be </w:t>
      </w:r>
      <w:r w:rsidR="00F67CC4" w:rsidRPr="0070793A">
        <w:rPr>
          <w:lang w:val="en-GB"/>
        </w:rPr>
        <w:t>used</w:t>
      </w:r>
      <w:r w:rsidR="00746EA4">
        <w:rPr>
          <w:lang w:val="en-GB"/>
        </w:rPr>
        <w:t xml:space="preserve"> to check</w:t>
      </w:r>
      <w:r w:rsidR="001E7578" w:rsidRPr="0070793A">
        <w:rPr>
          <w:lang w:val="en-GB"/>
        </w:rPr>
        <w:t xml:space="preserve"> the possible influence of the new standards on the use of earnings management. </w:t>
      </w:r>
    </w:p>
    <w:p w:rsidR="001C6A3E" w:rsidRPr="0070793A" w:rsidRDefault="00746EA4" w:rsidP="0070793A">
      <w:pPr>
        <w:spacing w:line="360" w:lineRule="auto"/>
        <w:rPr>
          <w:lang w:val="en-GB"/>
        </w:rPr>
      </w:pPr>
      <w:r>
        <w:rPr>
          <w:lang w:val="en-GB"/>
        </w:rPr>
        <w:t xml:space="preserve">After defining </w:t>
      </w:r>
      <w:r w:rsidR="001C6A3E" w:rsidRPr="0070793A">
        <w:rPr>
          <w:lang w:val="en-GB"/>
        </w:rPr>
        <w:t>th</w:t>
      </w:r>
      <w:r w:rsidR="00CA5BEF" w:rsidRPr="0070793A">
        <w:rPr>
          <w:lang w:val="en-GB"/>
        </w:rPr>
        <w:t xml:space="preserve">e general research approach, </w:t>
      </w:r>
      <w:r w:rsidR="00465DED" w:rsidRPr="0070793A">
        <w:rPr>
          <w:lang w:val="en-GB"/>
        </w:rPr>
        <w:t>m</w:t>
      </w:r>
      <w:r w:rsidR="001C6A3E" w:rsidRPr="0070793A">
        <w:rPr>
          <w:lang w:val="en-GB"/>
        </w:rPr>
        <w:t>ore specific approaches</w:t>
      </w:r>
      <w:r w:rsidR="00465DED" w:rsidRPr="0070793A">
        <w:rPr>
          <w:lang w:val="en-GB"/>
        </w:rPr>
        <w:t xml:space="preserve"> were </w:t>
      </w:r>
      <w:r>
        <w:rPr>
          <w:lang w:val="en-GB"/>
        </w:rPr>
        <w:t>commented</w:t>
      </w:r>
      <w:r w:rsidR="00465DED" w:rsidRPr="0070793A">
        <w:rPr>
          <w:lang w:val="en-GB"/>
        </w:rPr>
        <w:t xml:space="preserve"> to understand </w:t>
      </w:r>
      <w:r w:rsidR="001C6A3E" w:rsidRPr="0070793A">
        <w:rPr>
          <w:lang w:val="en-GB"/>
        </w:rPr>
        <w:t xml:space="preserve">what approaches </w:t>
      </w:r>
      <w:r>
        <w:rPr>
          <w:lang w:val="en-GB"/>
        </w:rPr>
        <w:t>by managers are used to</w:t>
      </w:r>
      <w:r w:rsidR="001C6A3E" w:rsidRPr="0070793A">
        <w:rPr>
          <w:lang w:val="en-GB"/>
        </w:rPr>
        <w:t xml:space="preserve"> manage</w:t>
      </w:r>
      <w:r>
        <w:rPr>
          <w:lang w:val="en-GB"/>
        </w:rPr>
        <w:t xml:space="preserve"> the published</w:t>
      </w:r>
      <w:r w:rsidR="001C6A3E" w:rsidRPr="0070793A">
        <w:rPr>
          <w:lang w:val="en-GB"/>
        </w:rPr>
        <w:t xml:space="preserve"> earnings. </w:t>
      </w:r>
      <w:r>
        <w:rPr>
          <w:lang w:val="en-GB"/>
        </w:rPr>
        <w:t>T</w:t>
      </w:r>
      <w:r w:rsidR="001C6A3E" w:rsidRPr="0070793A">
        <w:rPr>
          <w:lang w:val="en-GB"/>
        </w:rPr>
        <w:t xml:space="preserve">wo </w:t>
      </w:r>
      <w:r w:rsidR="0014405E" w:rsidRPr="0070793A">
        <w:rPr>
          <w:lang w:val="en-GB"/>
        </w:rPr>
        <w:t>general</w:t>
      </w:r>
      <w:r w:rsidR="001C6A3E" w:rsidRPr="0070793A">
        <w:rPr>
          <w:lang w:val="en-GB"/>
        </w:rPr>
        <w:t xml:space="preserve"> </w:t>
      </w:r>
      <w:r w:rsidR="0014405E" w:rsidRPr="0070793A">
        <w:rPr>
          <w:lang w:val="en-GB"/>
        </w:rPr>
        <w:t xml:space="preserve">methods </w:t>
      </w:r>
      <w:r>
        <w:rPr>
          <w:lang w:val="en-GB"/>
        </w:rPr>
        <w:t xml:space="preserve">exist </w:t>
      </w:r>
      <w:r w:rsidR="0014405E" w:rsidRPr="0070793A">
        <w:rPr>
          <w:lang w:val="en-GB"/>
        </w:rPr>
        <w:t xml:space="preserve">to manage </w:t>
      </w:r>
      <w:r>
        <w:rPr>
          <w:lang w:val="en-GB"/>
        </w:rPr>
        <w:t xml:space="preserve">the published </w:t>
      </w:r>
      <w:r w:rsidR="0014405E" w:rsidRPr="0070793A">
        <w:rPr>
          <w:lang w:val="en-GB"/>
        </w:rPr>
        <w:t>earnings;</w:t>
      </w:r>
      <w:r w:rsidR="001C6A3E" w:rsidRPr="0070793A">
        <w:rPr>
          <w:lang w:val="en-GB"/>
        </w:rPr>
        <w:t xml:space="preserve"> by accruals and real activities. </w:t>
      </w:r>
      <w:r w:rsidR="001E7578" w:rsidRPr="0070793A">
        <w:rPr>
          <w:lang w:val="en-GB"/>
        </w:rPr>
        <w:t>The aggregation</w:t>
      </w:r>
      <w:r w:rsidR="00F67CC4" w:rsidRPr="0070793A">
        <w:rPr>
          <w:lang w:val="en-GB"/>
        </w:rPr>
        <w:t>-</w:t>
      </w:r>
      <w:r w:rsidR="001E7578" w:rsidRPr="0070793A">
        <w:rPr>
          <w:lang w:val="en-GB"/>
        </w:rPr>
        <w:t xml:space="preserve">, specific or statistical proportions of </w:t>
      </w:r>
      <w:r w:rsidR="009D6087">
        <w:rPr>
          <w:lang w:val="en-GB"/>
        </w:rPr>
        <w:t xml:space="preserve">accruals are </w:t>
      </w:r>
      <w:r w:rsidR="00F67CC4" w:rsidRPr="0070793A">
        <w:rPr>
          <w:lang w:val="en-GB"/>
        </w:rPr>
        <w:t>use</w:t>
      </w:r>
      <w:r w:rsidR="009D6087">
        <w:rPr>
          <w:lang w:val="en-GB"/>
        </w:rPr>
        <w:t>d for</w:t>
      </w:r>
      <w:r w:rsidR="00F67CC4" w:rsidRPr="0070793A">
        <w:rPr>
          <w:lang w:val="en-GB"/>
        </w:rPr>
        <w:t xml:space="preserve"> </w:t>
      </w:r>
      <w:r w:rsidR="00D43A4A">
        <w:rPr>
          <w:lang w:val="en-GB"/>
        </w:rPr>
        <w:t>management of</w:t>
      </w:r>
      <w:r w:rsidR="001E7578" w:rsidRPr="0070793A">
        <w:rPr>
          <w:lang w:val="en-GB"/>
        </w:rPr>
        <w:t xml:space="preserve"> </w:t>
      </w:r>
      <w:r>
        <w:rPr>
          <w:lang w:val="en-GB"/>
        </w:rPr>
        <w:t xml:space="preserve">the published </w:t>
      </w:r>
      <w:r w:rsidR="001E7578" w:rsidRPr="0070793A">
        <w:rPr>
          <w:lang w:val="en-GB"/>
        </w:rPr>
        <w:t>earnings.</w:t>
      </w:r>
      <w:r>
        <w:rPr>
          <w:lang w:val="en-GB"/>
        </w:rPr>
        <w:t xml:space="preserve"> Focussing </w:t>
      </w:r>
      <w:r w:rsidR="001E7578" w:rsidRPr="0070793A">
        <w:rPr>
          <w:lang w:val="en-GB"/>
        </w:rPr>
        <w:t xml:space="preserve">on real earnings management, operating, investing and financing activities can be used. </w:t>
      </w:r>
      <w:r w:rsidR="009A1214" w:rsidRPr="0070793A">
        <w:rPr>
          <w:lang w:val="en-GB"/>
        </w:rPr>
        <w:t xml:space="preserve">In this research, not all activities will be used to detect </w:t>
      </w:r>
      <w:r>
        <w:rPr>
          <w:lang w:val="en-GB"/>
        </w:rPr>
        <w:t xml:space="preserve">the use of </w:t>
      </w:r>
      <w:r w:rsidR="009A1214" w:rsidRPr="0070793A">
        <w:rPr>
          <w:lang w:val="en-GB"/>
        </w:rPr>
        <w:t>real earnings managem</w:t>
      </w:r>
      <w:r w:rsidR="0014405E" w:rsidRPr="0070793A">
        <w:rPr>
          <w:lang w:val="en-GB"/>
        </w:rPr>
        <w:t>ent. Like Roychowdhury (2006), o</w:t>
      </w:r>
      <w:r w:rsidR="009A1214" w:rsidRPr="0070793A">
        <w:rPr>
          <w:lang w:val="en-GB"/>
        </w:rPr>
        <w:t>nly the manipulation of the operating activities is used for the detection of real earnings management.</w:t>
      </w:r>
      <w:r w:rsidR="0014405E" w:rsidRPr="0070793A">
        <w:rPr>
          <w:lang w:val="en-GB"/>
        </w:rPr>
        <w:t xml:space="preserve"> </w:t>
      </w:r>
      <w:r w:rsidR="009A1214" w:rsidRPr="0070793A">
        <w:rPr>
          <w:lang w:val="en-GB"/>
        </w:rPr>
        <w:t xml:space="preserve">The </w:t>
      </w:r>
      <w:r w:rsidR="001E7578" w:rsidRPr="0070793A">
        <w:rPr>
          <w:lang w:val="en-GB"/>
        </w:rPr>
        <w:t>two</w:t>
      </w:r>
      <w:r w:rsidR="009A1214" w:rsidRPr="0070793A">
        <w:rPr>
          <w:lang w:val="en-GB"/>
        </w:rPr>
        <w:t xml:space="preserve"> general</w:t>
      </w:r>
      <w:r w:rsidR="001C6A3E" w:rsidRPr="0070793A">
        <w:rPr>
          <w:lang w:val="en-GB"/>
        </w:rPr>
        <w:t xml:space="preserve"> </w:t>
      </w:r>
      <w:r w:rsidR="001E7578" w:rsidRPr="0070793A">
        <w:rPr>
          <w:lang w:val="en-GB"/>
        </w:rPr>
        <w:t>methods</w:t>
      </w:r>
      <w:r w:rsidR="009A1214" w:rsidRPr="0070793A">
        <w:rPr>
          <w:lang w:val="en-GB"/>
        </w:rPr>
        <w:t xml:space="preserve"> for detecting</w:t>
      </w:r>
      <w:r w:rsidR="001C6A3E" w:rsidRPr="0070793A">
        <w:rPr>
          <w:lang w:val="en-GB"/>
        </w:rPr>
        <w:t xml:space="preserve"> earnings management will be further explained in section 3.2.2 and 3.2.3</w:t>
      </w:r>
    </w:p>
    <w:p w:rsidR="001C6A3E" w:rsidRPr="008C581E" w:rsidRDefault="001C6A3E" w:rsidP="00F74511">
      <w:pPr>
        <w:spacing w:line="360" w:lineRule="auto"/>
        <w:rPr>
          <w:rFonts w:cs="Calibri"/>
          <w:b/>
          <w:sz w:val="24"/>
          <w:szCs w:val="24"/>
          <w:lang w:val="en-GB"/>
        </w:rPr>
      </w:pPr>
      <w:r w:rsidRPr="00F67CC4">
        <w:rPr>
          <w:rFonts w:cs="Calibri"/>
          <w:b/>
          <w:lang w:val="en-GB"/>
        </w:rPr>
        <w:br w:type="page"/>
      </w:r>
      <w:r w:rsidRPr="008C581E">
        <w:rPr>
          <w:rFonts w:cs="Calibri"/>
          <w:b/>
          <w:sz w:val="24"/>
          <w:szCs w:val="24"/>
          <w:lang w:val="en-GB"/>
        </w:rPr>
        <w:lastRenderedPageBreak/>
        <w:t xml:space="preserve">3 </w:t>
      </w:r>
      <w:r w:rsidR="009C12BB" w:rsidRPr="008C581E">
        <w:rPr>
          <w:rFonts w:cs="Calibri"/>
          <w:b/>
          <w:sz w:val="24"/>
          <w:szCs w:val="24"/>
          <w:lang w:val="en-GB"/>
        </w:rPr>
        <w:t>Earnings Management and IFRS</w:t>
      </w:r>
    </w:p>
    <w:p w:rsidR="00786B03" w:rsidRPr="00F67CC4" w:rsidRDefault="001C6A3E" w:rsidP="00626A37">
      <w:pPr>
        <w:spacing w:line="360" w:lineRule="auto"/>
        <w:rPr>
          <w:rFonts w:cs="Calibri"/>
          <w:lang w:val="en-GB"/>
        </w:rPr>
      </w:pPr>
      <w:r w:rsidRPr="00F67CC4">
        <w:rPr>
          <w:rFonts w:cs="Calibri"/>
          <w:b/>
          <w:lang w:val="en-GB"/>
        </w:rPr>
        <w:t>3.1 Introduction</w:t>
      </w:r>
      <w:r w:rsidRPr="00F67CC4">
        <w:rPr>
          <w:rFonts w:cs="Calibri"/>
          <w:b/>
          <w:lang w:val="en-GB"/>
        </w:rPr>
        <w:br/>
      </w:r>
      <w:r w:rsidRPr="00F67CC4">
        <w:rPr>
          <w:rFonts w:cs="Calibri"/>
          <w:lang w:val="en-GB"/>
        </w:rPr>
        <w:t xml:space="preserve">In </w:t>
      </w:r>
      <w:r w:rsidR="00B23C31" w:rsidRPr="00F67CC4">
        <w:rPr>
          <w:rFonts w:cs="Calibri"/>
          <w:lang w:val="en-GB"/>
        </w:rPr>
        <w:t xml:space="preserve">this </w:t>
      </w:r>
      <w:r w:rsidR="00F46DB1" w:rsidRPr="00F67CC4">
        <w:rPr>
          <w:rFonts w:cs="Calibri"/>
          <w:lang w:val="en-GB"/>
        </w:rPr>
        <w:t>chapter</w:t>
      </w:r>
      <w:r w:rsidR="00B23C31" w:rsidRPr="00F67CC4">
        <w:rPr>
          <w:rFonts w:cs="Calibri"/>
          <w:lang w:val="en-GB"/>
        </w:rPr>
        <w:t xml:space="preserve"> the foundation</w:t>
      </w:r>
      <w:r w:rsidRPr="00F67CC4">
        <w:rPr>
          <w:rFonts w:cs="Calibri"/>
          <w:lang w:val="en-GB"/>
        </w:rPr>
        <w:t xml:space="preserve"> of th</w:t>
      </w:r>
      <w:r w:rsidR="00F46DB1" w:rsidRPr="00F67CC4">
        <w:rPr>
          <w:rFonts w:cs="Calibri"/>
          <w:lang w:val="en-GB"/>
        </w:rPr>
        <w:t>is research is further developed. Chapter 2 was about the approaches that</w:t>
      </w:r>
      <w:r w:rsidR="00B065A5">
        <w:rPr>
          <w:rFonts w:cs="Calibri"/>
          <w:lang w:val="en-GB"/>
        </w:rPr>
        <w:t xml:space="preserve"> in this research</w:t>
      </w:r>
      <w:r w:rsidR="00F46DB1" w:rsidRPr="00F67CC4">
        <w:rPr>
          <w:rFonts w:cs="Calibri"/>
          <w:lang w:val="en-GB"/>
        </w:rPr>
        <w:t xml:space="preserve"> will be </w:t>
      </w:r>
      <w:r w:rsidR="00B065A5">
        <w:rPr>
          <w:rFonts w:cs="Calibri"/>
          <w:lang w:val="en-GB"/>
        </w:rPr>
        <w:t>used</w:t>
      </w:r>
      <w:r w:rsidR="00F46DB1" w:rsidRPr="00F67CC4">
        <w:rPr>
          <w:rFonts w:cs="Calibri"/>
          <w:lang w:val="en-GB"/>
        </w:rPr>
        <w:t>, while in</w:t>
      </w:r>
      <w:r w:rsidR="00B065A5">
        <w:rPr>
          <w:rFonts w:cs="Calibri"/>
          <w:lang w:val="en-GB"/>
        </w:rPr>
        <w:t xml:space="preserve"> this chapter </w:t>
      </w:r>
      <w:r w:rsidR="0014405E">
        <w:rPr>
          <w:rFonts w:cs="Calibri"/>
          <w:lang w:val="en-GB"/>
        </w:rPr>
        <w:t xml:space="preserve">the International Financial </w:t>
      </w:r>
      <w:r w:rsidR="004F6F62">
        <w:rPr>
          <w:rFonts w:cs="Calibri"/>
          <w:lang w:val="en-GB"/>
        </w:rPr>
        <w:t>Reporti</w:t>
      </w:r>
      <w:r w:rsidR="0014405E">
        <w:rPr>
          <w:rFonts w:cs="Calibri"/>
          <w:lang w:val="en-GB"/>
        </w:rPr>
        <w:t>n</w:t>
      </w:r>
      <w:r w:rsidR="004F6F62">
        <w:rPr>
          <w:rFonts w:cs="Calibri"/>
          <w:lang w:val="en-GB"/>
        </w:rPr>
        <w:t>g</w:t>
      </w:r>
      <w:r w:rsidR="0014405E">
        <w:rPr>
          <w:rFonts w:cs="Calibri"/>
          <w:lang w:val="en-GB"/>
        </w:rPr>
        <w:t xml:space="preserve"> Standards (</w:t>
      </w:r>
      <w:r w:rsidR="004C5EFB" w:rsidRPr="00F67CC4">
        <w:rPr>
          <w:rFonts w:cs="Calibri"/>
          <w:lang w:val="en-GB"/>
        </w:rPr>
        <w:t>IFRS</w:t>
      </w:r>
      <w:r w:rsidR="0014405E">
        <w:rPr>
          <w:rFonts w:cs="Calibri"/>
          <w:lang w:val="en-GB"/>
        </w:rPr>
        <w:t>)</w:t>
      </w:r>
      <w:r w:rsidR="004C5EFB" w:rsidRPr="00F67CC4">
        <w:rPr>
          <w:rFonts w:cs="Calibri"/>
          <w:lang w:val="en-GB"/>
        </w:rPr>
        <w:t xml:space="preserve"> and</w:t>
      </w:r>
      <w:r w:rsidR="00B065A5">
        <w:rPr>
          <w:rFonts w:cs="Calibri"/>
          <w:lang w:val="en-GB"/>
        </w:rPr>
        <w:t xml:space="preserve"> the use of</w:t>
      </w:r>
      <w:r w:rsidR="004C5EFB" w:rsidRPr="00F67CC4">
        <w:rPr>
          <w:rFonts w:cs="Calibri"/>
          <w:lang w:val="en-GB"/>
        </w:rPr>
        <w:t xml:space="preserve"> earnings management with its different aspects will be </w:t>
      </w:r>
      <w:r w:rsidR="00B065A5">
        <w:rPr>
          <w:rFonts w:cs="Calibri"/>
          <w:lang w:val="en-GB"/>
        </w:rPr>
        <w:t>presented</w:t>
      </w:r>
      <w:r w:rsidR="00F46DB1" w:rsidRPr="00F67CC4">
        <w:rPr>
          <w:rFonts w:cs="Calibri"/>
          <w:lang w:val="en-GB"/>
        </w:rPr>
        <w:t>.</w:t>
      </w:r>
      <w:r w:rsidR="00B065A5">
        <w:rPr>
          <w:rFonts w:cs="Calibri"/>
          <w:lang w:val="en-GB"/>
        </w:rPr>
        <w:t xml:space="preserve"> The content of the term e</w:t>
      </w:r>
      <w:r w:rsidRPr="00F67CC4">
        <w:rPr>
          <w:rFonts w:cs="Calibri"/>
          <w:lang w:val="en-GB"/>
        </w:rPr>
        <w:t>arnings management</w:t>
      </w:r>
      <w:r w:rsidR="00267731">
        <w:rPr>
          <w:rFonts w:cs="Calibri"/>
          <w:lang w:val="en-GB"/>
        </w:rPr>
        <w:t xml:space="preserve"> is described</w:t>
      </w:r>
      <w:r w:rsidR="00F46DB1" w:rsidRPr="00F67CC4">
        <w:rPr>
          <w:rFonts w:cs="Calibri"/>
          <w:lang w:val="en-GB"/>
        </w:rPr>
        <w:t xml:space="preserve"> in section 3.2</w:t>
      </w:r>
      <w:r w:rsidR="00267731">
        <w:rPr>
          <w:rFonts w:cs="Calibri"/>
          <w:lang w:val="en-GB"/>
        </w:rPr>
        <w:t xml:space="preserve"> with the focus </w:t>
      </w:r>
      <w:r w:rsidRPr="00F67CC4">
        <w:rPr>
          <w:rFonts w:cs="Calibri"/>
          <w:lang w:val="en-GB"/>
        </w:rPr>
        <w:t>on the definition, types, incentives, directions and methods of executing it</w:t>
      </w:r>
      <w:r w:rsidR="00786B03" w:rsidRPr="00F67CC4">
        <w:rPr>
          <w:rFonts w:cs="Calibri"/>
          <w:lang w:val="en-GB"/>
        </w:rPr>
        <w:t>. S</w:t>
      </w:r>
      <w:r w:rsidR="00F46DB1" w:rsidRPr="00F67CC4">
        <w:rPr>
          <w:rFonts w:cs="Calibri"/>
          <w:lang w:val="en-GB"/>
        </w:rPr>
        <w:t>ection 3.3</w:t>
      </w:r>
      <w:r w:rsidR="00786B03" w:rsidRPr="00F67CC4">
        <w:rPr>
          <w:rFonts w:cs="Calibri"/>
          <w:lang w:val="en-GB"/>
        </w:rPr>
        <w:t xml:space="preserve"> </w:t>
      </w:r>
      <w:r w:rsidR="0014405E">
        <w:rPr>
          <w:rFonts w:cs="Calibri"/>
          <w:lang w:val="en-GB"/>
        </w:rPr>
        <w:t>is</w:t>
      </w:r>
      <w:r w:rsidR="00786B03" w:rsidRPr="00F67CC4">
        <w:rPr>
          <w:rFonts w:cs="Calibri"/>
          <w:lang w:val="en-GB"/>
        </w:rPr>
        <w:t xml:space="preserve"> about </w:t>
      </w:r>
      <w:r w:rsidRPr="00F67CC4">
        <w:rPr>
          <w:rFonts w:cs="Calibri"/>
          <w:lang w:val="en-GB"/>
        </w:rPr>
        <w:t xml:space="preserve">IFRS </w:t>
      </w:r>
      <w:r w:rsidR="00786B03" w:rsidRPr="00F67CC4">
        <w:rPr>
          <w:rFonts w:cs="Calibri"/>
          <w:lang w:val="en-GB"/>
        </w:rPr>
        <w:t>and</w:t>
      </w:r>
      <w:r w:rsidRPr="00F67CC4">
        <w:rPr>
          <w:rFonts w:cs="Calibri"/>
          <w:lang w:val="en-GB"/>
        </w:rPr>
        <w:t xml:space="preserve"> the positive and </w:t>
      </w:r>
      <w:r w:rsidR="00B065A5">
        <w:rPr>
          <w:rFonts w:cs="Calibri"/>
          <w:lang w:val="en-GB"/>
        </w:rPr>
        <w:t xml:space="preserve">the </w:t>
      </w:r>
      <w:r w:rsidRPr="00F67CC4">
        <w:rPr>
          <w:rFonts w:cs="Calibri"/>
          <w:lang w:val="en-GB"/>
        </w:rPr>
        <w:t>negat</w:t>
      </w:r>
      <w:r w:rsidR="00B23C31" w:rsidRPr="00F67CC4">
        <w:rPr>
          <w:rFonts w:cs="Calibri"/>
          <w:lang w:val="en-GB"/>
        </w:rPr>
        <w:t>ive aspects of implementing the</w:t>
      </w:r>
      <w:r w:rsidR="00786B03" w:rsidRPr="00F67CC4">
        <w:rPr>
          <w:rFonts w:cs="Calibri"/>
          <w:lang w:val="en-GB"/>
        </w:rPr>
        <w:t>se</w:t>
      </w:r>
      <w:r w:rsidR="00B23C31" w:rsidRPr="00F67CC4">
        <w:rPr>
          <w:rFonts w:cs="Calibri"/>
          <w:lang w:val="en-GB"/>
        </w:rPr>
        <w:t xml:space="preserve"> standards.</w:t>
      </w:r>
      <w:r w:rsidR="00786B03" w:rsidRPr="00F67CC4">
        <w:rPr>
          <w:rFonts w:cs="Calibri"/>
          <w:lang w:val="en-GB"/>
        </w:rPr>
        <w:t xml:space="preserve"> </w:t>
      </w:r>
      <w:r w:rsidR="004F6F62">
        <w:rPr>
          <w:rFonts w:cs="Calibri"/>
          <w:lang w:val="en-GB"/>
        </w:rPr>
        <w:t>S</w:t>
      </w:r>
      <w:r w:rsidR="00786B03" w:rsidRPr="00F67CC4">
        <w:rPr>
          <w:rFonts w:cs="Calibri"/>
          <w:lang w:val="en-GB"/>
        </w:rPr>
        <w:t xml:space="preserve">everal </w:t>
      </w:r>
      <w:r w:rsidR="00267731">
        <w:rPr>
          <w:rFonts w:cs="Calibri"/>
          <w:lang w:val="en-GB"/>
        </w:rPr>
        <w:t xml:space="preserve">developed </w:t>
      </w:r>
      <w:r w:rsidR="00786B03" w:rsidRPr="00F67CC4">
        <w:rPr>
          <w:rFonts w:cs="Calibri"/>
          <w:lang w:val="en-GB"/>
        </w:rPr>
        <w:t xml:space="preserve">models </w:t>
      </w:r>
      <w:r w:rsidR="00267731">
        <w:rPr>
          <w:rFonts w:cs="Calibri"/>
          <w:lang w:val="en-GB"/>
        </w:rPr>
        <w:t xml:space="preserve">for detecting </w:t>
      </w:r>
      <w:r w:rsidR="00B065A5">
        <w:rPr>
          <w:rFonts w:cs="Calibri"/>
          <w:lang w:val="en-GB"/>
        </w:rPr>
        <w:t xml:space="preserve">the use of </w:t>
      </w:r>
      <w:r w:rsidR="00267731">
        <w:rPr>
          <w:rFonts w:cs="Calibri"/>
          <w:lang w:val="en-GB"/>
        </w:rPr>
        <w:t>earnings management</w:t>
      </w:r>
      <w:r w:rsidR="00B065A5">
        <w:rPr>
          <w:rFonts w:cs="Calibri"/>
          <w:lang w:val="en-GB"/>
        </w:rPr>
        <w:t xml:space="preserve"> in </w:t>
      </w:r>
      <w:r w:rsidR="00786B03" w:rsidRPr="00F67CC4">
        <w:rPr>
          <w:rFonts w:cs="Calibri"/>
          <w:lang w:val="en-GB"/>
        </w:rPr>
        <w:t>section 3.4</w:t>
      </w:r>
      <w:r w:rsidR="00B065A5">
        <w:rPr>
          <w:rFonts w:cs="Calibri"/>
          <w:lang w:val="en-GB"/>
        </w:rPr>
        <w:t xml:space="preserve"> will be presented to determine </w:t>
      </w:r>
      <w:r w:rsidR="00D43A4A">
        <w:rPr>
          <w:rFonts w:cs="Calibri"/>
          <w:lang w:val="en-GB"/>
        </w:rPr>
        <w:t xml:space="preserve">together with related, earlier conducted researches </w:t>
      </w:r>
      <w:r w:rsidR="00786B03" w:rsidRPr="00F67CC4">
        <w:rPr>
          <w:rFonts w:cs="Calibri"/>
          <w:lang w:val="en-GB"/>
        </w:rPr>
        <w:t>which models will be used</w:t>
      </w:r>
      <w:r w:rsidR="00D43A4A">
        <w:rPr>
          <w:rFonts w:cs="Calibri"/>
          <w:lang w:val="en-GB"/>
        </w:rPr>
        <w:t>.</w:t>
      </w:r>
    </w:p>
    <w:p w:rsidR="00B065A5" w:rsidRDefault="001C6A3E" w:rsidP="00626A37">
      <w:pPr>
        <w:spacing w:line="360" w:lineRule="auto"/>
        <w:rPr>
          <w:rFonts w:cs="Calibri"/>
          <w:lang w:val="en-GB"/>
        </w:rPr>
      </w:pPr>
      <w:r w:rsidRPr="00F67CC4">
        <w:rPr>
          <w:rFonts w:cs="Calibri"/>
          <w:b/>
          <w:lang w:val="en-GB"/>
        </w:rPr>
        <w:t>3.2 Earnings management</w:t>
      </w:r>
      <w:r w:rsidRPr="00F67CC4">
        <w:rPr>
          <w:rFonts w:cs="Calibri"/>
          <w:b/>
          <w:lang w:val="en-GB"/>
        </w:rPr>
        <w:br/>
      </w:r>
      <w:r w:rsidRPr="00F67CC4">
        <w:rPr>
          <w:rFonts w:cs="Calibri"/>
          <w:lang w:val="en-GB"/>
        </w:rPr>
        <w:t xml:space="preserve">Earnings management is about influencing </w:t>
      </w:r>
      <w:r w:rsidR="00B065A5">
        <w:rPr>
          <w:rFonts w:cs="Calibri"/>
          <w:lang w:val="en-GB"/>
        </w:rPr>
        <w:t xml:space="preserve">the published </w:t>
      </w:r>
      <w:r w:rsidRPr="00F67CC4">
        <w:rPr>
          <w:rFonts w:cs="Calibri"/>
          <w:lang w:val="en-GB"/>
        </w:rPr>
        <w:t>financial numbers to create a</w:t>
      </w:r>
      <w:r w:rsidR="00F46DB1" w:rsidRPr="00F67CC4">
        <w:rPr>
          <w:rFonts w:cs="Calibri"/>
          <w:lang w:val="en-GB"/>
        </w:rPr>
        <w:t>n adjusted</w:t>
      </w:r>
      <w:r w:rsidR="0006599E" w:rsidRPr="00F67CC4">
        <w:rPr>
          <w:rFonts w:cs="Calibri"/>
          <w:lang w:val="en-GB"/>
        </w:rPr>
        <w:t>, more likeable,</w:t>
      </w:r>
      <w:r w:rsidR="00F46DB1" w:rsidRPr="00F67CC4">
        <w:rPr>
          <w:rFonts w:cs="Calibri"/>
          <w:lang w:val="en-GB"/>
        </w:rPr>
        <w:t xml:space="preserve"> financial</w:t>
      </w:r>
      <w:r w:rsidRPr="00F67CC4">
        <w:rPr>
          <w:rFonts w:cs="Calibri"/>
          <w:lang w:val="en-GB"/>
        </w:rPr>
        <w:t xml:space="preserve"> situation than the </w:t>
      </w:r>
      <w:r w:rsidR="00F46DB1" w:rsidRPr="00F67CC4">
        <w:rPr>
          <w:rFonts w:cs="Calibri"/>
          <w:lang w:val="en-GB"/>
        </w:rPr>
        <w:t>actual situation</w:t>
      </w:r>
      <w:r w:rsidRPr="00F67CC4">
        <w:rPr>
          <w:rFonts w:cs="Calibri"/>
          <w:lang w:val="en-GB"/>
        </w:rPr>
        <w:t xml:space="preserve">. </w:t>
      </w:r>
      <w:r w:rsidR="00B065A5">
        <w:rPr>
          <w:rFonts w:cs="Calibri"/>
          <w:lang w:val="en-GB"/>
        </w:rPr>
        <w:t>The use of e</w:t>
      </w:r>
      <w:r w:rsidRPr="00F67CC4">
        <w:rPr>
          <w:rFonts w:cs="Calibri"/>
          <w:lang w:val="en-GB"/>
        </w:rPr>
        <w:t>arnings management is a topic that has already been br</w:t>
      </w:r>
      <w:r w:rsidR="00F46DB1" w:rsidRPr="00F67CC4">
        <w:rPr>
          <w:rFonts w:cs="Calibri"/>
          <w:lang w:val="en-GB"/>
        </w:rPr>
        <w:t xml:space="preserve">oadly </w:t>
      </w:r>
      <w:r w:rsidR="00B065A5">
        <w:rPr>
          <w:rFonts w:cs="Calibri"/>
          <w:lang w:val="en-GB"/>
        </w:rPr>
        <w:t>commented</w:t>
      </w:r>
      <w:r w:rsidR="00F46DB1" w:rsidRPr="00F67CC4">
        <w:rPr>
          <w:rFonts w:cs="Calibri"/>
          <w:lang w:val="en-GB"/>
        </w:rPr>
        <w:t xml:space="preserve"> in many studies, each using different aspects of it. Researches</w:t>
      </w:r>
      <w:r w:rsidR="0006599E" w:rsidRPr="00F67CC4">
        <w:rPr>
          <w:rFonts w:cs="Calibri"/>
          <w:lang w:val="en-GB"/>
        </w:rPr>
        <w:t xml:space="preserve"> have</w:t>
      </w:r>
      <w:r w:rsidR="00F46DB1" w:rsidRPr="00F67CC4">
        <w:rPr>
          <w:rFonts w:cs="Calibri"/>
          <w:lang w:val="en-GB"/>
        </w:rPr>
        <w:t xml:space="preserve"> focus</w:t>
      </w:r>
      <w:r w:rsidR="0006599E" w:rsidRPr="00F67CC4">
        <w:rPr>
          <w:rFonts w:cs="Calibri"/>
          <w:lang w:val="en-GB"/>
        </w:rPr>
        <w:t>ed</w:t>
      </w:r>
      <w:r w:rsidR="004E6E18" w:rsidRPr="00F67CC4">
        <w:rPr>
          <w:rFonts w:cs="Calibri"/>
          <w:lang w:val="en-GB"/>
        </w:rPr>
        <w:t xml:space="preserve"> on</w:t>
      </w:r>
      <w:r w:rsidRPr="00F67CC4">
        <w:rPr>
          <w:rFonts w:cs="Calibri"/>
          <w:lang w:val="en-GB"/>
        </w:rPr>
        <w:t xml:space="preserve"> the definition (Ronen and Yaari 2008</w:t>
      </w:r>
      <w:r w:rsidR="0014405E">
        <w:rPr>
          <w:rFonts w:cs="Calibri"/>
          <w:lang w:val="en-GB"/>
        </w:rPr>
        <w:t>;</w:t>
      </w:r>
      <w:r w:rsidRPr="00F67CC4">
        <w:rPr>
          <w:rFonts w:cs="Calibri"/>
          <w:lang w:val="en-GB"/>
        </w:rPr>
        <w:t xml:space="preserve"> </w:t>
      </w:r>
      <w:r w:rsidR="0014405E">
        <w:rPr>
          <w:rFonts w:cs="Calibri"/>
          <w:lang w:val="en-GB"/>
        </w:rPr>
        <w:t>Healy and Wahlen 1999;</w:t>
      </w:r>
      <w:r w:rsidR="00A11324" w:rsidRPr="00F67CC4">
        <w:rPr>
          <w:rFonts w:cs="Calibri"/>
          <w:lang w:val="en-GB"/>
        </w:rPr>
        <w:t xml:space="preserve"> Schipper</w:t>
      </w:r>
      <w:r w:rsidRPr="00F67CC4">
        <w:rPr>
          <w:rFonts w:cs="Calibri"/>
          <w:lang w:val="en-GB"/>
        </w:rPr>
        <w:t xml:space="preserve"> 1989),</w:t>
      </w:r>
      <w:r w:rsidR="00B065A5">
        <w:rPr>
          <w:rFonts w:cs="Calibri"/>
          <w:lang w:val="en-GB"/>
        </w:rPr>
        <w:t xml:space="preserve"> on the</w:t>
      </w:r>
      <w:r w:rsidRPr="00F67CC4">
        <w:rPr>
          <w:rFonts w:cs="Calibri"/>
          <w:lang w:val="en-GB"/>
        </w:rPr>
        <w:t xml:space="preserve"> incentives of persons (Healy and Wahlen 1</w:t>
      </w:r>
      <w:r w:rsidR="001B1F80" w:rsidRPr="00F67CC4">
        <w:rPr>
          <w:rFonts w:cs="Calibri"/>
          <w:lang w:val="en-GB"/>
        </w:rPr>
        <w:t>999</w:t>
      </w:r>
      <w:r w:rsidR="0014405E">
        <w:rPr>
          <w:rFonts w:cs="Calibri"/>
          <w:lang w:val="en-GB"/>
        </w:rPr>
        <w:t xml:space="preserve">; Burgstahler and Eames </w:t>
      </w:r>
      <w:r w:rsidR="001B1F80" w:rsidRPr="00F67CC4">
        <w:rPr>
          <w:rFonts w:cs="Calibri"/>
          <w:lang w:val="en-GB"/>
        </w:rPr>
        <w:t>2006</w:t>
      </w:r>
      <w:r w:rsidRPr="00F67CC4">
        <w:rPr>
          <w:rFonts w:cs="Calibri"/>
          <w:lang w:val="en-GB"/>
        </w:rPr>
        <w:t xml:space="preserve">) and </w:t>
      </w:r>
      <w:r w:rsidR="00B065A5">
        <w:rPr>
          <w:rFonts w:cs="Calibri"/>
          <w:lang w:val="en-GB"/>
        </w:rPr>
        <w:t xml:space="preserve">on </w:t>
      </w:r>
      <w:r w:rsidRPr="00F67CC4">
        <w:rPr>
          <w:rFonts w:cs="Calibri"/>
          <w:lang w:val="en-GB"/>
        </w:rPr>
        <w:t xml:space="preserve">the directions of </w:t>
      </w:r>
      <w:r w:rsidR="00B065A5">
        <w:rPr>
          <w:rFonts w:cs="Calibri"/>
          <w:lang w:val="en-GB"/>
        </w:rPr>
        <w:t xml:space="preserve">the use of </w:t>
      </w:r>
      <w:r w:rsidRPr="00F67CC4">
        <w:rPr>
          <w:rFonts w:cs="Calibri"/>
          <w:lang w:val="en-GB"/>
        </w:rPr>
        <w:t>earnings manageme</w:t>
      </w:r>
      <w:r w:rsidR="0014405E">
        <w:rPr>
          <w:rFonts w:cs="Calibri"/>
          <w:lang w:val="en-GB"/>
        </w:rPr>
        <w:t>nt (Burgstahler and Dichev 1997;</w:t>
      </w:r>
      <w:r w:rsidRPr="00F67CC4">
        <w:rPr>
          <w:rFonts w:cs="Calibri"/>
          <w:lang w:val="en-GB"/>
        </w:rPr>
        <w:t xml:space="preserve"> Scott 2008).</w:t>
      </w:r>
      <w:r w:rsidR="00B065A5">
        <w:rPr>
          <w:rFonts w:cs="Calibri"/>
          <w:lang w:val="en-GB"/>
        </w:rPr>
        <w:t xml:space="preserve"> In order to create a better understanding on what earnings management is about, why it is used and what the consequences are of the use of it, all these aspects will be commented. </w:t>
      </w:r>
    </w:p>
    <w:p w:rsidR="001C6A3E" w:rsidRPr="00F67CC4" w:rsidRDefault="001C6A3E" w:rsidP="00F74511">
      <w:pPr>
        <w:spacing w:line="360" w:lineRule="auto"/>
        <w:rPr>
          <w:rFonts w:cs="Calibri"/>
          <w:lang w:val="en-GB"/>
        </w:rPr>
      </w:pPr>
      <w:r w:rsidRPr="00F67CC4">
        <w:rPr>
          <w:rFonts w:cs="Calibri"/>
          <w:b/>
          <w:lang w:val="en-GB"/>
        </w:rPr>
        <w:t xml:space="preserve">3.2.1 Definition of </w:t>
      </w:r>
      <w:r w:rsidR="00B065A5">
        <w:rPr>
          <w:rFonts w:cs="Calibri"/>
          <w:b/>
          <w:lang w:val="en-GB"/>
        </w:rPr>
        <w:t xml:space="preserve">the term </w:t>
      </w:r>
      <w:r w:rsidRPr="00F67CC4">
        <w:rPr>
          <w:rFonts w:cs="Calibri"/>
          <w:b/>
          <w:lang w:val="en-GB"/>
        </w:rPr>
        <w:t>earnings management</w:t>
      </w:r>
      <w:r w:rsidRPr="00F67CC4">
        <w:rPr>
          <w:rFonts w:cs="Calibri"/>
          <w:lang w:val="en-GB"/>
        </w:rPr>
        <w:br/>
        <w:t xml:space="preserve">The first aspect in the understanding of </w:t>
      </w:r>
      <w:r w:rsidR="00B065A5">
        <w:rPr>
          <w:rFonts w:cs="Calibri"/>
          <w:lang w:val="en-GB"/>
        </w:rPr>
        <w:t xml:space="preserve">the term </w:t>
      </w:r>
      <w:r w:rsidRPr="00F67CC4">
        <w:rPr>
          <w:rFonts w:cs="Calibri"/>
          <w:lang w:val="en-GB"/>
        </w:rPr>
        <w:t>earnings manage</w:t>
      </w:r>
      <w:r w:rsidR="00B065A5">
        <w:rPr>
          <w:rFonts w:cs="Calibri"/>
          <w:lang w:val="en-GB"/>
        </w:rPr>
        <w:t>ment is the definition</w:t>
      </w:r>
      <w:r w:rsidRPr="00F67CC4">
        <w:rPr>
          <w:rFonts w:cs="Calibri"/>
          <w:lang w:val="en-GB"/>
        </w:rPr>
        <w:t xml:space="preserve">. </w:t>
      </w:r>
      <w:r w:rsidR="00B065A5">
        <w:rPr>
          <w:rFonts w:cs="Calibri"/>
          <w:lang w:val="en-GB"/>
        </w:rPr>
        <w:t>V</w:t>
      </w:r>
      <w:r w:rsidRPr="00F67CC4">
        <w:rPr>
          <w:rFonts w:cs="Calibri"/>
          <w:lang w:val="en-GB"/>
        </w:rPr>
        <w:t xml:space="preserve">arious definitions </w:t>
      </w:r>
      <w:r w:rsidR="00B065A5">
        <w:rPr>
          <w:rFonts w:cs="Calibri"/>
          <w:lang w:val="en-GB"/>
        </w:rPr>
        <w:t xml:space="preserve">exist </w:t>
      </w:r>
      <w:r w:rsidRPr="00F67CC4">
        <w:rPr>
          <w:rFonts w:cs="Calibri"/>
          <w:lang w:val="en-GB"/>
        </w:rPr>
        <w:t xml:space="preserve">which all have their own accentuation on specific parts of the broad topic earnings management. </w:t>
      </w:r>
    </w:p>
    <w:p w:rsidR="00F31DB9" w:rsidRPr="00F67CC4" w:rsidRDefault="001C6A3E" w:rsidP="00F74511">
      <w:pPr>
        <w:spacing w:line="360" w:lineRule="auto"/>
        <w:rPr>
          <w:rFonts w:cs="Calibri"/>
          <w:lang w:val="en-GB"/>
        </w:rPr>
      </w:pPr>
      <w:r w:rsidRPr="00F67CC4">
        <w:rPr>
          <w:rFonts w:cs="Calibri"/>
          <w:i/>
          <w:lang w:val="en-GB"/>
        </w:rPr>
        <w:t xml:space="preserve">“It is always difficult to frame a useful definition for a broad subject. Precise definitions are likely to be inadequate at best, and often positively </w:t>
      </w:r>
      <w:r w:rsidR="004828C7" w:rsidRPr="00F67CC4">
        <w:rPr>
          <w:rFonts w:cs="Calibri"/>
          <w:i/>
          <w:lang w:val="en-GB"/>
        </w:rPr>
        <w:t xml:space="preserve">misleading” </w:t>
      </w:r>
      <w:r w:rsidR="004828C7" w:rsidRPr="00F67CC4">
        <w:rPr>
          <w:rFonts w:cs="Calibri"/>
          <w:lang w:val="en-GB"/>
        </w:rPr>
        <w:t>(Paton</w:t>
      </w:r>
      <w:r w:rsidRPr="00F67CC4">
        <w:rPr>
          <w:rFonts w:cs="Calibri"/>
          <w:lang w:val="en-GB"/>
        </w:rPr>
        <w:t xml:space="preserve"> 1922, p</w:t>
      </w:r>
      <w:r w:rsidR="00B065A5">
        <w:rPr>
          <w:rFonts w:cs="Calibri"/>
          <w:lang w:val="en-GB"/>
        </w:rPr>
        <w:t xml:space="preserve"> </w:t>
      </w:r>
      <w:r w:rsidRPr="00F67CC4">
        <w:rPr>
          <w:rFonts w:cs="Calibri"/>
          <w:lang w:val="en-GB"/>
        </w:rPr>
        <w:t xml:space="preserve">3) </w:t>
      </w:r>
    </w:p>
    <w:p w:rsidR="00EE01C1" w:rsidRPr="00802702" w:rsidRDefault="004828C7" w:rsidP="00F74511">
      <w:pPr>
        <w:spacing w:line="360" w:lineRule="auto"/>
        <w:rPr>
          <w:rFonts w:cs="Calibri"/>
          <w:lang w:val="en-GB"/>
        </w:rPr>
      </w:pPr>
      <w:r w:rsidRPr="00F67CC4">
        <w:rPr>
          <w:rFonts w:cs="Calibri"/>
          <w:lang w:val="en-GB"/>
        </w:rPr>
        <w:t xml:space="preserve">Supported by this statement of Paton (1922), </w:t>
      </w:r>
      <w:r w:rsidR="001C6A3E" w:rsidRPr="00F67CC4">
        <w:rPr>
          <w:rFonts w:cs="Calibri"/>
          <w:lang w:val="en-GB"/>
        </w:rPr>
        <w:t>Ro</w:t>
      </w:r>
      <w:r w:rsidR="009B0D52" w:rsidRPr="00F67CC4">
        <w:rPr>
          <w:rFonts w:cs="Calibri"/>
          <w:lang w:val="en-GB"/>
        </w:rPr>
        <w:t>nen and Yaari (2008) introduced three types</w:t>
      </w:r>
      <w:r w:rsidR="001C6A3E" w:rsidRPr="00F67CC4">
        <w:rPr>
          <w:rFonts w:cs="Calibri"/>
          <w:lang w:val="en-GB"/>
        </w:rPr>
        <w:t xml:space="preserve"> of earnings</w:t>
      </w:r>
      <w:r w:rsidR="00EE01C1" w:rsidRPr="00F67CC4">
        <w:rPr>
          <w:rFonts w:cs="Calibri"/>
          <w:lang w:val="en-GB"/>
        </w:rPr>
        <w:t xml:space="preserve"> management </w:t>
      </w:r>
      <w:r w:rsidR="00802702">
        <w:rPr>
          <w:rFonts w:cs="Calibri"/>
          <w:lang w:val="en-GB"/>
        </w:rPr>
        <w:t>distinguished</w:t>
      </w:r>
      <w:r w:rsidR="00EE01C1" w:rsidRPr="00F67CC4">
        <w:rPr>
          <w:rFonts w:cs="Calibri"/>
          <w:lang w:val="en-GB"/>
        </w:rPr>
        <w:t xml:space="preserve"> by the intention of the manager</w:t>
      </w:r>
      <w:r w:rsidR="001C6A3E" w:rsidRPr="00F67CC4">
        <w:rPr>
          <w:rFonts w:cs="Calibri"/>
          <w:lang w:val="en-GB"/>
        </w:rPr>
        <w:t>.</w:t>
      </w:r>
      <w:r w:rsidR="00A31E06">
        <w:rPr>
          <w:rFonts w:cs="Calibri"/>
          <w:lang w:val="en-GB"/>
        </w:rPr>
        <w:t xml:space="preserve"> As described in chapter 1, Ronen and Yaari (2008) distinguish the use of e</w:t>
      </w:r>
      <w:r w:rsidR="00802702">
        <w:rPr>
          <w:rFonts w:cs="Calibri"/>
          <w:lang w:val="en-GB"/>
        </w:rPr>
        <w:t xml:space="preserve">arnings management </w:t>
      </w:r>
      <w:r w:rsidR="00A31E06">
        <w:rPr>
          <w:rFonts w:cs="Calibri"/>
          <w:lang w:val="en-GB"/>
        </w:rPr>
        <w:t>in</w:t>
      </w:r>
      <w:r w:rsidR="00802702">
        <w:rPr>
          <w:rFonts w:cs="Calibri"/>
          <w:lang w:val="en-GB"/>
        </w:rPr>
        <w:t xml:space="preserve"> white, grey or black. </w:t>
      </w:r>
      <w:r w:rsidR="00EE01C1" w:rsidRPr="00F67CC4">
        <w:rPr>
          <w:rFonts w:cs="Calibri"/>
          <w:lang w:val="en-GB"/>
        </w:rPr>
        <w:t>The distinction</w:t>
      </w:r>
      <w:r w:rsidR="00802702">
        <w:rPr>
          <w:rFonts w:cs="Calibri"/>
          <w:lang w:val="en-GB"/>
        </w:rPr>
        <w:t xml:space="preserve"> made by Ronen and Yaari (2008)</w:t>
      </w:r>
      <w:r w:rsidR="00EE01C1" w:rsidRPr="00F67CC4">
        <w:rPr>
          <w:rFonts w:cs="Calibri"/>
          <w:lang w:val="en-GB"/>
        </w:rPr>
        <w:t xml:space="preserve"> is </w:t>
      </w:r>
      <w:r w:rsidR="00B065A5">
        <w:rPr>
          <w:rFonts w:cs="Calibri"/>
          <w:lang w:val="en-GB"/>
        </w:rPr>
        <w:t>executed</w:t>
      </w:r>
      <w:r w:rsidR="00EE01C1" w:rsidRPr="00F67CC4">
        <w:rPr>
          <w:rFonts w:cs="Calibri"/>
          <w:lang w:val="en-GB"/>
        </w:rPr>
        <w:t xml:space="preserve"> by using the definition of Healy and Wahl</w:t>
      </w:r>
      <w:r w:rsidR="000A4A5B" w:rsidRPr="00F67CC4">
        <w:rPr>
          <w:rFonts w:cs="Calibri"/>
          <w:lang w:val="en-GB"/>
        </w:rPr>
        <w:t>en (1999)</w:t>
      </w:r>
      <w:r w:rsidR="004F6D58">
        <w:rPr>
          <w:rFonts w:cs="Calibri"/>
          <w:lang w:val="en-GB"/>
        </w:rPr>
        <w:t xml:space="preserve"> as </w:t>
      </w:r>
      <w:r w:rsidR="00802702">
        <w:rPr>
          <w:rFonts w:cs="Calibri"/>
          <w:lang w:val="en-GB"/>
        </w:rPr>
        <w:t>fundament</w:t>
      </w:r>
      <w:r w:rsidR="000A4A5B" w:rsidRPr="00F67CC4">
        <w:rPr>
          <w:rFonts w:cs="Calibri"/>
          <w:lang w:val="en-GB"/>
        </w:rPr>
        <w:t xml:space="preserve"> </w:t>
      </w:r>
      <w:r w:rsidR="00D635E4" w:rsidRPr="00F67CC4">
        <w:rPr>
          <w:rFonts w:cs="Calibri"/>
          <w:lang w:val="en-GB"/>
        </w:rPr>
        <w:t>(Ronen and Yaari 2008</w:t>
      </w:r>
      <w:r w:rsidR="00EE01C1" w:rsidRPr="00F67CC4">
        <w:rPr>
          <w:rFonts w:cs="Calibri"/>
          <w:lang w:val="en-GB"/>
        </w:rPr>
        <w:t>, pp. 25-26)</w:t>
      </w:r>
      <w:r w:rsidR="00802702">
        <w:rPr>
          <w:rFonts w:cs="Calibri"/>
          <w:lang w:val="en-GB"/>
        </w:rPr>
        <w:t>.</w:t>
      </w:r>
      <w:r w:rsidR="00EE01C1" w:rsidRPr="00F67CC4">
        <w:rPr>
          <w:rFonts w:cs="Calibri"/>
          <w:b/>
          <w:lang w:val="en-GB"/>
        </w:rPr>
        <w:t xml:space="preserve"> </w:t>
      </w:r>
    </w:p>
    <w:p w:rsidR="000A4A5B" w:rsidRPr="00F67CC4" w:rsidRDefault="000A4A5B" w:rsidP="000A4A5B">
      <w:pPr>
        <w:spacing w:line="360" w:lineRule="auto"/>
        <w:rPr>
          <w:rFonts w:cs="Calibri"/>
          <w:lang w:val="en-GB"/>
        </w:rPr>
      </w:pPr>
      <w:r w:rsidRPr="00F67CC4">
        <w:rPr>
          <w:rFonts w:cs="Calibri"/>
          <w:i/>
          <w:lang w:val="en-GB"/>
        </w:rPr>
        <w:lastRenderedPageBreak/>
        <w:t>‘Earnings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w:t>
      </w:r>
      <w:r w:rsidR="00D635E4" w:rsidRPr="00F67CC4">
        <w:rPr>
          <w:rFonts w:cs="Calibri"/>
          <w:i/>
          <w:lang w:val="en-GB"/>
        </w:rPr>
        <w:t xml:space="preserve">ers’ </w:t>
      </w:r>
      <w:r w:rsidR="00D635E4" w:rsidRPr="00F67CC4">
        <w:rPr>
          <w:rFonts w:cs="Calibri"/>
          <w:lang w:val="en-GB"/>
        </w:rPr>
        <w:t>(Healy and Wahlen, 1999, p</w:t>
      </w:r>
      <w:r w:rsidR="00B065A5">
        <w:rPr>
          <w:rFonts w:cs="Calibri"/>
          <w:lang w:val="en-GB"/>
        </w:rPr>
        <w:t xml:space="preserve"> </w:t>
      </w:r>
      <w:r w:rsidRPr="00F67CC4">
        <w:rPr>
          <w:rFonts w:cs="Calibri"/>
          <w:lang w:val="en-GB"/>
        </w:rPr>
        <w:t xml:space="preserve">368) </w:t>
      </w:r>
    </w:p>
    <w:p w:rsidR="00802702" w:rsidRDefault="004828C7" w:rsidP="00F74511">
      <w:pPr>
        <w:spacing w:line="360" w:lineRule="auto"/>
        <w:rPr>
          <w:rFonts w:cs="Calibri"/>
          <w:lang w:val="en-GB"/>
        </w:rPr>
      </w:pPr>
      <w:r w:rsidRPr="00F67CC4">
        <w:rPr>
          <w:rFonts w:cs="Calibri"/>
          <w:lang w:val="en-GB"/>
        </w:rPr>
        <w:t>Ronen and Yaari (2008) describe w</w:t>
      </w:r>
      <w:r w:rsidR="001C6A3E" w:rsidRPr="00F67CC4">
        <w:rPr>
          <w:rFonts w:cs="Calibri"/>
          <w:lang w:val="en-GB"/>
        </w:rPr>
        <w:t xml:space="preserve">hite earnings management </w:t>
      </w:r>
      <w:r w:rsidR="00802702">
        <w:rPr>
          <w:rFonts w:cs="Calibri"/>
          <w:lang w:val="en-GB"/>
        </w:rPr>
        <w:t>a</w:t>
      </w:r>
      <w:r w:rsidR="001C6A3E" w:rsidRPr="00F67CC4">
        <w:rPr>
          <w:rFonts w:cs="Calibri"/>
          <w:lang w:val="en-GB"/>
        </w:rPr>
        <w:t>s taking advantage of the flexibility in the choice of accounting t</w:t>
      </w:r>
      <w:r w:rsidR="00EE01C1" w:rsidRPr="00F67CC4">
        <w:rPr>
          <w:rFonts w:cs="Calibri"/>
          <w:lang w:val="en-GB"/>
        </w:rPr>
        <w:t>reatment to signal managers’</w:t>
      </w:r>
      <w:r w:rsidR="001C6A3E" w:rsidRPr="00F67CC4">
        <w:rPr>
          <w:rFonts w:cs="Calibri"/>
          <w:lang w:val="en-GB"/>
        </w:rPr>
        <w:t xml:space="preserve"> private information on future</w:t>
      </w:r>
      <w:r w:rsidR="009D7A39" w:rsidRPr="00F67CC4">
        <w:rPr>
          <w:rFonts w:cs="Calibri"/>
          <w:lang w:val="en-GB"/>
        </w:rPr>
        <w:t xml:space="preserve"> cash flows. This </w:t>
      </w:r>
      <w:r w:rsidR="004F6D58">
        <w:rPr>
          <w:rFonts w:cs="Calibri"/>
          <w:lang w:val="en-GB"/>
        </w:rPr>
        <w:t xml:space="preserve">type of earnings management </w:t>
      </w:r>
      <w:r w:rsidR="009D7A39" w:rsidRPr="00F67CC4">
        <w:rPr>
          <w:rFonts w:cs="Calibri"/>
          <w:lang w:val="en-GB"/>
        </w:rPr>
        <w:t>is</w:t>
      </w:r>
      <w:r w:rsidRPr="00F67CC4">
        <w:rPr>
          <w:rFonts w:cs="Calibri"/>
          <w:lang w:val="en-GB"/>
        </w:rPr>
        <w:t xml:space="preserve"> a legitimate </w:t>
      </w:r>
      <w:r w:rsidR="001C6A3E" w:rsidRPr="00F67CC4">
        <w:rPr>
          <w:rFonts w:cs="Calibri"/>
          <w:lang w:val="en-GB"/>
        </w:rPr>
        <w:t>way of</w:t>
      </w:r>
      <w:r w:rsidRPr="00F67CC4">
        <w:rPr>
          <w:rFonts w:cs="Calibri"/>
          <w:lang w:val="en-GB"/>
        </w:rPr>
        <w:t xml:space="preserve"> using</w:t>
      </w:r>
      <w:r w:rsidR="001C6A3E" w:rsidRPr="00F67CC4">
        <w:rPr>
          <w:rFonts w:cs="Calibri"/>
          <w:lang w:val="en-GB"/>
        </w:rPr>
        <w:t xml:space="preserve"> earnings management by adjusting to the situation of the company in order to improve the quality of the financial statements </w:t>
      </w:r>
      <w:r w:rsidR="00223B33" w:rsidRPr="00F67CC4">
        <w:rPr>
          <w:rFonts w:cs="Calibri"/>
          <w:lang w:val="en-GB"/>
        </w:rPr>
        <w:t>(Ronen and Yaari 2008, p</w:t>
      </w:r>
      <w:r w:rsidR="00B065A5">
        <w:rPr>
          <w:rFonts w:cs="Calibri"/>
          <w:lang w:val="en-GB"/>
        </w:rPr>
        <w:t xml:space="preserve"> </w:t>
      </w:r>
      <w:r w:rsidR="00223B33" w:rsidRPr="00F67CC4">
        <w:rPr>
          <w:rFonts w:cs="Calibri"/>
          <w:lang w:val="en-GB"/>
        </w:rPr>
        <w:t>25)</w:t>
      </w:r>
      <w:r w:rsidR="004F6D58">
        <w:rPr>
          <w:rFonts w:cs="Calibri"/>
          <w:lang w:val="en-GB"/>
        </w:rPr>
        <w:t>.</w:t>
      </w:r>
    </w:p>
    <w:p w:rsidR="00802702" w:rsidRDefault="001C6A3E" w:rsidP="00F74511">
      <w:pPr>
        <w:spacing w:line="360" w:lineRule="auto"/>
        <w:rPr>
          <w:rFonts w:cs="Calibri"/>
          <w:lang w:val="en-GB"/>
        </w:rPr>
      </w:pPr>
      <w:r w:rsidRPr="00F67CC4">
        <w:rPr>
          <w:rFonts w:cs="Calibri"/>
          <w:lang w:val="en-GB"/>
        </w:rPr>
        <w:t>Grey earnings management is choosing an accounting treatme</w:t>
      </w:r>
      <w:r w:rsidR="00990C92" w:rsidRPr="00F67CC4">
        <w:rPr>
          <w:rFonts w:cs="Calibri"/>
          <w:lang w:val="en-GB"/>
        </w:rPr>
        <w:t xml:space="preserve">nt that is either </w:t>
      </w:r>
      <w:r w:rsidR="004828C7" w:rsidRPr="00F67CC4">
        <w:rPr>
          <w:rFonts w:cs="Calibri"/>
          <w:lang w:val="en-GB"/>
        </w:rPr>
        <w:t xml:space="preserve">economically efficient or </w:t>
      </w:r>
      <w:r w:rsidR="00990C92" w:rsidRPr="00F67CC4">
        <w:rPr>
          <w:rFonts w:cs="Calibri"/>
          <w:lang w:val="en-GB"/>
        </w:rPr>
        <w:t>opportunistic by maximizin</w:t>
      </w:r>
      <w:r w:rsidR="008A77BB">
        <w:rPr>
          <w:rFonts w:cs="Calibri"/>
          <w:lang w:val="en-GB"/>
        </w:rPr>
        <w:t xml:space="preserve">g the utility of </w:t>
      </w:r>
      <w:r w:rsidR="00B065A5">
        <w:rPr>
          <w:rFonts w:cs="Calibri"/>
          <w:lang w:val="en-GB"/>
        </w:rPr>
        <w:t xml:space="preserve">the </w:t>
      </w:r>
      <w:r w:rsidR="008A77BB">
        <w:rPr>
          <w:rFonts w:cs="Calibri"/>
          <w:lang w:val="en-GB"/>
        </w:rPr>
        <w:t>management</w:t>
      </w:r>
      <w:r w:rsidRPr="00F67CC4">
        <w:rPr>
          <w:rFonts w:cs="Calibri"/>
          <w:lang w:val="en-GB"/>
        </w:rPr>
        <w:t>. The intention of management in this situation determines whether this type of earnings management can</w:t>
      </w:r>
      <w:r w:rsidR="00EE01C1" w:rsidRPr="00F67CC4">
        <w:rPr>
          <w:rFonts w:cs="Calibri"/>
          <w:lang w:val="en-GB"/>
        </w:rPr>
        <w:t xml:space="preserve"> be defined</w:t>
      </w:r>
      <w:r w:rsidR="00990C92" w:rsidRPr="00F67CC4">
        <w:rPr>
          <w:rFonts w:cs="Calibri"/>
          <w:lang w:val="en-GB"/>
        </w:rPr>
        <w:t xml:space="preserve"> ‘good’ or ‘bad’.</w:t>
      </w:r>
    </w:p>
    <w:p w:rsidR="001C6A3E" w:rsidRPr="00F67CC4" w:rsidRDefault="001C6A3E" w:rsidP="00F74511">
      <w:pPr>
        <w:spacing w:line="360" w:lineRule="auto"/>
        <w:rPr>
          <w:rFonts w:cs="Calibri"/>
          <w:lang w:val="en-GB"/>
        </w:rPr>
      </w:pPr>
      <w:r w:rsidRPr="00F67CC4">
        <w:rPr>
          <w:rFonts w:cs="Calibri"/>
          <w:lang w:val="en-GB"/>
        </w:rPr>
        <w:t>The last ty</w:t>
      </w:r>
      <w:r w:rsidR="00EE01C1" w:rsidRPr="00F67CC4">
        <w:rPr>
          <w:rFonts w:cs="Calibri"/>
          <w:lang w:val="en-GB"/>
        </w:rPr>
        <w:t>pe of earnings management</w:t>
      </w:r>
      <w:r w:rsidRPr="00F67CC4">
        <w:rPr>
          <w:rFonts w:cs="Calibri"/>
          <w:lang w:val="en-GB"/>
        </w:rPr>
        <w:t xml:space="preserve"> defined by Ronen and Yaari (2008) is black earnings management. This type</w:t>
      </w:r>
      <w:r w:rsidR="00802702">
        <w:rPr>
          <w:rFonts w:cs="Calibri"/>
          <w:lang w:val="en-GB"/>
        </w:rPr>
        <w:t xml:space="preserve"> is about </w:t>
      </w:r>
      <w:r w:rsidR="008A77BB">
        <w:rPr>
          <w:rFonts w:cs="Calibri"/>
          <w:lang w:val="en-GB"/>
        </w:rPr>
        <w:t>of using practices</w:t>
      </w:r>
      <w:r w:rsidRPr="00F67CC4">
        <w:rPr>
          <w:rFonts w:cs="Calibri"/>
          <w:lang w:val="en-GB"/>
        </w:rPr>
        <w:t xml:space="preserve"> to misrepresent or reduce transparency of the financial repor</w:t>
      </w:r>
      <w:r w:rsidR="004828C7" w:rsidRPr="00F67CC4">
        <w:rPr>
          <w:rFonts w:cs="Calibri"/>
          <w:lang w:val="en-GB"/>
        </w:rPr>
        <w:t>ts, mostly referred to as fraud</w:t>
      </w:r>
      <w:r w:rsidRPr="00F67CC4">
        <w:rPr>
          <w:rFonts w:cs="Calibri"/>
          <w:lang w:val="en-GB"/>
        </w:rPr>
        <w:t xml:space="preserve"> </w:t>
      </w:r>
      <w:r w:rsidR="00EE01C1" w:rsidRPr="00F67CC4">
        <w:rPr>
          <w:rFonts w:cs="Calibri"/>
          <w:lang w:val="en-GB"/>
        </w:rPr>
        <w:t>(Ronen and Yaari 2008, p</w:t>
      </w:r>
      <w:r w:rsidR="00B065A5">
        <w:rPr>
          <w:rFonts w:cs="Calibri"/>
          <w:lang w:val="en-GB"/>
        </w:rPr>
        <w:t xml:space="preserve"> </w:t>
      </w:r>
      <w:r w:rsidR="000A4A5B" w:rsidRPr="00F67CC4">
        <w:rPr>
          <w:rFonts w:cs="Calibri"/>
          <w:lang w:val="en-GB"/>
        </w:rPr>
        <w:t>25</w:t>
      </w:r>
      <w:r w:rsidR="00EE01C1" w:rsidRPr="00F67CC4">
        <w:rPr>
          <w:rFonts w:cs="Calibri"/>
          <w:lang w:val="en-GB"/>
        </w:rPr>
        <w:t>)</w:t>
      </w:r>
      <w:r w:rsidR="004828C7" w:rsidRPr="00F67CC4">
        <w:rPr>
          <w:rFonts w:cs="Calibri"/>
          <w:lang w:val="en-GB"/>
        </w:rPr>
        <w:t>.</w:t>
      </w:r>
      <w:r w:rsidR="00F31DB9" w:rsidRPr="00F67CC4">
        <w:rPr>
          <w:rFonts w:cs="Calibri"/>
          <w:lang w:val="en-GB"/>
        </w:rPr>
        <w:t xml:space="preserve"> </w:t>
      </w:r>
      <w:r w:rsidR="001457F3" w:rsidRPr="00F67CC4">
        <w:rPr>
          <w:rFonts w:cs="Calibri"/>
          <w:lang w:val="en-GB"/>
        </w:rPr>
        <w:t xml:space="preserve">The definition of Healy and Wahlen (1999) </w:t>
      </w:r>
      <w:r w:rsidR="00B065A5">
        <w:rPr>
          <w:rFonts w:cs="Calibri"/>
          <w:lang w:val="en-GB"/>
        </w:rPr>
        <w:t>identified</w:t>
      </w:r>
      <w:r w:rsidR="001457F3" w:rsidRPr="00F67CC4">
        <w:rPr>
          <w:rFonts w:cs="Calibri"/>
          <w:lang w:val="en-GB"/>
        </w:rPr>
        <w:t xml:space="preserve"> black earnings management because </w:t>
      </w:r>
      <w:r w:rsidR="00802702">
        <w:rPr>
          <w:rFonts w:cs="Calibri"/>
          <w:lang w:val="en-GB"/>
        </w:rPr>
        <w:t>stakeholders are m</w:t>
      </w:r>
      <w:r w:rsidR="001457F3" w:rsidRPr="00F67CC4">
        <w:rPr>
          <w:rFonts w:cs="Calibri"/>
          <w:lang w:val="en-GB"/>
        </w:rPr>
        <w:t>isl</w:t>
      </w:r>
      <w:r w:rsidR="00802702">
        <w:rPr>
          <w:rFonts w:cs="Calibri"/>
          <w:lang w:val="en-GB"/>
        </w:rPr>
        <w:t>e</w:t>
      </w:r>
      <w:r w:rsidR="001457F3" w:rsidRPr="00F67CC4">
        <w:rPr>
          <w:rFonts w:cs="Calibri"/>
          <w:lang w:val="en-GB"/>
        </w:rPr>
        <w:t>d.</w:t>
      </w:r>
    </w:p>
    <w:p w:rsidR="00F31DB9" w:rsidRPr="00F67CC4" w:rsidRDefault="001C6A3E" w:rsidP="00F74511">
      <w:pPr>
        <w:spacing w:line="360" w:lineRule="auto"/>
        <w:rPr>
          <w:rFonts w:cs="Calibri"/>
          <w:b/>
          <w:i/>
          <w:lang w:val="en-GB"/>
        </w:rPr>
      </w:pPr>
      <w:r w:rsidRPr="00F67CC4">
        <w:rPr>
          <w:rFonts w:cs="Calibri"/>
          <w:lang w:val="en-GB"/>
        </w:rPr>
        <w:t xml:space="preserve">All definitions of </w:t>
      </w:r>
      <w:r w:rsidR="00B065A5">
        <w:rPr>
          <w:rFonts w:cs="Calibri"/>
          <w:lang w:val="en-GB"/>
        </w:rPr>
        <w:t xml:space="preserve">the term </w:t>
      </w:r>
      <w:r w:rsidRPr="00F67CC4">
        <w:rPr>
          <w:rFonts w:cs="Calibri"/>
          <w:lang w:val="en-GB"/>
        </w:rPr>
        <w:t>earnings management can be divided in the</w:t>
      </w:r>
      <w:r w:rsidR="009D7A39" w:rsidRPr="00F67CC4">
        <w:rPr>
          <w:rFonts w:cs="Calibri"/>
          <w:lang w:val="en-GB"/>
        </w:rPr>
        <w:t>se</w:t>
      </w:r>
      <w:r w:rsidRPr="00F67CC4">
        <w:rPr>
          <w:rFonts w:cs="Calibri"/>
          <w:lang w:val="en-GB"/>
        </w:rPr>
        <w:t xml:space="preserve"> types of earnings management described by Ronen and Yaari (2008)</w:t>
      </w:r>
      <w:r w:rsidR="009D7A39" w:rsidRPr="00F67CC4">
        <w:rPr>
          <w:rFonts w:cs="Calibri"/>
          <w:lang w:val="en-GB"/>
        </w:rPr>
        <w:t xml:space="preserve">, </w:t>
      </w:r>
      <w:r w:rsidR="00EE01C1" w:rsidRPr="00F67CC4">
        <w:rPr>
          <w:rFonts w:cs="Calibri"/>
          <w:lang w:val="en-GB"/>
        </w:rPr>
        <w:t>differencing in</w:t>
      </w:r>
      <w:r w:rsidR="009D7A39" w:rsidRPr="00F67CC4">
        <w:rPr>
          <w:rFonts w:cs="Calibri"/>
          <w:lang w:val="en-GB"/>
        </w:rPr>
        <w:t xml:space="preserve"> accentuation</w:t>
      </w:r>
      <w:r w:rsidR="00A11324" w:rsidRPr="00F67CC4">
        <w:rPr>
          <w:rFonts w:cs="Calibri"/>
          <w:lang w:val="en-GB"/>
        </w:rPr>
        <w:t>. Schipper</w:t>
      </w:r>
      <w:r w:rsidRPr="00F67CC4">
        <w:rPr>
          <w:rFonts w:cs="Calibri"/>
          <w:lang w:val="en-GB"/>
        </w:rPr>
        <w:t xml:space="preserve"> (1989) accentuates that earnings manage</w:t>
      </w:r>
      <w:r w:rsidR="004F6F62">
        <w:rPr>
          <w:rFonts w:cs="Calibri"/>
          <w:lang w:val="en-GB"/>
        </w:rPr>
        <w:t xml:space="preserve">ment is a purposeful action of </w:t>
      </w:r>
      <w:r w:rsidRPr="00F67CC4">
        <w:rPr>
          <w:rFonts w:cs="Calibri"/>
          <w:lang w:val="en-GB"/>
        </w:rPr>
        <w:t>managers by defining earnings management as</w:t>
      </w:r>
      <w:r w:rsidRPr="00F67CC4">
        <w:rPr>
          <w:rFonts w:cs="Calibri"/>
          <w:b/>
          <w:i/>
          <w:lang w:val="en-GB"/>
        </w:rPr>
        <w:t xml:space="preserve"> </w:t>
      </w:r>
    </w:p>
    <w:p w:rsidR="00F31DB9" w:rsidRPr="00F67CC4" w:rsidRDefault="004C1409" w:rsidP="00F74511">
      <w:pPr>
        <w:spacing w:line="360" w:lineRule="auto"/>
        <w:rPr>
          <w:rFonts w:cs="Calibri"/>
          <w:b/>
          <w:lang w:val="en-GB"/>
        </w:rPr>
      </w:pPr>
      <w:r w:rsidRPr="00F67CC4">
        <w:rPr>
          <w:rFonts w:cs="Calibri"/>
          <w:i/>
          <w:lang w:val="en-GB"/>
        </w:rPr>
        <w:t>“...</w:t>
      </w:r>
      <w:r w:rsidR="001C6A3E" w:rsidRPr="00F67CC4">
        <w:rPr>
          <w:rFonts w:cs="Calibri"/>
          <w:i/>
          <w:lang w:val="en-GB"/>
        </w:rPr>
        <w:t>a purposeful intervention in the external financial reporting process, with the intent of obtaining some private gain (as opposed to, say, merely facilitating the neutral operation of the process)</w:t>
      </w:r>
      <w:r w:rsidR="00F31DB9" w:rsidRPr="00F67CC4">
        <w:rPr>
          <w:rFonts w:cs="Calibri"/>
          <w:i/>
          <w:lang w:val="en-GB"/>
        </w:rPr>
        <w:t xml:space="preserve"> (</w:t>
      </w:r>
      <w:r w:rsidR="001C6A3E" w:rsidRPr="00F67CC4">
        <w:rPr>
          <w:rFonts w:cs="Calibri"/>
          <w:i/>
          <w:lang w:val="en-GB"/>
        </w:rPr>
        <w:t>.</w:t>
      </w:r>
      <w:r w:rsidR="00F31DB9" w:rsidRPr="00F67CC4">
        <w:rPr>
          <w:rFonts w:cs="Calibri"/>
          <w:i/>
          <w:lang w:val="en-GB"/>
        </w:rPr>
        <w:t>.</w:t>
      </w:r>
      <w:r w:rsidR="001C6A3E" w:rsidRPr="00F67CC4">
        <w:rPr>
          <w:rFonts w:cs="Calibri"/>
          <w:i/>
          <w:lang w:val="en-GB"/>
        </w:rPr>
        <w:t>.</w:t>
      </w:r>
      <w:r w:rsidR="00F31DB9" w:rsidRPr="00F67CC4">
        <w:rPr>
          <w:rFonts w:cs="Calibri"/>
          <w:i/>
          <w:lang w:val="en-GB"/>
        </w:rPr>
        <w:t>)</w:t>
      </w:r>
      <w:r w:rsidR="001C6A3E" w:rsidRPr="00F67CC4">
        <w:rPr>
          <w:rFonts w:cs="Calibri"/>
          <w:i/>
          <w:lang w:val="en-GB"/>
        </w:rPr>
        <w:t xml:space="preserve"> Under this definition, earnings management could occur in any part of the external disclosure process, and could take a number of</w:t>
      </w:r>
      <w:r w:rsidR="00F31DB9" w:rsidRPr="00F67CC4">
        <w:rPr>
          <w:rFonts w:cs="Calibri"/>
          <w:i/>
          <w:lang w:val="en-GB"/>
        </w:rPr>
        <w:t xml:space="preserve"> forms. A minor extension to the</w:t>
      </w:r>
      <w:r w:rsidR="001C6A3E" w:rsidRPr="00F67CC4">
        <w:rPr>
          <w:rFonts w:cs="Calibri"/>
          <w:i/>
          <w:lang w:val="en-GB"/>
        </w:rPr>
        <w:t xml:space="preserve"> definition would encompass “real” earnings management, accomplished by timing investment or financing decisions to alter report</w:t>
      </w:r>
      <w:r w:rsidR="00B065A5">
        <w:rPr>
          <w:rFonts w:cs="Calibri"/>
          <w:i/>
          <w:lang w:val="en-GB"/>
        </w:rPr>
        <w:t>ed earnings or some subset of it</w:t>
      </w:r>
      <w:r w:rsidR="001C6A3E" w:rsidRPr="00F67CC4">
        <w:rPr>
          <w:rFonts w:cs="Calibri"/>
          <w:i/>
          <w:lang w:val="en-GB"/>
        </w:rPr>
        <w:t xml:space="preserve">” </w:t>
      </w:r>
      <w:r w:rsidR="004B1539" w:rsidRPr="00F67CC4">
        <w:rPr>
          <w:rFonts w:cs="Calibri"/>
          <w:lang w:val="en-GB"/>
        </w:rPr>
        <w:t>(</w:t>
      </w:r>
      <w:r w:rsidR="00A11324" w:rsidRPr="00F67CC4">
        <w:rPr>
          <w:rFonts w:cs="Calibri"/>
          <w:lang w:val="en-GB"/>
        </w:rPr>
        <w:t>Schipper 1989, p</w:t>
      </w:r>
      <w:r w:rsidR="00B065A5">
        <w:rPr>
          <w:rFonts w:cs="Calibri"/>
          <w:lang w:val="en-GB"/>
        </w:rPr>
        <w:t xml:space="preserve"> </w:t>
      </w:r>
      <w:r w:rsidR="00A11324" w:rsidRPr="00F67CC4">
        <w:rPr>
          <w:rFonts w:cs="Calibri"/>
          <w:lang w:val="en-GB"/>
        </w:rPr>
        <w:t>92)</w:t>
      </w:r>
      <w:r w:rsidR="00A11324" w:rsidRPr="00F67CC4">
        <w:rPr>
          <w:rFonts w:cs="Calibri"/>
          <w:b/>
          <w:lang w:val="en-GB"/>
        </w:rPr>
        <w:t xml:space="preserve"> </w:t>
      </w:r>
    </w:p>
    <w:p w:rsidR="00802702" w:rsidRDefault="004F6F62" w:rsidP="00F74511">
      <w:pPr>
        <w:spacing w:line="360" w:lineRule="auto"/>
        <w:rPr>
          <w:rFonts w:cs="Calibri"/>
          <w:lang w:val="en-GB"/>
        </w:rPr>
      </w:pPr>
      <w:r>
        <w:rPr>
          <w:rFonts w:cs="Calibri"/>
          <w:lang w:val="en-GB"/>
        </w:rPr>
        <w:t>The</w:t>
      </w:r>
      <w:r w:rsidR="001C6A3E" w:rsidRPr="00F67CC4">
        <w:rPr>
          <w:rFonts w:cs="Calibri"/>
          <w:lang w:val="en-GB"/>
        </w:rPr>
        <w:t xml:space="preserve"> definition </w:t>
      </w:r>
      <w:r>
        <w:rPr>
          <w:rFonts w:cs="Calibri"/>
          <w:lang w:val="en-GB"/>
        </w:rPr>
        <w:t xml:space="preserve">provided </w:t>
      </w:r>
      <w:r w:rsidR="001C6A3E" w:rsidRPr="00F67CC4">
        <w:rPr>
          <w:rFonts w:cs="Calibri"/>
          <w:lang w:val="en-GB"/>
        </w:rPr>
        <w:t xml:space="preserve">by Schipper (1989) describes a purposeful intervention with the intention of obtaining some private gain which can be </w:t>
      </w:r>
      <w:r w:rsidR="005413DB">
        <w:rPr>
          <w:rFonts w:cs="Calibri"/>
          <w:lang w:val="en-GB"/>
        </w:rPr>
        <w:t xml:space="preserve">qualified, when referring </w:t>
      </w:r>
      <w:r w:rsidR="001C6A3E" w:rsidRPr="00F67CC4">
        <w:rPr>
          <w:rFonts w:cs="Calibri"/>
          <w:lang w:val="en-GB"/>
        </w:rPr>
        <w:t xml:space="preserve">to Ronen and Yaari (2008) as black earnings management. </w:t>
      </w:r>
      <w:r w:rsidR="009D7A39" w:rsidRPr="00F67CC4">
        <w:rPr>
          <w:rFonts w:cs="Calibri"/>
          <w:lang w:val="en-GB"/>
        </w:rPr>
        <w:t>The reason choosing for the definitions of Rone</w:t>
      </w:r>
      <w:r w:rsidR="00A11324" w:rsidRPr="00F67CC4">
        <w:rPr>
          <w:rFonts w:cs="Calibri"/>
          <w:lang w:val="en-GB"/>
        </w:rPr>
        <w:t>n and Yaari (2008) and Schipper</w:t>
      </w:r>
      <w:r w:rsidR="009D7A39" w:rsidRPr="00F67CC4">
        <w:rPr>
          <w:rFonts w:cs="Calibri"/>
          <w:lang w:val="en-GB"/>
        </w:rPr>
        <w:t xml:space="preserve"> (1989) is</w:t>
      </w:r>
      <w:r w:rsidR="005D4294">
        <w:rPr>
          <w:rFonts w:cs="Calibri"/>
          <w:lang w:val="en-GB"/>
        </w:rPr>
        <w:t xml:space="preserve"> that both definitions classify</w:t>
      </w:r>
      <w:r w:rsidR="005413DB">
        <w:rPr>
          <w:rFonts w:cs="Calibri"/>
          <w:lang w:val="en-GB"/>
        </w:rPr>
        <w:t xml:space="preserve"> the use of</w:t>
      </w:r>
      <w:r w:rsidR="005D4294">
        <w:rPr>
          <w:rFonts w:cs="Calibri"/>
          <w:lang w:val="en-GB"/>
        </w:rPr>
        <w:t xml:space="preserve"> earnings management good or bad by the motivation behind the use of it. </w:t>
      </w:r>
      <w:r w:rsidR="009D7A39" w:rsidRPr="00F67CC4">
        <w:rPr>
          <w:rFonts w:cs="Calibri"/>
          <w:lang w:val="en-GB"/>
        </w:rPr>
        <w:t xml:space="preserve">Because </w:t>
      </w:r>
      <w:r w:rsidR="005D4294">
        <w:rPr>
          <w:rFonts w:cs="Calibri"/>
          <w:lang w:val="en-GB"/>
        </w:rPr>
        <w:t>i</w:t>
      </w:r>
      <w:r w:rsidR="0075260A" w:rsidRPr="00F67CC4">
        <w:rPr>
          <w:rFonts w:cs="Calibri"/>
          <w:lang w:val="en-GB"/>
        </w:rPr>
        <w:t>n this research</w:t>
      </w:r>
      <w:r w:rsidR="005D4294">
        <w:rPr>
          <w:rFonts w:cs="Calibri"/>
          <w:lang w:val="en-GB"/>
        </w:rPr>
        <w:t xml:space="preserve"> is assumed</w:t>
      </w:r>
      <w:r w:rsidR="009F028A" w:rsidRPr="00F67CC4">
        <w:rPr>
          <w:rFonts w:cs="Calibri"/>
          <w:lang w:val="en-GB"/>
        </w:rPr>
        <w:t xml:space="preserve"> that earnings management is </w:t>
      </w:r>
      <w:r w:rsidR="009F028A" w:rsidRPr="00F67CC4">
        <w:rPr>
          <w:rFonts w:cs="Calibri"/>
          <w:lang w:val="en-GB"/>
        </w:rPr>
        <w:lastRenderedPageBreak/>
        <w:t>used pu</w:t>
      </w:r>
      <w:r w:rsidR="004D5028" w:rsidRPr="00F67CC4">
        <w:rPr>
          <w:rFonts w:cs="Calibri"/>
          <w:lang w:val="en-GB"/>
        </w:rPr>
        <w:t xml:space="preserve">rposefully </w:t>
      </w:r>
      <w:r w:rsidR="009F028A" w:rsidRPr="00F67CC4">
        <w:rPr>
          <w:rFonts w:cs="Calibri"/>
          <w:lang w:val="en-GB"/>
        </w:rPr>
        <w:t xml:space="preserve">to obtain </w:t>
      </w:r>
      <w:r w:rsidR="004B1539" w:rsidRPr="00F67CC4">
        <w:rPr>
          <w:rFonts w:cs="Calibri"/>
          <w:lang w:val="en-GB"/>
        </w:rPr>
        <w:t>private and/</w:t>
      </w:r>
      <w:r w:rsidR="009F028A" w:rsidRPr="00F67CC4">
        <w:rPr>
          <w:rFonts w:cs="Calibri"/>
          <w:lang w:val="en-GB"/>
        </w:rPr>
        <w:t>or business g</w:t>
      </w:r>
      <w:r w:rsidR="00A11324" w:rsidRPr="00F67CC4">
        <w:rPr>
          <w:rFonts w:cs="Calibri"/>
          <w:lang w:val="en-GB"/>
        </w:rPr>
        <w:t>ain, the definition of Schipper</w:t>
      </w:r>
      <w:r w:rsidR="009F028A" w:rsidRPr="00F67CC4">
        <w:rPr>
          <w:rFonts w:cs="Calibri"/>
          <w:lang w:val="en-GB"/>
        </w:rPr>
        <w:t xml:space="preserve"> (1989) is added to highlight this</w:t>
      </w:r>
      <w:r w:rsidR="00223B33" w:rsidRPr="00F67CC4">
        <w:rPr>
          <w:rFonts w:cs="Calibri"/>
          <w:lang w:val="en-GB"/>
        </w:rPr>
        <w:t xml:space="preserve"> plus that Schipper (1989) </w:t>
      </w:r>
      <w:r w:rsidR="005413DB">
        <w:rPr>
          <w:rFonts w:cs="Calibri"/>
          <w:lang w:val="en-GB"/>
        </w:rPr>
        <w:t>signals</w:t>
      </w:r>
      <w:r w:rsidR="00223B33" w:rsidRPr="00F67CC4">
        <w:rPr>
          <w:rFonts w:cs="Calibri"/>
          <w:lang w:val="en-GB"/>
        </w:rPr>
        <w:t xml:space="preserve"> the use of real </w:t>
      </w:r>
      <w:r w:rsidR="008A77BB">
        <w:rPr>
          <w:rFonts w:cs="Calibri"/>
          <w:lang w:val="en-GB"/>
        </w:rPr>
        <w:t xml:space="preserve">activities to manage </w:t>
      </w:r>
      <w:r w:rsidR="005413DB">
        <w:rPr>
          <w:rFonts w:cs="Calibri"/>
          <w:lang w:val="en-GB"/>
        </w:rPr>
        <w:t xml:space="preserve">the published </w:t>
      </w:r>
      <w:r w:rsidR="008A77BB">
        <w:rPr>
          <w:rFonts w:cs="Calibri"/>
          <w:lang w:val="en-GB"/>
        </w:rPr>
        <w:t>earnings</w:t>
      </w:r>
      <w:r w:rsidR="00223B33" w:rsidRPr="00F67CC4">
        <w:rPr>
          <w:rFonts w:cs="Calibri"/>
          <w:lang w:val="en-GB"/>
        </w:rPr>
        <w:t>.</w:t>
      </w:r>
      <w:r w:rsidR="00242980" w:rsidRPr="00F67CC4">
        <w:rPr>
          <w:rFonts w:cs="Calibri"/>
          <w:lang w:val="en-GB"/>
        </w:rPr>
        <w:t xml:space="preserve"> </w:t>
      </w:r>
    </w:p>
    <w:p w:rsidR="001C6A3E" w:rsidRPr="00F67CC4" w:rsidRDefault="001C6A3E" w:rsidP="00F74511">
      <w:pPr>
        <w:spacing w:line="360" w:lineRule="auto"/>
        <w:rPr>
          <w:rFonts w:cs="Calibri"/>
          <w:bCs/>
          <w:lang w:val="en-GB"/>
        </w:rPr>
      </w:pPr>
      <w:r w:rsidRPr="00F67CC4">
        <w:rPr>
          <w:rFonts w:cs="Calibri"/>
          <w:b/>
          <w:lang w:val="en-GB"/>
        </w:rPr>
        <w:t>3.2.2 Methods of Earnings Management</w:t>
      </w:r>
      <w:r w:rsidRPr="00F67CC4">
        <w:rPr>
          <w:rFonts w:cs="Calibri"/>
          <w:b/>
          <w:lang w:val="en-GB"/>
        </w:rPr>
        <w:br/>
      </w:r>
      <w:r w:rsidR="005413DB">
        <w:rPr>
          <w:rFonts w:cs="Calibri"/>
          <w:bCs/>
          <w:lang w:val="en-GB"/>
        </w:rPr>
        <w:t>Before</w:t>
      </w:r>
      <w:r w:rsidR="00802702">
        <w:rPr>
          <w:rFonts w:cs="Calibri"/>
          <w:bCs/>
          <w:lang w:val="en-GB"/>
        </w:rPr>
        <w:t xml:space="preserve"> the definition of </w:t>
      </w:r>
      <w:r w:rsidR="005413DB">
        <w:rPr>
          <w:rFonts w:cs="Calibri"/>
          <w:bCs/>
          <w:lang w:val="en-GB"/>
        </w:rPr>
        <w:t xml:space="preserve">the term </w:t>
      </w:r>
      <w:r w:rsidR="00802702">
        <w:rPr>
          <w:rFonts w:cs="Calibri"/>
          <w:bCs/>
          <w:lang w:val="en-GB"/>
        </w:rPr>
        <w:t>earnings management has been determ</w:t>
      </w:r>
      <w:r w:rsidR="00152965">
        <w:rPr>
          <w:rFonts w:cs="Calibri"/>
          <w:bCs/>
          <w:lang w:val="en-GB"/>
        </w:rPr>
        <w:t xml:space="preserve">ined, </w:t>
      </w:r>
      <w:r w:rsidR="005413DB">
        <w:rPr>
          <w:rFonts w:cs="Calibri"/>
          <w:bCs/>
          <w:lang w:val="en-GB"/>
        </w:rPr>
        <w:t xml:space="preserve">next </w:t>
      </w:r>
      <w:r w:rsidR="00152965">
        <w:rPr>
          <w:rFonts w:cs="Calibri"/>
          <w:bCs/>
          <w:lang w:val="en-GB"/>
        </w:rPr>
        <w:t xml:space="preserve">the methods for managing earnings will be </w:t>
      </w:r>
      <w:r w:rsidR="005413DB">
        <w:rPr>
          <w:rFonts w:cs="Calibri"/>
          <w:bCs/>
          <w:lang w:val="en-GB"/>
        </w:rPr>
        <w:t>commented</w:t>
      </w:r>
      <w:r w:rsidR="00152965">
        <w:rPr>
          <w:rFonts w:cs="Calibri"/>
          <w:bCs/>
          <w:lang w:val="en-GB"/>
        </w:rPr>
        <w:t xml:space="preserve">. </w:t>
      </w:r>
      <w:r w:rsidRPr="00F67CC4">
        <w:rPr>
          <w:rFonts w:cs="Calibri"/>
          <w:bCs/>
          <w:lang w:val="en-GB"/>
        </w:rPr>
        <w:t>In section 2.3 the</w:t>
      </w:r>
      <w:r w:rsidR="00152965">
        <w:rPr>
          <w:rFonts w:cs="Calibri"/>
          <w:bCs/>
          <w:lang w:val="en-GB"/>
        </w:rPr>
        <w:t>se</w:t>
      </w:r>
      <w:r w:rsidRPr="00F67CC4">
        <w:rPr>
          <w:rFonts w:cs="Calibri"/>
          <w:bCs/>
          <w:lang w:val="en-GB"/>
        </w:rPr>
        <w:t xml:space="preserve"> methods were </w:t>
      </w:r>
      <w:r w:rsidR="00223B33" w:rsidRPr="00F67CC4">
        <w:rPr>
          <w:rFonts w:cs="Calibri"/>
          <w:bCs/>
          <w:lang w:val="en-GB"/>
        </w:rPr>
        <w:t xml:space="preserve">already </w:t>
      </w:r>
      <w:r w:rsidR="005413DB">
        <w:rPr>
          <w:rFonts w:cs="Calibri"/>
          <w:bCs/>
          <w:lang w:val="en-GB"/>
        </w:rPr>
        <w:t>presented</w:t>
      </w:r>
      <w:r w:rsidR="0075260A" w:rsidRPr="00F67CC4">
        <w:rPr>
          <w:rFonts w:cs="Calibri"/>
          <w:bCs/>
          <w:lang w:val="en-GB"/>
        </w:rPr>
        <w:t xml:space="preserve"> </w:t>
      </w:r>
      <w:r w:rsidRPr="00F67CC4">
        <w:rPr>
          <w:rFonts w:cs="Calibri"/>
          <w:bCs/>
          <w:lang w:val="en-GB"/>
        </w:rPr>
        <w:t>by defining which actio</w:t>
      </w:r>
      <w:r w:rsidR="002836E8" w:rsidRPr="00F67CC4">
        <w:rPr>
          <w:rFonts w:cs="Calibri"/>
          <w:bCs/>
          <w:lang w:val="en-GB"/>
        </w:rPr>
        <w:t xml:space="preserve">ns and aspects of </w:t>
      </w:r>
      <w:r w:rsidR="00B343D6" w:rsidRPr="00F67CC4">
        <w:rPr>
          <w:rFonts w:cs="Calibri"/>
          <w:bCs/>
          <w:lang w:val="en-GB"/>
        </w:rPr>
        <w:t xml:space="preserve">the </w:t>
      </w:r>
      <w:r w:rsidRPr="00F67CC4">
        <w:rPr>
          <w:rFonts w:cs="Calibri"/>
          <w:bCs/>
          <w:lang w:val="en-GB"/>
        </w:rPr>
        <w:t>financial statement</w:t>
      </w:r>
      <w:r w:rsidR="00B343D6" w:rsidRPr="00F67CC4">
        <w:rPr>
          <w:rFonts w:cs="Calibri"/>
          <w:bCs/>
          <w:lang w:val="en-GB"/>
        </w:rPr>
        <w:t>s</w:t>
      </w:r>
      <w:r w:rsidRPr="00F67CC4">
        <w:rPr>
          <w:rFonts w:cs="Calibri"/>
          <w:bCs/>
          <w:lang w:val="en-GB"/>
        </w:rPr>
        <w:t xml:space="preserve"> and transactions are used to perform earnings management. In this section the two methods, accruals-based and real activities </w:t>
      </w:r>
      <w:r w:rsidR="00A11324" w:rsidRPr="00F67CC4">
        <w:rPr>
          <w:rFonts w:cs="Calibri"/>
          <w:bCs/>
          <w:lang w:val="en-GB"/>
        </w:rPr>
        <w:t>manipulation</w:t>
      </w:r>
      <w:r w:rsidRPr="00F67CC4">
        <w:rPr>
          <w:rFonts w:cs="Calibri"/>
          <w:bCs/>
          <w:lang w:val="en-GB"/>
        </w:rPr>
        <w:t xml:space="preserve"> </w:t>
      </w:r>
      <w:r w:rsidR="009F7286">
        <w:rPr>
          <w:rFonts w:cs="Calibri"/>
          <w:bCs/>
          <w:lang w:val="en-GB"/>
        </w:rPr>
        <w:t>are shortly</w:t>
      </w:r>
      <w:r w:rsidR="005413DB">
        <w:rPr>
          <w:rFonts w:cs="Calibri"/>
          <w:bCs/>
          <w:lang w:val="en-GB"/>
        </w:rPr>
        <w:t xml:space="preserve"> commented</w:t>
      </w:r>
      <w:r w:rsidR="009F7286">
        <w:rPr>
          <w:rFonts w:cs="Calibri"/>
          <w:bCs/>
          <w:lang w:val="en-GB"/>
        </w:rPr>
        <w:t>.</w:t>
      </w:r>
      <w:r w:rsidRPr="00F67CC4">
        <w:rPr>
          <w:rFonts w:cs="Calibri"/>
          <w:bCs/>
          <w:lang w:val="en-GB"/>
        </w:rPr>
        <w:t xml:space="preserve"> </w:t>
      </w:r>
    </w:p>
    <w:p w:rsidR="00F41424" w:rsidRPr="00F67CC4" w:rsidRDefault="001C6A3E" w:rsidP="00F74511">
      <w:pPr>
        <w:spacing w:line="360" w:lineRule="auto"/>
        <w:rPr>
          <w:rFonts w:cs="Calibri"/>
          <w:bCs/>
          <w:lang w:val="en-GB"/>
        </w:rPr>
      </w:pPr>
      <w:r w:rsidRPr="00F67CC4">
        <w:rPr>
          <w:rFonts w:cs="Calibri"/>
          <w:b/>
          <w:bCs/>
          <w:lang w:val="en-GB"/>
        </w:rPr>
        <w:t>3.2.2.1 Accruals-based</w:t>
      </w:r>
      <w:r w:rsidR="006D1A82" w:rsidRPr="00F67CC4">
        <w:rPr>
          <w:rFonts w:cs="Calibri"/>
          <w:b/>
          <w:bCs/>
          <w:lang w:val="en-GB"/>
        </w:rPr>
        <w:t xml:space="preserve"> earnings management</w:t>
      </w:r>
      <w:r w:rsidRPr="00F67CC4">
        <w:rPr>
          <w:rFonts w:cs="Calibri"/>
          <w:bCs/>
          <w:lang w:val="en-GB"/>
        </w:rPr>
        <w:br/>
        <w:t>Accruals-based earn</w:t>
      </w:r>
      <w:r w:rsidR="009F7286">
        <w:rPr>
          <w:rFonts w:cs="Calibri"/>
          <w:bCs/>
          <w:lang w:val="en-GB"/>
        </w:rPr>
        <w:t xml:space="preserve">ings management is managements’ </w:t>
      </w:r>
      <w:r w:rsidR="0027588B" w:rsidRPr="00F67CC4">
        <w:rPr>
          <w:rFonts w:cs="Calibri"/>
          <w:bCs/>
          <w:lang w:val="en-GB"/>
        </w:rPr>
        <w:t>exploitation</w:t>
      </w:r>
      <w:r w:rsidRPr="00F67CC4">
        <w:rPr>
          <w:rFonts w:cs="Calibri"/>
          <w:bCs/>
          <w:lang w:val="en-GB"/>
        </w:rPr>
        <w:t xml:space="preserve"> </w:t>
      </w:r>
      <w:r w:rsidR="00E02CE5" w:rsidRPr="00F67CC4">
        <w:rPr>
          <w:rFonts w:cs="Calibri"/>
          <w:bCs/>
          <w:lang w:val="en-GB"/>
        </w:rPr>
        <w:t>of</w:t>
      </w:r>
      <w:r w:rsidRPr="00F67CC4">
        <w:rPr>
          <w:rFonts w:cs="Calibri"/>
          <w:bCs/>
          <w:lang w:val="en-GB"/>
        </w:rPr>
        <w:t xml:space="preserve"> accounting discretion that is allowed under General Accep</w:t>
      </w:r>
      <w:r w:rsidR="00EE1C10" w:rsidRPr="00F67CC4">
        <w:rPr>
          <w:rFonts w:cs="Calibri"/>
          <w:bCs/>
          <w:lang w:val="en-GB"/>
        </w:rPr>
        <w:t>ting Accounti</w:t>
      </w:r>
      <w:r w:rsidR="00E02CE5" w:rsidRPr="00F67CC4">
        <w:rPr>
          <w:rFonts w:cs="Calibri"/>
          <w:bCs/>
          <w:lang w:val="en-GB"/>
        </w:rPr>
        <w:t>ng Principles (</w:t>
      </w:r>
      <w:r w:rsidR="00F753AF" w:rsidRPr="00F67CC4">
        <w:rPr>
          <w:rFonts w:cs="Calibri"/>
          <w:bCs/>
          <w:lang w:val="en-GB"/>
        </w:rPr>
        <w:t>GAAP</w:t>
      </w:r>
      <w:r w:rsidR="00E02CE5" w:rsidRPr="00F67CC4">
        <w:rPr>
          <w:rFonts w:cs="Calibri"/>
          <w:bCs/>
          <w:lang w:val="en-GB"/>
        </w:rPr>
        <w:t>)</w:t>
      </w:r>
      <w:r w:rsidR="00F753AF" w:rsidRPr="00F67CC4">
        <w:rPr>
          <w:rFonts w:cs="Calibri"/>
          <w:bCs/>
          <w:lang w:val="en-GB"/>
        </w:rPr>
        <w:t xml:space="preserve"> </w:t>
      </w:r>
      <w:r w:rsidRPr="00F67CC4">
        <w:rPr>
          <w:rFonts w:cs="Calibri"/>
          <w:bCs/>
          <w:lang w:val="en-GB"/>
        </w:rPr>
        <w:t>(Xu, Taylor, Dugan 2007 p</w:t>
      </w:r>
      <w:r w:rsidR="005413DB">
        <w:rPr>
          <w:rFonts w:cs="Calibri"/>
          <w:bCs/>
          <w:lang w:val="en-GB"/>
        </w:rPr>
        <w:t xml:space="preserve"> </w:t>
      </w:r>
      <w:r w:rsidRPr="00F67CC4">
        <w:rPr>
          <w:rFonts w:cs="Calibri"/>
          <w:bCs/>
          <w:lang w:val="en-GB"/>
        </w:rPr>
        <w:t>196)</w:t>
      </w:r>
      <w:r w:rsidR="00F753AF" w:rsidRPr="00F67CC4">
        <w:rPr>
          <w:rFonts w:cs="Calibri"/>
          <w:bCs/>
          <w:lang w:val="en-GB"/>
        </w:rPr>
        <w:t>.</w:t>
      </w:r>
      <w:r w:rsidRPr="00F67CC4">
        <w:rPr>
          <w:rFonts w:cs="Calibri"/>
          <w:bCs/>
          <w:lang w:val="en-GB"/>
        </w:rPr>
        <w:t xml:space="preserve"> This accounting discretion is </w:t>
      </w:r>
      <w:r w:rsidR="009F7286">
        <w:rPr>
          <w:rFonts w:cs="Calibri"/>
          <w:bCs/>
          <w:lang w:val="en-GB"/>
        </w:rPr>
        <w:t xml:space="preserve">about </w:t>
      </w:r>
      <w:r w:rsidRPr="00F67CC4">
        <w:rPr>
          <w:rFonts w:cs="Calibri"/>
          <w:bCs/>
          <w:lang w:val="en-GB"/>
        </w:rPr>
        <w:t xml:space="preserve">selecting accounting methods and </w:t>
      </w:r>
      <w:r w:rsidR="009F7286">
        <w:rPr>
          <w:rFonts w:cs="Calibri"/>
          <w:bCs/>
          <w:lang w:val="en-GB"/>
        </w:rPr>
        <w:t xml:space="preserve">the </w:t>
      </w:r>
      <w:r w:rsidRPr="00F67CC4">
        <w:rPr>
          <w:rFonts w:cs="Calibri"/>
          <w:bCs/>
          <w:lang w:val="en-GB"/>
        </w:rPr>
        <w:t>estimation of numbers in order to influence</w:t>
      </w:r>
      <w:r w:rsidR="005413DB">
        <w:rPr>
          <w:rFonts w:cs="Calibri"/>
          <w:bCs/>
          <w:lang w:val="en-GB"/>
        </w:rPr>
        <w:t xml:space="preserve"> the</w:t>
      </w:r>
      <w:r w:rsidRPr="00F67CC4">
        <w:rPr>
          <w:rFonts w:cs="Calibri"/>
          <w:bCs/>
          <w:lang w:val="en-GB"/>
        </w:rPr>
        <w:t xml:space="preserve"> financial </w:t>
      </w:r>
      <w:r w:rsidR="0027588B" w:rsidRPr="00F67CC4">
        <w:rPr>
          <w:rFonts w:cs="Calibri"/>
          <w:bCs/>
          <w:lang w:val="en-GB"/>
        </w:rPr>
        <w:t xml:space="preserve">values. </w:t>
      </w:r>
      <w:r w:rsidR="00C430AA" w:rsidRPr="00F67CC4">
        <w:rPr>
          <w:rFonts w:cs="Calibri"/>
          <w:bCs/>
          <w:lang w:val="en-GB"/>
        </w:rPr>
        <w:t xml:space="preserve">The durability of assets can be </w:t>
      </w:r>
      <w:r w:rsidR="00B61937" w:rsidRPr="00F67CC4">
        <w:rPr>
          <w:rFonts w:cs="Calibri"/>
          <w:bCs/>
          <w:lang w:val="en-GB"/>
        </w:rPr>
        <w:t>adjusted</w:t>
      </w:r>
      <w:r w:rsidR="00C430AA" w:rsidRPr="00F67CC4">
        <w:rPr>
          <w:rFonts w:cs="Calibri"/>
          <w:bCs/>
          <w:lang w:val="en-GB"/>
        </w:rPr>
        <w:t xml:space="preserve"> in order to decrease or increase t</w:t>
      </w:r>
      <w:r w:rsidR="00B61937" w:rsidRPr="00F67CC4">
        <w:rPr>
          <w:rFonts w:cs="Calibri"/>
          <w:bCs/>
          <w:lang w:val="en-GB"/>
        </w:rPr>
        <w:t xml:space="preserve">he costs of an asset per year by dividing the total costs over </w:t>
      </w:r>
      <w:r w:rsidR="00E02CE5" w:rsidRPr="00F67CC4">
        <w:rPr>
          <w:rFonts w:cs="Calibri"/>
          <w:bCs/>
          <w:lang w:val="en-GB"/>
        </w:rPr>
        <w:t xml:space="preserve">a different total </w:t>
      </w:r>
      <w:r w:rsidR="005D4294">
        <w:rPr>
          <w:rFonts w:cs="Calibri"/>
          <w:bCs/>
          <w:lang w:val="en-GB"/>
        </w:rPr>
        <w:t xml:space="preserve">number </w:t>
      </w:r>
      <w:r w:rsidR="00E02CE5" w:rsidRPr="00F67CC4">
        <w:rPr>
          <w:rFonts w:cs="Calibri"/>
          <w:bCs/>
          <w:lang w:val="en-GB"/>
        </w:rPr>
        <w:t>of</w:t>
      </w:r>
      <w:r w:rsidR="00B61937" w:rsidRPr="00F67CC4">
        <w:rPr>
          <w:rFonts w:cs="Calibri"/>
          <w:bCs/>
          <w:lang w:val="en-GB"/>
        </w:rPr>
        <w:t xml:space="preserve"> years. Another balance sheet item</w:t>
      </w:r>
      <w:r w:rsidR="00E02CE5" w:rsidRPr="00F67CC4">
        <w:rPr>
          <w:rFonts w:cs="Calibri"/>
          <w:bCs/>
          <w:lang w:val="en-GB"/>
        </w:rPr>
        <w:t xml:space="preserve"> for accounting discretion</w:t>
      </w:r>
      <w:r w:rsidR="00B61937" w:rsidRPr="00F67CC4">
        <w:rPr>
          <w:rFonts w:cs="Calibri"/>
          <w:bCs/>
          <w:lang w:val="en-GB"/>
        </w:rPr>
        <w:t xml:space="preserve"> is account receivable. </w:t>
      </w:r>
      <w:r w:rsidR="005413DB">
        <w:rPr>
          <w:rFonts w:cs="Calibri"/>
          <w:bCs/>
          <w:lang w:val="en-GB"/>
        </w:rPr>
        <w:t>A</w:t>
      </w:r>
      <w:r w:rsidR="00C430AA" w:rsidRPr="00F67CC4">
        <w:rPr>
          <w:rFonts w:cs="Calibri"/>
          <w:bCs/>
          <w:lang w:val="en-GB"/>
        </w:rPr>
        <w:t xml:space="preserve"> risk</w:t>
      </w:r>
      <w:r w:rsidR="005413DB">
        <w:rPr>
          <w:rFonts w:cs="Calibri"/>
          <w:bCs/>
          <w:lang w:val="en-GB"/>
        </w:rPr>
        <w:t xml:space="preserve"> exists</w:t>
      </w:r>
      <w:r w:rsidR="00C430AA" w:rsidRPr="00F67CC4">
        <w:rPr>
          <w:rFonts w:cs="Calibri"/>
          <w:bCs/>
          <w:lang w:val="en-GB"/>
        </w:rPr>
        <w:t xml:space="preserve"> that debtors can</w:t>
      </w:r>
      <w:r w:rsidR="008C5385">
        <w:rPr>
          <w:rFonts w:cs="Calibri"/>
          <w:bCs/>
          <w:lang w:val="en-GB"/>
        </w:rPr>
        <w:t>no</w:t>
      </w:r>
      <w:r w:rsidR="00C430AA" w:rsidRPr="00F67CC4">
        <w:rPr>
          <w:rFonts w:cs="Calibri"/>
          <w:bCs/>
          <w:lang w:val="en-GB"/>
        </w:rPr>
        <w:t xml:space="preserve">t pay their </w:t>
      </w:r>
      <w:r w:rsidR="00E02CE5" w:rsidRPr="00F67CC4">
        <w:rPr>
          <w:rFonts w:cs="Calibri"/>
          <w:bCs/>
          <w:lang w:val="en-GB"/>
        </w:rPr>
        <w:t xml:space="preserve">(total) </w:t>
      </w:r>
      <w:r w:rsidR="00C430AA" w:rsidRPr="00F67CC4">
        <w:rPr>
          <w:rFonts w:cs="Calibri"/>
          <w:bCs/>
          <w:lang w:val="en-GB"/>
        </w:rPr>
        <w:t>debt</w:t>
      </w:r>
      <w:r w:rsidR="005413DB">
        <w:rPr>
          <w:rFonts w:cs="Calibri"/>
          <w:bCs/>
          <w:lang w:val="en-GB"/>
        </w:rPr>
        <w:t>;</w:t>
      </w:r>
      <w:r w:rsidR="00C430AA" w:rsidRPr="00F67CC4">
        <w:rPr>
          <w:rFonts w:cs="Calibri"/>
          <w:bCs/>
          <w:lang w:val="en-GB"/>
        </w:rPr>
        <w:t xml:space="preserve"> </w:t>
      </w:r>
      <w:r w:rsidR="005413DB">
        <w:rPr>
          <w:rFonts w:cs="Calibri"/>
          <w:bCs/>
          <w:lang w:val="en-GB"/>
        </w:rPr>
        <w:t>consequently</w:t>
      </w:r>
      <w:r w:rsidR="00C430AA" w:rsidRPr="00F67CC4">
        <w:rPr>
          <w:rFonts w:cs="Calibri"/>
          <w:bCs/>
          <w:lang w:val="en-GB"/>
        </w:rPr>
        <w:t xml:space="preserve"> estimations have to be </w:t>
      </w:r>
      <w:r w:rsidR="005413DB">
        <w:rPr>
          <w:rFonts w:cs="Calibri"/>
          <w:bCs/>
          <w:lang w:val="en-GB"/>
        </w:rPr>
        <w:t xml:space="preserve">performed concerning </w:t>
      </w:r>
      <w:r w:rsidR="00C430AA" w:rsidRPr="00F67CC4">
        <w:rPr>
          <w:rFonts w:cs="Calibri"/>
          <w:bCs/>
          <w:lang w:val="en-GB"/>
        </w:rPr>
        <w:t xml:space="preserve">how </w:t>
      </w:r>
      <w:r w:rsidR="00B61937" w:rsidRPr="00F67CC4">
        <w:rPr>
          <w:rFonts w:cs="Calibri"/>
          <w:bCs/>
          <w:lang w:val="en-GB"/>
        </w:rPr>
        <w:t xml:space="preserve">much of the debt is likely to be </w:t>
      </w:r>
      <w:r w:rsidR="00E02CE5" w:rsidRPr="00F67CC4">
        <w:rPr>
          <w:rFonts w:cs="Calibri"/>
          <w:bCs/>
          <w:lang w:val="en-GB"/>
        </w:rPr>
        <w:t>received</w:t>
      </w:r>
      <w:r w:rsidR="00B61937" w:rsidRPr="00F67CC4">
        <w:rPr>
          <w:rFonts w:cs="Calibri"/>
          <w:bCs/>
          <w:lang w:val="en-GB"/>
        </w:rPr>
        <w:t>. The determination of this amount is subjective so amounts can easil</w:t>
      </w:r>
      <w:r w:rsidR="00761C15" w:rsidRPr="00F67CC4">
        <w:rPr>
          <w:rFonts w:cs="Calibri"/>
          <w:bCs/>
          <w:lang w:val="en-GB"/>
        </w:rPr>
        <w:t>y be adjusted by managers (Epe and</w:t>
      </w:r>
      <w:r w:rsidR="00B61937" w:rsidRPr="00F67CC4">
        <w:rPr>
          <w:rFonts w:cs="Calibri"/>
          <w:bCs/>
          <w:lang w:val="en-GB"/>
        </w:rPr>
        <w:t xml:space="preserve"> Koetzier 2002, p</w:t>
      </w:r>
      <w:r w:rsidR="005413DB">
        <w:rPr>
          <w:rFonts w:cs="Calibri"/>
          <w:bCs/>
          <w:lang w:val="en-GB"/>
        </w:rPr>
        <w:t xml:space="preserve"> </w:t>
      </w:r>
      <w:r w:rsidR="00B61937" w:rsidRPr="00F67CC4">
        <w:rPr>
          <w:rFonts w:cs="Calibri"/>
          <w:bCs/>
          <w:lang w:val="en-GB"/>
        </w:rPr>
        <w:t>33)</w:t>
      </w:r>
      <w:r w:rsidR="009F7286">
        <w:rPr>
          <w:rFonts w:cs="Calibri"/>
          <w:bCs/>
          <w:lang w:val="en-GB"/>
        </w:rPr>
        <w:t>.</w:t>
      </w:r>
      <w:r w:rsidR="00B61937" w:rsidRPr="00F67CC4">
        <w:rPr>
          <w:rFonts w:cs="Calibri"/>
          <w:bCs/>
          <w:lang w:val="en-GB"/>
        </w:rPr>
        <w:t xml:space="preserve"> </w:t>
      </w:r>
      <w:r w:rsidR="00B137D7" w:rsidRPr="00F67CC4">
        <w:rPr>
          <w:rFonts w:cs="Calibri"/>
          <w:bCs/>
          <w:lang w:val="en-GB"/>
        </w:rPr>
        <w:t xml:space="preserve">These and other accounts </w:t>
      </w:r>
      <w:r w:rsidR="00B61937" w:rsidRPr="00F67CC4">
        <w:rPr>
          <w:rFonts w:cs="Calibri"/>
          <w:bCs/>
          <w:lang w:val="en-GB"/>
        </w:rPr>
        <w:t xml:space="preserve">that are </w:t>
      </w:r>
      <w:r w:rsidR="007E2BA9" w:rsidRPr="00F67CC4">
        <w:rPr>
          <w:rFonts w:cs="Calibri"/>
          <w:bCs/>
          <w:lang w:val="en-GB"/>
        </w:rPr>
        <w:t>used for manipulation</w:t>
      </w:r>
      <w:r w:rsidR="00B61937" w:rsidRPr="00F67CC4">
        <w:rPr>
          <w:rFonts w:cs="Calibri"/>
          <w:bCs/>
          <w:lang w:val="en-GB"/>
        </w:rPr>
        <w:t xml:space="preserve"> </w:t>
      </w:r>
      <w:r w:rsidR="00B137D7" w:rsidRPr="00F67CC4">
        <w:rPr>
          <w:rFonts w:cs="Calibri"/>
          <w:bCs/>
          <w:lang w:val="en-GB"/>
        </w:rPr>
        <w:t xml:space="preserve">can be found in the models that </w:t>
      </w:r>
      <w:r w:rsidR="007E2BA9" w:rsidRPr="00F67CC4">
        <w:rPr>
          <w:rFonts w:cs="Calibri"/>
          <w:bCs/>
          <w:lang w:val="en-GB"/>
        </w:rPr>
        <w:t xml:space="preserve">focus on </w:t>
      </w:r>
      <w:r w:rsidR="005413DB">
        <w:rPr>
          <w:rFonts w:cs="Calibri"/>
          <w:bCs/>
          <w:lang w:val="en-GB"/>
        </w:rPr>
        <w:t xml:space="preserve">detecting the use of </w:t>
      </w:r>
      <w:r w:rsidR="007E2BA9" w:rsidRPr="00F67CC4">
        <w:rPr>
          <w:rFonts w:cs="Calibri"/>
          <w:bCs/>
          <w:lang w:val="en-GB"/>
        </w:rPr>
        <w:t>accruals</w:t>
      </w:r>
      <w:r w:rsidR="00CB5827">
        <w:rPr>
          <w:rFonts w:cs="Calibri"/>
          <w:bCs/>
          <w:lang w:val="en-GB"/>
        </w:rPr>
        <w:t>-based earnings management</w:t>
      </w:r>
      <w:r w:rsidR="00576112">
        <w:rPr>
          <w:rFonts w:cs="Calibri"/>
          <w:bCs/>
          <w:lang w:val="en-GB"/>
        </w:rPr>
        <w:t>.</w:t>
      </w:r>
      <w:r w:rsidR="00B137D7" w:rsidRPr="00F67CC4">
        <w:rPr>
          <w:rFonts w:cs="Calibri"/>
          <w:bCs/>
          <w:lang w:val="en-GB"/>
        </w:rPr>
        <w:t xml:space="preserve"> </w:t>
      </w:r>
    </w:p>
    <w:p w:rsidR="009F7286" w:rsidRDefault="001C6A3E" w:rsidP="00F74511">
      <w:pPr>
        <w:spacing w:line="360" w:lineRule="auto"/>
        <w:rPr>
          <w:rFonts w:cs="Calibri"/>
          <w:bCs/>
          <w:lang w:val="en-GB"/>
        </w:rPr>
      </w:pPr>
      <w:r w:rsidRPr="00F67CC4">
        <w:rPr>
          <w:rFonts w:cs="Calibri"/>
          <w:b/>
          <w:bCs/>
          <w:lang w:val="en-GB"/>
        </w:rPr>
        <w:t xml:space="preserve">3.2.2.2 Real </w:t>
      </w:r>
      <w:r w:rsidR="006D1A82" w:rsidRPr="00F67CC4">
        <w:rPr>
          <w:rFonts w:cs="Calibri"/>
          <w:b/>
          <w:bCs/>
          <w:lang w:val="en-GB"/>
        </w:rPr>
        <w:t>earnings management</w:t>
      </w:r>
      <w:r w:rsidRPr="00F67CC4">
        <w:rPr>
          <w:rFonts w:cs="Calibri"/>
          <w:bCs/>
          <w:lang w:val="en-GB"/>
        </w:rPr>
        <w:br/>
        <w:t>Real earnings management is the attempt of management to alter reported earnings by adjusting timing and scale of underlying business activities. Examples of these real business activities are R&amp;D expenditures, capital investments, and the production, sale an</w:t>
      </w:r>
      <w:r w:rsidR="00F753AF" w:rsidRPr="00F67CC4">
        <w:rPr>
          <w:rFonts w:cs="Calibri"/>
          <w:bCs/>
          <w:lang w:val="en-GB"/>
        </w:rPr>
        <w:t xml:space="preserve">d disposal of long-term assets </w:t>
      </w:r>
      <w:r w:rsidR="00CB5827">
        <w:rPr>
          <w:rFonts w:cs="Calibri"/>
          <w:bCs/>
          <w:lang w:val="en-GB"/>
        </w:rPr>
        <w:t>( Xu, Taylor, Dugan, 2007 p</w:t>
      </w:r>
      <w:r w:rsidRPr="00F67CC4">
        <w:rPr>
          <w:rFonts w:cs="Calibri"/>
          <w:bCs/>
          <w:lang w:val="en-GB"/>
        </w:rPr>
        <w:t>196)</w:t>
      </w:r>
      <w:r w:rsidR="00F753AF" w:rsidRPr="00F67CC4">
        <w:rPr>
          <w:rFonts w:cs="Calibri"/>
          <w:bCs/>
          <w:lang w:val="en-GB"/>
        </w:rPr>
        <w:t>.</w:t>
      </w:r>
      <w:r w:rsidRPr="00F67CC4">
        <w:rPr>
          <w:rFonts w:cs="Calibri"/>
          <w:bCs/>
          <w:lang w:val="en-GB"/>
        </w:rPr>
        <w:t xml:space="preserve"> Roychowdhury (2006) agrees with the illustration of Xu, Taylor and Dugan (2007) by renam</w:t>
      </w:r>
      <w:r w:rsidR="00CB5827">
        <w:rPr>
          <w:rFonts w:cs="Calibri"/>
          <w:bCs/>
          <w:lang w:val="en-GB"/>
        </w:rPr>
        <w:t>in</w:t>
      </w:r>
      <w:r w:rsidR="009F7286">
        <w:rPr>
          <w:rFonts w:cs="Calibri"/>
          <w:bCs/>
          <w:lang w:val="en-GB"/>
        </w:rPr>
        <w:t xml:space="preserve">g real earnings management </w:t>
      </w:r>
      <w:r w:rsidR="005413DB">
        <w:rPr>
          <w:rFonts w:cs="Calibri"/>
          <w:bCs/>
          <w:lang w:val="en-GB"/>
        </w:rPr>
        <w:t xml:space="preserve">into </w:t>
      </w:r>
      <w:r w:rsidRPr="00F67CC4">
        <w:rPr>
          <w:rFonts w:cs="Calibri"/>
          <w:bCs/>
          <w:lang w:val="en-GB"/>
        </w:rPr>
        <w:t>real activities manipulation to emphasize that real activities are involved</w:t>
      </w:r>
      <w:r w:rsidR="009F7286">
        <w:rPr>
          <w:rFonts w:cs="Calibri"/>
          <w:bCs/>
          <w:lang w:val="en-GB"/>
        </w:rPr>
        <w:t xml:space="preserve"> in the management of </w:t>
      </w:r>
      <w:r w:rsidR="005413DB">
        <w:rPr>
          <w:rFonts w:cs="Calibri"/>
          <w:bCs/>
          <w:lang w:val="en-GB"/>
        </w:rPr>
        <w:t xml:space="preserve">the </w:t>
      </w:r>
      <w:r w:rsidR="009F7286">
        <w:rPr>
          <w:rFonts w:cs="Calibri"/>
          <w:bCs/>
          <w:lang w:val="en-GB"/>
        </w:rPr>
        <w:t>earnings</w:t>
      </w:r>
      <w:r w:rsidRPr="00F67CC4">
        <w:rPr>
          <w:rFonts w:cs="Calibri"/>
          <w:bCs/>
          <w:lang w:val="en-GB"/>
        </w:rPr>
        <w:t xml:space="preserve">. </w:t>
      </w:r>
    </w:p>
    <w:p w:rsidR="00576112" w:rsidRDefault="00576112" w:rsidP="00F74511">
      <w:pPr>
        <w:spacing w:line="360" w:lineRule="auto"/>
        <w:rPr>
          <w:rFonts w:cs="Calibri"/>
          <w:bCs/>
          <w:lang w:val="en-GB"/>
        </w:rPr>
      </w:pPr>
    </w:p>
    <w:p w:rsidR="00F24CB6" w:rsidRDefault="00F24CB6" w:rsidP="00F74511">
      <w:pPr>
        <w:spacing w:line="360" w:lineRule="auto"/>
        <w:rPr>
          <w:rFonts w:cs="Calibri"/>
          <w:bCs/>
          <w:lang w:val="en-GB"/>
        </w:rPr>
      </w:pPr>
    </w:p>
    <w:p w:rsidR="00F24CB6" w:rsidRDefault="00F24CB6" w:rsidP="00F74511">
      <w:pPr>
        <w:spacing w:line="360" w:lineRule="auto"/>
        <w:rPr>
          <w:rFonts w:cs="Calibri"/>
          <w:bCs/>
          <w:lang w:val="en-GB"/>
        </w:rPr>
      </w:pPr>
    </w:p>
    <w:p w:rsidR="007E2BA9" w:rsidRPr="00F67CC4" w:rsidRDefault="001C6A3E" w:rsidP="00F74511">
      <w:pPr>
        <w:spacing w:line="360" w:lineRule="auto"/>
        <w:rPr>
          <w:rFonts w:cs="Calibri"/>
          <w:bCs/>
          <w:lang w:val="en-GB"/>
        </w:rPr>
      </w:pPr>
      <w:r w:rsidRPr="00F67CC4">
        <w:rPr>
          <w:rFonts w:cs="Calibri"/>
          <w:bCs/>
          <w:lang w:val="en-GB"/>
        </w:rPr>
        <w:lastRenderedPageBreak/>
        <w:t xml:space="preserve">Real activities manipulation </w:t>
      </w:r>
      <w:r w:rsidR="002836E8" w:rsidRPr="00F67CC4">
        <w:rPr>
          <w:rFonts w:cs="Calibri"/>
          <w:bCs/>
          <w:lang w:val="en-GB"/>
        </w:rPr>
        <w:t xml:space="preserve">is </w:t>
      </w:r>
      <w:r w:rsidRPr="00F67CC4">
        <w:rPr>
          <w:rFonts w:cs="Calibri"/>
          <w:bCs/>
          <w:lang w:val="en-GB"/>
        </w:rPr>
        <w:t xml:space="preserve">defined by Roychowdhury (2006) as </w:t>
      </w:r>
    </w:p>
    <w:p w:rsidR="007E2BA9" w:rsidRPr="00F67CC4" w:rsidRDefault="001C6A3E" w:rsidP="00F74511">
      <w:pPr>
        <w:spacing w:line="360" w:lineRule="auto"/>
        <w:rPr>
          <w:rFonts w:cs="Calibri"/>
          <w:bCs/>
          <w:lang w:val="en-GB"/>
        </w:rPr>
      </w:pPr>
      <w:r w:rsidRPr="00F67CC4">
        <w:rPr>
          <w:rFonts w:cs="Calibri"/>
          <w:bCs/>
          <w:lang w:val="en-GB"/>
        </w:rPr>
        <w:t>“</w:t>
      </w:r>
      <w:r w:rsidR="007E2BA9" w:rsidRPr="00F67CC4">
        <w:rPr>
          <w:rFonts w:cs="Calibri"/>
          <w:bCs/>
          <w:lang w:val="en-GB"/>
        </w:rPr>
        <w:t xml:space="preserve">(…) </w:t>
      </w:r>
      <w:r w:rsidRPr="00F67CC4">
        <w:rPr>
          <w:rFonts w:cs="Calibri"/>
          <w:bCs/>
          <w:i/>
          <w:lang w:val="en-GB"/>
        </w:rPr>
        <w:t>departures from normal operational practices, motivated by managers’ desire to mislead at least some stakeholders into believing certain financial reporting goals have been met in the normal course of operations.”</w:t>
      </w:r>
      <w:r w:rsidR="004B1539" w:rsidRPr="00F67CC4">
        <w:rPr>
          <w:rFonts w:cs="Calibri"/>
          <w:bCs/>
          <w:lang w:val="en-GB"/>
        </w:rPr>
        <w:t xml:space="preserve"> (Roychowdhury</w:t>
      </w:r>
      <w:r w:rsidRPr="00F67CC4">
        <w:rPr>
          <w:rFonts w:cs="Calibri"/>
          <w:bCs/>
          <w:lang w:val="en-GB"/>
        </w:rPr>
        <w:t xml:space="preserve"> 2006</w:t>
      </w:r>
      <w:r w:rsidR="004B1539" w:rsidRPr="00F67CC4">
        <w:rPr>
          <w:rFonts w:cs="Calibri"/>
          <w:bCs/>
          <w:lang w:val="en-GB"/>
        </w:rPr>
        <w:t>,</w:t>
      </w:r>
      <w:r w:rsidRPr="00F67CC4">
        <w:rPr>
          <w:rFonts w:cs="Calibri"/>
          <w:bCs/>
          <w:lang w:val="en-GB"/>
        </w:rPr>
        <w:t xml:space="preserve"> p</w:t>
      </w:r>
      <w:r w:rsidR="005413DB">
        <w:rPr>
          <w:rFonts w:cs="Calibri"/>
          <w:bCs/>
          <w:lang w:val="en-GB"/>
        </w:rPr>
        <w:t xml:space="preserve"> </w:t>
      </w:r>
      <w:r w:rsidRPr="00F67CC4">
        <w:rPr>
          <w:rFonts w:cs="Calibri"/>
          <w:bCs/>
          <w:lang w:val="en-GB"/>
        </w:rPr>
        <w:t>337</w:t>
      </w:r>
      <w:r w:rsidR="005F5E90" w:rsidRPr="00F67CC4">
        <w:rPr>
          <w:rFonts w:cs="Calibri"/>
          <w:bCs/>
          <w:lang w:val="en-GB"/>
        </w:rPr>
        <w:t>)</w:t>
      </w:r>
      <w:r w:rsidR="0009553D" w:rsidRPr="00F67CC4">
        <w:rPr>
          <w:rFonts w:cs="Calibri"/>
          <w:bCs/>
          <w:lang w:val="en-GB"/>
        </w:rPr>
        <w:t xml:space="preserve"> </w:t>
      </w:r>
    </w:p>
    <w:p w:rsidR="00767657" w:rsidRPr="00F67CC4" w:rsidRDefault="009F7286" w:rsidP="008C5385">
      <w:pPr>
        <w:spacing w:line="360" w:lineRule="auto"/>
        <w:rPr>
          <w:rFonts w:cs="Calibri"/>
          <w:bCs/>
          <w:lang w:val="en-GB"/>
        </w:rPr>
      </w:pPr>
      <w:r>
        <w:rPr>
          <w:rFonts w:cs="Calibri"/>
          <w:bCs/>
          <w:lang w:val="en-GB"/>
        </w:rPr>
        <w:t>The</w:t>
      </w:r>
      <w:r w:rsidR="001C6A3E" w:rsidRPr="00F67CC4">
        <w:rPr>
          <w:rFonts w:cs="Calibri"/>
          <w:bCs/>
          <w:lang w:val="en-GB"/>
        </w:rPr>
        <w:t xml:space="preserve"> different models</w:t>
      </w:r>
      <w:r>
        <w:rPr>
          <w:rFonts w:cs="Calibri"/>
          <w:bCs/>
          <w:lang w:val="en-GB"/>
        </w:rPr>
        <w:t xml:space="preserve"> that are developed to detect accruals-based and real earnings management will be </w:t>
      </w:r>
      <w:r w:rsidR="005413DB">
        <w:rPr>
          <w:rFonts w:cs="Calibri"/>
          <w:bCs/>
          <w:lang w:val="en-GB"/>
        </w:rPr>
        <w:t>commented</w:t>
      </w:r>
      <w:r>
        <w:rPr>
          <w:rFonts w:cs="Calibri"/>
          <w:bCs/>
          <w:lang w:val="en-GB"/>
        </w:rPr>
        <w:t xml:space="preserve"> in se</w:t>
      </w:r>
      <w:r w:rsidR="004D5028" w:rsidRPr="00F67CC4">
        <w:rPr>
          <w:rFonts w:cs="Calibri"/>
          <w:bCs/>
          <w:lang w:val="en-GB"/>
        </w:rPr>
        <w:t>ction 3.4</w:t>
      </w:r>
      <w:r>
        <w:rPr>
          <w:rFonts w:cs="Calibri"/>
          <w:bCs/>
          <w:lang w:val="en-GB"/>
        </w:rPr>
        <w:t>.</w:t>
      </w:r>
    </w:p>
    <w:p w:rsidR="001C6A3E" w:rsidRPr="00F67CC4" w:rsidRDefault="001C6A3E" w:rsidP="008A4D8E">
      <w:pPr>
        <w:spacing w:line="360" w:lineRule="auto"/>
        <w:rPr>
          <w:rFonts w:cs="Calibri"/>
          <w:b/>
          <w:lang w:val="en-GB"/>
        </w:rPr>
      </w:pPr>
      <w:r w:rsidRPr="00F67CC4">
        <w:rPr>
          <w:rFonts w:cs="Calibri"/>
          <w:b/>
          <w:lang w:val="en-GB"/>
        </w:rPr>
        <w:t>3.2.3 Incentives</w:t>
      </w:r>
      <w:r w:rsidR="006779C9" w:rsidRPr="00F67CC4">
        <w:rPr>
          <w:rFonts w:cs="Calibri"/>
          <w:b/>
          <w:lang w:val="en-GB"/>
        </w:rPr>
        <w:br/>
      </w:r>
      <w:r w:rsidR="00D10377" w:rsidRPr="00F67CC4">
        <w:rPr>
          <w:rFonts w:cs="Calibri"/>
          <w:lang w:val="en-GB"/>
        </w:rPr>
        <w:t xml:space="preserve">The choice of method </w:t>
      </w:r>
      <w:r w:rsidR="007E2BA9" w:rsidRPr="00F67CC4">
        <w:rPr>
          <w:rFonts w:cs="Calibri"/>
          <w:lang w:val="en-GB"/>
        </w:rPr>
        <w:t xml:space="preserve">for </w:t>
      </w:r>
      <w:r w:rsidR="00D10377" w:rsidRPr="00F67CC4">
        <w:rPr>
          <w:rFonts w:cs="Calibri"/>
          <w:lang w:val="en-GB"/>
        </w:rPr>
        <w:t>executing earnin</w:t>
      </w:r>
      <w:r w:rsidR="007E2BA9" w:rsidRPr="00F67CC4">
        <w:rPr>
          <w:rFonts w:cs="Calibri"/>
          <w:lang w:val="en-GB"/>
        </w:rPr>
        <w:t>gs management might depend</w:t>
      </w:r>
      <w:r w:rsidR="00D10377" w:rsidRPr="00F67CC4">
        <w:rPr>
          <w:rFonts w:cs="Calibri"/>
          <w:lang w:val="en-GB"/>
        </w:rPr>
        <w:t xml:space="preserve"> on the incentive a manager</w:t>
      </w:r>
      <w:r w:rsidR="006C0978">
        <w:rPr>
          <w:rFonts w:cs="Calibri"/>
          <w:lang w:val="en-GB"/>
        </w:rPr>
        <w:t xml:space="preserve"> has with the </w:t>
      </w:r>
      <w:r w:rsidR="009F7286">
        <w:rPr>
          <w:rFonts w:cs="Calibri"/>
          <w:lang w:val="en-GB"/>
        </w:rPr>
        <w:t>execution</w:t>
      </w:r>
      <w:r w:rsidR="006C0978">
        <w:rPr>
          <w:rFonts w:cs="Calibri"/>
          <w:lang w:val="en-GB"/>
        </w:rPr>
        <w:t xml:space="preserve"> of it</w:t>
      </w:r>
      <w:r w:rsidR="00D10377" w:rsidRPr="00F67CC4">
        <w:rPr>
          <w:rFonts w:cs="Calibri"/>
          <w:lang w:val="en-GB"/>
        </w:rPr>
        <w:t xml:space="preserve">. </w:t>
      </w:r>
      <w:r w:rsidRPr="00F67CC4">
        <w:rPr>
          <w:rFonts w:cs="Calibri"/>
          <w:lang w:val="en-GB"/>
        </w:rPr>
        <w:t>Whether to use, how muc</w:t>
      </w:r>
      <w:r w:rsidR="005F5E90" w:rsidRPr="00F67CC4">
        <w:rPr>
          <w:rFonts w:cs="Calibri"/>
          <w:lang w:val="en-GB"/>
        </w:rPr>
        <w:t xml:space="preserve">h use and in which direction </w:t>
      </w:r>
      <w:r w:rsidR="00D10377" w:rsidRPr="00F67CC4">
        <w:rPr>
          <w:rFonts w:cs="Calibri"/>
          <w:lang w:val="en-GB"/>
        </w:rPr>
        <w:t>earning</w:t>
      </w:r>
      <w:r w:rsidR="005F5E90" w:rsidRPr="00F67CC4">
        <w:rPr>
          <w:rFonts w:cs="Calibri"/>
          <w:lang w:val="en-GB"/>
        </w:rPr>
        <w:t>s are managed</w:t>
      </w:r>
      <w:r w:rsidR="00D10377" w:rsidRPr="00F67CC4">
        <w:rPr>
          <w:rFonts w:cs="Calibri"/>
          <w:lang w:val="en-GB"/>
        </w:rPr>
        <w:t>;</w:t>
      </w:r>
      <w:r w:rsidRPr="00F67CC4">
        <w:rPr>
          <w:rFonts w:cs="Calibri"/>
          <w:lang w:val="en-GB"/>
        </w:rPr>
        <w:t xml:space="preserve"> it all depends on the intention of the manager. What does the manager want to achieve with managing the earnings? According to Healy and Wahlen (1999), three incentives </w:t>
      </w:r>
      <w:r w:rsidR="00515E86">
        <w:rPr>
          <w:rFonts w:cs="Calibri"/>
          <w:lang w:val="en-GB"/>
        </w:rPr>
        <w:t xml:space="preserve">exist </w:t>
      </w:r>
      <w:r w:rsidRPr="00F67CC4">
        <w:rPr>
          <w:rFonts w:cs="Calibri"/>
          <w:lang w:val="en-GB"/>
        </w:rPr>
        <w:t xml:space="preserve">for </w:t>
      </w:r>
      <w:r w:rsidR="007E2BA9" w:rsidRPr="00F67CC4">
        <w:rPr>
          <w:rFonts w:cs="Calibri"/>
          <w:lang w:val="en-GB"/>
        </w:rPr>
        <w:t xml:space="preserve">managing </w:t>
      </w:r>
      <w:r w:rsidRPr="00F67CC4">
        <w:rPr>
          <w:rFonts w:cs="Calibri"/>
          <w:lang w:val="en-GB"/>
        </w:rPr>
        <w:t>earnings</w:t>
      </w:r>
      <w:r w:rsidR="007E2BA9" w:rsidRPr="00F67CC4">
        <w:rPr>
          <w:rFonts w:cs="Calibri"/>
          <w:lang w:val="en-GB"/>
        </w:rPr>
        <w:t xml:space="preserve">: </w:t>
      </w:r>
      <w:r w:rsidR="006C0978">
        <w:rPr>
          <w:rFonts w:cs="Calibri"/>
          <w:lang w:val="en-GB"/>
        </w:rPr>
        <w:t>(1) capital market incentives</w:t>
      </w:r>
      <w:r w:rsidRPr="00F67CC4">
        <w:rPr>
          <w:rFonts w:cs="Calibri"/>
          <w:lang w:val="en-GB"/>
        </w:rPr>
        <w:t>,</w:t>
      </w:r>
      <w:r w:rsidR="006C0978">
        <w:rPr>
          <w:rFonts w:cs="Calibri"/>
          <w:lang w:val="en-GB"/>
        </w:rPr>
        <w:t xml:space="preserve"> (2)</w:t>
      </w:r>
      <w:r w:rsidRPr="00F67CC4">
        <w:rPr>
          <w:rFonts w:cs="Calibri"/>
          <w:lang w:val="en-GB"/>
        </w:rPr>
        <w:t xml:space="preserve"> contrac</w:t>
      </w:r>
      <w:r w:rsidR="009347D7" w:rsidRPr="00F67CC4">
        <w:rPr>
          <w:rFonts w:cs="Calibri"/>
          <w:lang w:val="en-GB"/>
        </w:rPr>
        <w:t>ting</w:t>
      </w:r>
      <w:r w:rsidR="006C0978">
        <w:rPr>
          <w:rFonts w:cs="Calibri"/>
          <w:lang w:val="en-GB"/>
        </w:rPr>
        <w:t xml:space="preserve"> incentives</w:t>
      </w:r>
      <w:r w:rsidR="009347D7" w:rsidRPr="00F67CC4">
        <w:rPr>
          <w:rFonts w:cs="Calibri"/>
          <w:lang w:val="en-GB"/>
        </w:rPr>
        <w:t xml:space="preserve"> and </w:t>
      </w:r>
      <w:r w:rsidR="006C0978">
        <w:rPr>
          <w:rFonts w:cs="Calibri"/>
          <w:lang w:val="en-GB"/>
        </w:rPr>
        <w:t xml:space="preserve">(3) </w:t>
      </w:r>
      <w:r w:rsidR="009347D7" w:rsidRPr="00F67CC4">
        <w:rPr>
          <w:rFonts w:cs="Calibri"/>
          <w:lang w:val="en-GB"/>
        </w:rPr>
        <w:t>regulatory</w:t>
      </w:r>
      <w:r w:rsidR="005F5E90" w:rsidRPr="00F67CC4">
        <w:rPr>
          <w:rFonts w:cs="Calibri"/>
          <w:lang w:val="en-GB"/>
        </w:rPr>
        <w:t xml:space="preserve"> incentives</w:t>
      </w:r>
      <w:r w:rsidRPr="00F67CC4">
        <w:rPr>
          <w:rFonts w:cs="Calibri"/>
          <w:lang w:val="en-GB"/>
        </w:rPr>
        <w:t>.</w:t>
      </w:r>
      <w:r w:rsidR="009347D7" w:rsidRPr="00F67CC4">
        <w:rPr>
          <w:rFonts w:cs="Calibri"/>
          <w:lang w:val="en-GB"/>
        </w:rPr>
        <w:t xml:space="preserve"> </w:t>
      </w:r>
    </w:p>
    <w:p w:rsidR="00940091" w:rsidRPr="00F67CC4" w:rsidRDefault="009347D7" w:rsidP="00506870">
      <w:pPr>
        <w:spacing w:line="360" w:lineRule="auto"/>
        <w:rPr>
          <w:rFonts w:cs="Calibri"/>
          <w:lang w:val="en-GB"/>
        </w:rPr>
      </w:pPr>
      <w:r w:rsidRPr="00F67CC4">
        <w:rPr>
          <w:rFonts w:cs="Calibri"/>
          <w:lang w:val="en-GB"/>
        </w:rPr>
        <w:t>The c</w:t>
      </w:r>
      <w:r w:rsidR="001C6A3E" w:rsidRPr="00F67CC4">
        <w:rPr>
          <w:rFonts w:cs="Calibri"/>
          <w:lang w:val="en-GB"/>
        </w:rPr>
        <w:t xml:space="preserve">apital market </w:t>
      </w:r>
      <w:r w:rsidRPr="00F67CC4">
        <w:rPr>
          <w:rFonts w:cs="Calibri"/>
          <w:lang w:val="en-GB"/>
        </w:rPr>
        <w:t>incentive</w:t>
      </w:r>
      <w:r w:rsidR="001C6A3E" w:rsidRPr="00F67CC4">
        <w:rPr>
          <w:rFonts w:cs="Calibri"/>
          <w:lang w:val="en-GB"/>
        </w:rPr>
        <w:t xml:space="preserve"> is about the expectation and </w:t>
      </w:r>
      <w:r w:rsidR="00515E86">
        <w:rPr>
          <w:rFonts w:cs="Calibri"/>
          <w:lang w:val="en-GB"/>
        </w:rPr>
        <w:t xml:space="preserve">the </w:t>
      </w:r>
      <w:r w:rsidR="001C6A3E" w:rsidRPr="00F67CC4">
        <w:rPr>
          <w:rFonts w:cs="Calibri"/>
          <w:lang w:val="en-GB"/>
        </w:rPr>
        <w:t>valuation of investments by investors and</w:t>
      </w:r>
      <w:r w:rsidR="00515E86">
        <w:rPr>
          <w:rFonts w:cs="Calibri"/>
          <w:lang w:val="en-GB"/>
        </w:rPr>
        <w:t xml:space="preserve"> by</w:t>
      </w:r>
      <w:r w:rsidR="001C6A3E" w:rsidRPr="00F67CC4">
        <w:rPr>
          <w:rFonts w:cs="Calibri"/>
          <w:lang w:val="en-GB"/>
        </w:rPr>
        <w:t xml:space="preserve"> financial analysts. </w:t>
      </w:r>
      <w:r w:rsidR="007E2BA9" w:rsidRPr="00F67CC4">
        <w:rPr>
          <w:rFonts w:cs="Calibri"/>
          <w:lang w:val="en-GB"/>
        </w:rPr>
        <w:t>A</w:t>
      </w:r>
      <w:r w:rsidR="001C6A3E" w:rsidRPr="00F67CC4">
        <w:rPr>
          <w:rFonts w:cs="Calibri"/>
          <w:lang w:val="en-GB"/>
        </w:rPr>
        <w:t xml:space="preserve">ccounting information is an important tool to </w:t>
      </w:r>
      <w:r w:rsidR="00F753AF" w:rsidRPr="00F67CC4">
        <w:rPr>
          <w:rFonts w:cs="Calibri"/>
          <w:lang w:val="en-GB"/>
        </w:rPr>
        <w:t xml:space="preserve">support </w:t>
      </w:r>
      <w:r w:rsidR="007E2BA9" w:rsidRPr="00F67CC4">
        <w:rPr>
          <w:rFonts w:cs="Calibri"/>
          <w:lang w:val="en-GB"/>
        </w:rPr>
        <w:t>a proper</w:t>
      </w:r>
      <w:r w:rsidR="00F753AF" w:rsidRPr="00F67CC4">
        <w:rPr>
          <w:rFonts w:cs="Calibri"/>
          <w:lang w:val="en-GB"/>
        </w:rPr>
        <w:t xml:space="preserve"> valuation of stocks</w:t>
      </w:r>
      <w:r w:rsidR="00457F61">
        <w:rPr>
          <w:rFonts w:cs="Calibri"/>
          <w:lang w:val="en-GB"/>
        </w:rPr>
        <w:t xml:space="preserve"> (Healy and Wahlen</w:t>
      </w:r>
      <w:r w:rsidR="001C6A3E" w:rsidRPr="00F67CC4">
        <w:rPr>
          <w:rFonts w:cs="Calibri"/>
          <w:lang w:val="en-GB"/>
        </w:rPr>
        <w:t xml:space="preserve"> 1999</w:t>
      </w:r>
      <w:r w:rsidR="00470275" w:rsidRPr="00F67CC4">
        <w:rPr>
          <w:rFonts w:cs="Calibri"/>
          <w:lang w:val="en-GB"/>
        </w:rPr>
        <w:t>, p</w:t>
      </w:r>
      <w:r w:rsidR="00515E86">
        <w:rPr>
          <w:rFonts w:cs="Calibri"/>
          <w:lang w:val="en-GB"/>
        </w:rPr>
        <w:t xml:space="preserve"> </w:t>
      </w:r>
      <w:r w:rsidR="00470275" w:rsidRPr="00F67CC4">
        <w:rPr>
          <w:rFonts w:cs="Calibri"/>
          <w:lang w:val="en-GB"/>
        </w:rPr>
        <w:t>10</w:t>
      </w:r>
      <w:r w:rsidR="005F5E90" w:rsidRPr="00F67CC4">
        <w:rPr>
          <w:rFonts w:cs="Calibri"/>
          <w:lang w:val="en-GB"/>
        </w:rPr>
        <w:t>)</w:t>
      </w:r>
      <w:r w:rsidR="00F753AF" w:rsidRPr="00F67CC4">
        <w:rPr>
          <w:rFonts w:cs="Calibri"/>
          <w:lang w:val="en-GB"/>
        </w:rPr>
        <w:t>.</w:t>
      </w:r>
      <w:r w:rsidR="00C135F7" w:rsidRPr="00F67CC4">
        <w:rPr>
          <w:rFonts w:cs="Calibri"/>
          <w:lang w:val="en-GB"/>
        </w:rPr>
        <w:t xml:space="preserve"> </w:t>
      </w:r>
      <w:r w:rsidR="001C6A3E" w:rsidRPr="00F67CC4">
        <w:rPr>
          <w:rFonts w:cs="Calibri"/>
          <w:lang w:val="en-GB"/>
        </w:rPr>
        <w:t xml:space="preserve">Healy and Wahlen (1999) conclude after their review on </w:t>
      </w:r>
      <w:r w:rsidR="00515E86">
        <w:rPr>
          <w:rFonts w:cs="Calibri"/>
          <w:lang w:val="en-GB"/>
        </w:rPr>
        <w:t xml:space="preserve">the </w:t>
      </w:r>
      <w:r w:rsidR="001C6A3E" w:rsidRPr="00F67CC4">
        <w:rPr>
          <w:rFonts w:cs="Calibri"/>
          <w:lang w:val="en-GB"/>
        </w:rPr>
        <w:t xml:space="preserve">capital market expectation and </w:t>
      </w:r>
      <w:r w:rsidR="00515E86">
        <w:rPr>
          <w:rFonts w:cs="Calibri"/>
          <w:lang w:val="en-GB"/>
        </w:rPr>
        <w:t xml:space="preserve">the </w:t>
      </w:r>
      <w:r w:rsidR="001C6A3E" w:rsidRPr="00F67CC4">
        <w:rPr>
          <w:rFonts w:cs="Calibri"/>
          <w:lang w:val="en-GB"/>
        </w:rPr>
        <w:t xml:space="preserve">valuation that </w:t>
      </w:r>
      <w:r w:rsidR="007E2BA9" w:rsidRPr="00F67CC4">
        <w:rPr>
          <w:rFonts w:cs="Calibri"/>
          <w:lang w:val="en-GB"/>
        </w:rPr>
        <w:t>some firms appear</w:t>
      </w:r>
      <w:r w:rsidR="001C6A3E" w:rsidRPr="00F67CC4">
        <w:rPr>
          <w:rFonts w:cs="Calibri"/>
          <w:lang w:val="en-GB"/>
        </w:rPr>
        <w:t xml:space="preserve"> to manage earnings for stock market reasons.</w:t>
      </w:r>
      <w:r w:rsidR="006779C9" w:rsidRPr="00F67CC4">
        <w:rPr>
          <w:rFonts w:cs="Calibri"/>
          <w:lang w:val="en-GB"/>
        </w:rPr>
        <w:t xml:space="preserve"> This adjustment of accounting numbers to influence investor perceptions can </w:t>
      </w:r>
      <w:r w:rsidR="00515E86">
        <w:rPr>
          <w:rFonts w:cs="Calibri"/>
          <w:lang w:val="en-GB"/>
        </w:rPr>
        <w:t xml:space="preserve">in addition </w:t>
      </w:r>
      <w:r w:rsidR="006779C9" w:rsidRPr="00F67CC4">
        <w:rPr>
          <w:rFonts w:cs="Calibri"/>
          <w:lang w:val="en-GB"/>
        </w:rPr>
        <w:t>be used at take-overs, hostile or structured. An acquiring firm may overstate their performance to boost their share price and redu</w:t>
      </w:r>
      <w:r w:rsidR="00457F61">
        <w:rPr>
          <w:rFonts w:cs="Calibri"/>
          <w:lang w:val="en-GB"/>
        </w:rPr>
        <w:t>ce the share exchange ratio</w:t>
      </w:r>
      <w:r w:rsidR="006779C9" w:rsidRPr="00F67CC4">
        <w:rPr>
          <w:rFonts w:cs="Calibri"/>
          <w:lang w:val="en-GB"/>
        </w:rPr>
        <w:t xml:space="preserve"> (Palepu, Healy and Peek 2010, p</w:t>
      </w:r>
      <w:r w:rsidR="00515E86">
        <w:rPr>
          <w:rFonts w:cs="Calibri"/>
          <w:lang w:val="en-GB"/>
        </w:rPr>
        <w:t xml:space="preserve"> </w:t>
      </w:r>
      <w:r w:rsidR="006779C9" w:rsidRPr="00F67CC4">
        <w:rPr>
          <w:rFonts w:cs="Calibri"/>
          <w:lang w:val="en-GB"/>
        </w:rPr>
        <w:t>97)</w:t>
      </w:r>
      <w:r w:rsidR="00457F61">
        <w:rPr>
          <w:rFonts w:cs="Calibri"/>
          <w:lang w:val="en-GB"/>
        </w:rPr>
        <w:t>.</w:t>
      </w:r>
      <w:r w:rsidR="00940091" w:rsidRPr="00F67CC4">
        <w:rPr>
          <w:rFonts w:cs="Calibri"/>
          <w:lang w:val="en-GB"/>
        </w:rPr>
        <w:t xml:space="preserve"> </w:t>
      </w:r>
    </w:p>
    <w:p w:rsidR="00644FF3" w:rsidRPr="00F67CC4" w:rsidRDefault="009347D7" w:rsidP="00506870">
      <w:pPr>
        <w:spacing w:line="360" w:lineRule="auto"/>
        <w:rPr>
          <w:rFonts w:cs="Calibri"/>
          <w:lang w:val="en-GB"/>
        </w:rPr>
      </w:pPr>
      <w:r w:rsidRPr="00F67CC4">
        <w:rPr>
          <w:rFonts w:cs="Calibri"/>
          <w:lang w:val="en-GB"/>
        </w:rPr>
        <w:t>The second incentive provided by Healy and Wahlen (1999)</w:t>
      </w:r>
      <w:r w:rsidR="001C6A3E" w:rsidRPr="00F67CC4">
        <w:rPr>
          <w:rFonts w:cs="Calibri"/>
          <w:lang w:val="en-GB"/>
        </w:rPr>
        <w:t xml:space="preserve"> is about contracts written in terms of accounting numbers. In order to align the incentives of </w:t>
      </w:r>
      <w:r w:rsidR="00515E86">
        <w:rPr>
          <w:rFonts w:cs="Calibri"/>
          <w:lang w:val="en-GB"/>
        </w:rPr>
        <w:t xml:space="preserve">the </w:t>
      </w:r>
      <w:r w:rsidR="001C6A3E" w:rsidRPr="00F67CC4">
        <w:rPr>
          <w:rFonts w:cs="Calibri"/>
          <w:lang w:val="en-GB"/>
        </w:rPr>
        <w:t xml:space="preserve">management and </w:t>
      </w:r>
      <w:r w:rsidR="00515E86">
        <w:rPr>
          <w:rFonts w:cs="Calibri"/>
          <w:lang w:val="en-GB"/>
        </w:rPr>
        <w:t xml:space="preserve">of the </w:t>
      </w:r>
      <w:r w:rsidR="001C6A3E" w:rsidRPr="00F67CC4">
        <w:rPr>
          <w:rFonts w:cs="Calibri"/>
          <w:lang w:val="en-GB"/>
        </w:rPr>
        <w:t xml:space="preserve">external stakeholders, management </w:t>
      </w:r>
      <w:r w:rsidR="0001430D" w:rsidRPr="00F67CC4">
        <w:rPr>
          <w:rFonts w:cs="Calibri"/>
          <w:lang w:val="en-GB"/>
        </w:rPr>
        <w:t>compensation contracts are used</w:t>
      </w:r>
      <w:r w:rsidR="00CE7B01" w:rsidRPr="00F67CC4">
        <w:rPr>
          <w:rFonts w:cs="Calibri"/>
          <w:lang w:val="en-GB"/>
        </w:rPr>
        <w:t xml:space="preserve"> (Healy and Wahlen</w:t>
      </w:r>
      <w:r w:rsidR="001C6A3E" w:rsidRPr="00F67CC4">
        <w:rPr>
          <w:rFonts w:cs="Calibri"/>
          <w:lang w:val="en-GB"/>
        </w:rPr>
        <w:t xml:space="preserve"> 1999</w:t>
      </w:r>
      <w:r w:rsidR="00CE7B01" w:rsidRPr="00F67CC4">
        <w:rPr>
          <w:rFonts w:cs="Calibri"/>
          <w:lang w:val="en-GB"/>
        </w:rPr>
        <w:t>,</w:t>
      </w:r>
      <w:r w:rsidR="001C6A3E" w:rsidRPr="00F67CC4">
        <w:rPr>
          <w:rFonts w:cs="Calibri"/>
          <w:lang w:val="en-GB"/>
        </w:rPr>
        <w:t xml:space="preserve"> p</w:t>
      </w:r>
      <w:r w:rsidR="00515E86">
        <w:rPr>
          <w:rFonts w:cs="Calibri"/>
          <w:lang w:val="en-GB"/>
        </w:rPr>
        <w:t xml:space="preserve"> </w:t>
      </w:r>
      <w:r w:rsidR="001C6A3E" w:rsidRPr="00F67CC4">
        <w:rPr>
          <w:rFonts w:cs="Calibri"/>
          <w:lang w:val="en-GB"/>
        </w:rPr>
        <w:t>375)</w:t>
      </w:r>
      <w:r w:rsidR="0001430D" w:rsidRPr="00F67CC4">
        <w:rPr>
          <w:rFonts w:cs="Calibri"/>
          <w:lang w:val="en-GB"/>
        </w:rPr>
        <w:t>.</w:t>
      </w:r>
      <w:r w:rsidR="001C6A3E" w:rsidRPr="00F67CC4">
        <w:rPr>
          <w:rFonts w:cs="Calibri"/>
          <w:lang w:val="en-GB"/>
        </w:rPr>
        <w:t xml:space="preserve"> Although these contracts should align the different interests, Healy and Wahlen (1999) find evidence </w:t>
      </w:r>
      <w:r w:rsidR="005F534D">
        <w:rPr>
          <w:rFonts w:cs="Calibri"/>
          <w:lang w:val="en-GB"/>
        </w:rPr>
        <w:t xml:space="preserve">for using accounting judgement by managers to increase </w:t>
      </w:r>
      <w:r w:rsidR="00515E86">
        <w:rPr>
          <w:rFonts w:cs="Calibri"/>
          <w:lang w:val="en-GB"/>
        </w:rPr>
        <w:t xml:space="preserve">the </w:t>
      </w:r>
      <w:r w:rsidR="005F534D">
        <w:rPr>
          <w:rFonts w:cs="Calibri"/>
          <w:lang w:val="en-GB"/>
        </w:rPr>
        <w:t xml:space="preserve">earnings-based bonus awards. </w:t>
      </w:r>
      <w:r w:rsidR="006779C9" w:rsidRPr="00F67CC4">
        <w:rPr>
          <w:rFonts w:cs="Calibri"/>
          <w:lang w:val="en-GB"/>
        </w:rPr>
        <w:t>Next to managers’ contracts written in accounting numbers can debt covenants and the contractual obligations in these covenants be an incentive for managers to manage</w:t>
      </w:r>
      <w:r w:rsidR="00515E86">
        <w:rPr>
          <w:rFonts w:cs="Calibri"/>
          <w:lang w:val="en-GB"/>
        </w:rPr>
        <w:t xml:space="preserve"> the published</w:t>
      </w:r>
      <w:r w:rsidR="006779C9" w:rsidRPr="00F67CC4">
        <w:rPr>
          <w:rFonts w:cs="Calibri"/>
          <w:lang w:val="en-GB"/>
        </w:rPr>
        <w:t xml:space="preserve"> earnings. When managers are close to violating</w:t>
      </w:r>
      <w:r w:rsidR="00515E86">
        <w:rPr>
          <w:rFonts w:cs="Calibri"/>
          <w:lang w:val="en-GB"/>
        </w:rPr>
        <w:t xml:space="preserve"> the</w:t>
      </w:r>
      <w:r w:rsidR="006779C9" w:rsidRPr="00F67CC4">
        <w:rPr>
          <w:rFonts w:cs="Calibri"/>
          <w:lang w:val="en-GB"/>
        </w:rPr>
        <w:t xml:space="preserve"> debt covenants, they have an incentive to select accounting policies and estimates to reduce the pr</w:t>
      </w:r>
      <w:r w:rsidR="00457F61">
        <w:rPr>
          <w:rFonts w:cs="Calibri"/>
          <w:lang w:val="en-GB"/>
        </w:rPr>
        <w:t>obability of covenant violation</w:t>
      </w:r>
      <w:r w:rsidR="006779C9" w:rsidRPr="00F67CC4">
        <w:rPr>
          <w:rFonts w:cs="Calibri"/>
          <w:lang w:val="en-GB"/>
        </w:rPr>
        <w:t xml:space="preserve"> (Palepu, Healy and Peek 2010, p</w:t>
      </w:r>
      <w:r w:rsidR="00515E86">
        <w:rPr>
          <w:rFonts w:cs="Calibri"/>
          <w:lang w:val="en-GB"/>
        </w:rPr>
        <w:t xml:space="preserve"> </w:t>
      </w:r>
      <w:r w:rsidR="006779C9" w:rsidRPr="00F67CC4">
        <w:rPr>
          <w:rFonts w:cs="Calibri"/>
          <w:lang w:val="en-GB"/>
        </w:rPr>
        <w:t>97)</w:t>
      </w:r>
      <w:r w:rsidR="00457F61">
        <w:rPr>
          <w:rFonts w:cs="Calibri"/>
          <w:lang w:val="en-GB"/>
        </w:rPr>
        <w:t>.</w:t>
      </w:r>
      <w:r w:rsidR="00644FF3" w:rsidRPr="00F67CC4">
        <w:rPr>
          <w:rFonts w:cs="Calibri"/>
          <w:lang w:val="en-GB"/>
        </w:rPr>
        <w:t xml:space="preserve"> Focussing on accounting numbers, managers </w:t>
      </w:r>
      <w:r w:rsidR="00515E86">
        <w:rPr>
          <w:rFonts w:cs="Calibri"/>
          <w:lang w:val="en-GB"/>
        </w:rPr>
        <w:t>in addition may</w:t>
      </w:r>
      <w:r w:rsidR="00644FF3" w:rsidRPr="00F67CC4">
        <w:rPr>
          <w:rFonts w:cs="Calibri"/>
          <w:lang w:val="en-GB"/>
        </w:rPr>
        <w:t xml:space="preserve"> choose reporting </w:t>
      </w:r>
      <w:r w:rsidR="00644FF3" w:rsidRPr="00F67CC4">
        <w:rPr>
          <w:rFonts w:cs="Calibri"/>
          <w:lang w:val="en-GB"/>
        </w:rPr>
        <w:lastRenderedPageBreak/>
        <w:t xml:space="preserve">methods considering tax payments. </w:t>
      </w:r>
      <w:r w:rsidR="00515E86">
        <w:rPr>
          <w:rFonts w:cs="Calibri"/>
          <w:lang w:val="en-GB"/>
        </w:rPr>
        <w:t>In some countries a direct</w:t>
      </w:r>
      <w:r w:rsidR="00940091" w:rsidRPr="00F67CC4">
        <w:rPr>
          <w:rFonts w:cs="Calibri"/>
          <w:lang w:val="en-GB"/>
        </w:rPr>
        <w:t xml:space="preserve"> link </w:t>
      </w:r>
      <w:r w:rsidR="00515E86">
        <w:rPr>
          <w:rFonts w:cs="Calibri"/>
          <w:lang w:val="en-GB"/>
        </w:rPr>
        <w:t xml:space="preserve">exists </w:t>
      </w:r>
      <w:r w:rsidR="00940091" w:rsidRPr="00F67CC4">
        <w:rPr>
          <w:rFonts w:cs="Calibri"/>
          <w:lang w:val="en-GB"/>
        </w:rPr>
        <w:t xml:space="preserve">between </w:t>
      </w:r>
      <w:r w:rsidR="00515E86">
        <w:rPr>
          <w:rFonts w:cs="Calibri"/>
          <w:lang w:val="en-GB"/>
        </w:rPr>
        <w:t xml:space="preserve">the </w:t>
      </w:r>
      <w:r w:rsidR="00940091" w:rsidRPr="00F67CC4">
        <w:rPr>
          <w:rFonts w:cs="Calibri"/>
          <w:lang w:val="en-GB"/>
        </w:rPr>
        <w:t xml:space="preserve">financial reporting and </w:t>
      </w:r>
      <w:r w:rsidR="00515E86">
        <w:rPr>
          <w:rFonts w:cs="Calibri"/>
          <w:lang w:val="en-GB"/>
        </w:rPr>
        <w:t xml:space="preserve">the </w:t>
      </w:r>
      <w:r w:rsidR="00940091" w:rsidRPr="00F67CC4">
        <w:rPr>
          <w:rFonts w:cs="Calibri"/>
          <w:lang w:val="en-GB"/>
        </w:rPr>
        <w:t>tax reporting which creates incentives to forgo tax reduction in</w:t>
      </w:r>
      <w:r w:rsidR="00457F61">
        <w:rPr>
          <w:rFonts w:cs="Calibri"/>
          <w:lang w:val="en-GB"/>
        </w:rPr>
        <w:t xml:space="preserve"> order to report higher profits</w:t>
      </w:r>
      <w:r w:rsidR="00940091" w:rsidRPr="00F67CC4">
        <w:rPr>
          <w:rFonts w:cs="Calibri"/>
          <w:lang w:val="en-GB"/>
        </w:rPr>
        <w:t xml:space="preserve"> (Palepu, Healy and Peek 2010, p97)</w:t>
      </w:r>
      <w:r w:rsidR="00457F61">
        <w:rPr>
          <w:rFonts w:cs="Calibri"/>
          <w:lang w:val="en-GB"/>
        </w:rPr>
        <w:t>.</w:t>
      </w:r>
      <w:r w:rsidR="00644FF3" w:rsidRPr="00F67CC4">
        <w:rPr>
          <w:rFonts w:cs="Calibri"/>
          <w:lang w:val="en-GB"/>
        </w:rPr>
        <w:t xml:space="preserve"> </w:t>
      </w:r>
    </w:p>
    <w:p w:rsidR="001C6A3E" w:rsidRPr="00F67CC4" w:rsidRDefault="00B522A8" w:rsidP="00506870">
      <w:pPr>
        <w:spacing w:line="360" w:lineRule="auto"/>
        <w:rPr>
          <w:rFonts w:cs="Calibri"/>
          <w:lang w:val="en-GB"/>
        </w:rPr>
      </w:pPr>
      <w:r w:rsidRPr="00F67CC4">
        <w:rPr>
          <w:rFonts w:cs="Calibri"/>
          <w:lang w:val="en-GB"/>
        </w:rPr>
        <w:t xml:space="preserve">The third </w:t>
      </w:r>
      <w:r w:rsidR="001C6A3E" w:rsidRPr="00F67CC4">
        <w:rPr>
          <w:rFonts w:cs="Calibri"/>
          <w:lang w:val="en-GB"/>
        </w:rPr>
        <w:t xml:space="preserve">incentive </w:t>
      </w:r>
      <w:r w:rsidR="00515E86">
        <w:rPr>
          <w:rFonts w:cs="Calibri"/>
          <w:lang w:val="en-GB"/>
        </w:rPr>
        <w:t>communicated</w:t>
      </w:r>
      <w:r w:rsidR="001C6A3E" w:rsidRPr="00F67CC4">
        <w:rPr>
          <w:rFonts w:cs="Calibri"/>
          <w:lang w:val="en-GB"/>
        </w:rPr>
        <w:t xml:space="preserve"> by Healy and Wahlen (1999) is about</w:t>
      </w:r>
      <w:r w:rsidR="00515E86">
        <w:rPr>
          <w:rFonts w:cs="Calibri"/>
          <w:lang w:val="en-GB"/>
        </w:rPr>
        <w:t xml:space="preserve"> the</w:t>
      </w:r>
      <w:r w:rsidR="001C6A3E" w:rsidRPr="00F67CC4">
        <w:rPr>
          <w:rFonts w:cs="Calibri"/>
          <w:lang w:val="en-GB"/>
        </w:rPr>
        <w:t xml:space="preserve"> industry-specific and </w:t>
      </w:r>
      <w:r w:rsidR="00515E86">
        <w:rPr>
          <w:rFonts w:cs="Calibri"/>
          <w:lang w:val="en-GB"/>
        </w:rPr>
        <w:t xml:space="preserve">the </w:t>
      </w:r>
      <w:r w:rsidR="001C6A3E" w:rsidRPr="00F67CC4">
        <w:rPr>
          <w:rFonts w:cs="Calibri"/>
          <w:lang w:val="en-GB"/>
        </w:rPr>
        <w:t>anti-trust</w:t>
      </w:r>
      <w:r w:rsidR="007E2BA9" w:rsidRPr="00F67CC4">
        <w:rPr>
          <w:rFonts w:cs="Calibri"/>
          <w:lang w:val="en-GB"/>
        </w:rPr>
        <w:t xml:space="preserve"> regulation</w:t>
      </w:r>
      <w:r w:rsidR="00457F61">
        <w:rPr>
          <w:rFonts w:cs="Calibri"/>
          <w:lang w:val="en-GB"/>
        </w:rPr>
        <w:t>s</w:t>
      </w:r>
      <w:r w:rsidR="001C6A3E" w:rsidRPr="00F67CC4">
        <w:rPr>
          <w:rFonts w:cs="Calibri"/>
          <w:lang w:val="en-GB"/>
        </w:rPr>
        <w:t xml:space="preserve">. Examples of industry-specific regulations are capital adequacy requirements of banks and </w:t>
      </w:r>
      <w:r w:rsidR="007E2BA9" w:rsidRPr="00F67CC4">
        <w:rPr>
          <w:rFonts w:cs="Calibri"/>
          <w:lang w:val="en-GB"/>
        </w:rPr>
        <w:t xml:space="preserve">the requirement of meeting conditions of financial health by insurers. </w:t>
      </w:r>
      <w:r w:rsidR="001C6A3E" w:rsidRPr="00F67CC4">
        <w:rPr>
          <w:rFonts w:cs="Calibri"/>
          <w:lang w:val="en-GB"/>
        </w:rPr>
        <w:t>Because these regulations commonly are stated in accounting numbers, incentives are created to manage the inco</w:t>
      </w:r>
      <w:r w:rsidR="007E2BA9" w:rsidRPr="00F67CC4">
        <w:rPr>
          <w:rFonts w:cs="Calibri"/>
          <w:lang w:val="en-GB"/>
        </w:rPr>
        <w:t>me statement- and</w:t>
      </w:r>
      <w:r w:rsidR="00515E86">
        <w:rPr>
          <w:rFonts w:cs="Calibri"/>
          <w:lang w:val="en-GB"/>
        </w:rPr>
        <w:t xml:space="preserve"> the</w:t>
      </w:r>
      <w:r w:rsidR="007E2BA9" w:rsidRPr="00F67CC4">
        <w:rPr>
          <w:rFonts w:cs="Calibri"/>
          <w:lang w:val="en-GB"/>
        </w:rPr>
        <w:t xml:space="preserve"> balance sheet </w:t>
      </w:r>
      <w:r w:rsidR="00457F61">
        <w:rPr>
          <w:rFonts w:cs="Calibri"/>
          <w:lang w:val="en-GB"/>
        </w:rPr>
        <w:t>variables of interest</w:t>
      </w:r>
      <w:r w:rsidR="001C6A3E" w:rsidRPr="00F67CC4">
        <w:rPr>
          <w:rFonts w:cs="Calibri"/>
          <w:lang w:val="en-GB"/>
        </w:rPr>
        <w:t xml:space="preserve"> (Healy and Wahlen 1999</w:t>
      </w:r>
      <w:r w:rsidR="00CE7B01" w:rsidRPr="00F67CC4">
        <w:rPr>
          <w:rFonts w:cs="Calibri"/>
          <w:lang w:val="en-GB"/>
        </w:rPr>
        <w:t>, p</w:t>
      </w:r>
      <w:r w:rsidR="00515E86">
        <w:rPr>
          <w:rFonts w:cs="Calibri"/>
          <w:lang w:val="en-GB"/>
        </w:rPr>
        <w:t xml:space="preserve"> </w:t>
      </w:r>
      <w:r w:rsidR="00CE7B01" w:rsidRPr="00F67CC4">
        <w:rPr>
          <w:rFonts w:cs="Calibri"/>
          <w:lang w:val="en-GB"/>
        </w:rPr>
        <w:t>10</w:t>
      </w:r>
      <w:r w:rsidR="001C6A3E" w:rsidRPr="00F67CC4">
        <w:rPr>
          <w:rFonts w:cs="Calibri"/>
          <w:lang w:val="en-GB"/>
        </w:rPr>
        <w:t>)</w:t>
      </w:r>
      <w:r w:rsidR="00457F61">
        <w:rPr>
          <w:rFonts w:cs="Calibri"/>
          <w:lang w:val="en-GB"/>
        </w:rPr>
        <w:t>.</w:t>
      </w:r>
      <w:r w:rsidR="001C6A3E" w:rsidRPr="00F67CC4">
        <w:rPr>
          <w:rFonts w:cs="Calibri"/>
          <w:bCs/>
          <w:lang w:val="en-GB"/>
        </w:rPr>
        <w:t xml:space="preserve"> </w:t>
      </w:r>
      <w:r w:rsidR="001C6A3E" w:rsidRPr="00F67CC4">
        <w:rPr>
          <w:rFonts w:cs="Calibri"/>
          <w:lang w:val="en-GB"/>
        </w:rPr>
        <w:t xml:space="preserve">Regulators like the Antitrust Division and the Federal Trade Commission (FTC) institute commit actions against corporations whose shares have earned </w:t>
      </w:r>
      <w:r w:rsidR="00457F61">
        <w:rPr>
          <w:rFonts w:cs="Calibri"/>
          <w:lang w:val="en-GB"/>
        </w:rPr>
        <w:t xml:space="preserve">an </w:t>
      </w:r>
      <w:r w:rsidR="001C6A3E" w:rsidRPr="00F67CC4">
        <w:rPr>
          <w:rFonts w:cs="Calibri"/>
          <w:lang w:val="en-GB"/>
        </w:rPr>
        <w:t xml:space="preserve">abnormal rate of return. </w:t>
      </w:r>
      <w:r w:rsidR="00295CF9" w:rsidRPr="00F67CC4">
        <w:rPr>
          <w:rFonts w:cs="Calibri"/>
          <w:lang w:val="en-GB"/>
        </w:rPr>
        <w:t>Next to regulations that create i</w:t>
      </w:r>
      <w:r w:rsidR="00457F61">
        <w:rPr>
          <w:rFonts w:cs="Calibri"/>
          <w:lang w:val="en-GB"/>
        </w:rPr>
        <w:t>ncentive for managers,</w:t>
      </w:r>
      <w:r w:rsidR="00295CF9" w:rsidRPr="00F67CC4">
        <w:rPr>
          <w:rFonts w:cs="Calibri"/>
          <w:lang w:val="en-GB"/>
        </w:rPr>
        <w:t xml:space="preserve"> the industry itself</w:t>
      </w:r>
      <w:r w:rsidR="00457F61">
        <w:rPr>
          <w:rFonts w:cs="Calibri"/>
          <w:lang w:val="en-GB"/>
        </w:rPr>
        <w:t xml:space="preserve"> </w:t>
      </w:r>
      <w:r w:rsidR="00515E86">
        <w:rPr>
          <w:rFonts w:cs="Calibri"/>
          <w:lang w:val="en-GB"/>
        </w:rPr>
        <w:t>in addition does</w:t>
      </w:r>
      <w:r w:rsidR="00295CF9" w:rsidRPr="00F67CC4">
        <w:rPr>
          <w:rFonts w:cs="Calibri"/>
          <w:lang w:val="en-GB"/>
        </w:rPr>
        <w:t xml:space="preserve"> have its infl</w:t>
      </w:r>
      <w:r w:rsidR="008E2309">
        <w:rPr>
          <w:rFonts w:cs="Calibri"/>
          <w:lang w:val="en-GB"/>
        </w:rPr>
        <w:t xml:space="preserve">uence on </w:t>
      </w:r>
      <w:r w:rsidR="00515E86">
        <w:rPr>
          <w:rFonts w:cs="Calibri"/>
          <w:lang w:val="en-GB"/>
        </w:rPr>
        <w:t xml:space="preserve">the </w:t>
      </w:r>
      <w:r w:rsidR="008E2309">
        <w:rPr>
          <w:rFonts w:cs="Calibri"/>
          <w:lang w:val="en-GB"/>
        </w:rPr>
        <w:t>reporting information; f</w:t>
      </w:r>
      <w:r w:rsidR="00295CF9" w:rsidRPr="00F67CC4">
        <w:rPr>
          <w:rFonts w:cs="Calibri"/>
          <w:lang w:val="en-GB"/>
        </w:rPr>
        <w:t>irms may not disclose information t</w:t>
      </w:r>
      <w:r w:rsidR="00457F61">
        <w:rPr>
          <w:rFonts w:cs="Calibri"/>
          <w:lang w:val="en-GB"/>
        </w:rPr>
        <w:t>hat is valuable for competitors</w:t>
      </w:r>
      <w:r w:rsidR="00295CF9" w:rsidRPr="00F67CC4">
        <w:rPr>
          <w:rFonts w:cs="Calibri"/>
          <w:lang w:val="en-GB"/>
        </w:rPr>
        <w:t xml:space="preserve"> (Palepu, Healy and Peek 2010, p</w:t>
      </w:r>
      <w:r w:rsidR="00515E86">
        <w:rPr>
          <w:rFonts w:cs="Calibri"/>
          <w:lang w:val="en-GB"/>
        </w:rPr>
        <w:t xml:space="preserve"> </w:t>
      </w:r>
      <w:r w:rsidR="00295CF9" w:rsidRPr="00F67CC4">
        <w:rPr>
          <w:rFonts w:cs="Calibri"/>
          <w:lang w:val="en-GB"/>
        </w:rPr>
        <w:t>98)</w:t>
      </w:r>
      <w:r w:rsidR="00457F61">
        <w:rPr>
          <w:rFonts w:cs="Calibri"/>
          <w:lang w:val="en-GB"/>
        </w:rPr>
        <w:t>.</w:t>
      </w:r>
    </w:p>
    <w:p w:rsidR="001C6A3E" w:rsidRPr="00F67CC4" w:rsidRDefault="006926AE" w:rsidP="0095592B">
      <w:pPr>
        <w:spacing w:line="360" w:lineRule="auto"/>
        <w:rPr>
          <w:rFonts w:cs="Calibri"/>
          <w:lang w:val="en-GB"/>
        </w:rPr>
      </w:pPr>
      <w:r w:rsidRPr="00F67CC4">
        <w:rPr>
          <w:rFonts w:cs="Calibri"/>
          <w:lang w:val="en-GB"/>
        </w:rPr>
        <w:t xml:space="preserve">Next to </w:t>
      </w:r>
      <w:r w:rsidR="0035447E" w:rsidRPr="00F67CC4">
        <w:rPr>
          <w:rFonts w:cs="Calibri"/>
          <w:lang w:val="en-GB"/>
        </w:rPr>
        <w:t xml:space="preserve">the </w:t>
      </w:r>
      <w:r w:rsidRPr="00F67CC4">
        <w:rPr>
          <w:rFonts w:cs="Calibri"/>
          <w:lang w:val="en-GB"/>
        </w:rPr>
        <w:t xml:space="preserve">three incentives </w:t>
      </w:r>
      <w:r w:rsidR="00515E86">
        <w:rPr>
          <w:rFonts w:cs="Calibri"/>
          <w:lang w:val="en-GB"/>
        </w:rPr>
        <w:t>communicated</w:t>
      </w:r>
      <w:r w:rsidR="001C6A3E" w:rsidRPr="00F67CC4">
        <w:rPr>
          <w:rFonts w:cs="Calibri"/>
          <w:lang w:val="en-GB"/>
        </w:rPr>
        <w:t xml:space="preserve"> by Healy and Wahlen (1999), Heemskerk and van </w:t>
      </w:r>
      <w:r w:rsidR="00457F61">
        <w:rPr>
          <w:rFonts w:cs="Calibri"/>
          <w:lang w:val="en-GB"/>
        </w:rPr>
        <w:t>der Tas (2006) provide a fourth;</w:t>
      </w:r>
      <w:r w:rsidR="001C6A3E" w:rsidRPr="00F67CC4">
        <w:rPr>
          <w:rFonts w:cs="Calibri"/>
          <w:lang w:val="en-GB"/>
        </w:rPr>
        <w:t xml:space="preserve"> the signalling and inside information incentive. The efficiency perspective of </w:t>
      </w:r>
      <w:r w:rsidR="00B07EBF" w:rsidRPr="00F67CC4">
        <w:rPr>
          <w:rFonts w:cs="Calibri"/>
          <w:lang w:val="en-GB"/>
        </w:rPr>
        <w:t xml:space="preserve">the </w:t>
      </w:r>
      <w:r w:rsidR="001C6A3E" w:rsidRPr="00F67CC4">
        <w:rPr>
          <w:rFonts w:cs="Calibri"/>
          <w:lang w:val="en-GB"/>
        </w:rPr>
        <w:t xml:space="preserve">Positive Accounting Theory clarifies that choices are often explained </w:t>
      </w:r>
      <w:r w:rsidR="00515E86">
        <w:rPr>
          <w:rFonts w:cs="Calibri"/>
          <w:lang w:val="en-GB"/>
        </w:rPr>
        <w:t>based on the fact that</w:t>
      </w:r>
      <w:r w:rsidR="001C6A3E" w:rsidRPr="00F67CC4">
        <w:rPr>
          <w:rFonts w:cs="Calibri"/>
          <w:lang w:val="en-GB"/>
        </w:rPr>
        <w:t xml:space="preserve"> these methods best reflect the underlying financial performance of </w:t>
      </w:r>
      <w:r w:rsidR="00457F61">
        <w:rPr>
          <w:rFonts w:cs="Calibri"/>
          <w:lang w:val="en-GB"/>
        </w:rPr>
        <w:t>the entity</w:t>
      </w:r>
      <w:r w:rsidR="00197C76" w:rsidRPr="00F67CC4">
        <w:rPr>
          <w:rFonts w:cs="Calibri"/>
          <w:lang w:val="en-GB"/>
        </w:rPr>
        <w:t xml:space="preserve"> (Deegan and Unerman</w:t>
      </w:r>
      <w:r w:rsidR="001C6A3E" w:rsidRPr="00F67CC4">
        <w:rPr>
          <w:rFonts w:cs="Calibri"/>
          <w:lang w:val="en-GB"/>
        </w:rPr>
        <w:t xml:space="preserve"> 2011</w:t>
      </w:r>
      <w:r w:rsidR="00197C76" w:rsidRPr="00F67CC4">
        <w:rPr>
          <w:rFonts w:cs="Calibri"/>
          <w:lang w:val="en-GB"/>
        </w:rPr>
        <w:t>,</w:t>
      </w:r>
      <w:r w:rsidR="001C6A3E" w:rsidRPr="00F67CC4">
        <w:rPr>
          <w:rFonts w:cs="Calibri"/>
          <w:lang w:val="en-GB"/>
        </w:rPr>
        <w:t xml:space="preserve"> p</w:t>
      </w:r>
      <w:r w:rsidR="00515E86">
        <w:rPr>
          <w:rFonts w:cs="Calibri"/>
          <w:lang w:val="en-GB"/>
        </w:rPr>
        <w:t xml:space="preserve"> </w:t>
      </w:r>
      <w:r w:rsidR="001C6A3E" w:rsidRPr="00F67CC4">
        <w:rPr>
          <w:rFonts w:cs="Calibri"/>
          <w:lang w:val="en-GB"/>
        </w:rPr>
        <w:t>273)</w:t>
      </w:r>
      <w:r w:rsidR="00457F61">
        <w:rPr>
          <w:rFonts w:cs="Calibri"/>
          <w:lang w:val="en-GB"/>
        </w:rPr>
        <w:t>.</w:t>
      </w:r>
      <w:r w:rsidR="00295CF9" w:rsidRPr="00F67CC4">
        <w:rPr>
          <w:rFonts w:cs="Calibri"/>
          <w:lang w:val="en-GB"/>
        </w:rPr>
        <w:t xml:space="preserve"> This signalling incentive </w:t>
      </w:r>
      <w:r w:rsidR="00515E86">
        <w:rPr>
          <w:rFonts w:cs="Calibri"/>
          <w:lang w:val="en-GB"/>
        </w:rPr>
        <w:t>in addition can</w:t>
      </w:r>
      <w:r w:rsidR="00295CF9" w:rsidRPr="00F67CC4">
        <w:rPr>
          <w:rFonts w:cs="Calibri"/>
          <w:lang w:val="en-GB"/>
        </w:rPr>
        <w:t xml:space="preserve"> be used to reassure stakeholders, like </w:t>
      </w:r>
      <w:r w:rsidR="005F534D" w:rsidRPr="00F67CC4">
        <w:rPr>
          <w:rFonts w:cs="Calibri"/>
          <w:lang w:val="en-GB"/>
        </w:rPr>
        <w:t>labour</w:t>
      </w:r>
      <w:r w:rsidR="00295CF9" w:rsidRPr="00F67CC4">
        <w:rPr>
          <w:rFonts w:cs="Calibri"/>
          <w:lang w:val="en-GB"/>
        </w:rPr>
        <w:t xml:space="preserve"> unions, that the compa</w:t>
      </w:r>
      <w:r w:rsidR="00457F61">
        <w:rPr>
          <w:rFonts w:cs="Calibri"/>
          <w:lang w:val="en-GB"/>
        </w:rPr>
        <w:t>ny is healthy by showing profit</w:t>
      </w:r>
      <w:r w:rsidR="00295CF9" w:rsidRPr="00F67CC4">
        <w:rPr>
          <w:rFonts w:cs="Calibri"/>
          <w:lang w:val="en-GB"/>
        </w:rPr>
        <w:t xml:space="preserve"> (Palepu, Healy and Peek 2010, p</w:t>
      </w:r>
      <w:r w:rsidR="008A4001">
        <w:rPr>
          <w:rFonts w:cs="Calibri"/>
          <w:lang w:val="en-GB"/>
        </w:rPr>
        <w:t xml:space="preserve"> </w:t>
      </w:r>
      <w:r w:rsidR="00295CF9" w:rsidRPr="00F67CC4">
        <w:rPr>
          <w:rFonts w:cs="Calibri"/>
          <w:lang w:val="en-GB"/>
        </w:rPr>
        <w:t>98)</w:t>
      </w:r>
      <w:r w:rsidR="00457F61">
        <w:rPr>
          <w:rFonts w:cs="Calibri"/>
          <w:lang w:val="en-GB"/>
        </w:rPr>
        <w:t>.</w:t>
      </w:r>
    </w:p>
    <w:p w:rsidR="00457F61" w:rsidRDefault="0035447E" w:rsidP="00F74511">
      <w:pPr>
        <w:spacing w:line="360" w:lineRule="auto"/>
        <w:rPr>
          <w:rFonts w:cs="Calibri"/>
          <w:lang w:val="en-GB"/>
        </w:rPr>
      </w:pPr>
      <w:r w:rsidRPr="00F67CC4">
        <w:rPr>
          <w:rFonts w:cs="Calibri"/>
          <w:lang w:val="en-GB"/>
        </w:rPr>
        <w:t xml:space="preserve">Burgstahler and Dichev (1997) </w:t>
      </w:r>
      <w:r w:rsidR="00B07EBF" w:rsidRPr="00F67CC4">
        <w:rPr>
          <w:rFonts w:cs="Calibri"/>
          <w:lang w:val="en-GB"/>
        </w:rPr>
        <w:t>provide</w:t>
      </w:r>
      <w:r w:rsidR="0060094B" w:rsidRPr="00F67CC4">
        <w:rPr>
          <w:rFonts w:cs="Calibri"/>
          <w:lang w:val="en-GB"/>
        </w:rPr>
        <w:t xml:space="preserve"> two reasons that managers have for</w:t>
      </w:r>
      <w:r w:rsidRPr="00F67CC4">
        <w:rPr>
          <w:rFonts w:cs="Calibri"/>
          <w:lang w:val="en-GB"/>
        </w:rPr>
        <w:t xml:space="preserve"> using earnings management; </w:t>
      </w:r>
      <w:r w:rsidRPr="00F67CC4">
        <w:rPr>
          <w:rFonts w:cs="Calibri"/>
          <w:i/>
          <w:lang w:val="en-GB"/>
        </w:rPr>
        <w:t xml:space="preserve">“to decrease the costs imposed on the firm in transactions with stakeholders” </w:t>
      </w:r>
      <w:r w:rsidRPr="00F67CC4">
        <w:rPr>
          <w:rFonts w:cs="Calibri"/>
          <w:lang w:val="en-GB"/>
        </w:rPr>
        <w:t xml:space="preserve">and </w:t>
      </w:r>
      <w:r w:rsidRPr="00F67CC4">
        <w:rPr>
          <w:rFonts w:cs="Calibri"/>
          <w:i/>
          <w:lang w:val="en-GB"/>
        </w:rPr>
        <w:t>“an explanation based on the prospect theory, which postulates an aversion to absolute and relative losses”</w:t>
      </w:r>
      <w:r w:rsidRPr="00F67CC4">
        <w:rPr>
          <w:rFonts w:cs="Calibri"/>
          <w:lang w:val="en-GB"/>
        </w:rPr>
        <w:t xml:space="preserve"> (Burgstahler and Dichev 1997, p</w:t>
      </w:r>
      <w:r w:rsidR="009E7F71">
        <w:rPr>
          <w:rFonts w:cs="Calibri"/>
          <w:lang w:val="en-GB"/>
        </w:rPr>
        <w:t xml:space="preserve"> </w:t>
      </w:r>
      <w:r w:rsidRPr="00F67CC4">
        <w:rPr>
          <w:rFonts w:cs="Calibri"/>
          <w:lang w:val="en-GB"/>
        </w:rPr>
        <w:t>124).</w:t>
      </w:r>
      <w:r w:rsidR="00457F61">
        <w:rPr>
          <w:rFonts w:cs="Calibri"/>
          <w:lang w:val="en-GB"/>
        </w:rPr>
        <w:t xml:space="preserve"> These reasons provided by Burgstahler and Dichev (1997) might be a reason to </w:t>
      </w:r>
      <w:r w:rsidR="00B437F4">
        <w:rPr>
          <w:rFonts w:cs="Calibri"/>
          <w:lang w:val="en-GB"/>
        </w:rPr>
        <w:t xml:space="preserve">increase earnings with the </w:t>
      </w:r>
      <w:r w:rsidR="00457F61">
        <w:rPr>
          <w:rFonts w:cs="Calibri"/>
          <w:lang w:val="en-GB"/>
        </w:rPr>
        <w:t>use</w:t>
      </w:r>
      <w:r w:rsidR="00B437F4">
        <w:rPr>
          <w:rFonts w:cs="Calibri"/>
          <w:lang w:val="en-GB"/>
        </w:rPr>
        <w:t xml:space="preserve"> of</w:t>
      </w:r>
      <w:r w:rsidR="00457F61">
        <w:rPr>
          <w:rFonts w:cs="Calibri"/>
          <w:lang w:val="en-GB"/>
        </w:rPr>
        <w:t xml:space="preserve"> earnings management. When a company shows a positive financial position, losses are averted and the conditions of a loan </w:t>
      </w:r>
      <w:r w:rsidR="00B437F4">
        <w:rPr>
          <w:rFonts w:cs="Calibri"/>
          <w:lang w:val="en-GB"/>
        </w:rPr>
        <w:t>will probably be favourable compared to a bad financial situation.</w:t>
      </w:r>
    </w:p>
    <w:p w:rsidR="0035447E" w:rsidRPr="00F67CC4" w:rsidRDefault="001C6A3E" w:rsidP="00F74511">
      <w:pPr>
        <w:spacing w:line="360" w:lineRule="auto"/>
        <w:rPr>
          <w:rFonts w:cs="Calibri"/>
          <w:lang w:val="en-GB"/>
        </w:rPr>
      </w:pPr>
      <w:r w:rsidRPr="00F67CC4">
        <w:rPr>
          <w:rFonts w:cs="Calibri"/>
          <w:b/>
          <w:lang w:val="en-GB"/>
        </w:rPr>
        <w:t>3.2.4 Directions of earnings management</w:t>
      </w:r>
      <w:r w:rsidRPr="00F67CC4">
        <w:rPr>
          <w:rFonts w:cs="Calibri"/>
          <w:b/>
          <w:lang w:val="en-GB"/>
        </w:rPr>
        <w:br/>
      </w:r>
      <w:r w:rsidR="00B07EBF" w:rsidRPr="00F67CC4">
        <w:rPr>
          <w:rFonts w:cs="Calibri"/>
          <w:lang w:val="en-GB"/>
        </w:rPr>
        <w:t>Decreasing</w:t>
      </w:r>
      <w:r w:rsidRPr="00F67CC4">
        <w:rPr>
          <w:rFonts w:cs="Calibri"/>
          <w:lang w:val="en-GB"/>
        </w:rPr>
        <w:t>, smoothing or increasing the</w:t>
      </w:r>
      <w:r w:rsidR="009E7F71">
        <w:rPr>
          <w:rFonts w:cs="Calibri"/>
          <w:lang w:val="en-GB"/>
        </w:rPr>
        <w:t xml:space="preserve"> earnings; this i</w:t>
      </w:r>
      <w:r w:rsidRPr="00F67CC4">
        <w:rPr>
          <w:rFonts w:cs="Calibri"/>
          <w:lang w:val="en-GB"/>
        </w:rPr>
        <w:t>s all possible with the use of earnings management. The incentive of</w:t>
      </w:r>
      <w:r w:rsidR="00B07EBF" w:rsidRPr="00F67CC4">
        <w:rPr>
          <w:rFonts w:cs="Calibri"/>
          <w:lang w:val="en-GB"/>
        </w:rPr>
        <w:t xml:space="preserve"> a</w:t>
      </w:r>
      <w:r w:rsidRPr="00F67CC4">
        <w:rPr>
          <w:rFonts w:cs="Calibri"/>
          <w:lang w:val="en-GB"/>
        </w:rPr>
        <w:t xml:space="preserve"> manager determines </w:t>
      </w:r>
      <w:r w:rsidR="00B07EBF" w:rsidRPr="00F67CC4">
        <w:rPr>
          <w:rFonts w:cs="Calibri"/>
          <w:lang w:val="en-GB"/>
        </w:rPr>
        <w:t xml:space="preserve">in </w:t>
      </w:r>
      <w:r w:rsidRPr="00F67CC4">
        <w:rPr>
          <w:rFonts w:cs="Calibri"/>
          <w:lang w:val="en-GB"/>
        </w:rPr>
        <w:t>which direction the earnings are managed towards</w:t>
      </w:r>
      <w:r w:rsidR="0035447E" w:rsidRPr="00F67CC4">
        <w:rPr>
          <w:rFonts w:cs="Calibri"/>
          <w:lang w:val="en-GB"/>
        </w:rPr>
        <w:t>; achieving</w:t>
      </w:r>
      <w:r w:rsidRPr="00F67CC4">
        <w:rPr>
          <w:rFonts w:cs="Calibri"/>
          <w:lang w:val="en-GB"/>
        </w:rPr>
        <w:t xml:space="preserve"> a personal bonus </w:t>
      </w:r>
      <w:r w:rsidR="0035447E" w:rsidRPr="00F67CC4">
        <w:rPr>
          <w:rFonts w:cs="Calibri"/>
          <w:lang w:val="en-GB"/>
        </w:rPr>
        <w:t>by increasing the earnings or</w:t>
      </w:r>
      <w:r w:rsidRPr="00F67CC4">
        <w:rPr>
          <w:rFonts w:cs="Calibri"/>
          <w:lang w:val="en-GB"/>
        </w:rPr>
        <w:t xml:space="preserve"> decreas</w:t>
      </w:r>
      <w:r w:rsidR="0035447E" w:rsidRPr="00F67CC4">
        <w:rPr>
          <w:rFonts w:cs="Calibri"/>
          <w:lang w:val="en-GB"/>
        </w:rPr>
        <w:t>ing</w:t>
      </w:r>
      <w:r w:rsidRPr="00F67CC4">
        <w:rPr>
          <w:rFonts w:cs="Calibri"/>
          <w:lang w:val="en-GB"/>
        </w:rPr>
        <w:t xml:space="preserve"> the earnings to avoid an anti-trust investigation. Earnings management </w:t>
      </w:r>
      <w:r w:rsidR="009E7F71">
        <w:rPr>
          <w:rFonts w:cs="Calibri"/>
          <w:lang w:val="en-GB"/>
        </w:rPr>
        <w:t xml:space="preserve">in addition </w:t>
      </w:r>
      <w:r w:rsidRPr="00F67CC4">
        <w:rPr>
          <w:rFonts w:cs="Calibri"/>
          <w:lang w:val="en-GB"/>
        </w:rPr>
        <w:t xml:space="preserve">can be used to avoid or </w:t>
      </w:r>
      <w:r w:rsidR="009E7F71">
        <w:rPr>
          <w:rFonts w:cs="Calibri"/>
          <w:lang w:val="en-GB"/>
        </w:rPr>
        <w:t xml:space="preserve">to </w:t>
      </w:r>
      <w:r w:rsidRPr="00F67CC4">
        <w:rPr>
          <w:rFonts w:cs="Calibri"/>
          <w:lang w:val="en-GB"/>
        </w:rPr>
        <w:t>minimize earning decreases and losses</w:t>
      </w:r>
      <w:r w:rsidR="0060278D" w:rsidRPr="00F67CC4">
        <w:rPr>
          <w:rFonts w:cs="Calibri"/>
          <w:lang w:val="en-GB"/>
        </w:rPr>
        <w:t xml:space="preserve"> </w:t>
      </w:r>
      <w:r w:rsidR="00E3305C" w:rsidRPr="00F67CC4">
        <w:rPr>
          <w:rFonts w:cs="Calibri"/>
          <w:lang w:val="en-GB"/>
        </w:rPr>
        <w:t>(Burgstahler and Dichev 1997, p</w:t>
      </w:r>
      <w:r w:rsidR="009E7F71">
        <w:rPr>
          <w:rFonts w:cs="Calibri"/>
          <w:lang w:val="en-GB"/>
        </w:rPr>
        <w:t xml:space="preserve"> </w:t>
      </w:r>
      <w:r w:rsidR="00E3305C" w:rsidRPr="00F67CC4">
        <w:rPr>
          <w:rFonts w:cs="Calibri"/>
          <w:lang w:val="en-GB"/>
        </w:rPr>
        <w:t>100)</w:t>
      </w:r>
      <w:r w:rsidR="00473B44" w:rsidRPr="00F67CC4">
        <w:rPr>
          <w:rFonts w:cs="Calibri"/>
          <w:lang w:val="en-GB"/>
        </w:rPr>
        <w:t>.</w:t>
      </w:r>
    </w:p>
    <w:p w:rsidR="00B437F4" w:rsidRDefault="001C6A3E" w:rsidP="007B397A">
      <w:pPr>
        <w:spacing w:line="360" w:lineRule="auto"/>
        <w:rPr>
          <w:rFonts w:cs="Calibri"/>
          <w:lang w:val="en-GB"/>
        </w:rPr>
      </w:pPr>
      <w:r w:rsidRPr="00F67CC4">
        <w:rPr>
          <w:rFonts w:cs="Calibri"/>
          <w:lang w:val="en-GB"/>
        </w:rPr>
        <w:lastRenderedPageBreak/>
        <w:t xml:space="preserve">Scott (2008) </w:t>
      </w:r>
      <w:r w:rsidR="00B07EBF" w:rsidRPr="00F67CC4">
        <w:rPr>
          <w:rFonts w:cs="Calibri"/>
          <w:lang w:val="en-GB"/>
        </w:rPr>
        <w:t>provides</w:t>
      </w:r>
      <w:r w:rsidRPr="00F67CC4">
        <w:rPr>
          <w:rFonts w:cs="Calibri"/>
          <w:lang w:val="en-GB"/>
        </w:rPr>
        <w:t xml:space="preserve"> four patterns of</w:t>
      </w:r>
      <w:r w:rsidR="009E7F71">
        <w:rPr>
          <w:rFonts w:cs="Calibri"/>
          <w:lang w:val="en-GB"/>
        </w:rPr>
        <w:t xml:space="preserve"> the use of</w:t>
      </w:r>
      <w:r w:rsidRPr="00F67CC4">
        <w:rPr>
          <w:rFonts w:cs="Calibri"/>
          <w:lang w:val="en-GB"/>
        </w:rPr>
        <w:t xml:space="preserve"> earnings management</w:t>
      </w:r>
      <w:r w:rsidR="004D5028" w:rsidRPr="00F67CC4">
        <w:rPr>
          <w:rFonts w:cs="Calibri"/>
          <w:lang w:val="en-GB"/>
        </w:rPr>
        <w:t>:</w:t>
      </w:r>
      <w:r w:rsidRPr="00F67CC4">
        <w:rPr>
          <w:rFonts w:cs="Calibri"/>
          <w:lang w:val="en-GB"/>
        </w:rPr>
        <w:t xml:space="preserve"> inc</w:t>
      </w:r>
      <w:r w:rsidR="003500F5" w:rsidRPr="00F67CC4">
        <w:rPr>
          <w:rFonts w:cs="Calibri"/>
          <w:lang w:val="en-GB"/>
        </w:rPr>
        <w:t>ome minimization, maximizing,</w:t>
      </w:r>
      <w:r w:rsidRPr="00F67CC4">
        <w:rPr>
          <w:rFonts w:cs="Calibri"/>
          <w:lang w:val="en-GB"/>
        </w:rPr>
        <w:t xml:space="preserve"> smoothing</w:t>
      </w:r>
      <w:r w:rsidR="003500F5" w:rsidRPr="00F67CC4">
        <w:rPr>
          <w:rFonts w:cs="Calibri"/>
          <w:lang w:val="en-GB"/>
        </w:rPr>
        <w:t xml:space="preserve"> and taking a bath</w:t>
      </w:r>
      <w:r w:rsidRPr="00F67CC4">
        <w:rPr>
          <w:rFonts w:cs="Calibri"/>
          <w:lang w:val="en-GB"/>
        </w:rPr>
        <w:t xml:space="preserve">. </w:t>
      </w:r>
      <w:r w:rsidR="0060278D" w:rsidRPr="00F67CC4">
        <w:rPr>
          <w:rFonts w:cs="Calibri"/>
          <w:lang w:val="en-GB"/>
        </w:rPr>
        <w:t xml:space="preserve">Taking a bath </w:t>
      </w:r>
      <w:r w:rsidR="001768B1">
        <w:rPr>
          <w:rFonts w:cs="Calibri"/>
          <w:lang w:val="en-GB"/>
        </w:rPr>
        <w:t>is</w:t>
      </w:r>
      <w:r w:rsidR="0060278D" w:rsidRPr="00F67CC4">
        <w:rPr>
          <w:rFonts w:cs="Calibri"/>
          <w:lang w:val="en-GB"/>
        </w:rPr>
        <w:t xml:space="preserve"> considered as a method of earnings management with </w:t>
      </w:r>
      <w:r w:rsidR="00B07EBF" w:rsidRPr="00F67CC4">
        <w:rPr>
          <w:rFonts w:cs="Calibri"/>
          <w:lang w:val="en-GB"/>
        </w:rPr>
        <w:t>minimization of</w:t>
      </w:r>
      <w:r w:rsidR="009E7F71">
        <w:rPr>
          <w:rFonts w:cs="Calibri"/>
          <w:lang w:val="en-GB"/>
        </w:rPr>
        <w:t xml:space="preserve"> the</w:t>
      </w:r>
      <w:r w:rsidR="00B07EBF" w:rsidRPr="00F67CC4">
        <w:rPr>
          <w:rFonts w:cs="Calibri"/>
          <w:lang w:val="en-GB"/>
        </w:rPr>
        <w:t xml:space="preserve"> </w:t>
      </w:r>
      <w:r w:rsidR="0060278D" w:rsidRPr="00F67CC4">
        <w:rPr>
          <w:rFonts w:cs="Calibri"/>
          <w:lang w:val="en-GB"/>
        </w:rPr>
        <w:t xml:space="preserve">income </w:t>
      </w:r>
      <w:r w:rsidR="00B07EBF" w:rsidRPr="00F67CC4">
        <w:rPr>
          <w:rFonts w:cs="Calibri"/>
          <w:lang w:val="en-GB"/>
        </w:rPr>
        <w:t>as</w:t>
      </w:r>
      <w:r w:rsidR="0060278D" w:rsidRPr="00F67CC4">
        <w:rPr>
          <w:rFonts w:cs="Calibri"/>
          <w:lang w:val="en-GB"/>
        </w:rPr>
        <w:t xml:space="preserve"> direction. </w:t>
      </w:r>
      <w:r w:rsidRPr="00F67CC4">
        <w:rPr>
          <w:rFonts w:cs="Calibri"/>
          <w:lang w:val="en-GB"/>
        </w:rPr>
        <w:t>The pattern chosen by a firm may vary due to changes in contracts, in leve</w:t>
      </w:r>
      <w:r w:rsidR="003500F5" w:rsidRPr="00F67CC4">
        <w:rPr>
          <w:rFonts w:cs="Calibri"/>
          <w:lang w:val="en-GB"/>
        </w:rPr>
        <w:t>ls of profitability, and</w:t>
      </w:r>
      <w:r w:rsidR="00B437F4">
        <w:rPr>
          <w:rFonts w:cs="Calibri"/>
          <w:lang w:val="en-GB"/>
        </w:rPr>
        <w:t xml:space="preserve"> in political visibility</w:t>
      </w:r>
      <w:r w:rsidRPr="00F67CC4">
        <w:rPr>
          <w:rFonts w:cs="Calibri"/>
          <w:lang w:val="en-GB"/>
        </w:rPr>
        <w:t xml:space="preserve"> </w:t>
      </w:r>
      <w:r w:rsidR="00E33C84" w:rsidRPr="00F67CC4">
        <w:rPr>
          <w:rFonts w:cs="Calibri"/>
          <w:lang w:val="en-GB"/>
        </w:rPr>
        <w:t>(Scott 2008, p</w:t>
      </w:r>
      <w:r w:rsidR="009E7F71">
        <w:rPr>
          <w:rFonts w:cs="Calibri"/>
          <w:lang w:val="en-GB"/>
        </w:rPr>
        <w:t xml:space="preserve"> </w:t>
      </w:r>
      <w:r w:rsidR="00E33C84" w:rsidRPr="00F67CC4">
        <w:rPr>
          <w:rFonts w:cs="Calibri"/>
          <w:lang w:val="en-GB"/>
        </w:rPr>
        <w:t>405</w:t>
      </w:r>
      <w:r w:rsidR="00B07EBF" w:rsidRPr="00F67CC4">
        <w:rPr>
          <w:rFonts w:cs="Calibri"/>
          <w:lang w:val="en-GB"/>
        </w:rPr>
        <w:t>)</w:t>
      </w:r>
      <w:r w:rsidR="00B437F4">
        <w:rPr>
          <w:rFonts w:cs="Calibri"/>
          <w:lang w:val="en-GB"/>
        </w:rPr>
        <w:t xml:space="preserve">. </w:t>
      </w:r>
    </w:p>
    <w:p w:rsidR="00B437F4" w:rsidRDefault="001C6A3E" w:rsidP="007B397A">
      <w:pPr>
        <w:spacing w:line="360" w:lineRule="auto"/>
        <w:rPr>
          <w:rFonts w:cs="Calibri"/>
          <w:lang w:val="en-GB"/>
        </w:rPr>
      </w:pPr>
      <w:r w:rsidRPr="00F67CC4">
        <w:rPr>
          <w:rFonts w:cs="Calibri"/>
          <w:lang w:val="en-GB"/>
        </w:rPr>
        <w:t xml:space="preserve">When a firm has a period </w:t>
      </w:r>
      <w:r w:rsidR="003500F5" w:rsidRPr="00F67CC4">
        <w:rPr>
          <w:rFonts w:cs="Calibri"/>
          <w:lang w:val="en-GB"/>
        </w:rPr>
        <w:t xml:space="preserve">of </w:t>
      </w:r>
      <w:r w:rsidRPr="00F67CC4">
        <w:rPr>
          <w:rFonts w:cs="Calibri"/>
          <w:lang w:val="en-GB"/>
        </w:rPr>
        <w:t>organizational stress or reorganization</w:t>
      </w:r>
      <w:r w:rsidR="003500F5" w:rsidRPr="00F67CC4">
        <w:rPr>
          <w:rFonts w:cs="Calibri"/>
          <w:lang w:val="en-GB"/>
        </w:rPr>
        <w:t>s</w:t>
      </w:r>
      <w:r w:rsidRPr="00F67CC4">
        <w:rPr>
          <w:rFonts w:cs="Calibri"/>
          <w:lang w:val="en-GB"/>
        </w:rPr>
        <w:t xml:space="preserve">, a firm </w:t>
      </w:r>
      <w:r w:rsidR="003500F5" w:rsidRPr="00F67CC4">
        <w:rPr>
          <w:rFonts w:cs="Calibri"/>
          <w:lang w:val="en-GB"/>
        </w:rPr>
        <w:t>will due to this</w:t>
      </w:r>
      <w:r w:rsidRPr="00F67CC4">
        <w:rPr>
          <w:rFonts w:cs="Calibri"/>
          <w:lang w:val="en-GB"/>
        </w:rPr>
        <w:t xml:space="preserve"> report a loss but it </w:t>
      </w:r>
      <w:r w:rsidR="00B437F4">
        <w:rPr>
          <w:rFonts w:cs="Calibri"/>
          <w:lang w:val="en-GB"/>
        </w:rPr>
        <w:t>might</w:t>
      </w:r>
      <w:r w:rsidRPr="00F67CC4">
        <w:rPr>
          <w:rFonts w:cs="Calibri"/>
          <w:lang w:val="en-GB"/>
        </w:rPr>
        <w:t xml:space="preserve"> report an even bigger loss</w:t>
      </w:r>
      <w:r w:rsidR="003500F5" w:rsidRPr="00F67CC4">
        <w:rPr>
          <w:rFonts w:cs="Calibri"/>
          <w:lang w:val="en-GB"/>
        </w:rPr>
        <w:t xml:space="preserve"> in order to enhance the probability of reporting profits</w:t>
      </w:r>
      <w:r w:rsidR="00B07EBF" w:rsidRPr="00F67CC4">
        <w:rPr>
          <w:rFonts w:cs="Calibri"/>
          <w:lang w:val="en-GB"/>
        </w:rPr>
        <w:t xml:space="preserve"> in the future</w:t>
      </w:r>
      <w:r w:rsidR="003500F5" w:rsidRPr="00F67CC4">
        <w:rPr>
          <w:rFonts w:cs="Calibri"/>
          <w:lang w:val="en-GB"/>
        </w:rPr>
        <w:t>. This “clearing the decks” is known as taking a bath by a company.</w:t>
      </w:r>
      <w:r w:rsidR="0060278D" w:rsidRPr="00F67CC4">
        <w:rPr>
          <w:rFonts w:cs="Calibri"/>
          <w:lang w:val="en-GB"/>
        </w:rPr>
        <w:t xml:space="preserve"> This extreme form of income minimization</w:t>
      </w:r>
      <w:r w:rsidR="009E7F71">
        <w:rPr>
          <w:rFonts w:cs="Calibri"/>
          <w:lang w:val="en-GB"/>
        </w:rPr>
        <w:t xml:space="preserve"> in addition</w:t>
      </w:r>
      <w:r w:rsidR="0060278D" w:rsidRPr="00F67CC4">
        <w:rPr>
          <w:rFonts w:cs="Calibri"/>
          <w:lang w:val="en-GB"/>
        </w:rPr>
        <w:t xml:space="preserve"> can be </w:t>
      </w:r>
      <w:r w:rsidR="009E7F71">
        <w:rPr>
          <w:rFonts w:cs="Calibri"/>
          <w:lang w:val="en-GB"/>
        </w:rPr>
        <w:t>executed</w:t>
      </w:r>
      <w:r w:rsidR="0060278D" w:rsidRPr="00F67CC4">
        <w:rPr>
          <w:rFonts w:cs="Calibri"/>
          <w:lang w:val="en-GB"/>
        </w:rPr>
        <w:t xml:space="preserve"> by </w:t>
      </w:r>
      <w:r w:rsidR="001D46FC" w:rsidRPr="00F67CC4">
        <w:rPr>
          <w:rFonts w:cs="Calibri"/>
          <w:lang w:val="en-GB"/>
        </w:rPr>
        <w:t>write-offs on</w:t>
      </w:r>
      <w:r w:rsidRPr="00F67CC4">
        <w:rPr>
          <w:rFonts w:cs="Calibri"/>
          <w:lang w:val="en-GB"/>
        </w:rPr>
        <w:t xml:space="preserve"> assets, intangibles and R&amp;D expenditures for example. Motivatio</w:t>
      </w:r>
      <w:r w:rsidR="004D5028" w:rsidRPr="00F67CC4">
        <w:rPr>
          <w:rFonts w:cs="Calibri"/>
          <w:lang w:val="en-GB"/>
        </w:rPr>
        <w:t>ns for this kind of behaviour are</w:t>
      </w:r>
      <w:r w:rsidRPr="00F67CC4">
        <w:rPr>
          <w:rFonts w:cs="Calibri"/>
          <w:lang w:val="en-GB"/>
        </w:rPr>
        <w:t xml:space="preserve"> politically visibility and income tax considerations.</w:t>
      </w:r>
    </w:p>
    <w:p w:rsidR="00B437F4" w:rsidRDefault="001C6A3E" w:rsidP="007B397A">
      <w:pPr>
        <w:spacing w:line="360" w:lineRule="auto"/>
        <w:rPr>
          <w:rFonts w:cs="Calibri"/>
          <w:lang w:val="en-GB"/>
        </w:rPr>
      </w:pPr>
      <w:r w:rsidRPr="00F67CC4">
        <w:rPr>
          <w:rFonts w:cs="Calibri"/>
          <w:lang w:val="en-GB"/>
        </w:rPr>
        <w:t>C</w:t>
      </w:r>
      <w:r w:rsidR="001768B1">
        <w:rPr>
          <w:rFonts w:cs="Calibri"/>
          <w:lang w:val="en-GB"/>
        </w:rPr>
        <w:t xml:space="preserve">ontrary to income minimization </w:t>
      </w:r>
      <w:r w:rsidRPr="00F67CC4">
        <w:rPr>
          <w:rFonts w:cs="Calibri"/>
          <w:lang w:val="en-GB"/>
        </w:rPr>
        <w:t>earnings</w:t>
      </w:r>
      <w:r w:rsidR="0000107C">
        <w:rPr>
          <w:rFonts w:cs="Calibri"/>
          <w:lang w:val="en-GB"/>
        </w:rPr>
        <w:t xml:space="preserve"> </w:t>
      </w:r>
      <w:r w:rsidR="009E7F71">
        <w:rPr>
          <w:rFonts w:cs="Calibri"/>
          <w:lang w:val="en-GB"/>
        </w:rPr>
        <w:t>can</w:t>
      </w:r>
      <w:r w:rsidR="0000107C">
        <w:rPr>
          <w:rFonts w:cs="Calibri"/>
          <w:lang w:val="en-GB"/>
        </w:rPr>
        <w:t xml:space="preserve"> be </w:t>
      </w:r>
      <w:r w:rsidRPr="00F67CC4">
        <w:rPr>
          <w:rFonts w:cs="Calibri"/>
          <w:lang w:val="en-GB"/>
        </w:rPr>
        <w:t>manage</w:t>
      </w:r>
      <w:r w:rsidR="0000107C">
        <w:rPr>
          <w:rFonts w:cs="Calibri"/>
          <w:lang w:val="en-GB"/>
        </w:rPr>
        <w:t>d to</w:t>
      </w:r>
      <w:r w:rsidRPr="00F67CC4">
        <w:rPr>
          <w:rFonts w:cs="Calibri"/>
          <w:lang w:val="en-GB"/>
        </w:rPr>
        <w:t xml:space="preserve"> maximiz</w:t>
      </w:r>
      <w:r w:rsidR="0000107C">
        <w:rPr>
          <w:rFonts w:cs="Calibri"/>
          <w:lang w:val="en-GB"/>
        </w:rPr>
        <w:t xml:space="preserve">e income. This maximization </w:t>
      </w:r>
      <w:r w:rsidRPr="00F67CC4">
        <w:rPr>
          <w:rFonts w:cs="Calibri"/>
          <w:lang w:val="en-GB"/>
        </w:rPr>
        <w:t>of reported net income can be used in order to receive a bonus or when a firm is close to debt covenant violations</w:t>
      </w:r>
      <w:r w:rsidR="001D46FC" w:rsidRPr="00F67CC4">
        <w:rPr>
          <w:rFonts w:cs="Calibri"/>
          <w:lang w:val="en-GB"/>
        </w:rPr>
        <w:t xml:space="preserve"> (</w:t>
      </w:r>
      <w:r w:rsidR="006B23ED" w:rsidRPr="00F67CC4">
        <w:rPr>
          <w:rFonts w:cs="Calibri"/>
          <w:lang w:val="en-GB"/>
        </w:rPr>
        <w:t>Scott 2008, p</w:t>
      </w:r>
      <w:r w:rsidR="009E7F71">
        <w:rPr>
          <w:rFonts w:cs="Calibri"/>
          <w:lang w:val="en-GB"/>
        </w:rPr>
        <w:t xml:space="preserve"> </w:t>
      </w:r>
      <w:r w:rsidR="006B23ED" w:rsidRPr="00F67CC4">
        <w:rPr>
          <w:rFonts w:cs="Calibri"/>
          <w:lang w:val="en-GB"/>
        </w:rPr>
        <w:t>405)</w:t>
      </w:r>
      <w:r w:rsidR="00B437F4">
        <w:rPr>
          <w:rFonts w:cs="Calibri"/>
          <w:lang w:val="en-GB"/>
        </w:rPr>
        <w:t>.</w:t>
      </w:r>
      <w:r w:rsidR="00A83CAA" w:rsidRPr="00F67CC4">
        <w:rPr>
          <w:rFonts w:cs="Calibri"/>
          <w:lang w:val="en-GB"/>
        </w:rPr>
        <w:t xml:space="preserve"> Earnings can be maximized by either </w:t>
      </w:r>
      <w:r w:rsidR="00B437F4">
        <w:rPr>
          <w:rFonts w:cs="Calibri"/>
          <w:lang w:val="en-GB"/>
        </w:rPr>
        <w:t>taking advantages of</w:t>
      </w:r>
      <w:r w:rsidR="00A83CAA" w:rsidRPr="00F67CC4">
        <w:rPr>
          <w:rFonts w:cs="Calibri"/>
          <w:lang w:val="en-GB"/>
        </w:rPr>
        <w:t xml:space="preserve"> past reserves or </w:t>
      </w:r>
      <w:r w:rsidR="00B437F4">
        <w:rPr>
          <w:rFonts w:cs="Calibri"/>
          <w:lang w:val="en-GB"/>
        </w:rPr>
        <w:t>using</w:t>
      </w:r>
      <w:r w:rsidR="001768B1">
        <w:rPr>
          <w:rFonts w:cs="Calibri"/>
          <w:lang w:val="en-GB"/>
        </w:rPr>
        <w:t xml:space="preserve"> future </w:t>
      </w:r>
      <w:r w:rsidR="009E7F71">
        <w:rPr>
          <w:rFonts w:cs="Calibri"/>
          <w:lang w:val="en-GB"/>
        </w:rPr>
        <w:t>profits</w:t>
      </w:r>
      <w:r w:rsidR="00A83CAA" w:rsidRPr="00F67CC4">
        <w:rPr>
          <w:rFonts w:cs="Calibri"/>
          <w:lang w:val="en-GB"/>
        </w:rPr>
        <w:t xml:space="preserve"> (Ronen and Yaari 2008, p</w:t>
      </w:r>
      <w:r w:rsidR="009E7F71">
        <w:rPr>
          <w:rFonts w:cs="Calibri"/>
          <w:lang w:val="en-GB"/>
        </w:rPr>
        <w:t xml:space="preserve"> </w:t>
      </w:r>
      <w:r w:rsidR="00A83CAA" w:rsidRPr="00F67CC4">
        <w:rPr>
          <w:rFonts w:cs="Calibri"/>
          <w:lang w:val="en-GB"/>
        </w:rPr>
        <w:t>342)</w:t>
      </w:r>
      <w:r w:rsidR="001768B1">
        <w:rPr>
          <w:rFonts w:cs="Calibri"/>
          <w:lang w:val="en-GB"/>
        </w:rPr>
        <w:t>.</w:t>
      </w:r>
    </w:p>
    <w:p w:rsidR="0000107C" w:rsidRDefault="001C6A3E" w:rsidP="007B397A">
      <w:pPr>
        <w:spacing w:line="360" w:lineRule="auto"/>
        <w:rPr>
          <w:rFonts w:cs="Calibri"/>
          <w:lang w:val="en-GB"/>
        </w:rPr>
      </w:pPr>
      <w:r w:rsidRPr="00F67CC4">
        <w:rPr>
          <w:rFonts w:cs="Calibri"/>
          <w:lang w:val="en-GB"/>
        </w:rPr>
        <w:t xml:space="preserve">The last pattern of </w:t>
      </w:r>
      <w:r w:rsidR="009E7F71">
        <w:rPr>
          <w:rFonts w:cs="Calibri"/>
          <w:lang w:val="en-GB"/>
        </w:rPr>
        <w:t xml:space="preserve">the use of </w:t>
      </w:r>
      <w:r w:rsidRPr="00F67CC4">
        <w:rPr>
          <w:rFonts w:cs="Calibri"/>
          <w:lang w:val="en-GB"/>
        </w:rPr>
        <w:t>earnings management</w:t>
      </w:r>
      <w:r w:rsidR="001D46FC" w:rsidRPr="00F67CC4">
        <w:rPr>
          <w:rFonts w:cs="Calibri"/>
          <w:lang w:val="en-GB"/>
        </w:rPr>
        <w:t xml:space="preserve"> </w:t>
      </w:r>
      <w:r w:rsidR="009E7F71">
        <w:rPr>
          <w:rFonts w:cs="Calibri"/>
          <w:lang w:val="en-GB"/>
        </w:rPr>
        <w:t>signalled</w:t>
      </w:r>
      <w:r w:rsidR="001D46FC" w:rsidRPr="00F67CC4">
        <w:rPr>
          <w:rFonts w:cs="Calibri"/>
          <w:lang w:val="en-GB"/>
        </w:rPr>
        <w:t xml:space="preserve"> by Scott (2008)</w:t>
      </w:r>
      <w:r w:rsidRPr="00F67CC4">
        <w:rPr>
          <w:rFonts w:cs="Calibri"/>
          <w:lang w:val="en-GB"/>
        </w:rPr>
        <w:t xml:space="preserve"> is income smoothing. Income smoothing</w:t>
      </w:r>
      <w:r w:rsidR="009E7F71">
        <w:rPr>
          <w:rFonts w:cs="Calibri"/>
          <w:lang w:val="en-GB"/>
        </w:rPr>
        <w:t xml:space="preserve"> by Fudenberg and Tirole (1995) is defined as</w:t>
      </w:r>
      <w:r w:rsidR="005324A9" w:rsidRPr="00F67CC4">
        <w:rPr>
          <w:rFonts w:cs="Calibri"/>
          <w:lang w:val="en-GB"/>
        </w:rPr>
        <w:t xml:space="preserve"> </w:t>
      </w:r>
    </w:p>
    <w:p w:rsidR="0000107C" w:rsidRDefault="00B07EBF" w:rsidP="007B397A">
      <w:pPr>
        <w:spacing w:line="360" w:lineRule="auto"/>
        <w:rPr>
          <w:rFonts w:cs="Calibri"/>
          <w:lang w:val="en-GB"/>
        </w:rPr>
      </w:pPr>
      <w:r w:rsidRPr="00F67CC4">
        <w:rPr>
          <w:rFonts w:cs="Calibri"/>
          <w:i/>
          <w:lang w:val="en-GB"/>
        </w:rPr>
        <w:t>“</w:t>
      </w:r>
      <w:r w:rsidR="005324A9" w:rsidRPr="00F67CC4">
        <w:rPr>
          <w:rFonts w:cs="Calibri"/>
          <w:i/>
          <w:lang w:val="en-GB"/>
        </w:rPr>
        <w:t>the process of time profile manipulation of earnings to make to reported income stream less variable, but at the same time not increasing the reported earnings over a long period</w:t>
      </w:r>
      <w:r w:rsidRPr="00F67CC4">
        <w:rPr>
          <w:rFonts w:cs="Calibri"/>
          <w:lang w:val="en-GB"/>
        </w:rPr>
        <w:t>”</w:t>
      </w:r>
      <w:r w:rsidR="005324A9" w:rsidRPr="00F67CC4">
        <w:rPr>
          <w:rFonts w:cs="Calibri"/>
          <w:lang w:val="en-GB"/>
        </w:rPr>
        <w:t xml:space="preserve"> (Fude</w:t>
      </w:r>
      <w:r w:rsidR="009E7F71">
        <w:rPr>
          <w:rFonts w:cs="Calibri"/>
          <w:lang w:val="en-GB"/>
        </w:rPr>
        <w:t>nberg and Ti</w:t>
      </w:r>
      <w:r w:rsidR="00381F2E" w:rsidRPr="00F67CC4">
        <w:rPr>
          <w:rFonts w:cs="Calibri"/>
          <w:lang w:val="en-GB"/>
        </w:rPr>
        <w:t>role 1995, p</w:t>
      </w:r>
      <w:r w:rsidR="009E7F71">
        <w:rPr>
          <w:rFonts w:cs="Calibri"/>
          <w:lang w:val="en-GB"/>
        </w:rPr>
        <w:t xml:space="preserve"> </w:t>
      </w:r>
      <w:r w:rsidR="00381F2E" w:rsidRPr="00F67CC4">
        <w:rPr>
          <w:rFonts w:cs="Calibri"/>
          <w:lang w:val="en-GB"/>
        </w:rPr>
        <w:t>75)</w:t>
      </w:r>
      <w:r w:rsidR="00B437F4">
        <w:rPr>
          <w:rFonts w:cs="Calibri"/>
          <w:lang w:val="en-GB"/>
        </w:rPr>
        <w:t xml:space="preserve"> </w:t>
      </w:r>
    </w:p>
    <w:p w:rsidR="007B397A" w:rsidRPr="00F67CC4" w:rsidRDefault="001C6A3E" w:rsidP="007B397A">
      <w:pPr>
        <w:spacing w:line="360" w:lineRule="auto"/>
        <w:rPr>
          <w:rFonts w:cs="Calibri"/>
          <w:lang w:val="en-GB"/>
        </w:rPr>
      </w:pPr>
      <w:r w:rsidRPr="00F67CC4">
        <w:rPr>
          <w:rFonts w:cs="Calibri"/>
          <w:lang w:val="en-GB"/>
        </w:rPr>
        <w:t>A motive for using income smoothing is the aversion of losses and</w:t>
      </w:r>
      <w:r w:rsidR="0000107C">
        <w:rPr>
          <w:rFonts w:cs="Calibri"/>
          <w:lang w:val="en-GB"/>
        </w:rPr>
        <w:t xml:space="preserve"> the</w:t>
      </w:r>
      <w:r w:rsidRPr="00F67CC4">
        <w:rPr>
          <w:rFonts w:cs="Calibri"/>
          <w:lang w:val="en-GB"/>
        </w:rPr>
        <w:t xml:space="preserve"> increase of certainty for both </w:t>
      </w:r>
      <w:r w:rsidR="009E7F71">
        <w:rPr>
          <w:rFonts w:cs="Calibri"/>
          <w:lang w:val="en-GB"/>
        </w:rPr>
        <w:t xml:space="preserve">the </w:t>
      </w:r>
      <w:r w:rsidRPr="00F67CC4">
        <w:rPr>
          <w:rFonts w:cs="Calibri"/>
          <w:lang w:val="en-GB"/>
        </w:rPr>
        <w:t xml:space="preserve">manager and </w:t>
      </w:r>
      <w:r w:rsidR="009E7F71">
        <w:rPr>
          <w:rFonts w:cs="Calibri"/>
          <w:lang w:val="en-GB"/>
        </w:rPr>
        <w:t xml:space="preserve">the </w:t>
      </w:r>
      <w:r w:rsidRPr="00F67CC4">
        <w:rPr>
          <w:rFonts w:cs="Calibri"/>
          <w:lang w:val="en-GB"/>
        </w:rPr>
        <w:t>company. Smoothened earnings will create more certainty on the compensation of a manager and will reduce the volatility of</w:t>
      </w:r>
      <w:r w:rsidR="009E7F71">
        <w:rPr>
          <w:rFonts w:cs="Calibri"/>
          <w:lang w:val="en-GB"/>
        </w:rPr>
        <w:t xml:space="preserve"> the</w:t>
      </w:r>
      <w:r w:rsidRPr="00F67CC4">
        <w:rPr>
          <w:rFonts w:cs="Calibri"/>
          <w:lang w:val="en-GB"/>
        </w:rPr>
        <w:t xml:space="preserve"> covenant ratios over time which signals to externals that the firm expects to</w:t>
      </w:r>
      <w:r w:rsidR="00B437F4">
        <w:rPr>
          <w:rFonts w:cs="Calibri"/>
          <w:lang w:val="en-GB"/>
        </w:rPr>
        <w:t xml:space="preserve"> have persistent earnings power</w:t>
      </w:r>
      <w:r w:rsidRPr="00F67CC4">
        <w:rPr>
          <w:rFonts w:cs="Calibri"/>
          <w:lang w:val="en-GB"/>
        </w:rPr>
        <w:t xml:space="preserve"> (Scott 2008</w:t>
      </w:r>
      <w:r w:rsidR="007A59A5" w:rsidRPr="00F67CC4">
        <w:rPr>
          <w:rFonts w:cs="Calibri"/>
          <w:lang w:val="en-GB"/>
        </w:rPr>
        <w:t>,</w:t>
      </w:r>
      <w:r w:rsidRPr="00F67CC4">
        <w:rPr>
          <w:rFonts w:cs="Calibri"/>
          <w:lang w:val="en-GB"/>
        </w:rPr>
        <w:t xml:space="preserve"> p</w:t>
      </w:r>
      <w:r w:rsidR="009E7F71">
        <w:rPr>
          <w:rFonts w:cs="Calibri"/>
          <w:lang w:val="en-GB"/>
        </w:rPr>
        <w:t xml:space="preserve"> </w:t>
      </w:r>
      <w:r w:rsidRPr="00F67CC4">
        <w:rPr>
          <w:rFonts w:cs="Calibri"/>
          <w:lang w:val="en-GB"/>
        </w:rPr>
        <w:t>405)</w:t>
      </w:r>
      <w:r w:rsidR="00B437F4">
        <w:rPr>
          <w:rFonts w:cs="Calibri"/>
          <w:lang w:val="en-GB"/>
        </w:rPr>
        <w:t>.</w:t>
      </w:r>
    </w:p>
    <w:p w:rsidR="007B397A" w:rsidRPr="00F67CC4" w:rsidRDefault="009E7F71" w:rsidP="007B397A">
      <w:pPr>
        <w:spacing w:line="360" w:lineRule="auto"/>
        <w:rPr>
          <w:rFonts w:cs="Calibri"/>
          <w:lang w:val="en-GB"/>
        </w:rPr>
      </w:pPr>
      <w:r>
        <w:rPr>
          <w:rFonts w:cs="Calibri"/>
          <w:lang w:val="en-GB"/>
        </w:rPr>
        <w:t>Before</w:t>
      </w:r>
      <w:r w:rsidR="007B397A" w:rsidRPr="00F67CC4">
        <w:rPr>
          <w:rFonts w:cs="Calibri"/>
          <w:lang w:val="en-GB"/>
        </w:rPr>
        <w:t xml:space="preserve"> the definition, </w:t>
      </w:r>
      <w:r w:rsidR="0018147A">
        <w:rPr>
          <w:rFonts w:cs="Calibri"/>
          <w:lang w:val="en-GB"/>
        </w:rPr>
        <w:t xml:space="preserve">the </w:t>
      </w:r>
      <w:r w:rsidR="007B397A" w:rsidRPr="00F67CC4">
        <w:rPr>
          <w:rFonts w:cs="Calibri"/>
          <w:lang w:val="en-GB"/>
        </w:rPr>
        <w:t xml:space="preserve">methods, </w:t>
      </w:r>
      <w:r w:rsidR="0018147A">
        <w:rPr>
          <w:rFonts w:cs="Calibri"/>
          <w:lang w:val="en-GB"/>
        </w:rPr>
        <w:t xml:space="preserve">the </w:t>
      </w:r>
      <w:r w:rsidR="007B397A" w:rsidRPr="00F67CC4">
        <w:rPr>
          <w:rFonts w:cs="Calibri"/>
          <w:lang w:val="en-GB"/>
        </w:rPr>
        <w:t>incentives and</w:t>
      </w:r>
      <w:r w:rsidR="0018147A">
        <w:rPr>
          <w:rFonts w:cs="Calibri"/>
          <w:lang w:val="en-GB"/>
        </w:rPr>
        <w:t xml:space="preserve"> the</w:t>
      </w:r>
      <w:r w:rsidR="007B397A" w:rsidRPr="00F67CC4">
        <w:rPr>
          <w:rFonts w:cs="Calibri"/>
          <w:lang w:val="en-GB"/>
        </w:rPr>
        <w:t xml:space="preserve"> directions of </w:t>
      </w:r>
      <w:r w:rsidR="0018147A">
        <w:rPr>
          <w:rFonts w:cs="Calibri"/>
          <w:lang w:val="en-GB"/>
        </w:rPr>
        <w:t xml:space="preserve">the use of </w:t>
      </w:r>
      <w:r w:rsidR="007B397A" w:rsidRPr="00F67CC4">
        <w:rPr>
          <w:rFonts w:cs="Calibri"/>
          <w:lang w:val="en-GB"/>
        </w:rPr>
        <w:t>earnings management have been reviewed,</w:t>
      </w:r>
      <w:r w:rsidR="0018147A">
        <w:rPr>
          <w:rFonts w:cs="Calibri"/>
          <w:lang w:val="en-GB"/>
        </w:rPr>
        <w:t xml:space="preserve"> next</w:t>
      </w:r>
      <w:r w:rsidR="007B397A" w:rsidRPr="00F67CC4">
        <w:rPr>
          <w:rFonts w:cs="Calibri"/>
          <w:lang w:val="en-GB"/>
        </w:rPr>
        <w:t xml:space="preserve"> the </w:t>
      </w:r>
      <w:r w:rsidR="0000107C">
        <w:rPr>
          <w:rFonts w:cs="Calibri"/>
          <w:lang w:val="en-GB"/>
        </w:rPr>
        <w:t>other</w:t>
      </w:r>
      <w:r w:rsidR="007B397A" w:rsidRPr="00F67CC4">
        <w:rPr>
          <w:rFonts w:cs="Calibri"/>
          <w:lang w:val="en-GB"/>
        </w:rPr>
        <w:t xml:space="preserve"> important aspect </w:t>
      </w:r>
      <w:r w:rsidR="0018147A">
        <w:rPr>
          <w:rFonts w:cs="Calibri"/>
          <w:lang w:val="en-GB"/>
        </w:rPr>
        <w:t>in</w:t>
      </w:r>
      <w:r w:rsidR="007B397A" w:rsidRPr="00F67CC4">
        <w:rPr>
          <w:rFonts w:cs="Calibri"/>
          <w:lang w:val="en-GB"/>
        </w:rPr>
        <w:t xml:space="preserve"> this </w:t>
      </w:r>
      <w:r w:rsidR="00676F78">
        <w:rPr>
          <w:rFonts w:cs="Calibri"/>
          <w:lang w:val="en-GB"/>
        </w:rPr>
        <w:t>thesis</w:t>
      </w:r>
      <w:r w:rsidR="0000107C">
        <w:rPr>
          <w:rFonts w:cs="Calibri"/>
          <w:lang w:val="en-GB"/>
        </w:rPr>
        <w:t xml:space="preserve"> will be </w:t>
      </w:r>
      <w:r w:rsidR="0018147A">
        <w:rPr>
          <w:rFonts w:cs="Calibri"/>
          <w:lang w:val="en-GB"/>
        </w:rPr>
        <w:t>commented</w:t>
      </w:r>
      <w:r w:rsidR="0000107C">
        <w:rPr>
          <w:rFonts w:cs="Calibri"/>
          <w:lang w:val="en-GB"/>
        </w:rPr>
        <w:t>; the International Financial Reporting Standards (IFRS).</w:t>
      </w:r>
    </w:p>
    <w:p w:rsidR="00007FE2" w:rsidRDefault="00007FE2" w:rsidP="00925ED8">
      <w:pPr>
        <w:spacing w:line="360" w:lineRule="auto"/>
        <w:rPr>
          <w:rFonts w:cs="Calibri"/>
          <w:b/>
          <w:lang w:val="en-GB"/>
        </w:rPr>
      </w:pPr>
    </w:p>
    <w:p w:rsidR="00007FE2" w:rsidRDefault="00007FE2" w:rsidP="00925ED8">
      <w:pPr>
        <w:spacing w:line="360" w:lineRule="auto"/>
        <w:rPr>
          <w:rFonts w:cs="Calibri"/>
          <w:b/>
          <w:lang w:val="en-GB"/>
        </w:rPr>
      </w:pPr>
    </w:p>
    <w:p w:rsidR="00676F78" w:rsidRDefault="001C6A3E" w:rsidP="00925ED8">
      <w:pPr>
        <w:spacing w:line="360" w:lineRule="auto"/>
        <w:rPr>
          <w:rFonts w:cs="Calibri"/>
          <w:lang w:val="en-GB"/>
        </w:rPr>
      </w:pPr>
      <w:r w:rsidRPr="00F67CC4">
        <w:rPr>
          <w:rFonts w:cs="Calibri"/>
          <w:b/>
          <w:lang w:val="en-GB"/>
        </w:rPr>
        <w:lastRenderedPageBreak/>
        <w:t>3.3 IFRS</w:t>
      </w:r>
      <w:r w:rsidR="00B56FB4" w:rsidRPr="00F67CC4">
        <w:rPr>
          <w:rFonts w:cs="Calibri"/>
          <w:b/>
          <w:lang w:val="en-GB"/>
        </w:rPr>
        <w:br/>
      </w:r>
      <w:r w:rsidR="00B56FB4" w:rsidRPr="0046079D">
        <w:rPr>
          <w:rFonts w:cs="Calibri"/>
          <w:lang w:val="en-GB"/>
        </w:rPr>
        <w:t>In order to prevent, or at least decline the use of earnin</w:t>
      </w:r>
      <w:r w:rsidR="00676F78">
        <w:rPr>
          <w:rFonts w:cs="Calibri"/>
          <w:lang w:val="en-GB"/>
        </w:rPr>
        <w:t xml:space="preserve">gs management by companies, the European Parliament and the council of the European Union </w:t>
      </w:r>
      <w:r w:rsidR="00B56FB4" w:rsidRPr="0046079D">
        <w:rPr>
          <w:rFonts w:cs="Calibri"/>
          <w:lang w:val="en-GB"/>
        </w:rPr>
        <w:t>stated in EC Regulation No 1606/2002</w:t>
      </w:r>
      <w:r w:rsidR="00B56FB4" w:rsidRPr="0046079D">
        <w:rPr>
          <w:rStyle w:val="FootnoteReference"/>
          <w:rFonts w:cs="Calibri"/>
          <w:lang w:val="en-GB"/>
        </w:rPr>
        <w:footnoteReference w:id="4"/>
      </w:r>
      <w:r w:rsidR="00B56FB4" w:rsidRPr="0046079D">
        <w:rPr>
          <w:rFonts w:cs="Calibri"/>
          <w:lang w:val="en-GB"/>
        </w:rPr>
        <w:t xml:space="preserve"> </w:t>
      </w:r>
      <w:r w:rsidR="00000C98">
        <w:rPr>
          <w:rFonts w:cs="Calibri"/>
          <w:lang w:val="en-GB"/>
        </w:rPr>
        <w:t xml:space="preserve">that </w:t>
      </w:r>
      <w:r w:rsidR="001768B1">
        <w:rPr>
          <w:rFonts w:cs="Calibri"/>
          <w:lang w:val="en-GB"/>
        </w:rPr>
        <w:t xml:space="preserve">all </w:t>
      </w:r>
      <w:r w:rsidR="00676F78">
        <w:rPr>
          <w:rFonts w:cs="Calibri"/>
          <w:lang w:val="en-GB"/>
        </w:rPr>
        <w:t xml:space="preserve">stock exchange quoted companies in the European Union in 2005 are obliged to adopt the International Financial Reporting Standards (IFRS) in their consolidated annual financial report. In this section the principles, the advantages and the disadvantages of these standards are presented. </w:t>
      </w:r>
    </w:p>
    <w:p w:rsidR="001C6A3E" w:rsidRPr="00F67CC4" w:rsidRDefault="001C6A3E" w:rsidP="00925ED8">
      <w:pPr>
        <w:spacing w:line="360" w:lineRule="auto"/>
        <w:rPr>
          <w:rFonts w:cs="Calibri"/>
          <w:lang w:val="en-GB"/>
        </w:rPr>
      </w:pPr>
      <w:r w:rsidRPr="00F67CC4">
        <w:rPr>
          <w:rFonts w:cs="Calibri"/>
          <w:b/>
          <w:lang w:val="en-GB"/>
        </w:rPr>
        <w:t>3.3.1 Introduction</w:t>
      </w:r>
      <w:r w:rsidRPr="00F67CC4">
        <w:rPr>
          <w:rFonts w:cs="Calibri"/>
          <w:b/>
          <w:lang w:val="en-GB"/>
        </w:rPr>
        <w:br/>
      </w:r>
      <w:r w:rsidR="0060195F">
        <w:rPr>
          <w:rFonts w:cs="Calibri"/>
          <w:lang w:val="en-GB"/>
        </w:rPr>
        <w:t xml:space="preserve">The </w:t>
      </w:r>
      <w:r w:rsidR="00B56FB4" w:rsidRPr="00F67CC4">
        <w:rPr>
          <w:rFonts w:cs="Calibri"/>
          <w:lang w:val="en-GB"/>
        </w:rPr>
        <w:t xml:space="preserve">IASB introduced </w:t>
      </w:r>
      <w:r w:rsidR="00B437F4">
        <w:rPr>
          <w:rFonts w:cs="Calibri"/>
          <w:lang w:val="en-GB"/>
        </w:rPr>
        <w:t xml:space="preserve">the </w:t>
      </w:r>
      <w:r w:rsidR="00B56FB4" w:rsidRPr="00F67CC4">
        <w:rPr>
          <w:rFonts w:cs="Calibri"/>
          <w:lang w:val="en-GB"/>
        </w:rPr>
        <w:t>new reporting standards IFRS</w:t>
      </w:r>
      <w:r w:rsidR="00D74494" w:rsidRPr="00F67CC4">
        <w:rPr>
          <w:rFonts w:cs="Calibri"/>
          <w:lang w:val="en-GB"/>
        </w:rPr>
        <w:t xml:space="preserve"> </w:t>
      </w:r>
      <w:r w:rsidR="006F3CC9">
        <w:rPr>
          <w:rFonts w:cs="Calibri"/>
          <w:lang w:val="en-GB"/>
        </w:rPr>
        <w:t>with the important aims of creating</w:t>
      </w:r>
      <w:r w:rsidRPr="00F67CC4">
        <w:rPr>
          <w:rFonts w:cs="Calibri"/>
          <w:lang w:val="en-GB"/>
        </w:rPr>
        <w:t xml:space="preserve"> more transparency and comparability </w:t>
      </w:r>
      <w:r w:rsidR="00A00A3F">
        <w:rPr>
          <w:rFonts w:cs="Calibri"/>
          <w:lang w:val="en-GB"/>
        </w:rPr>
        <w:t>in</w:t>
      </w:r>
      <w:r w:rsidRPr="00F67CC4">
        <w:rPr>
          <w:rFonts w:cs="Calibri"/>
          <w:lang w:val="en-GB"/>
        </w:rPr>
        <w:t xml:space="preserve"> </w:t>
      </w:r>
      <w:r w:rsidR="008E3166" w:rsidRPr="00F67CC4">
        <w:rPr>
          <w:rFonts w:cs="Calibri"/>
          <w:lang w:val="en-GB"/>
        </w:rPr>
        <w:t>the</w:t>
      </w:r>
      <w:r w:rsidR="00A00A3F">
        <w:rPr>
          <w:rFonts w:cs="Calibri"/>
          <w:lang w:val="en-GB"/>
        </w:rPr>
        <w:t xml:space="preserve"> annual </w:t>
      </w:r>
      <w:r w:rsidR="00B437F4">
        <w:rPr>
          <w:rFonts w:cs="Calibri"/>
          <w:lang w:val="en-GB"/>
        </w:rPr>
        <w:t>financial reports</w:t>
      </w:r>
      <w:r w:rsidRPr="00F67CC4">
        <w:rPr>
          <w:rFonts w:cs="Calibri"/>
          <w:lang w:val="en-GB"/>
        </w:rPr>
        <w:t xml:space="preserve"> (</w:t>
      </w:r>
      <w:r w:rsidR="007D755E" w:rsidRPr="00F67CC4">
        <w:rPr>
          <w:rFonts w:cs="Calibri"/>
          <w:lang w:val="en-GB"/>
        </w:rPr>
        <w:t>EC Regulation No 1606/2002, p243/2</w:t>
      </w:r>
      <w:r w:rsidRPr="00F67CC4">
        <w:rPr>
          <w:rFonts w:cs="Calibri"/>
          <w:lang w:val="en-GB"/>
        </w:rPr>
        <w:t>)</w:t>
      </w:r>
      <w:r w:rsidR="00B437F4">
        <w:rPr>
          <w:rFonts w:cs="Calibri"/>
          <w:lang w:val="en-GB"/>
        </w:rPr>
        <w:t>.</w:t>
      </w:r>
      <w:r w:rsidRPr="00F67CC4">
        <w:rPr>
          <w:rFonts w:cs="Calibri"/>
          <w:lang w:val="en-GB"/>
        </w:rPr>
        <w:t xml:space="preserve"> </w:t>
      </w:r>
      <w:r w:rsidR="00973EEF">
        <w:rPr>
          <w:rFonts w:cs="Calibri"/>
          <w:lang w:val="en-GB"/>
        </w:rPr>
        <w:t>With these aims, a</w:t>
      </w:r>
      <w:r w:rsidR="00A00A3F">
        <w:rPr>
          <w:rFonts w:cs="Calibri"/>
          <w:lang w:val="en-GB"/>
        </w:rPr>
        <w:t>n annual</w:t>
      </w:r>
      <w:r w:rsidR="00973EEF">
        <w:rPr>
          <w:rFonts w:cs="Calibri"/>
          <w:lang w:val="en-GB"/>
        </w:rPr>
        <w:t xml:space="preserve"> financial report should </w:t>
      </w:r>
      <w:r w:rsidR="00A00A3F">
        <w:rPr>
          <w:rFonts w:cs="Calibri"/>
          <w:lang w:val="en-GB"/>
        </w:rPr>
        <w:t>present</w:t>
      </w:r>
      <w:r w:rsidR="00973EEF">
        <w:rPr>
          <w:rFonts w:cs="Calibri"/>
          <w:lang w:val="en-GB"/>
        </w:rPr>
        <w:t xml:space="preserve"> a ‘true and fair view’ of the financial situation and results of a company. </w:t>
      </w:r>
      <w:r w:rsidRPr="00F67CC4">
        <w:rPr>
          <w:rFonts w:cs="Calibri"/>
          <w:lang w:val="en-GB"/>
        </w:rPr>
        <w:t>In order to accomplish this, IFRS is characterised by</w:t>
      </w:r>
      <w:r w:rsidR="007F42CA" w:rsidRPr="00F67CC4">
        <w:rPr>
          <w:rFonts w:cs="Calibri"/>
          <w:lang w:val="en-GB"/>
        </w:rPr>
        <w:t xml:space="preserve"> </w:t>
      </w:r>
      <w:r w:rsidR="0060195F">
        <w:rPr>
          <w:rFonts w:cs="Calibri"/>
          <w:lang w:val="en-GB"/>
        </w:rPr>
        <w:t xml:space="preserve">both </w:t>
      </w:r>
      <w:r w:rsidRPr="00F67CC4">
        <w:rPr>
          <w:rFonts w:cs="Calibri"/>
          <w:lang w:val="en-GB"/>
        </w:rPr>
        <w:t xml:space="preserve">rigidities and elements of estimation </w:t>
      </w:r>
      <w:r w:rsidR="007F42CA" w:rsidRPr="00F67CC4">
        <w:rPr>
          <w:rFonts w:cs="Calibri"/>
          <w:lang w:val="en-GB"/>
        </w:rPr>
        <w:t>in association with the</w:t>
      </w:r>
      <w:r w:rsidR="001036EB">
        <w:rPr>
          <w:rFonts w:cs="Calibri"/>
          <w:lang w:val="en-GB"/>
        </w:rPr>
        <w:t xml:space="preserve"> principle of</w:t>
      </w:r>
      <w:r w:rsidR="007F42CA" w:rsidRPr="00F67CC4">
        <w:rPr>
          <w:rFonts w:cs="Calibri"/>
          <w:lang w:val="en-GB"/>
        </w:rPr>
        <w:t xml:space="preserve"> </w:t>
      </w:r>
      <w:r w:rsidRPr="00F67CC4">
        <w:rPr>
          <w:rFonts w:cs="Calibri"/>
          <w:lang w:val="en-GB"/>
        </w:rPr>
        <w:t>fair value accounting</w:t>
      </w:r>
      <w:r w:rsidR="007F42CA" w:rsidRPr="00F67CC4">
        <w:rPr>
          <w:rFonts w:cs="Calibri"/>
          <w:lang w:val="en-GB"/>
        </w:rPr>
        <w:t xml:space="preserve"> </w:t>
      </w:r>
      <w:r w:rsidR="00197C76" w:rsidRPr="00F67CC4">
        <w:rPr>
          <w:rFonts w:cs="Calibri"/>
          <w:lang w:val="en-GB"/>
        </w:rPr>
        <w:t>(Heemskerk and van der Tas</w:t>
      </w:r>
      <w:r w:rsidRPr="00F67CC4">
        <w:rPr>
          <w:rFonts w:cs="Calibri"/>
          <w:lang w:val="en-GB"/>
        </w:rPr>
        <w:t xml:space="preserve"> 2006</w:t>
      </w:r>
      <w:r w:rsidR="00197C76" w:rsidRPr="00F67CC4">
        <w:rPr>
          <w:rFonts w:cs="Calibri"/>
          <w:lang w:val="en-GB"/>
        </w:rPr>
        <w:t>, p</w:t>
      </w:r>
      <w:r w:rsidR="00A00A3F">
        <w:rPr>
          <w:rFonts w:cs="Calibri"/>
          <w:lang w:val="en-GB"/>
        </w:rPr>
        <w:t xml:space="preserve"> </w:t>
      </w:r>
      <w:r w:rsidR="00197C76" w:rsidRPr="00F67CC4">
        <w:rPr>
          <w:rFonts w:cs="Calibri"/>
          <w:lang w:val="en-GB"/>
        </w:rPr>
        <w:t>574</w:t>
      </w:r>
      <w:r w:rsidRPr="00F67CC4">
        <w:rPr>
          <w:rFonts w:cs="Calibri"/>
          <w:lang w:val="en-GB"/>
        </w:rPr>
        <w:t>)</w:t>
      </w:r>
      <w:r w:rsidR="00B437F4" w:rsidRPr="00B437F4">
        <w:rPr>
          <w:rFonts w:cs="Calibri"/>
          <w:lang w:val="en-GB"/>
        </w:rPr>
        <w:t>.</w:t>
      </w:r>
    </w:p>
    <w:p w:rsidR="00113E46" w:rsidRPr="00F67CC4" w:rsidRDefault="002B4654" w:rsidP="00F74511">
      <w:pPr>
        <w:spacing w:line="360" w:lineRule="auto"/>
        <w:rPr>
          <w:rFonts w:cs="Calibri"/>
          <w:lang w:val="en-GB"/>
        </w:rPr>
      </w:pPr>
      <w:r w:rsidRPr="00F67CC4">
        <w:rPr>
          <w:rFonts w:cs="Calibri"/>
          <w:lang w:val="en-GB"/>
        </w:rPr>
        <w:t>The principle of f</w:t>
      </w:r>
      <w:r w:rsidR="001C6A3E" w:rsidRPr="00F67CC4">
        <w:rPr>
          <w:rFonts w:cs="Calibri"/>
          <w:lang w:val="en-GB"/>
        </w:rPr>
        <w:t xml:space="preserve">air value accounting aims to incorporate more-timely information about gains and losses on transactions in the financial statements, </w:t>
      </w:r>
      <w:r w:rsidR="00A00A3F">
        <w:rPr>
          <w:rFonts w:cs="Calibri"/>
          <w:lang w:val="en-GB"/>
        </w:rPr>
        <w:t>consequently</w:t>
      </w:r>
      <w:r w:rsidR="001C6A3E" w:rsidRPr="00F67CC4">
        <w:rPr>
          <w:rFonts w:cs="Calibri"/>
          <w:lang w:val="en-GB"/>
        </w:rPr>
        <w:t xml:space="preserve"> positive and negative changes </w:t>
      </w:r>
      <w:r w:rsidR="00B437F4">
        <w:rPr>
          <w:rFonts w:cs="Calibri"/>
          <w:lang w:val="en-GB"/>
        </w:rPr>
        <w:t xml:space="preserve">in values are quickly adjusted </w:t>
      </w:r>
      <w:r w:rsidR="001C6A3E" w:rsidRPr="00F67CC4">
        <w:rPr>
          <w:rFonts w:cs="Calibri"/>
          <w:lang w:val="en-GB"/>
        </w:rPr>
        <w:t>(Ball 2006, p</w:t>
      </w:r>
      <w:r w:rsidR="00A00A3F">
        <w:rPr>
          <w:rFonts w:cs="Calibri"/>
          <w:lang w:val="en-GB"/>
        </w:rPr>
        <w:t xml:space="preserve"> </w:t>
      </w:r>
      <w:r w:rsidR="001C6A3E" w:rsidRPr="00F67CC4">
        <w:rPr>
          <w:rFonts w:cs="Calibri"/>
          <w:lang w:val="en-GB"/>
        </w:rPr>
        <w:t>12)</w:t>
      </w:r>
      <w:r w:rsidR="00B437F4">
        <w:rPr>
          <w:rFonts w:cs="Calibri"/>
          <w:lang w:val="en-GB"/>
        </w:rPr>
        <w:t>.</w:t>
      </w:r>
      <w:r w:rsidR="00973EEF">
        <w:rPr>
          <w:rFonts w:cs="Calibri"/>
          <w:lang w:val="en-GB"/>
        </w:rPr>
        <w:t xml:space="preserve"> The IFRS require</w:t>
      </w:r>
      <w:r w:rsidR="001C6A3E" w:rsidRPr="00F67CC4">
        <w:rPr>
          <w:rFonts w:cs="Calibri"/>
          <w:lang w:val="en-GB"/>
        </w:rPr>
        <w:t xml:space="preserve"> </w:t>
      </w:r>
      <w:r w:rsidR="00B437F4">
        <w:rPr>
          <w:rFonts w:cs="Calibri"/>
          <w:lang w:val="en-GB"/>
        </w:rPr>
        <w:t>that more assets and liabilities are valued at fair, present</w:t>
      </w:r>
      <w:r w:rsidR="001C6A3E" w:rsidRPr="00F67CC4">
        <w:rPr>
          <w:rFonts w:cs="Calibri"/>
          <w:lang w:val="en-GB"/>
        </w:rPr>
        <w:t xml:space="preserve"> value with the consequence that the chan</w:t>
      </w:r>
      <w:r w:rsidR="00A00A3F">
        <w:rPr>
          <w:rFonts w:cs="Calibri"/>
          <w:lang w:val="en-GB"/>
        </w:rPr>
        <w:t>ge in value should be recorded i</w:t>
      </w:r>
      <w:r w:rsidR="001C6A3E" w:rsidRPr="00F67CC4">
        <w:rPr>
          <w:rFonts w:cs="Calibri"/>
          <w:lang w:val="en-GB"/>
        </w:rPr>
        <w:t>n the profit and loss account (</w:t>
      </w:r>
      <w:r w:rsidR="00197C76" w:rsidRPr="00F67CC4">
        <w:rPr>
          <w:rFonts w:cs="Calibri"/>
          <w:lang w:val="en-GB"/>
        </w:rPr>
        <w:t>Heemskerk and van der Tas 2006, p</w:t>
      </w:r>
      <w:r w:rsidR="00A00A3F">
        <w:rPr>
          <w:rFonts w:cs="Calibri"/>
          <w:lang w:val="en-GB"/>
        </w:rPr>
        <w:t xml:space="preserve"> </w:t>
      </w:r>
      <w:r w:rsidR="00197C76" w:rsidRPr="00F67CC4">
        <w:rPr>
          <w:rFonts w:cs="Calibri"/>
          <w:lang w:val="en-GB"/>
        </w:rPr>
        <w:t>574).</w:t>
      </w:r>
      <w:r w:rsidR="001C6A3E" w:rsidRPr="00F67CC4">
        <w:rPr>
          <w:rFonts w:cs="Calibri"/>
          <w:lang w:val="en-GB"/>
        </w:rPr>
        <w:t xml:space="preserve"> </w:t>
      </w:r>
      <w:r w:rsidR="00060123" w:rsidRPr="00F67CC4">
        <w:rPr>
          <w:rFonts w:cs="Calibri"/>
          <w:lang w:val="en-GB"/>
        </w:rPr>
        <w:t xml:space="preserve">This valuation at fair value, </w:t>
      </w:r>
      <w:r w:rsidR="00A00A3F">
        <w:rPr>
          <w:rFonts w:cs="Calibri"/>
          <w:lang w:val="en-GB"/>
        </w:rPr>
        <w:t>presents for</w:t>
      </w:r>
      <w:r w:rsidR="00060123" w:rsidRPr="00F67CC4">
        <w:rPr>
          <w:rFonts w:cs="Calibri"/>
          <w:lang w:val="en-GB"/>
        </w:rPr>
        <w:t xml:space="preserve"> managers more possibilities to influence</w:t>
      </w:r>
      <w:r w:rsidR="00A00A3F">
        <w:rPr>
          <w:rFonts w:cs="Calibri"/>
          <w:lang w:val="en-GB"/>
        </w:rPr>
        <w:t xml:space="preserve"> the</w:t>
      </w:r>
      <w:r w:rsidR="00060123" w:rsidRPr="00F67CC4">
        <w:rPr>
          <w:rFonts w:cs="Calibri"/>
          <w:lang w:val="en-GB"/>
        </w:rPr>
        <w:t xml:space="preserve"> financial statement</w:t>
      </w:r>
      <w:r w:rsidR="00113E46" w:rsidRPr="00F67CC4">
        <w:rPr>
          <w:rFonts w:cs="Calibri"/>
          <w:lang w:val="en-GB"/>
        </w:rPr>
        <w:t>s by changes in the estimations</w:t>
      </w:r>
      <w:r w:rsidR="00060123" w:rsidRPr="00F67CC4">
        <w:rPr>
          <w:rFonts w:cs="Calibri"/>
          <w:lang w:val="en-GB"/>
        </w:rPr>
        <w:t xml:space="preserve"> as a consequence that subjectivity can be a determinant in </w:t>
      </w:r>
      <w:r w:rsidR="00113E46" w:rsidRPr="00F67CC4">
        <w:rPr>
          <w:rFonts w:cs="Calibri"/>
          <w:lang w:val="en-GB"/>
        </w:rPr>
        <w:t>realising gains or losses (Ball 2006, p</w:t>
      </w:r>
      <w:r w:rsidR="00A00A3F">
        <w:rPr>
          <w:rFonts w:cs="Calibri"/>
          <w:lang w:val="en-GB"/>
        </w:rPr>
        <w:t xml:space="preserve"> </w:t>
      </w:r>
      <w:r w:rsidR="00113E46" w:rsidRPr="00F67CC4">
        <w:rPr>
          <w:rFonts w:cs="Calibri"/>
          <w:lang w:val="en-GB"/>
        </w:rPr>
        <w:t>13)</w:t>
      </w:r>
      <w:r w:rsidR="000626B9" w:rsidRPr="00F67CC4">
        <w:rPr>
          <w:rFonts w:cs="Calibri"/>
          <w:lang w:val="en-GB"/>
        </w:rPr>
        <w:t xml:space="preserve">. </w:t>
      </w:r>
    </w:p>
    <w:p w:rsidR="00060123" w:rsidRPr="00F67CC4" w:rsidRDefault="00291F52" w:rsidP="00F74511">
      <w:pPr>
        <w:spacing w:line="360" w:lineRule="auto"/>
        <w:rPr>
          <w:rFonts w:cs="Calibri"/>
          <w:lang w:val="en-GB"/>
        </w:rPr>
      </w:pPr>
      <w:r w:rsidRPr="00F67CC4">
        <w:rPr>
          <w:rFonts w:cs="Calibri"/>
          <w:lang w:val="en-GB"/>
        </w:rPr>
        <w:t>The components fair value accounting and the subjectivity of</w:t>
      </w:r>
      <w:r w:rsidR="00A00A3F">
        <w:rPr>
          <w:rFonts w:cs="Calibri"/>
          <w:lang w:val="en-GB"/>
        </w:rPr>
        <w:t xml:space="preserve"> the</w:t>
      </w:r>
      <w:r w:rsidRPr="00F67CC4">
        <w:rPr>
          <w:rFonts w:cs="Calibri"/>
          <w:lang w:val="en-GB"/>
        </w:rPr>
        <w:t xml:space="preserve"> value-determination by IFRS </w:t>
      </w:r>
      <w:r w:rsidR="00B437F4">
        <w:rPr>
          <w:rFonts w:cs="Calibri"/>
          <w:lang w:val="en-GB"/>
        </w:rPr>
        <w:t>are</w:t>
      </w:r>
      <w:r w:rsidRPr="00F67CC4">
        <w:rPr>
          <w:rFonts w:cs="Calibri"/>
          <w:lang w:val="en-GB"/>
        </w:rPr>
        <w:t xml:space="preserve"> used</w:t>
      </w:r>
      <w:r w:rsidR="00973EEF">
        <w:rPr>
          <w:rFonts w:cs="Calibri"/>
          <w:lang w:val="en-GB"/>
        </w:rPr>
        <w:t xml:space="preserve"> in the next section in</w:t>
      </w:r>
      <w:r w:rsidRPr="00F67CC4">
        <w:rPr>
          <w:rFonts w:cs="Calibri"/>
          <w:lang w:val="en-GB"/>
        </w:rPr>
        <w:t xml:space="preserve"> describing the advant</w:t>
      </w:r>
      <w:r w:rsidR="00973EEF">
        <w:rPr>
          <w:rFonts w:cs="Calibri"/>
          <w:lang w:val="en-GB"/>
        </w:rPr>
        <w:t xml:space="preserve">ages and </w:t>
      </w:r>
      <w:r w:rsidR="00A00A3F">
        <w:rPr>
          <w:rFonts w:cs="Calibri"/>
          <w:lang w:val="en-GB"/>
        </w:rPr>
        <w:t xml:space="preserve">the </w:t>
      </w:r>
      <w:r w:rsidR="00973EEF">
        <w:rPr>
          <w:rFonts w:cs="Calibri"/>
          <w:lang w:val="en-GB"/>
        </w:rPr>
        <w:t xml:space="preserve">disadvantages of </w:t>
      </w:r>
      <w:r w:rsidR="00A00A3F">
        <w:rPr>
          <w:rFonts w:cs="Calibri"/>
          <w:lang w:val="en-GB"/>
        </w:rPr>
        <w:t xml:space="preserve">the mandatory use of </w:t>
      </w:r>
      <w:r w:rsidR="00973EEF">
        <w:rPr>
          <w:rFonts w:cs="Calibri"/>
          <w:lang w:val="en-GB"/>
        </w:rPr>
        <w:t>IFRS.</w:t>
      </w:r>
    </w:p>
    <w:p w:rsidR="0053657B" w:rsidRPr="00F67CC4" w:rsidRDefault="004E0808" w:rsidP="00F74511">
      <w:pPr>
        <w:spacing w:line="360" w:lineRule="auto"/>
        <w:rPr>
          <w:rFonts w:cs="Calibri"/>
          <w:lang w:val="en-GB"/>
        </w:rPr>
      </w:pPr>
      <w:r w:rsidRPr="00F67CC4">
        <w:rPr>
          <w:rFonts w:cs="Calibri"/>
          <w:b/>
          <w:lang w:val="en-GB"/>
        </w:rPr>
        <w:t>3.3.2</w:t>
      </w:r>
      <w:r w:rsidR="001C6A3E" w:rsidRPr="00F67CC4">
        <w:rPr>
          <w:rFonts w:cs="Calibri"/>
          <w:b/>
          <w:lang w:val="en-GB"/>
        </w:rPr>
        <w:t xml:space="preserve"> </w:t>
      </w:r>
      <w:r w:rsidR="006E5969" w:rsidRPr="00F67CC4">
        <w:rPr>
          <w:rFonts w:cs="Calibri"/>
          <w:b/>
          <w:lang w:val="en-GB"/>
        </w:rPr>
        <w:t>Advantages</w:t>
      </w:r>
      <w:r w:rsidR="001C6A3E" w:rsidRPr="00F67CC4">
        <w:rPr>
          <w:rFonts w:cs="Calibri"/>
          <w:b/>
          <w:lang w:val="en-GB"/>
        </w:rPr>
        <w:t xml:space="preserve"> and </w:t>
      </w:r>
      <w:r w:rsidR="006E5969" w:rsidRPr="00F67CC4">
        <w:rPr>
          <w:rFonts w:cs="Calibri"/>
          <w:b/>
          <w:lang w:val="en-GB"/>
        </w:rPr>
        <w:t>Disadvantages of</w:t>
      </w:r>
      <w:r w:rsidR="00A00A3F">
        <w:rPr>
          <w:rFonts w:cs="Calibri"/>
          <w:b/>
          <w:lang w:val="en-GB"/>
        </w:rPr>
        <w:t xml:space="preserve"> the mandatory use of</w:t>
      </w:r>
      <w:r w:rsidR="006E5969" w:rsidRPr="00F67CC4">
        <w:rPr>
          <w:rFonts w:cs="Calibri"/>
          <w:b/>
          <w:lang w:val="en-GB"/>
        </w:rPr>
        <w:t xml:space="preserve"> IFRS</w:t>
      </w:r>
      <w:r w:rsidR="001C6A3E" w:rsidRPr="00F67CC4">
        <w:rPr>
          <w:rFonts w:cs="Calibri"/>
          <w:lang w:val="en-GB"/>
        </w:rPr>
        <w:br/>
        <w:t xml:space="preserve">The IFRS were introduced as the standards that </w:t>
      </w:r>
      <w:r w:rsidR="0074002B" w:rsidRPr="00F67CC4">
        <w:rPr>
          <w:rFonts w:cs="Calibri"/>
          <w:lang w:val="en-GB"/>
        </w:rPr>
        <w:t xml:space="preserve">should prevent or </w:t>
      </w:r>
      <w:r w:rsidR="00843BD8" w:rsidRPr="00F67CC4">
        <w:rPr>
          <w:rFonts w:cs="Calibri"/>
          <w:lang w:val="en-GB"/>
        </w:rPr>
        <w:t xml:space="preserve">at least </w:t>
      </w:r>
      <w:r w:rsidR="0074002B" w:rsidRPr="00F67CC4">
        <w:rPr>
          <w:rFonts w:cs="Calibri"/>
          <w:lang w:val="en-GB"/>
        </w:rPr>
        <w:t xml:space="preserve">decline the use of </w:t>
      </w:r>
      <w:r w:rsidR="001C6A3E" w:rsidRPr="00F67CC4">
        <w:rPr>
          <w:rFonts w:cs="Calibri"/>
          <w:lang w:val="en-GB"/>
        </w:rPr>
        <w:t xml:space="preserve">earnings management and create more transparency and </w:t>
      </w:r>
      <w:r w:rsidR="006740BE" w:rsidRPr="00F67CC4">
        <w:rPr>
          <w:rFonts w:cs="Calibri"/>
          <w:lang w:val="en-GB"/>
        </w:rPr>
        <w:t>comparability</w:t>
      </w:r>
      <w:r w:rsidR="001C6A3E" w:rsidRPr="00F67CC4">
        <w:rPr>
          <w:rFonts w:cs="Calibri"/>
          <w:lang w:val="en-GB"/>
        </w:rPr>
        <w:t xml:space="preserve"> </w:t>
      </w:r>
      <w:r w:rsidR="00A00A3F">
        <w:rPr>
          <w:rFonts w:cs="Calibri"/>
          <w:lang w:val="en-GB"/>
        </w:rPr>
        <w:t>in the</w:t>
      </w:r>
      <w:r w:rsidR="001C6A3E" w:rsidRPr="00F67CC4">
        <w:rPr>
          <w:rFonts w:cs="Calibri"/>
          <w:lang w:val="en-GB"/>
        </w:rPr>
        <w:t xml:space="preserve"> financial statements </w:t>
      </w:r>
      <w:r w:rsidR="0067580E" w:rsidRPr="00F67CC4">
        <w:rPr>
          <w:rFonts w:cs="Calibri"/>
          <w:lang w:val="en-GB"/>
        </w:rPr>
        <w:t>(</w:t>
      </w:r>
      <w:r w:rsidR="006740BE" w:rsidRPr="00F67CC4">
        <w:rPr>
          <w:rFonts w:cs="Calibri"/>
          <w:lang w:val="en-GB"/>
        </w:rPr>
        <w:t>EC No 1606/2002, p</w:t>
      </w:r>
      <w:r w:rsidR="00A00A3F">
        <w:rPr>
          <w:rFonts w:cs="Calibri"/>
          <w:lang w:val="en-GB"/>
        </w:rPr>
        <w:t xml:space="preserve"> </w:t>
      </w:r>
      <w:r w:rsidR="006740BE" w:rsidRPr="00F67CC4">
        <w:rPr>
          <w:rFonts w:cs="Calibri"/>
          <w:lang w:val="en-GB"/>
        </w:rPr>
        <w:t>243/1</w:t>
      </w:r>
      <w:r w:rsidR="0067580E" w:rsidRPr="00F67CC4">
        <w:rPr>
          <w:rFonts w:cs="Calibri"/>
          <w:lang w:val="en-GB"/>
        </w:rPr>
        <w:t>)</w:t>
      </w:r>
      <w:r w:rsidR="00D21BF8">
        <w:rPr>
          <w:rFonts w:cs="Calibri"/>
          <w:lang w:val="en-GB"/>
        </w:rPr>
        <w:t>.</w:t>
      </w:r>
      <w:r w:rsidR="001C6A3E" w:rsidRPr="00F67CC4">
        <w:rPr>
          <w:rFonts w:cs="Calibri"/>
          <w:lang w:val="en-GB"/>
        </w:rPr>
        <w:t xml:space="preserve"> But what influence do the new standards have on managers’ behaviour and do the standards really increase the value of</w:t>
      </w:r>
      <w:r w:rsidR="00184349" w:rsidRPr="00F67CC4">
        <w:rPr>
          <w:rFonts w:cs="Calibri"/>
          <w:lang w:val="en-GB"/>
        </w:rPr>
        <w:t xml:space="preserve"> the</w:t>
      </w:r>
      <w:r w:rsidR="001C6A3E" w:rsidRPr="00F67CC4">
        <w:rPr>
          <w:rFonts w:cs="Calibri"/>
          <w:lang w:val="en-GB"/>
        </w:rPr>
        <w:t xml:space="preserve"> financial statements? Ball (2006) has </w:t>
      </w:r>
      <w:r w:rsidR="00A00A3F">
        <w:rPr>
          <w:rFonts w:cs="Calibri"/>
          <w:lang w:val="en-GB"/>
        </w:rPr>
        <w:t>performed</w:t>
      </w:r>
      <w:r w:rsidR="00DE2B6D" w:rsidRPr="00F67CC4">
        <w:rPr>
          <w:rFonts w:cs="Calibri"/>
          <w:lang w:val="en-GB"/>
        </w:rPr>
        <w:t xml:space="preserve"> research </w:t>
      </w:r>
      <w:r w:rsidR="0060195F">
        <w:rPr>
          <w:rFonts w:cs="Calibri"/>
          <w:lang w:val="en-GB"/>
        </w:rPr>
        <w:t>on</w:t>
      </w:r>
      <w:r w:rsidR="00DE2B6D" w:rsidRPr="00F67CC4">
        <w:rPr>
          <w:rFonts w:cs="Calibri"/>
          <w:lang w:val="en-GB"/>
        </w:rPr>
        <w:t xml:space="preserve"> this by focussing on</w:t>
      </w:r>
      <w:r w:rsidR="0067580E" w:rsidRPr="00F67CC4">
        <w:rPr>
          <w:rFonts w:cs="Calibri"/>
          <w:lang w:val="en-GB"/>
        </w:rPr>
        <w:t xml:space="preserve"> the positive</w:t>
      </w:r>
      <w:r w:rsidR="001C6A3E" w:rsidRPr="00F67CC4">
        <w:rPr>
          <w:rFonts w:cs="Calibri"/>
          <w:lang w:val="en-GB"/>
        </w:rPr>
        <w:t xml:space="preserve"> and </w:t>
      </w:r>
      <w:r w:rsidR="00A00A3F">
        <w:rPr>
          <w:rFonts w:cs="Calibri"/>
          <w:lang w:val="en-GB"/>
        </w:rPr>
        <w:t xml:space="preserve">on the </w:t>
      </w:r>
      <w:r w:rsidR="0067580E" w:rsidRPr="00F67CC4">
        <w:rPr>
          <w:rFonts w:cs="Calibri"/>
          <w:lang w:val="en-GB"/>
        </w:rPr>
        <w:t>negative aspects</w:t>
      </w:r>
      <w:r w:rsidR="001C6A3E" w:rsidRPr="00F67CC4">
        <w:rPr>
          <w:rFonts w:cs="Calibri"/>
          <w:lang w:val="en-GB"/>
        </w:rPr>
        <w:t xml:space="preserve"> of the introduction of IFRS </w:t>
      </w:r>
      <w:r w:rsidR="001C6A3E" w:rsidRPr="00F67CC4">
        <w:rPr>
          <w:rFonts w:cs="Calibri"/>
          <w:lang w:val="en-GB"/>
        </w:rPr>
        <w:lastRenderedPageBreak/>
        <w:t xml:space="preserve">for investors. According to Ball (2006) investors get more accurate, comprehensive and timely </w:t>
      </w:r>
      <w:r w:rsidR="00973EEF">
        <w:rPr>
          <w:rFonts w:cs="Calibri"/>
          <w:lang w:val="en-GB"/>
        </w:rPr>
        <w:t>financial statement information</w:t>
      </w:r>
      <w:r w:rsidR="001C6A3E" w:rsidRPr="00F67CC4">
        <w:rPr>
          <w:rFonts w:cs="Calibri"/>
          <w:lang w:val="en-GB"/>
        </w:rPr>
        <w:t xml:space="preserve"> relative to the national standards they replace for public financial reporting in most of the countries ad</w:t>
      </w:r>
      <w:r w:rsidR="00D21BF8">
        <w:rPr>
          <w:rFonts w:cs="Calibri"/>
          <w:lang w:val="en-GB"/>
        </w:rPr>
        <w:t>opting them</w:t>
      </w:r>
      <w:r w:rsidR="001C6A3E" w:rsidRPr="00F67CC4">
        <w:rPr>
          <w:rFonts w:cs="Calibri"/>
          <w:lang w:val="en-GB"/>
        </w:rPr>
        <w:t xml:space="preserve"> </w:t>
      </w:r>
      <w:r w:rsidR="00843BD8" w:rsidRPr="00F67CC4">
        <w:rPr>
          <w:rFonts w:cs="Calibri"/>
          <w:lang w:val="en-GB"/>
        </w:rPr>
        <w:t>(Ball 2006, p</w:t>
      </w:r>
      <w:r w:rsidR="00A00A3F">
        <w:rPr>
          <w:rFonts w:cs="Calibri"/>
          <w:lang w:val="en-GB"/>
        </w:rPr>
        <w:t xml:space="preserve"> </w:t>
      </w:r>
      <w:r w:rsidR="00843BD8" w:rsidRPr="00F67CC4">
        <w:rPr>
          <w:rFonts w:cs="Calibri"/>
          <w:lang w:val="en-GB"/>
        </w:rPr>
        <w:t>11)</w:t>
      </w:r>
      <w:r w:rsidR="00D21BF8">
        <w:rPr>
          <w:rFonts w:cs="Calibri"/>
          <w:lang w:val="en-GB"/>
        </w:rPr>
        <w:t>.</w:t>
      </w:r>
      <w:r w:rsidR="00A00A3F">
        <w:rPr>
          <w:rFonts w:cs="Calibri"/>
          <w:lang w:val="en-GB"/>
        </w:rPr>
        <w:t xml:space="preserve"> Because of the improved financial reporting quality which reduces the risk for them of trading with a better-informed professional, small investors will be able to anticipate better on the financial statement information. </w:t>
      </w:r>
      <w:r w:rsidR="001C6A3E" w:rsidRPr="00F67CC4">
        <w:rPr>
          <w:rFonts w:cs="Calibri"/>
          <w:lang w:val="en-GB"/>
        </w:rPr>
        <w:t>By using a standardised reporting format, IFRS will eliminate many of the adjustments analysts historically have made in order to make companies</w:t>
      </w:r>
      <w:r w:rsidR="006C5241" w:rsidRPr="00F67CC4">
        <w:rPr>
          <w:rFonts w:cs="Calibri"/>
          <w:lang w:val="en-GB"/>
        </w:rPr>
        <w:t>’</w:t>
      </w:r>
      <w:r w:rsidR="0067580E" w:rsidRPr="00F67CC4">
        <w:rPr>
          <w:rFonts w:cs="Calibri"/>
          <w:lang w:val="en-GB"/>
        </w:rPr>
        <w:t xml:space="preserve"> financial information</w:t>
      </w:r>
      <w:r w:rsidR="001C6A3E" w:rsidRPr="00F67CC4">
        <w:rPr>
          <w:rFonts w:cs="Calibri"/>
          <w:lang w:val="en-GB"/>
        </w:rPr>
        <w:t xml:space="preserve"> i</w:t>
      </w:r>
      <w:r w:rsidR="000626B9" w:rsidRPr="00F67CC4">
        <w:rPr>
          <w:rFonts w:cs="Calibri"/>
          <w:lang w:val="en-GB"/>
        </w:rPr>
        <w:t xml:space="preserve">nternationally more comparable </w:t>
      </w:r>
      <w:r w:rsidR="001C6A3E" w:rsidRPr="00F67CC4">
        <w:rPr>
          <w:rFonts w:cs="Calibri"/>
          <w:lang w:val="en-GB"/>
        </w:rPr>
        <w:t>(Ball, 2006, p11)</w:t>
      </w:r>
      <w:r w:rsidR="000626B9" w:rsidRPr="00F67CC4">
        <w:rPr>
          <w:rFonts w:cs="Calibri"/>
          <w:lang w:val="en-GB"/>
        </w:rPr>
        <w:t>.</w:t>
      </w:r>
      <w:r w:rsidR="001C6A3E" w:rsidRPr="00F67CC4">
        <w:rPr>
          <w:rFonts w:cs="Calibri"/>
          <w:lang w:val="en-GB"/>
        </w:rPr>
        <w:t xml:space="preserve"> Like Ball (2006), Heemskerk and van der Tas (2006) </w:t>
      </w:r>
      <w:r w:rsidR="00A00A3F">
        <w:rPr>
          <w:rFonts w:cs="Calibri"/>
          <w:lang w:val="en-GB"/>
        </w:rPr>
        <w:t>in addition</w:t>
      </w:r>
      <w:r w:rsidR="001C6A3E" w:rsidRPr="00F67CC4">
        <w:rPr>
          <w:rFonts w:cs="Calibri"/>
          <w:lang w:val="en-GB"/>
        </w:rPr>
        <w:t xml:space="preserve"> suggest that one of the </w:t>
      </w:r>
      <w:r w:rsidR="00843BD8" w:rsidRPr="00F67CC4">
        <w:rPr>
          <w:rFonts w:cs="Calibri"/>
          <w:lang w:val="en-GB"/>
        </w:rPr>
        <w:t>advantages of implementing</w:t>
      </w:r>
      <w:r w:rsidR="006C5241" w:rsidRPr="00F67CC4">
        <w:rPr>
          <w:rFonts w:cs="Calibri"/>
          <w:lang w:val="en-GB"/>
        </w:rPr>
        <w:t xml:space="preserve"> </w:t>
      </w:r>
      <w:r w:rsidR="001C6A3E" w:rsidRPr="00F67CC4">
        <w:rPr>
          <w:rFonts w:cs="Calibri"/>
          <w:lang w:val="en-GB"/>
        </w:rPr>
        <w:t>IFRS is</w:t>
      </w:r>
      <w:r w:rsidR="006C5241" w:rsidRPr="00F67CC4">
        <w:rPr>
          <w:rFonts w:cs="Calibri"/>
          <w:lang w:val="en-GB"/>
        </w:rPr>
        <w:t xml:space="preserve"> providing</w:t>
      </w:r>
      <w:r w:rsidR="001C6A3E" w:rsidRPr="00F67CC4">
        <w:rPr>
          <w:rFonts w:cs="Calibri"/>
          <w:lang w:val="en-GB"/>
        </w:rPr>
        <w:t xml:space="preserve"> more transparency and comparability. </w:t>
      </w:r>
    </w:p>
    <w:p w:rsidR="001C6A3E" w:rsidRPr="00F67CC4" w:rsidRDefault="001C6A3E" w:rsidP="00F74511">
      <w:pPr>
        <w:spacing w:line="360" w:lineRule="auto"/>
        <w:rPr>
          <w:rFonts w:cs="Calibri"/>
          <w:lang w:val="en-GB"/>
        </w:rPr>
      </w:pPr>
      <w:r w:rsidRPr="00F67CC4">
        <w:rPr>
          <w:rFonts w:cs="Calibri"/>
          <w:lang w:val="en-GB"/>
        </w:rPr>
        <w:t xml:space="preserve">Next to the advantages, </w:t>
      </w:r>
      <w:r w:rsidR="00A00A3F">
        <w:rPr>
          <w:rFonts w:cs="Calibri"/>
          <w:lang w:val="en-GB"/>
        </w:rPr>
        <w:t xml:space="preserve">in addition on the use of IFRS some disadvantages exist. </w:t>
      </w:r>
      <w:r w:rsidR="0053657B" w:rsidRPr="00F67CC4">
        <w:rPr>
          <w:rFonts w:cs="Calibri"/>
          <w:lang w:val="en-GB"/>
        </w:rPr>
        <w:t>Remarkable is</w:t>
      </w:r>
      <w:r w:rsidRPr="00F67CC4">
        <w:rPr>
          <w:rFonts w:cs="Calibri"/>
          <w:lang w:val="en-GB"/>
        </w:rPr>
        <w:t xml:space="preserve"> that fair value accounting is </w:t>
      </w:r>
      <w:r w:rsidR="00A00A3F">
        <w:rPr>
          <w:rFonts w:cs="Calibri"/>
          <w:lang w:val="en-GB"/>
        </w:rPr>
        <w:t>qualified</w:t>
      </w:r>
      <w:r w:rsidRPr="00F67CC4">
        <w:rPr>
          <w:rFonts w:cs="Calibri"/>
          <w:lang w:val="en-GB"/>
        </w:rPr>
        <w:t xml:space="preserve"> </w:t>
      </w:r>
      <w:r w:rsidR="00973EEF">
        <w:rPr>
          <w:rFonts w:cs="Calibri"/>
          <w:lang w:val="en-GB"/>
        </w:rPr>
        <w:t xml:space="preserve">as </w:t>
      </w:r>
      <w:r w:rsidRPr="00F67CC4">
        <w:rPr>
          <w:rFonts w:cs="Calibri"/>
          <w:lang w:val="en-GB"/>
        </w:rPr>
        <w:t xml:space="preserve">both </w:t>
      </w:r>
      <w:r w:rsidR="0053657B" w:rsidRPr="00F67CC4">
        <w:rPr>
          <w:rFonts w:cs="Calibri"/>
          <w:lang w:val="en-GB"/>
        </w:rPr>
        <w:t xml:space="preserve">a </w:t>
      </w:r>
      <w:r w:rsidR="00973EEF">
        <w:rPr>
          <w:rFonts w:cs="Calibri"/>
          <w:lang w:val="en-GB"/>
        </w:rPr>
        <w:t>positive and</w:t>
      </w:r>
      <w:r w:rsidR="0053657B" w:rsidRPr="00F67CC4">
        <w:rPr>
          <w:rFonts w:cs="Calibri"/>
          <w:lang w:val="en-GB"/>
        </w:rPr>
        <w:t xml:space="preserve"> </w:t>
      </w:r>
      <w:r w:rsidR="00A00A3F">
        <w:rPr>
          <w:rFonts w:cs="Calibri"/>
          <w:lang w:val="en-GB"/>
        </w:rPr>
        <w:t xml:space="preserve">a </w:t>
      </w:r>
      <w:r w:rsidRPr="00F67CC4">
        <w:rPr>
          <w:rFonts w:cs="Calibri"/>
          <w:lang w:val="en-GB"/>
        </w:rPr>
        <w:t>negative</w:t>
      </w:r>
      <w:r w:rsidR="000C689F" w:rsidRPr="00F67CC4">
        <w:rPr>
          <w:rFonts w:cs="Calibri"/>
          <w:lang w:val="en-GB"/>
        </w:rPr>
        <w:t xml:space="preserve"> aspect of</w:t>
      </w:r>
      <w:r w:rsidR="00A00A3F">
        <w:rPr>
          <w:rFonts w:cs="Calibri"/>
          <w:lang w:val="en-GB"/>
        </w:rPr>
        <w:t xml:space="preserve"> the use of</w:t>
      </w:r>
      <w:r w:rsidR="000C689F" w:rsidRPr="00F67CC4">
        <w:rPr>
          <w:rFonts w:cs="Calibri"/>
          <w:lang w:val="en-GB"/>
        </w:rPr>
        <w:t xml:space="preserve"> IFRS</w:t>
      </w:r>
      <w:r w:rsidRPr="00F67CC4">
        <w:rPr>
          <w:rFonts w:cs="Calibri"/>
          <w:lang w:val="en-GB"/>
        </w:rPr>
        <w:t>.</w:t>
      </w:r>
      <w:r w:rsidR="00D21BF8">
        <w:rPr>
          <w:rFonts w:cs="Calibri"/>
          <w:lang w:val="en-GB"/>
        </w:rPr>
        <w:t xml:space="preserve"> The</w:t>
      </w:r>
      <w:r w:rsidRPr="00F67CC4">
        <w:rPr>
          <w:rFonts w:cs="Calibri"/>
          <w:lang w:val="en-GB"/>
        </w:rPr>
        <w:t xml:space="preserve"> </w:t>
      </w:r>
      <w:r w:rsidR="00D21BF8">
        <w:rPr>
          <w:rFonts w:cs="Calibri"/>
          <w:lang w:val="en-GB"/>
        </w:rPr>
        <w:t>d</w:t>
      </w:r>
      <w:r w:rsidR="00843BD8" w:rsidRPr="00F67CC4">
        <w:rPr>
          <w:rFonts w:cs="Calibri"/>
          <w:lang w:val="en-GB"/>
        </w:rPr>
        <w:t>etermination of value</w:t>
      </w:r>
      <w:r w:rsidR="00D21BF8">
        <w:rPr>
          <w:rFonts w:cs="Calibri"/>
          <w:lang w:val="en-GB"/>
        </w:rPr>
        <w:t>s</w:t>
      </w:r>
      <w:r w:rsidR="00843BD8" w:rsidRPr="00F67CC4">
        <w:rPr>
          <w:rFonts w:cs="Calibri"/>
          <w:lang w:val="en-GB"/>
        </w:rPr>
        <w:t xml:space="preserve"> by management may be an improvement when management determines the fair value</w:t>
      </w:r>
      <w:r w:rsidR="00D21BF8">
        <w:rPr>
          <w:rFonts w:cs="Calibri"/>
          <w:lang w:val="en-GB"/>
        </w:rPr>
        <w:t>,</w:t>
      </w:r>
      <w:r w:rsidR="00843BD8" w:rsidRPr="00F67CC4">
        <w:rPr>
          <w:rFonts w:cs="Calibri"/>
          <w:lang w:val="en-GB"/>
        </w:rPr>
        <w:t xml:space="preserve"> </w:t>
      </w:r>
      <w:r w:rsidR="00D21BF8">
        <w:rPr>
          <w:rFonts w:cs="Calibri"/>
          <w:lang w:val="en-GB"/>
        </w:rPr>
        <w:t>but w</w:t>
      </w:r>
      <w:r w:rsidR="00843BD8" w:rsidRPr="00F67CC4">
        <w:rPr>
          <w:rFonts w:cs="Calibri"/>
          <w:lang w:val="en-GB"/>
        </w:rPr>
        <w:t>hen management uses thi</w:t>
      </w:r>
      <w:r w:rsidR="00D21BF8">
        <w:rPr>
          <w:rFonts w:cs="Calibri"/>
          <w:lang w:val="en-GB"/>
        </w:rPr>
        <w:t xml:space="preserve">s subjectivity for </w:t>
      </w:r>
      <w:r w:rsidR="00A00A3F">
        <w:rPr>
          <w:rFonts w:cs="Calibri"/>
          <w:lang w:val="en-GB"/>
        </w:rPr>
        <w:t xml:space="preserve">their </w:t>
      </w:r>
      <w:r w:rsidR="00D21BF8">
        <w:rPr>
          <w:rFonts w:cs="Calibri"/>
          <w:lang w:val="en-GB"/>
        </w:rPr>
        <w:t>own interest</w:t>
      </w:r>
      <w:r w:rsidR="00843BD8" w:rsidRPr="00F67CC4">
        <w:rPr>
          <w:rFonts w:cs="Calibri"/>
          <w:lang w:val="en-GB"/>
        </w:rPr>
        <w:t xml:space="preserve"> fair value accounting is a negative aspect of </w:t>
      </w:r>
      <w:r w:rsidR="00A00A3F">
        <w:rPr>
          <w:rFonts w:cs="Calibri"/>
          <w:lang w:val="en-GB"/>
        </w:rPr>
        <w:t xml:space="preserve">the use of </w:t>
      </w:r>
      <w:r w:rsidR="00843BD8" w:rsidRPr="00F67CC4">
        <w:rPr>
          <w:rFonts w:cs="Calibri"/>
          <w:lang w:val="en-GB"/>
        </w:rPr>
        <w:t xml:space="preserve">IFRS </w:t>
      </w:r>
      <w:r w:rsidR="0053657B" w:rsidRPr="00F67CC4">
        <w:rPr>
          <w:rFonts w:cs="Calibri"/>
          <w:lang w:val="en-GB"/>
        </w:rPr>
        <w:t>(</w:t>
      </w:r>
      <w:r w:rsidR="00CF46B8" w:rsidRPr="00F67CC4">
        <w:rPr>
          <w:rFonts w:cs="Calibri"/>
          <w:lang w:val="en-GB"/>
        </w:rPr>
        <w:t>Ball 2006, p</w:t>
      </w:r>
      <w:r w:rsidR="00A00A3F">
        <w:rPr>
          <w:rFonts w:cs="Calibri"/>
          <w:lang w:val="en-GB"/>
        </w:rPr>
        <w:t xml:space="preserve"> </w:t>
      </w:r>
      <w:r w:rsidR="00CF46B8" w:rsidRPr="00F67CC4">
        <w:rPr>
          <w:rFonts w:cs="Calibri"/>
          <w:lang w:val="en-GB"/>
        </w:rPr>
        <w:t>9</w:t>
      </w:r>
      <w:r w:rsidR="0053657B" w:rsidRPr="00F67CC4">
        <w:rPr>
          <w:rFonts w:cs="Calibri"/>
          <w:lang w:val="en-GB"/>
        </w:rPr>
        <w:t>)</w:t>
      </w:r>
      <w:r w:rsidR="00D21BF8">
        <w:rPr>
          <w:rFonts w:cs="Calibri"/>
          <w:lang w:val="en-GB"/>
        </w:rPr>
        <w:t>.</w:t>
      </w:r>
      <w:r w:rsidRPr="00F67CC4">
        <w:rPr>
          <w:rFonts w:cs="Calibri"/>
          <w:b/>
          <w:lang w:val="en-GB"/>
        </w:rPr>
        <w:t xml:space="preserve"> </w:t>
      </w:r>
      <w:r w:rsidRPr="00F67CC4">
        <w:rPr>
          <w:rFonts w:cs="Calibri"/>
          <w:lang w:val="en-GB"/>
        </w:rPr>
        <w:t xml:space="preserve">Another disadvantage that is </w:t>
      </w:r>
      <w:r w:rsidR="00A00A3F">
        <w:rPr>
          <w:rFonts w:cs="Calibri"/>
          <w:lang w:val="en-GB"/>
        </w:rPr>
        <w:t xml:space="preserve">signalled </w:t>
      </w:r>
      <w:r w:rsidRPr="00F67CC4">
        <w:rPr>
          <w:rFonts w:cs="Calibri"/>
          <w:lang w:val="en-GB"/>
        </w:rPr>
        <w:t xml:space="preserve">by Ball (2006) is that a general system of standards </w:t>
      </w:r>
      <w:r w:rsidR="00A00A3F">
        <w:rPr>
          <w:rFonts w:cs="Calibri"/>
          <w:lang w:val="en-GB"/>
        </w:rPr>
        <w:t>creates</w:t>
      </w:r>
      <w:r w:rsidRPr="00F67CC4">
        <w:rPr>
          <w:rFonts w:cs="Calibri"/>
          <w:lang w:val="en-GB"/>
        </w:rPr>
        <w:t xml:space="preserve"> less competition among the several systems of standards and </w:t>
      </w:r>
      <w:r w:rsidR="00843BD8" w:rsidRPr="00F67CC4">
        <w:rPr>
          <w:rFonts w:cs="Calibri"/>
          <w:lang w:val="en-GB"/>
        </w:rPr>
        <w:t xml:space="preserve">that </w:t>
      </w:r>
      <w:r w:rsidRPr="00F67CC4">
        <w:rPr>
          <w:rFonts w:cs="Calibri"/>
          <w:lang w:val="en-GB"/>
        </w:rPr>
        <w:t>incentives of prepares will remain local which will create qu</w:t>
      </w:r>
      <w:r w:rsidR="009D565C" w:rsidRPr="00F67CC4">
        <w:rPr>
          <w:rFonts w:cs="Calibri"/>
          <w:lang w:val="en-GB"/>
        </w:rPr>
        <w:t xml:space="preserve">ality differences between areas which will tend to be ‘swept under the </w:t>
      </w:r>
      <w:r w:rsidR="000626B9" w:rsidRPr="00F67CC4">
        <w:rPr>
          <w:rFonts w:cs="Calibri"/>
          <w:lang w:val="en-GB"/>
        </w:rPr>
        <w:t>rug’ of uniformity</w:t>
      </w:r>
      <w:r w:rsidR="009D565C" w:rsidRPr="00F67CC4">
        <w:rPr>
          <w:rFonts w:cs="Calibri"/>
          <w:lang w:val="en-GB"/>
        </w:rPr>
        <w:t xml:space="preserve"> (Ball 2006, p</w:t>
      </w:r>
      <w:r w:rsidR="00197C76" w:rsidRPr="00F67CC4">
        <w:rPr>
          <w:rFonts w:cs="Calibri"/>
          <w:lang w:val="en-GB"/>
        </w:rPr>
        <w:t>p</w:t>
      </w:r>
      <w:r w:rsidR="000626B9" w:rsidRPr="00F67CC4">
        <w:rPr>
          <w:rFonts w:cs="Calibri"/>
          <w:lang w:val="en-GB"/>
        </w:rPr>
        <w:t>.</w:t>
      </w:r>
      <w:r w:rsidR="009D565C" w:rsidRPr="00F67CC4">
        <w:rPr>
          <w:rFonts w:cs="Calibri"/>
          <w:lang w:val="en-GB"/>
        </w:rPr>
        <w:t xml:space="preserve"> 24-25)</w:t>
      </w:r>
      <w:r w:rsidR="000626B9" w:rsidRPr="00F67CC4">
        <w:rPr>
          <w:rFonts w:cs="Calibri"/>
          <w:lang w:val="en-GB"/>
        </w:rPr>
        <w:t>.</w:t>
      </w:r>
    </w:p>
    <w:p w:rsidR="001C6A3E" w:rsidRDefault="001C6A3E" w:rsidP="00F74511">
      <w:pPr>
        <w:spacing w:line="360" w:lineRule="auto"/>
        <w:rPr>
          <w:rFonts w:cs="Calibri"/>
          <w:lang w:val="en-GB"/>
        </w:rPr>
      </w:pPr>
      <w:r w:rsidRPr="00F67CC4">
        <w:rPr>
          <w:rFonts w:cs="Calibri"/>
          <w:lang w:val="en-GB"/>
        </w:rPr>
        <w:t xml:space="preserve">Bolt-Lee and Smith (2009) </w:t>
      </w:r>
      <w:r w:rsidR="00843BD8" w:rsidRPr="00F67CC4">
        <w:rPr>
          <w:rFonts w:cs="Calibri"/>
          <w:lang w:val="en-GB"/>
        </w:rPr>
        <w:t>have analysed</w:t>
      </w:r>
      <w:r w:rsidRPr="00F67CC4">
        <w:rPr>
          <w:rFonts w:cs="Calibri"/>
          <w:lang w:val="en-GB"/>
        </w:rPr>
        <w:t xml:space="preserve"> IFRS research</w:t>
      </w:r>
      <w:r w:rsidR="00843BD8" w:rsidRPr="00F67CC4">
        <w:rPr>
          <w:rFonts w:cs="Calibri"/>
          <w:lang w:val="en-GB"/>
        </w:rPr>
        <w:t>es that have</w:t>
      </w:r>
      <w:r w:rsidRPr="00F67CC4">
        <w:rPr>
          <w:rFonts w:cs="Calibri"/>
          <w:lang w:val="en-GB"/>
        </w:rPr>
        <w:t xml:space="preserve"> been </w:t>
      </w:r>
      <w:r w:rsidR="00CE6AB0">
        <w:rPr>
          <w:rFonts w:cs="Calibri"/>
          <w:lang w:val="en-GB"/>
        </w:rPr>
        <w:t>performed</w:t>
      </w:r>
      <w:r w:rsidR="00843BD8" w:rsidRPr="00F67CC4">
        <w:rPr>
          <w:rFonts w:cs="Calibri"/>
          <w:lang w:val="en-GB"/>
        </w:rPr>
        <w:t xml:space="preserve"> till the</w:t>
      </w:r>
      <w:r w:rsidRPr="00F67CC4">
        <w:rPr>
          <w:rFonts w:cs="Calibri"/>
          <w:lang w:val="en-GB"/>
        </w:rPr>
        <w:t xml:space="preserve"> presentation</w:t>
      </w:r>
      <w:r w:rsidR="0053657B" w:rsidRPr="00F67CC4">
        <w:rPr>
          <w:rFonts w:cs="Calibri"/>
          <w:lang w:val="en-GB"/>
        </w:rPr>
        <w:t xml:space="preserve"> of the</w:t>
      </w:r>
      <w:r w:rsidR="00843BD8" w:rsidRPr="00F67CC4">
        <w:rPr>
          <w:rFonts w:cs="Calibri"/>
          <w:lang w:val="en-GB"/>
        </w:rPr>
        <w:t>ir</w:t>
      </w:r>
      <w:r w:rsidR="0053657B" w:rsidRPr="00F67CC4">
        <w:rPr>
          <w:rFonts w:cs="Calibri"/>
          <w:lang w:val="en-GB"/>
        </w:rPr>
        <w:t xml:space="preserve"> article. The article </w:t>
      </w:r>
      <w:r w:rsidR="00973EEF">
        <w:rPr>
          <w:rFonts w:cs="Calibri"/>
          <w:lang w:val="en-GB"/>
        </w:rPr>
        <w:t xml:space="preserve">is </w:t>
      </w:r>
      <w:r w:rsidR="0053657B" w:rsidRPr="00F67CC4">
        <w:rPr>
          <w:rFonts w:cs="Calibri"/>
          <w:lang w:val="en-GB"/>
        </w:rPr>
        <w:t xml:space="preserve">an analysis of </w:t>
      </w:r>
      <w:r w:rsidRPr="00F67CC4">
        <w:rPr>
          <w:rFonts w:cs="Calibri"/>
          <w:lang w:val="en-GB"/>
        </w:rPr>
        <w:t>the benefit</w:t>
      </w:r>
      <w:r w:rsidR="00973EEF">
        <w:rPr>
          <w:rFonts w:cs="Calibri"/>
          <w:lang w:val="en-GB"/>
        </w:rPr>
        <w:t>s</w:t>
      </w:r>
      <w:r w:rsidRPr="00F67CC4">
        <w:rPr>
          <w:rFonts w:cs="Calibri"/>
          <w:lang w:val="en-GB"/>
        </w:rPr>
        <w:t xml:space="preserve"> versus </w:t>
      </w:r>
      <w:r w:rsidR="0053657B" w:rsidRPr="00F67CC4">
        <w:rPr>
          <w:rFonts w:cs="Calibri"/>
          <w:lang w:val="en-GB"/>
        </w:rPr>
        <w:t xml:space="preserve">the </w:t>
      </w:r>
      <w:r w:rsidRPr="00F67CC4">
        <w:rPr>
          <w:rFonts w:cs="Calibri"/>
          <w:lang w:val="en-GB"/>
        </w:rPr>
        <w:t xml:space="preserve">costs of the introduction of IFRS. </w:t>
      </w:r>
      <w:r w:rsidR="00843BD8" w:rsidRPr="00F67CC4">
        <w:rPr>
          <w:rFonts w:cs="Calibri"/>
          <w:lang w:val="en-GB"/>
        </w:rPr>
        <w:t>Improvements like more transparency and generalization of the standards are compared to the costs of</w:t>
      </w:r>
      <w:r w:rsidR="00CE6AB0">
        <w:rPr>
          <w:rFonts w:cs="Calibri"/>
          <w:lang w:val="en-GB"/>
        </w:rPr>
        <w:t xml:space="preserve"> the</w:t>
      </w:r>
      <w:r w:rsidR="00843BD8" w:rsidRPr="00F67CC4">
        <w:rPr>
          <w:rFonts w:cs="Calibri"/>
          <w:lang w:val="en-GB"/>
        </w:rPr>
        <w:t xml:space="preserve"> changing standards. </w:t>
      </w:r>
      <w:r w:rsidRPr="00F67CC4">
        <w:rPr>
          <w:rFonts w:cs="Calibri"/>
          <w:lang w:val="en-GB"/>
        </w:rPr>
        <w:t>The overall conclusion of Bolt-Lee and Smith (2009) is that the benefits of the new standards might not exceed the costs of implementing them.</w:t>
      </w:r>
      <w:r w:rsidR="00A42C12" w:rsidRPr="00F67CC4">
        <w:rPr>
          <w:rFonts w:cs="Calibri"/>
          <w:lang w:val="en-GB"/>
        </w:rPr>
        <w:t xml:space="preserve"> </w:t>
      </w:r>
      <w:r w:rsidRPr="00F67CC4">
        <w:rPr>
          <w:rFonts w:cs="Calibri"/>
          <w:lang w:val="en-GB"/>
        </w:rPr>
        <w:t xml:space="preserve">Heemskerk and van der Tas (2006) confirm these conclusions drawn by Bolt-Lee and Smith (2009) and add to this that the standards are stringent, but that the application of the rules is subjective. The strictness of the rules should decrease the use of earnings management, but the </w:t>
      </w:r>
      <w:r w:rsidR="00A42C12" w:rsidRPr="00F67CC4">
        <w:rPr>
          <w:rFonts w:cs="Calibri"/>
          <w:lang w:val="en-GB"/>
        </w:rPr>
        <w:t xml:space="preserve">subjectivity of fair </w:t>
      </w:r>
      <w:r w:rsidRPr="00F67CC4">
        <w:rPr>
          <w:rFonts w:cs="Calibri"/>
          <w:lang w:val="en-GB"/>
        </w:rPr>
        <w:t xml:space="preserve">value accounting </w:t>
      </w:r>
      <w:r w:rsidR="00CE6AB0">
        <w:rPr>
          <w:rFonts w:cs="Calibri"/>
          <w:lang w:val="en-GB"/>
        </w:rPr>
        <w:t>creates</w:t>
      </w:r>
      <w:r w:rsidR="00CF46B8" w:rsidRPr="00F67CC4">
        <w:rPr>
          <w:rFonts w:cs="Calibri"/>
          <w:lang w:val="en-GB"/>
        </w:rPr>
        <w:t xml:space="preserve"> more opportunities for </w:t>
      </w:r>
      <w:r w:rsidR="00CE6AB0">
        <w:rPr>
          <w:rFonts w:cs="Calibri"/>
          <w:lang w:val="en-GB"/>
        </w:rPr>
        <w:t xml:space="preserve">using </w:t>
      </w:r>
      <w:r w:rsidRPr="00F67CC4">
        <w:rPr>
          <w:rFonts w:cs="Calibri"/>
          <w:lang w:val="en-GB"/>
        </w:rPr>
        <w:t xml:space="preserve">earnings management </w:t>
      </w:r>
      <w:r w:rsidR="0053657B" w:rsidRPr="00F67CC4">
        <w:rPr>
          <w:rFonts w:cs="Calibri"/>
          <w:lang w:val="en-GB"/>
        </w:rPr>
        <w:t>(</w:t>
      </w:r>
      <w:r w:rsidR="00CF46B8" w:rsidRPr="00F67CC4">
        <w:rPr>
          <w:rFonts w:cs="Calibri"/>
          <w:lang w:val="en-GB"/>
        </w:rPr>
        <w:t>Heemskerk and van der Tas 2006, p</w:t>
      </w:r>
      <w:r w:rsidR="00CE6AB0">
        <w:rPr>
          <w:rFonts w:cs="Calibri"/>
          <w:lang w:val="en-GB"/>
        </w:rPr>
        <w:t xml:space="preserve"> </w:t>
      </w:r>
      <w:r w:rsidR="00CF46B8" w:rsidRPr="00F67CC4">
        <w:rPr>
          <w:rFonts w:cs="Calibri"/>
          <w:lang w:val="en-GB"/>
        </w:rPr>
        <w:t>573</w:t>
      </w:r>
      <w:r w:rsidR="0053657B" w:rsidRPr="00F67CC4">
        <w:rPr>
          <w:rFonts w:cs="Calibri"/>
          <w:lang w:val="en-GB"/>
        </w:rPr>
        <w:t>)</w:t>
      </w:r>
      <w:r w:rsidR="00D21BF8">
        <w:rPr>
          <w:rFonts w:cs="Calibri"/>
          <w:lang w:val="en-GB"/>
        </w:rPr>
        <w:t>.</w:t>
      </w:r>
    </w:p>
    <w:p w:rsidR="00412027" w:rsidRPr="00F67CC4" w:rsidRDefault="00CE6AB0" w:rsidP="00F74511">
      <w:pPr>
        <w:spacing w:line="360" w:lineRule="auto"/>
        <w:rPr>
          <w:rFonts w:cs="Calibri"/>
          <w:lang w:val="en-GB"/>
        </w:rPr>
      </w:pPr>
      <w:r>
        <w:rPr>
          <w:rFonts w:cs="Calibri"/>
          <w:lang w:val="en-GB"/>
        </w:rPr>
        <w:t xml:space="preserve">When checking </w:t>
      </w:r>
      <w:r w:rsidR="00973EEF">
        <w:rPr>
          <w:rFonts w:cs="Calibri"/>
          <w:lang w:val="en-GB"/>
        </w:rPr>
        <w:t xml:space="preserve">on the factor IFRS in this thesis, the question is whether the introduction of IFRS has </w:t>
      </w:r>
      <w:r>
        <w:rPr>
          <w:rFonts w:cs="Calibri"/>
          <w:lang w:val="en-GB"/>
        </w:rPr>
        <w:t xml:space="preserve">created </w:t>
      </w:r>
      <w:r w:rsidR="00973EEF">
        <w:rPr>
          <w:rFonts w:cs="Calibri"/>
          <w:lang w:val="en-GB"/>
        </w:rPr>
        <w:t>a change in the use of earnings management. Several factors will have influence on the implementation of IFRS and on</w:t>
      </w:r>
      <w:r w:rsidR="00F5523E">
        <w:rPr>
          <w:rFonts w:cs="Calibri"/>
          <w:lang w:val="en-GB"/>
        </w:rPr>
        <w:t xml:space="preserve"> the use of </w:t>
      </w:r>
      <w:r w:rsidR="00973EEF">
        <w:rPr>
          <w:rFonts w:cs="Calibri"/>
          <w:lang w:val="en-GB"/>
        </w:rPr>
        <w:t xml:space="preserve">earnings management. </w:t>
      </w:r>
      <w:r w:rsidR="001C6A3E" w:rsidRPr="00F67CC4">
        <w:rPr>
          <w:rFonts w:cs="Calibri"/>
          <w:lang w:val="en-GB"/>
        </w:rPr>
        <w:t xml:space="preserve">Soderstrom and Sun (2007) </w:t>
      </w:r>
      <w:r w:rsidR="0053657B" w:rsidRPr="00F67CC4">
        <w:rPr>
          <w:rFonts w:cs="Calibri"/>
          <w:lang w:val="en-GB"/>
        </w:rPr>
        <w:t>state</w:t>
      </w:r>
      <w:r w:rsidR="001C6A3E" w:rsidRPr="00F67CC4">
        <w:rPr>
          <w:rFonts w:cs="Calibri"/>
          <w:lang w:val="en-GB"/>
        </w:rPr>
        <w:t xml:space="preserve"> </w:t>
      </w:r>
      <w:r w:rsidR="00843BD8" w:rsidRPr="00F67CC4">
        <w:rPr>
          <w:rFonts w:cs="Calibri"/>
          <w:lang w:val="en-GB"/>
        </w:rPr>
        <w:t xml:space="preserve">that </w:t>
      </w:r>
      <w:r w:rsidR="00CC64C0" w:rsidRPr="00F67CC4">
        <w:rPr>
          <w:rFonts w:cs="Calibri"/>
          <w:lang w:val="en-GB"/>
        </w:rPr>
        <w:t>a</w:t>
      </w:r>
      <w:r w:rsidR="001C6A3E" w:rsidRPr="00F67CC4">
        <w:rPr>
          <w:rFonts w:cs="Calibri"/>
          <w:lang w:val="en-GB"/>
        </w:rPr>
        <w:t xml:space="preserve"> success</w:t>
      </w:r>
      <w:r w:rsidR="00CC64C0" w:rsidRPr="00F67CC4">
        <w:rPr>
          <w:rFonts w:cs="Calibri"/>
          <w:lang w:val="en-GB"/>
        </w:rPr>
        <w:t>ful</w:t>
      </w:r>
      <w:r w:rsidR="001C6A3E" w:rsidRPr="00F67CC4">
        <w:rPr>
          <w:rFonts w:cs="Calibri"/>
          <w:lang w:val="en-GB"/>
        </w:rPr>
        <w:t xml:space="preserve"> implementation of IFRS </w:t>
      </w:r>
      <w:r w:rsidR="0053657B" w:rsidRPr="00F67CC4">
        <w:rPr>
          <w:rFonts w:cs="Calibri"/>
          <w:lang w:val="en-GB"/>
        </w:rPr>
        <w:t>depend</w:t>
      </w:r>
      <w:r w:rsidR="00843BD8" w:rsidRPr="00F67CC4">
        <w:rPr>
          <w:rFonts w:cs="Calibri"/>
          <w:lang w:val="en-GB"/>
        </w:rPr>
        <w:t xml:space="preserve">s on three factors: (1) </w:t>
      </w:r>
      <w:r w:rsidR="001C6A3E" w:rsidRPr="00F67CC4">
        <w:rPr>
          <w:rFonts w:cs="Calibri"/>
          <w:lang w:val="en-GB"/>
        </w:rPr>
        <w:t xml:space="preserve">the quality of the </w:t>
      </w:r>
      <w:r w:rsidR="00A42C12" w:rsidRPr="00F67CC4">
        <w:rPr>
          <w:rFonts w:cs="Calibri"/>
          <w:lang w:val="en-GB"/>
        </w:rPr>
        <w:t xml:space="preserve">national </w:t>
      </w:r>
      <w:r w:rsidR="001C6A3E" w:rsidRPr="00F67CC4">
        <w:rPr>
          <w:rFonts w:cs="Calibri"/>
          <w:lang w:val="en-GB"/>
        </w:rPr>
        <w:lastRenderedPageBreak/>
        <w:t>standards,</w:t>
      </w:r>
      <w:r w:rsidR="00843BD8" w:rsidRPr="00F67CC4">
        <w:rPr>
          <w:rFonts w:cs="Calibri"/>
          <w:lang w:val="en-GB"/>
        </w:rPr>
        <w:t xml:space="preserve"> (2)</w:t>
      </w:r>
      <w:r w:rsidR="001C6A3E" w:rsidRPr="00F67CC4">
        <w:rPr>
          <w:rFonts w:cs="Calibri"/>
          <w:lang w:val="en-GB"/>
        </w:rPr>
        <w:t xml:space="preserve"> the country’s legal and political system and </w:t>
      </w:r>
      <w:r w:rsidR="00843BD8" w:rsidRPr="00F67CC4">
        <w:rPr>
          <w:rFonts w:cs="Calibri"/>
          <w:lang w:val="en-GB"/>
        </w:rPr>
        <w:t xml:space="preserve">(3) </w:t>
      </w:r>
      <w:r w:rsidR="001C6A3E" w:rsidRPr="00F67CC4">
        <w:rPr>
          <w:rFonts w:cs="Calibri"/>
          <w:lang w:val="en-GB"/>
        </w:rPr>
        <w:t xml:space="preserve">the financial reporting incentives. In section </w:t>
      </w:r>
      <w:r w:rsidR="002862A8" w:rsidRPr="00F67CC4">
        <w:rPr>
          <w:rFonts w:cs="Calibri"/>
          <w:lang w:val="en-GB"/>
        </w:rPr>
        <w:t>4.3</w:t>
      </w:r>
      <w:r w:rsidR="00412027" w:rsidRPr="00F67CC4">
        <w:rPr>
          <w:rFonts w:cs="Calibri"/>
          <w:lang w:val="en-GB"/>
        </w:rPr>
        <w:t xml:space="preserve"> these factors will be </w:t>
      </w:r>
      <w:r w:rsidR="00F5523E">
        <w:rPr>
          <w:rFonts w:cs="Calibri"/>
          <w:lang w:val="en-GB"/>
        </w:rPr>
        <w:t>commented</w:t>
      </w:r>
      <w:r w:rsidR="00F24CB6">
        <w:rPr>
          <w:rFonts w:cs="Calibri"/>
          <w:lang w:val="en-GB"/>
        </w:rPr>
        <w:t>.</w:t>
      </w:r>
    </w:p>
    <w:p w:rsidR="00626087" w:rsidRDefault="001C6A3E" w:rsidP="00F36180">
      <w:pPr>
        <w:spacing w:line="360" w:lineRule="auto"/>
        <w:rPr>
          <w:rFonts w:cs="Calibri"/>
          <w:lang w:val="en-GB"/>
        </w:rPr>
      </w:pPr>
      <w:r w:rsidRPr="00F67CC4">
        <w:rPr>
          <w:rFonts w:cs="Calibri"/>
          <w:b/>
          <w:lang w:val="en-GB"/>
        </w:rPr>
        <w:t xml:space="preserve">3.4 </w:t>
      </w:r>
      <w:r w:rsidR="00D21BF8">
        <w:rPr>
          <w:rFonts w:cs="Calibri"/>
          <w:b/>
          <w:lang w:val="en-GB"/>
        </w:rPr>
        <w:t>Models for</w:t>
      </w:r>
      <w:r w:rsidR="00D0713B" w:rsidRPr="00F67CC4">
        <w:rPr>
          <w:rFonts w:cs="Calibri"/>
          <w:b/>
          <w:lang w:val="en-GB"/>
        </w:rPr>
        <w:t xml:space="preserve"> me</w:t>
      </w:r>
      <w:r w:rsidR="00B84045" w:rsidRPr="00F67CC4">
        <w:rPr>
          <w:rFonts w:cs="Calibri"/>
          <w:b/>
          <w:lang w:val="en-GB"/>
        </w:rPr>
        <w:t xml:space="preserve">asuring </w:t>
      </w:r>
      <w:r w:rsidR="00F5523E">
        <w:rPr>
          <w:rFonts w:cs="Calibri"/>
          <w:b/>
          <w:lang w:val="en-GB"/>
        </w:rPr>
        <w:t xml:space="preserve">the use of </w:t>
      </w:r>
      <w:r w:rsidR="00B84045" w:rsidRPr="00F67CC4">
        <w:rPr>
          <w:rFonts w:cs="Calibri"/>
          <w:b/>
          <w:lang w:val="en-GB"/>
        </w:rPr>
        <w:t>earnings management</w:t>
      </w:r>
      <w:r w:rsidRPr="00F67CC4">
        <w:rPr>
          <w:rFonts w:cs="Calibri"/>
          <w:b/>
          <w:lang w:val="en-GB"/>
        </w:rPr>
        <w:br/>
      </w:r>
      <w:r w:rsidRPr="00F67CC4">
        <w:rPr>
          <w:rFonts w:cs="Calibri"/>
          <w:lang w:val="en-GB"/>
        </w:rPr>
        <w:t xml:space="preserve">In order to investigate </w:t>
      </w:r>
      <w:r w:rsidR="00626087">
        <w:rPr>
          <w:rFonts w:cs="Calibri"/>
          <w:lang w:val="en-GB"/>
        </w:rPr>
        <w:t>the influence of the adoption of I</w:t>
      </w:r>
      <w:r w:rsidR="002862A8" w:rsidRPr="00F67CC4">
        <w:rPr>
          <w:rFonts w:cs="Calibri"/>
          <w:lang w:val="en-GB"/>
        </w:rPr>
        <w:t>FRS on</w:t>
      </w:r>
      <w:r w:rsidR="00D21BF8">
        <w:rPr>
          <w:rFonts w:cs="Calibri"/>
          <w:lang w:val="en-GB"/>
        </w:rPr>
        <w:t xml:space="preserve"> </w:t>
      </w:r>
      <w:r w:rsidR="00626087">
        <w:rPr>
          <w:rFonts w:cs="Calibri"/>
          <w:lang w:val="en-GB"/>
        </w:rPr>
        <w:t xml:space="preserve">the use of </w:t>
      </w:r>
      <w:r w:rsidR="00D21BF8">
        <w:rPr>
          <w:rFonts w:cs="Calibri"/>
          <w:lang w:val="en-GB"/>
        </w:rPr>
        <w:t>earnings management</w:t>
      </w:r>
      <w:r w:rsidR="002862A8" w:rsidRPr="00F67CC4">
        <w:rPr>
          <w:rFonts w:cs="Calibri"/>
          <w:lang w:val="en-GB"/>
        </w:rPr>
        <w:t xml:space="preserve">, </w:t>
      </w:r>
      <w:r w:rsidR="00D21BF8">
        <w:rPr>
          <w:rFonts w:cs="Calibri"/>
          <w:lang w:val="en-GB"/>
        </w:rPr>
        <w:t>th</w:t>
      </w:r>
      <w:r w:rsidR="00626087">
        <w:rPr>
          <w:rFonts w:cs="Calibri"/>
          <w:lang w:val="en-GB"/>
        </w:rPr>
        <w:t>e</w:t>
      </w:r>
      <w:r w:rsidR="00D21BF8">
        <w:rPr>
          <w:rFonts w:cs="Calibri"/>
          <w:lang w:val="en-GB"/>
        </w:rPr>
        <w:t xml:space="preserve"> manage</w:t>
      </w:r>
      <w:r w:rsidR="002862A8" w:rsidRPr="00F67CC4">
        <w:rPr>
          <w:rFonts w:cs="Calibri"/>
          <w:lang w:val="en-GB"/>
        </w:rPr>
        <w:t>ment</w:t>
      </w:r>
      <w:r w:rsidR="00D41A73">
        <w:rPr>
          <w:rFonts w:cs="Calibri"/>
          <w:lang w:val="en-GB"/>
        </w:rPr>
        <w:t xml:space="preserve"> of earni</w:t>
      </w:r>
      <w:r w:rsidR="00973EEF">
        <w:rPr>
          <w:rFonts w:cs="Calibri"/>
          <w:lang w:val="en-GB"/>
        </w:rPr>
        <w:t>n</w:t>
      </w:r>
      <w:r w:rsidR="00D41A73">
        <w:rPr>
          <w:rFonts w:cs="Calibri"/>
          <w:lang w:val="en-GB"/>
        </w:rPr>
        <w:t>g</w:t>
      </w:r>
      <w:r w:rsidR="00973EEF">
        <w:rPr>
          <w:rFonts w:cs="Calibri"/>
          <w:lang w:val="en-GB"/>
        </w:rPr>
        <w:t>s</w:t>
      </w:r>
      <w:r w:rsidR="002862A8" w:rsidRPr="00F67CC4">
        <w:rPr>
          <w:rFonts w:cs="Calibri"/>
          <w:lang w:val="en-GB"/>
        </w:rPr>
        <w:t xml:space="preserve"> has to be measured. </w:t>
      </w:r>
      <w:r w:rsidRPr="00F67CC4">
        <w:rPr>
          <w:rFonts w:cs="Calibri"/>
          <w:lang w:val="en-GB"/>
        </w:rPr>
        <w:t>In this section,</w:t>
      </w:r>
      <w:r w:rsidR="00D93886" w:rsidRPr="00F67CC4">
        <w:rPr>
          <w:rFonts w:cs="Calibri"/>
          <w:lang w:val="en-GB"/>
        </w:rPr>
        <w:t xml:space="preserve"> </w:t>
      </w:r>
      <w:r w:rsidRPr="00F67CC4">
        <w:rPr>
          <w:rFonts w:cs="Calibri"/>
          <w:lang w:val="en-GB"/>
        </w:rPr>
        <w:t xml:space="preserve">two general </w:t>
      </w:r>
      <w:r w:rsidR="00973EEF">
        <w:rPr>
          <w:rFonts w:cs="Calibri"/>
          <w:lang w:val="en-GB"/>
        </w:rPr>
        <w:t xml:space="preserve">methods for detecting </w:t>
      </w:r>
      <w:r w:rsidR="00626087">
        <w:rPr>
          <w:rFonts w:cs="Calibri"/>
          <w:lang w:val="en-GB"/>
        </w:rPr>
        <w:t xml:space="preserve">the use of </w:t>
      </w:r>
      <w:r w:rsidRPr="00F67CC4">
        <w:rPr>
          <w:rFonts w:cs="Calibri"/>
          <w:lang w:val="en-GB"/>
        </w:rPr>
        <w:t xml:space="preserve">earnings management, accruals-based and real activities, will be </w:t>
      </w:r>
      <w:r w:rsidR="00626087">
        <w:rPr>
          <w:rFonts w:cs="Calibri"/>
          <w:lang w:val="en-GB"/>
        </w:rPr>
        <w:t>commented</w:t>
      </w:r>
      <w:r w:rsidRPr="00F67CC4">
        <w:rPr>
          <w:rFonts w:cs="Calibri"/>
          <w:lang w:val="en-GB"/>
        </w:rPr>
        <w:t xml:space="preserve"> by showing the models that can be used for </w:t>
      </w:r>
      <w:r w:rsidR="00D21BF8">
        <w:rPr>
          <w:rFonts w:cs="Calibri"/>
          <w:lang w:val="en-GB"/>
        </w:rPr>
        <w:t>both methods</w:t>
      </w:r>
      <w:r w:rsidRPr="00F67CC4">
        <w:rPr>
          <w:rFonts w:cs="Calibri"/>
          <w:lang w:val="en-GB"/>
        </w:rPr>
        <w:t xml:space="preserve">. </w:t>
      </w:r>
      <w:r w:rsidR="00626087">
        <w:rPr>
          <w:rFonts w:cs="Calibri"/>
          <w:lang w:val="en-GB"/>
        </w:rPr>
        <w:t xml:space="preserve">Before the selection which model in this research will be used, first the several models that have been developed are commented. </w:t>
      </w:r>
    </w:p>
    <w:p w:rsidR="002862A8" w:rsidRPr="00F67CC4" w:rsidRDefault="001C6A3E" w:rsidP="00F36180">
      <w:pPr>
        <w:spacing w:line="360" w:lineRule="auto"/>
        <w:rPr>
          <w:rFonts w:cs="Calibri"/>
          <w:bCs/>
          <w:lang w:val="en-GB"/>
        </w:rPr>
      </w:pPr>
      <w:r w:rsidRPr="00F67CC4">
        <w:rPr>
          <w:rFonts w:cs="Calibri"/>
          <w:b/>
          <w:lang w:val="en-GB"/>
        </w:rPr>
        <w:t>3.4.1 Accruals Approach</w:t>
      </w:r>
      <w:r w:rsidRPr="00F67CC4">
        <w:rPr>
          <w:rFonts w:cs="Calibri"/>
          <w:b/>
          <w:lang w:val="en-GB"/>
        </w:rPr>
        <w:br/>
      </w:r>
      <w:r w:rsidR="00DA1E08" w:rsidRPr="00F67CC4">
        <w:rPr>
          <w:rFonts w:cs="Calibri"/>
          <w:bCs/>
          <w:lang w:val="en-GB"/>
        </w:rPr>
        <w:t xml:space="preserve">As already </w:t>
      </w:r>
      <w:r w:rsidR="00E34BCC">
        <w:rPr>
          <w:rFonts w:cs="Calibri"/>
          <w:bCs/>
          <w:lang w:val="en-GB"/>
        </w:rPr>
        <w:t>signalled</w:t>
      </w:r>
      <w:r w:rsidR="00DA1E08" w:rsidRPr="00F67CC4">
        <w:rPr>
          <w:rFonts w:cs="Calibri"/>
          <w:bCs/>
          <w:lang w:val="en-GB"/>
        </w:rPr>
        <w:t xml:space="preserve"> in </w:t>
      </w:r>
      <w:r w:rsidR="008935AE" w:rsidRPr="00F67CC4">
        <w:rPr>
          <w:rFonts w:cs="Calibri"/>
          <w:bCs/>
          <w:lang w:val="en-GB"/>
        </w:rPr>
        <w:t>section 3.2.2.1</w:t>
      </w:r>
      <w:r w:rsidR="00DA1E08" w:rsidRPr="00F67CC4">
        <w:rPr>
          <w:rFonts w:cs="Calibri"/>
          <w:bCs/>
          <w:lang w:val="en-GB"/>
        </w:rPr>
        <w:t xml:space="preserve">, accruals-based earnings management is about the exploitation of accounting discretion that is allowed </w:t>
      </w:r>
      <w:r w:rsidR="00E34BCC">
        <w:rPr>
          <w:rFonts w:cs="Calibri"/>
          <w:bCs/>
          <w:lang w:val="en-GB"/>
        </w:rPr>
        <w:t xml:space="preserve">based </w:t>
      </w:r>
      <w:r w:rsidR="00DA1E08" w:rsidRPr="00F67CC4">
        <w:rPr>
          <w:rFonts w:cs="Calibri"/>
          <w:bCs/>
          <w:lang w:val="en-GB"/>
        </w:rPr>
        <w:t xml:space="preserve">under </w:t>
      </w:r>
      <w:r w:rsidR="002862A8" w:rsidRPr="00F67CC4">
        <w:rPr>
          <w:rFonts w:cs="Calibri"/>
          <w:bCs/>
          <w:lang w:val="en-GB"/>
        </w:rPr>
        <w:t xml:space="preserve">GAAP </w:t>
      </w:r>
      <w:r w:rsidR="00DA1E08" w:rsidRPr="00F67CC4">
        <w:rPr>
          <w:rFonts w:cs="Calibri"/>
          <w:bCs/>
          <w:lang w:val="en-GB"/>
        </w:rPr>
        <w:t>(Xu, Taylor, Dugan 2007</w:t>
      </w:r>
      <w:r w:rsidR="000626B9" w:rsidRPr="00F67CC4">
        <w:rPr>
          <w:rFonts w:cs="Calibri"/>
          <w:bCs/>
          <w:lang w:val="en-GB"/>
        </w:rPr>
        <w:t>,</w:t>
      </w:r>
      <w:r w:rsidR="00DA1E08" w:rsidRPr="00F67CC4">
        <w:rPr>
          <w:rFonts w:cs="Calibri"/>
          <w:bCs/>
          <w:lang w:val="en-GB"/>
        </w:rPr>
        <w:t xml:space="preserve"> p</w:t>
      </w:r>
      <w:r w:rsidR="000626B9" w:rsidRPr="00F67CC4">
        <w:rPr>
          <w:rFonts w:cs="Calibri"/>
          <w:bCs/>
          <w:lang w:val="en-GB"/>
        </w:rPr>
        <w:t xml:space="preserve"> </w:t>
      </w:r>
      <w:r w:rsidR="00DA1E08" w:rsidRPr="00F67CC4">
        <w:rPr>
          <w:rFonts w:cs="Calibri"/>
          <w:bCs/>
          <w:lang w:val="en-GB"/>
        </w:rPr>
        <w:t>196)</w:t>
      </w:r>
      <w:r w:rsidR="002862A8" w:rsidRPr="00F67CC4">
        <w:rPr>
          <w:rFonts w:cs="Calibri"/>
          <w:bCs/>
          <w:lang w:val="en-GB"/>
        </w:rPr>
        <w:t>.</w:t>
      </w:r>
      <w:r w:rsidR="00DA1E08" w:rsidRPr="00F67CC4">
        <w:rPr>
          <w:rFonts w:cs="Calibri"/>
          <w:bCs/>
          <w:lang w:val="en-GB"/>
        </w:rPr>
        <w:t xml:space="preserve"> This accounting discretion is about selecting accounting methods and estimation of numbers in order to influence </w:t>
      </w:r>
      <w:r w:rsidR="00E34BCC">
        <w:rPr>
          <w:rFonts w:cs="Calibri"/>
          <w:bCs/>
          <w:lang w:val="en-GB"/>
        </w:rPr>
        <w:t xml:space="preserve">the </w:t>
      </w:r>
      <w:r w:rsidR="00DA1E08" w:rsidRPr="00F67CC4">
        <w:rPr>
          <w:rFonts w:cs="Calibri"/>
          <w:bCs/>
          <w:lang w:val="en-GB"/>
        </w:rPr>
        <w:t xml:space="preserve">financial values. </w:t>
      </w:r>
    </w:p>
    <w:p w:rsidR="00D41A73" w:rsidRDefault="002862A8" w:rsidP="009A1214">
      <w:pPr>
        <w:spacing w:line="360" w:lineRule="auto"/>
        <w:rPr>
          <w:rFonts w:cs="Calibri"/>
          <w:bCs/>
          <w:lang w:val="en-GB"/>
        </w:rPr>
      </w:pPr>
      <w:r w:rsidRPr="00F67CC4">
        <w:rPr>
          <w:rFonts w:cs="Calibri"/>
          <w:bCs/>
          <w:lang w:val="en-GB"/>
        </w:rPr>
        <w:t xml:space="preserve">In order to be able to detect whether management uses earnings management, models are developed to highlight certain irregularities in accruals and distinct </w:t>
      </w:r>
      <w:r w:rsidR="005B1534">
        <w:rPr>
          <w:rFonts w:cs="Calibri"/>
          <w:bCs/>
          <w:lang w:val="en-GB"/>
        </w:rPr>
        <w:t>accruals in a</w:t>
      </w:r>
      <w:r w:rsidRPr="00F67CC4">
        <w:rPr>
          <w:rFonts w:cs="Calibri"/>
          <w:bCs/>
          <w:lang w:val="en-GB"/>
        </w:rPr>
        <w:t xml:space="preserve"> discretionary and non-discretionary </w:t>
      </w:r>
      <w:r w:rsidR="005B1534">
        <w:rPr>
          <w:rFonts w:cs="Calibri"/>
          <w:bCs/>
          <w:lang w:val="en-GB"/>
        </w:rPr>
        <w:t>part</w:t>
      </w:r>
      <w:r w:rsidRPr="00F67CC4">
        <w:rPr>
          <w:rFonts w:cs="Calibri"/>
          <w:bCs/>
          <w:lang w:val="en-GB"/>
        </w:rPr>
        <w:t xml:space="preserve">. Detecting earnings management by focussing on accruals can be </w:t>
      </w:r>
      <w:r w:rsidR="00E34BCC">
        <w:rPr>
          <w:rFonts w:cs="Calibri"/>
          <w:bCs/>
          <w:lang w:val="en-GB"/>
        </w:rPr>
        <w:t>executed</w:t>
      </w:r>
      <w:r w:rsidR="006F495C">
        <w:rPr>
          <w:rFonts w:cs="Calibri"/>
          <w:bCs/>
          <w:lang w:val="en-GB"/>
        </w:rPr>
        <w:t xml:space="preserve"> in</w:t>
      </w:r>
      <w:r w:rsidRPr="00F67CC4">
        <w:rPr>
          <w:rFonts w:cs="Calibri"/>
          <w:bCs/>
          <w:lang w:val="en-GB"/>
        </w:rPr>
        <w:t xml:space="preserve"> several ways. Which accruals are used for earnings management and what is </w:t>
      </w:r>
      <w:r w:rsidR="00E34BCC">
        <w:rPr>
          <w:rFonts w:cs="Calibri"/>
          <w:bCs/>
          <w:lang w:val="en-GB"/>
        </w:rPr>
        <w:t>performed</w:t>
      </w:r>
      <w:r w:rsidRPr="00F67CC4">
        <w:rPr>
          <w:rFonts w:cs="Calibri"/>
          <w:bCs/>
          <w:lang w:val="en-GB"/>
        </w:rPr>
        <w:t xml:space="preserve"> with these accruals; the focus can be on the aggregation of accruals, specific accruals or on t</w:t>
      </w:r>
      <w:r w:rsidR="00AC02A7">
        <w:rPr>
          <w:rFonts w:cs="Calibri"/>
          <w:bCs/>
          <w:lang w:val="en-GB"/>
        </w:rPr>
        <w:t>he distribution of the accruals</w:t>
      </w:r>
      <w:r w:rsidRPr="00F67CC4">
        <w:rPr>
          <w:rFonts w:cs="Calibri"/>
          <w:bCs/>
          <w:lang w:val="en-GB"/>
        </w:rPr>
        <w:t xml:space="preserve"> (McNichols 2000, p</w:t>
      </w:r>
      <w:r w:rsidR="00E34BCC">
        <w:rPr>
          <w:rFonts w:cs="Calibri"/>
          <w:bCs/>
          <w:lang w:val="en-GB"/>
        </w:rPr>
        <w:t xml:space="preserve"> </w:t>
      </w:r>
      <w:r w:rsidRPr="00F67CC4">
        <w:rPr>
          <w:rFonts w:cs="Calibri"/>
          <w:bCs/>
          <w:lang w:val="en-GB"/>
        </w:rPr>
        <w:t>314)</w:t>
      </w:r>
      <w:r w:rsidR="00AC02A7">
        <w:rPr>
          <w:rFonts w:cs="Calibri"/>
          <w:bCs/>
          <w:lang w:val="en-GB"/>
        </w:rPr>
        <w:t>.</w:t>
      </w:r>
      <w:r w:rsidRPr="00F67CC4">
        <w:rPr>
          <w:rFonts w:cs="Calibri"/>
          <w:bCs/>
          <w:lang w:val="en-GB"/>
        </w:rPr>
        <w:t xml:space="preserve"> </w:t>
      </w:r>
      <w:r w:rsidR="0041084D">
        <w:rPr>
          <w:rFonts w:cs="Calibri"/>
          <w:bCs/>
          <w:lang w:val="en-GB"/>
        </w:rPr>
        <w:t xml:space="preserve">In this research the focus will be on the aggregation of accruals. </w:t>
      </w:r>
      <w:r w:rsidR="00D41A73">
        <w:rPr>
          <w:rFonts w:cs="Calibri"/>
          <w:bCs/>
          <w:lang w:val="en-GB"/>
        </w:rPr>
        <w:t xml:space="preserve">The models </w:t>
      </w:r>
      <w:r w:rsidR="00E34BCC">
        <w:rPr>
          <w:rFonts w:cs="Calibri"/>
          <w:bCs/>
          <w:lang w:val="en-GB"/>
        </w:rPr>
        <w:t xml:space="preserve">that </w:t>
      </w:r>
      <w:r w:rsidR="00D41A73">
        <w:rPr>
          <w:rFonts w:cs="Calibri"/>
          <w:bCs/>
          <w:lang w:val="en-GB"/>
        </w:rPr>
        <w:t xml:space="preserve">in the next sections </w:t>
      </w:r>
      <w:r w:rsidR="00E34BCC">
        <w:rPr>
          <w:rFonts w:cs="Calibri"/>
          <w:bCs/>
          <w:lang w:val="en-GB"/>
        </w:rPr>
        <w:t xml:space="preserve">will be commented, </w:t>
      </w:r>
      <w:r w:rsidR="00D41A73">
        <w:rPr>
          <w:rFonts w:cs="Calibri"/>
          <w:bCs/>
          <w:lang w:val="en-GB"/>
        </w:rPr>
        <w:t xml:space="preserve">determine the amount of </w:t>
      </w:r>
      <w:r w:rsidR="00E34BCC">
        <w:rPr>
          <w:rFonts w:cs="Calibri"/>
          <w:bCs/>
          <w:lang w:val="en-GB"/>
        </w:rPr>
        <w:t xml:space="preserve">the </w:t>
      </w:r>
      <w:r w:rsidR="00D41A73">
        <w:rPr>
          <w:rFonts w:cs="Calibri"/>
          <w:bCs/>
          <w:lang w:val="en-GB"/>
        </w:rPr>
        <w:t xml:space="preserve">non-discretionary accruals. By subtracting this amount from the total amount of accruals, the discretionary amount of accruals is determined. This amount is the indicator for </w:t>
      </w:r>
      <w:r w:rsidR="006F495C">
        <w:rPr>
          <w:rFonts w:cs="Calibri"/>
          <w:bCs/>
          <w:lang w:val="en-GB"/>
        </w:rPr>
        <w:t xml:space="preserve">the use of earnings management; a value differing from zero indicates </w:t>
      </w:r>
      <w:r w:rsidR="00E34BCC">
        <w:rPr>
          <w:rFonts w:cs="Calibri"/>
          <w:bCs/>
          <w:lang w:val="en-GB"/>
        </w:rPr>
        <w:t xml:space="preserve">the use of </w:t>
      </w:r>
      <w:r w:rsidR="006F495C">
        <w:rPr>
          <w:rFonts w:cs="Calibri"/>
          <w:bCs/>
          <w:lang w:val="en-GB"/>
        </w:rPr>
        <w:t xml:space="preserve">earnings management. </w:t>
      </w:r>
      <w:r w:rsidR="00D41A73">
        <w:rPr>
          <w:rFonts w:cs="Calibri"/>
          <w:bCs/>
          <w:lang w:val="en-GB"/>
        </w:rPr>
        <w:t xml:space="preserve">A positive value indicates an increase of </w:t>
      </w:r>
      <w:r w:rsidR="00E34BCC">
        <w:rPr>
          <w:rFonts w:cs="Calibri"/>
          <w:bCs/>
          <w:lang w:val="en-GB"/>
        </w:rPr>
        <w:t xml:space="preserve">the use of earnings </w:t>
      </w:r>
      <w:r w:rsidR="00D41A73">
        <w:rPr>
          <w:rFonts w:cs="Calibri"/>
          <w:bCs/>
          <w:lang w:val="en-GB"/>
        </w:rPr>
        <w:t>management and a negative value indicates a decrease in</w:t>
      </w:r>
      <w:r w:rsidR="00E34BCC">
        <w:rPr>
          <w:rFonts w:cs="Calibri"/>
          <w:bCs/>
          <w:lang w:val="en-GB"/>
        </w:rPr>
        <w:t xml:space="preserve"> the use of earnings</w:t>
      </w:r>
      <w:r w:rsidR="00D41A73">
        <w:rPr>
          <w:rFonts w:cs="Calibri"/>
          <w:bCs/>
          <w:lang w:val="en-GB"/>
        </w:rPr>
        <w:t xml:space="preserve"> management. </w:t>
      </w:r>
    </w:p>
    <w:p w:rsidR="00D41A73" w:rsidRDefault="00D41A73" w:rsidP="009A1214">
      <w:pPr>
        <w:spacing w:line="360" w:lineRule="auto"/>
        <w:rPr>
          <w:rFonts w:cs="Calibri"/>
          <w:bCs/>
          <w:lang w:val="en-GB"/>
        </w:rPr>
      </w:pPr>
      <w:r>
        <w:rPr>
          <w:rFonts w:cs="Calibri"/>
          <w:bCs/>
          <w:lang w:val="en-GB"/>
        </w:rPr>
        <w:t>First the determi</w:t>
      </w:r>
      <w:r w:rsidR="00E34BCC">
        <w:rPr>
          <w:rFonts w:cs="Calibri"/>
          <w:bCs/>
          <w:lang w:val="en-GB"/>
        </w:rPr>
        <w:t xml:space="preserve">nation of the total accruals will be commented </w:t>
      </w:r>
      <w:r>
        <w:rPr>
          <w:rFonts w:cs="Calibri"/>
          <w:bCs/>
          <w:lang w:val="en-GB"/>
        </w:rPr>
        <w:t>before the several models for determining the discretionary ac</w:t>
      </w:r>
      <w:r w:rsidR="00E34BCC">
        <w:rPr>
          <w:rFonts w:cs="Calibri"/>
          <w:bCs/>
          <w:lang w:val="en-GB"/>
        </w:rPr>
        <w:t>cruals and their differences will be presented</w:t>
      </w:r>
      <w:r>
        <w:rPr>
          <w:rFonts w:cs="Calibri"/>
          <w:bCs/>
          <w:lang w:val="en-GB"/>
        </w:rPr>
        <w:t xml:space="preserve">. </w:t>
      </w:r>
    </w:p>
    <w:p w:rsidR="00CF67B3" w:rsidRPr="00F67CC4" w:rsidRDefault="001C6A3E" w:rsidP="008372F6">
      <w:pPr>
        <w:spacing w:line="360" w:lineRule="auto"/>
        <w:rPr>
          <w:rFonts w:cs="Calibri"/>
          <w:bCs/>
          <w:lang w:val="en-GB"/>
        </w:rPr>
      </w:pPr>
      <w:r w:rsidRPr="00F67CC4">
        <w:rPr>
          <w:rFonts w:cs="Calibri"/>
          <w:b/>
          <w:lang w:val="en-GB"/>
        </w:rPr>
        <w:t>3.4.2 Accruals models</w:t>
      </w:r>
      <w:r w:rsidRPr="00F67CC4">
        <w:rPr>
          <w:rFonts w:cs="Calibri"/>
          <w:b/>
          <w:lang w:val="en-GB"/>
        </w:rPr>
        <w:br/>
      </w:r>
      <w:r w:rsidRPr="00F67CC4">
        <w:rPr>
          <w:rFonts w:cs="Calibri"/>
          <w:bCs/>
          <w:lang w:val="en-GB"/>
        </w:rPr>
        <w:t xml:space="preserve">In this section the model of Healy (1985), DeAngelo (1986), Jones (1991), Modified Jones (1995) and Kothari et al. (2005) will be </w:t>
      </w:r>
      <w:r w:rsidR="00875E15">
        <w:rPr>
          <w:rFonts w:cs="Calibri"/>
          <w:bCs/>
          <w:lang w:val="en-GB"/>
        </w:rPr>
        <w:t>commented</w:t>
      </w:r>
      <w:r w:rsidRPr="00F67CC4">
        <w:rPr>
          <w:rFonts w:cs="Calibri"/>
          <w:bCs/>
          <w:lang w:val="en-GB"/>
        </w:rPr>
        <w:t>.</w:t>
      </w:r>
      <w:r w:rsidR="002862A8" w:rsidRPr="00F67CC4">
        <w:rPr>
          <w:rFonts w:cs="Calibri"/>
          <w:bCs/>
          <w:lang w:val="en-GB"/>
        </w:rPr>
        <w:t xml:space="preserve"> The Modified Jones model (1995) and Kothari et al. (2005) are models with the </w:t>
      </w:r>
      <w:r w:rsidR="005D7562">
        <w:rPr>
          <w:rFonts w:cs="Calibri"/>
          <w:bCs/>
          <w:lang w:val="en-GB"/>
        </w:rPr>
        <w:t xml:space="preserve">Jones model (1991) as fundament. </w:t>
      </w:r>
      <w:r w:rsidR="00CF67B3" w:rsidRPr="00F67CC4">
        <w:rPr>
          <w:rFonts w:cs="Calibri"/>
          <w:bCs/>
          <w:lang w:val="en-GB"/>
        </w:rPr>
        <w:t xml:space="preserve">Each model has a different approach </w:t>
      </w:r>
      <w:r w:rsidR="00285301" w:rsidRPr="00F67CC4">
        <w:rPr>
          <w:rFonts w:cs="Calibri"/>
          <w:bCs/>
          <w:lang w:val="en-GB"/>
        </w:rPr>
        <w:t xml:space="preserve">in </w:t>
      </w:r>
      <w:r w:rsidR="00285301" w:rsidRPr="00F67CC4">
        <w:rPr>
          <w:rFonts w:cs="Calibri"/>
          <w:bCs/>
          <w:lang w:val="en-GB"/>
        </w:rPr>
        <w:lastRenderedPageBreak/>
        <w:t xml:space="preserve">detecting </w:t>
      </w:r>
      <w:r w:rsidR="00875E15">
        <w:rPr>
          <w:rFonts w:cs="Calibri"/>
          <w:bCs/>
          <w:lang w:val="en-GB"/>
        </w:rPr>
        <w:t xml:space="preserve">the use of </w:t>
      </w:r>
      <w:r w:rsidR="00285301" w:rsidRPr="00F67CC4">
        <w:rPr>
          <w:rFonts w:cs="Calibri"/>
          <w:bCs/>
          <w:lang w:val="en-GB"/>
        </w:rPr>
        <w:t xml:space="preserve">earnings management </w:t>
      </w:r>
      <w:r w:rsidR="00CF67B3" w:rsidRPr="00F67CC4">
        <w:rPr>
          <w:rFonts w:cs="Calibri"/>
          <w:bCs/>
          <w:lang w:val="en-GB"/>
        </w:rPr>
        <w:t>by using different variables and/or assumptions. Despite these difference</w:t>
      </w:r>
      <w:r w:rsidR="00D41A73">
        <w:rPr>
          <w:rFonts w:cs="Calibri"/>
          <w:bCs/>
          <w:lang w:val="en-GB"/>
        </w:rPr>
        <w:t>s, all models</w:t>
      </w:r>
      <w:r w:rsidR="00CF67B3" w:rsidRPr="00F67CC4">
        <w:rPr>
          <w:rFonts w:cs="Calibri"/>
          <w:bCs/>
          <w:lang w:val="en-GB"/>
        </w:rPr>
        <w:t xml:space="preserve"> use the same equation for measuring the total </w:t>
      </w:r>
      <w:r w:rsidR="004A4F33" w:rsidRPr="00F67CC4">
        <w:rPr>
          <w:rFonts w:cs="Calibri"/>
          <w:bCs/>
          <w:lang w:val="en-GB"/>
        </w:rPr>
        <w:t xml:space="preserve">amount of </w:t>
      </w:r>
      <w:r w:rsidR="00CF67B3" w:rsidRPr="00F67CC4">
        <w:rPr>
          <w:rFonts w:cs="Calibri"/>
          <w:bCs/>
          <w:lang w:val="en-GB"/>
        </w:rPr>
        <w:t>accruals:</w:t>
      </w:r>
    </w:p>
    <w:p w:rsidR="00CC64C0" w:rsidRPr="00F67CC4" w:rsidRDefault="00CF67B3" w:rsidP="00256AE0">
      <w:pPr>
        <w:spacing w:line="360" w:lineRule="auto"/>
        <w:rPr>
          <w:rFonts w:cs="Calibri"/>
          <w:b/>
          <w:sz w:val="28"/>
          <w:szCs w:val="28"/>
          <w:lang w:val="en-GB"/>
        </w:rPr>
      </w:pPr>
      <w:r w:rsidRPr="00F67CC4">
        <w:rPr>
          <w:rFonts w:cs="Calibri"/>
          <w:b/>
          <w:sz w:val="28"/>
          <w:szCs w:val="28"/>
          <w:lang w:val="en-GB"/>
        </w:rPr>
        <w:t>TA</w:t>
      </w:r>
      <w:r w:rsidRPr="00F67CC4">
        <w:rPr>
          <w:rFonts w:cs="Calibri"/>
          <w:b/>
          <w:sz w:val="20"/>
          <w:szCs w:val="20"/>
          <w:lang w:val="en-GB"/>
        </w:rPr>
        <w:t>t</w:t>
      </w:r>
      <w:r w:rsidRPr="00F67CC4">
        <w:rPr>
          <w:rFonts w:cs="Calibri"/>
          <w:b/>
          <w:sz w:val="28"/>
          <w:szCs w:val="28"/>
          <w:lang w:val="en-GB"/>
        </w:rPr>
        <w:t xml:space="preserve"> =  [ ΔCA</w:t>
      </w:r>
      <w:r w:rsidRPr="00F67CC4">
        <w:rPr>
          <w:rFonts w:cs="Calibri"/>
          <w:b/>
          <w:sz w:val="20"/>
          <w:szCs w:val="20"/>
          <w:lang w:val="en-GB"/>
        </w:rPr>
        <w:t>t</w:t>
      </w:r>
      <w:r w:rsidRPr="00F67CC4">
        <w:rPr>
          <w:rFonts w:cs="Calibri"/>
          <w:b/>
          <w:sz w:val="28"/>
          <w:szCs w:val="28"/>
          <w:lang w:val="en-GB"/>
        </w:rPr>
        <w:t xml:space="preserve"> – Δ</w:t>
      </w:r>
      <w:r w:rsidR="00285301" w:rsidRPr="00F67CC4">
        <w:rPr>
          <w:rFonts w:cs="Calibri"/>
          <w:b/>
          <w:sz w:val="28"/>
          <w:szCs w:val="28"/>
          <w:lang w:val="en-GB"/>
        </w:rPr>
        <w:t>CASH</w:t>
      </w:r>
      <w:r w:rsidRPr="00F67CC4">
        <w:rPr>
          <w:rFonts w:cs="Calibri"/>
          <w:b/>
          <w:sz w:val="20"/>
          <w:szCs w:val="20"/>
          <w:lang w:val="en-GB"/>
        </w:rPr>
        <w:t>t</w:t>
      </w:r>
      <w:r w:rsidRPr="00F67CC4">
        <w:rPr>
          <w:rFonts w:cs="Calibri"/>
          <w:b/>
          <w:sz w:val="28"/>
          <w:szCs w:val="28"/>
          <w:lang w:val="en-GB"/>
        </w:rPr>
        <w:t xml:space="preserve"> – Δ</w:t>
      </w:r>
      <w:r w:rsidR="00285301" w:rsidRPr="00F67CC4">
        <w:rPr>
          <w:rFonts w:cs="Calibri"/>
          <w:b/>
          <w:sz w:val="28"/>
          <w:szCs w:val="28"/>
          <w:lang w:val="en-GB"/>
        </w:rPr>
        <w:t>CL</w:t>
      </w:r>
      <w:r w:rsidRPr="00F67CC4">
        <w:rPr>
          <w:rFonts w:cs="Calibri"/>
          <w:b/>
          <w:sz w:val="20"/>
          <w:szCs w:val="20"/>
          <w:lang w:val="en-GB"/>
        </w:rPr>
        <w:t>t</w:t>
      </w:r>
      <w:r w:rsidRPr="00F67CC4">
        <w:rPr>
          <w:rFonts w:cs="Calibri"/>
          <w:b/>
          <w:sz w:val="28"/>
          <w:szCs w:val="28"/>
          <w:lang w:val="en-GB"/>
        </w:rPr>
        <w:t xml:space="preserve"> + Δ</w:t>
      </w:r>
      <w:r w:rsidR="00285301" w:rsidRPr="00F67CC4">
        <w:rPr>
          <w:rFonts w:cs="Calibri"/>
          <w:b/>
          <w:sz w:val="28"/>
          <w:szCs w:val="28"/>
          <w:lang w:val="en-GB"/>
        </w:rPr>
        <w:t>DCL</w:t>
      </w:r>
      <w:r w:rsidRPr="00F67CC4">
        <w:rPr>
          <w:rFonts w:cs="Calibri"/>
          <w:b/>
          <w:sz w:val="20"/>
          <w:szCs w:val="20"/>
          <w:lang w:val="en-GB"/>
        </w:rPr>
        <w:t>t</w:t>
      </w:r>
      <w:r w:rsidRPr="00F67CC4">
        <w:rPr>
          <w:rFonts w:cs="Calibri"/>
          <w:b/>
          <w:sz w:val="28"/>
          <w:szCs w:val="28"/>
          <w:lang w:val="en-GB"/>
        </w:rPr>
        <w:t xml:space="preserve"> –</w:t>
      </w:r>
      <w:r w:rsidR="00285301" w:rsidRPr="00F67CC4">
        <w:rPr>
          <w:rFonts w:cs="Calibri"/>
          <w:b/>
          <w:sz w:val="28"/>
          <w:szCs w:val="28"/>
          <w:lang w:val="en-GB"/>
        </w:rPr>
        <w:t xml:space="preserve"> DEP</w:t>
      </w:r>
      <w:r w:rsidRPr="00F67CC4">
        <w:rPr>
          <w:rFonts w:cs="Calibri"/>
          <w:b/>
          <w:sz w:val="20"/>
          <w:szCs w:val="20"/>
          <w:lang w:val="en-GB"/>
        </w:rPr>
        <w:t>t</w:t>
      </w:r>
      <w:r w:rsidRPr="00F67CC4">
        <w:rPr>
          <w:rFonts w:cs="Calibri"/>
          <w:b/>
          <w:sz w:val="28"/>
          <w:szCs w:val="28"/>
          <w:lang w:val="en-GB"/>
        </w:rPr>
        <w:t xml:space="preserve"> ]</w:t>
      </w:r>
      <w:r w:rsidR="004A4F33" w:rsidRPr="00F67CC4">
        <w:rPr>
          <w:rFonts w:cs="Calibri"/>
          <w:b/>
          <w:sz w:val="28"/>
          <w:szCs w:val="28"/>
          <w:lang w:val="en-GB"/>
        </w:rPr>
        <w:tab/>
        <w:t>(1)</w:t>
      </w:r>
    </w:p>
    <w:p w:rsidR="006F495C" w:rsidRDefault="006F495C" w:rsidP="00285301">
      <w:pPr>
        <w:spacing w:line="240" w:lineRule="auto"/>
        <w:rPr>
          <w:rFonts w:cs="Calibri"/>
          <w:b/>
          <w:lang w:val="en-GB"/>
        </w:rPr>
      </w:pPr>
      <w:r>
        <w:rPr>
          <w:rFonts w:cs="Calibri"/>
          <w:b/>
          <w:lang w:val="en-GB"/>
        </w:rPr>
        <w:t>TA = total amount of accruals</w:t>
      </w:r>
    </w:p>
    <w:p w:rsidR="00285301" w:rsidRPr="00F67CC4" w:rsidRDefault="00BC1DDE" w:rsidP="00285301">
      <w:pPr>
        <w:spacing w:line="240" w:lineRule="auto"/>
        <w:rPr>
          <w:rFonts w:cs="Calibri"/>
          <w:b/>
          <w:lang w:val="en-GB"/>
        </w:rPr>
      </w:pPr>
      <w:r>
        <w:rPr>
          <w:rFonts w:cs="Calibri"/>
          <w:b/>
          <w:lang w:val="en-GB"/>
        </w:rPr>
        <w:t>ΔCA</w:t>
      </w:r>
      <w:r w:rsidR="00285301" w:rsidRPr="00F67CC4">
        <w:rPr>
          <w:rFonts w:cs="Calibri"/>
          <w:b/>
          <w:lang w:val="en-GB"/>
        </w:rPr>
        <w:t xml:space="preserve"> = change in current assets </w:t>
      </w:r>
    </w:p>
    <w:p w:rsidR="00285301" w:rsidRPr="00F67CC4" w:rsidRDefault="00BC1DDE" w:rsidP="00285301">
      <w:pPr>
        <w:spacing w:line="240" w:lineRule="auto"/>
        <w:rPr>
          <w:rFonts w:cs="Calibri"/>
          <w:b/>
          <w:lang w:val="en-GB"/>
        </w:rPr>
      </w:pPr>
      <w:r>
        <w:rPr>
          <w:rFonts w:cs="Calibri"/>
          <w:b/>
          <w:lang w:val="en-GB"/>
        </w:rPr>
        <w:t>ΔCASH</w:t>
      </w:r>
      <w:r w:rsidR="00285301" w:rsidRPr="00F67CC4">
        <w:rPr>
          <w:rFonts w:cs="Calibri"/>
          <w:b/>
          <w:lang w:val="en-GB"/>
        </w:rPr>
        <w:t xml:space="preserve"> = change in cash equivalents </w:t>
      </w:r>
    </w:p>
    <w:p w:rsidR="00285301" w:rsidRPr="00F67CC4" w:rsidRDefault="00BC1DDE" w:rsidP="00285301">
      <w:pPr>
        <w:spacing w:line="240" w:lineRule="auto"/>
        <w:rPr>
          <w:rFonts w:cs="Calibri"/>
          <w:b/>
          <w:lang w:val="en-GB"/>
        </w:rPr>
      </w:pPr>
      <w:r>
        <w:rPr>
          <w:rFonts w:cs="Calibri"/>
          <w:b/>
          <w:lang w:val="en-GB"/>
        </w:rPr>
        <w:t>ΔCL</w:t>
      </w:r>
      <w:r w:rsidR="00285301" w:rsidRPr="00F67CC4">
        <w:rPr>
          <w:rFonts w:cs="Calibri"/>
          <w:b/>
          <w:lang w:val="en-GB"/>
        </w:rPr>
        <w:t xml:space="preserve"> = change in current liabilities </w:t>
      </w:r>
    </w:p>
    <w:p w:rsidR="00285301" w:rsidRPr="00F67CC4" w:rsidRDefault="00BC1DDE" w:rsidP="00285301">
      <w:pPr>
        <w:spacing w:line="240" w:lineRule="auto"/>
        <w:rPr>
          <w:rFonts w:cs="Calibri"/>
          <w:b/>
          <w:lang w:val="en-GB"/>
        </w:rPr>
      </w:pPr>
      <w:r>
        <w:rPr>
          <w:rFonts w:cs="Calibri"/>
          <w:b/>
          <w:lang w:val="en-GB"/>
        </w:rPr>
        <w:t>ΔDC</w:t>
      </w:r>
      <w:r w:rsidR="00875E15">
        <w:rPr>
          <w:rFonts w:cs="Calibri"/>
          <w:b/>
          <w:lang w:val="en-GB"/>
        </w:rPr>
        <w:t>L</w:t>
      </w:r>
      <w:r w:rsidR="00285301" w:rsidRPr="00F67CC4">
        <w:rPr>
          <w:rFonts w:cs="Calibri"/>
          <w:b/>
          <w:lang w:val="en-GB"/>
        </w:rPr>
        <w:t xml:space="preserve"> = change in debt included in current liabilities </w:t>
      </w:r>
    </w:p>
    <w:p w:rsidR="00E2683C" w:rsidRDefault="00BC1DDE" w:rsidP="00285301">
      <w:pPr>
        <w:spacing w:line="240" w:lineRule="auto"/>
        <w:rPr>
          <w:rFonts w:cs="Calibri"/>
          <w:b/>
          <w:lang w:val="en-GB"/>
        </w:rPr>
      </w:pPr>
      <w:r>
        <w:rPr>
          <w:rFonts w:cs="Calibri"/>
          <w:b/>
          <w:lang w:val="en-GB"/>
        </w:rPr>
        <w:t>DEP</w:t>
      </w:r>
      <w:r w:rsidR="00285301" w:rsidRPr="00F67CC4">
        <w:rPr>
          <w:rFonts w:cs="Calibri"/>
          <w:b/>
          <w:lang w:val="en-GB"/>
        </w:rPr>
        <w:t xml:space="preserve"> = depreciation and amortization expense </w:t>
      </w:r>
    </w:p>
    <w:p w:rsidR="00E2683C" w:rsidRPr="00F67CC4" w:rsidRDefault="00E2683C" w:rsidP="00285301">
      <w:pPr>
        <w:spacing w:line="240" w:lineRule="auto"/>
        <w:rPr>
          <w:rFonts w:cs="Calibri"/>
          <w:b/>
          <w:lang w:val="en-GB"/>
        </w:rPr>
      </w:pPr>
      <w:r>
        <w:rPr>
          <w:rFonts w:cs="Calibri"/>
          <w:b/>
          <w:lang w:val="en-GB"/>
        </w:rPr>
        <w:t>t = year index</w:t>
      </w:r>
    </w:p>
    <w:p w:rsidR="00285301" w:rsidRPr="00F67CC4" w:rsidRDefault="00064CB1" w:rsidP="00256AE0">
      <w:pPr>
        <w:spacing w:line="360" w:lineRule="auto"/>
        <w:rPr>
          <w:rFonts w:cs="Calibri"/>
          <w:lang w:val="en-GB"/>
        </w:rPr>
      </w:pPr>
      <w:r w:rsidRPr="00F67CC4">
        <w:rPr>
          <w:rFonts w:cs="Calibri"/>
          <w:lang w:val="en-GB"/>
        </w:rPr>
        <w:t>This mode</w:t>
      </w:r>
      <w:r w:rsidR="006F495C">
        <w:rPr>
          <w:rFonts w:cs="Calibri"/>
          <w:lang w:val="en-GB"/>
        </w:rPr>
        <w:t>l provided by Dechow (1995</w:t>
      </w:r>
      <w:r w:rsidRPr="00F67CC4">
        <w:rPr>
          <w:rFonts w:cs="Calibri"/>
          <w:lang w:val="en-GB"/>
        </w:rPr>
        <w:t xml:space="preserve">) </w:t>
      </w:r>
      <w:r w:rsidR="00285301" w:rsidRPr="00F67CC4">
        <w:rPr>
          <w:rFonts w:cs="Calibri"/>
          <w:lang w:val="en-GB"/>
        </w:rPr>
        <w:t xml:space="preserve">calculates the total </w:t>
      </w:r>
      <w:r w:rsidR="006F495C">
        <w:rPr>
          <w:rFonts w:cs="Calibri"/>
          <w:lang w:val="en-GB"/>
        </w:rPr>
        <w:t xml:space="preserve">amount of </w:t>
      </w:r>
      <w:r w:rsidR="00285301" w:rsidRPr="00F67CC4">
        <w:rPr>
          <w:rFonts w:cs="Calibri"/>
          <w:lang w:val="en-GB"/>
        </w:rPr>
        <w:t xml:space="preserve">accruals by </w:t>
      </w:r>
      <w:r w:rsidR="00875E15">
        <w:rPr>
          <w:rFonts w:cs="Calibri"/>
          <w:lang w:val="en-GB"/>
        </w:rPr>
        <w:t>investigating</w:t>
      </w:r>
      <w:r w:rsidR="00285301" w:rsidRPr="00F67CC4">
        <w:rPr>
          <w:rFonts w:cs="Calibri"/>
          <w:lang w:val="en-GB"/>
        </w:rPr>
        <w:t xml:space="preserve"> various balance sheet items which </w:t>
      </w:r>
      <w:r w:rsidR="005E565D" w:rsidRPr="00F67CC4">
        <w:rPr>
          <w:rFonts w:cs="Calibri"/>
          <w:lang w:val="en-GB"/>
        </w:rPr>
        <w:t xml:space="preserve">can used for adjustments as </w:t>
      </w:r>
      <w:r w:rsidR="00875E15">
        <w:rPr>
          <w:rFonts w:cs="Calibri"/>
          <w:lang w:val="en-GB"/>
        </w:rPr>
        <w:t>signalled</w:t>
      </w:r>
      <w:r w:rsidR="005E565D" w:rsidRPr="00F67CC4">
        <w:rPr>
          <w:rFonts w:cs="Calibri"/>
          <w:lang w:val="en-GB"/>
        </w:rPr>
        <w:t xml:space="preserve"> in section 3.2.2.1. </w:t>
      </w:r>
    </w:p>
    <w:p w:rsidR="00875E15" w:rsidRDefault="001735F8" w:rsidP="00256AE0">
      <w:pPr>
        <w:spacing w:line="360" w:lineRule="auto"/>
        <w:rPr>
          <w:rFonts w:cs="Calibri"/>
          <w:lang w:val="en-GB"/>
        </w:rPr>
      </w:pPr>
      <w:r w:rsidRPr="00F67CC4">
        <w:rPr>
          <w:rFonts w:cs="Calibri"/>
          <w:lang w:val="en-GB"/>
        </w:rPr>
        <w:t xml:space="preserve">The models of Healy (1985), DeAngelo (1986) and Jones (1991) differ in their approach </w:t>
      </w:r>
      <w:r w:rsidR="00875E15">
        <w:rPr>
          <w:rFonts w:cs="Calibri"/>
          <w:lang w:val="en-GB"/>
        </w:rPr>
        <w:t xml:space="preserve">in which way </w:t>
      </w:r>
      <w:r w:rsidRPr="00F67CC4">
        <w:rPr>
          <w:rFonts w:cs="Calibri"/>
          <w:lang w:val="en-GB"/>
        </w:rPr>
        <w:t>to measure</w:t>
      </w:r>
      <w:r w:rsidR="006F495C">
        <w:rPr>
          <w:rFonts w:cs="Calibri"/>
          <w:lang w:val="en-GB"/>
        </w:rPr>
        <w:t xml:space="preserve"> the</w:t>
      </w:r>
      <w:r w:rsidRPr="00F67CC4">
        <w:rPr>
          <w:rFonts w:cs="Calibri"/>
          <w:lang w:val="en-GB"/>
        </w:rPr>
        <w:t xml:space="preserve"> </w:t>
      </w:r>
      <w:r w:rsidR="002862A8" w:rsidRPr="00F67CC4">
        <w:rPr>
          <w:rFonts w:cs="Calibri"/>
          <w:lang w:val="en-GB"/>
        </w:rPr>
        <w:t xml:space="preserve">non-discretionary </w:t>
      </w:r>
      <w:r w:rsidR="006F495C">
        <w:rPr>
          <w:rFonts w:cs="Calibri"/>
          <w:lang w:val="en-GB"/>
        </w:rPr>
        <w:t>component of the accruals</w:t>
      </w:r>
      <w:r w:rsidRPr="00F67CC4">
        <w:rPr>
          <w:rFonts w:cs="Calibri"/>
          <w:lang w:val="en-GB"/>
        </w:rPr>
        <w:t>.</w:t>
      </w:r>
      <w:r w:rsidR="00875E15">
        <w:rPr>
          <w:rFonts w:cs="Calibri"/>
          <w:lang w:val="en-GB"/>
        </w:rPr>
        <w:t xml:space="preserve"> In order to create comparability and a better understanding in which way the models differ from each other, the models represented </w:t>
      </w:r>
      <w:r w:rsidR="000B71D6">
        <w:rPr>
          <w:rFonts w:cs="Calibri"/>
          <w:lang w:val="en-GB"/>
        </w:rPr>
        <w:t xml:space="preserve">in the article of </w:t>
      </w:r>
      <w:r w:rsidR="00875E15">
        <w:rPr>
          <w:rFonts w:cs="Calibri"/>
          <w:lang w:val="en-GB"/>
        </w:rPr>
        <w:t>Dechow et al. (1995) will be commented</w:t>
      </w:r>
      <w:r w:rsidR="000B71D6">
        <w:rPr>
          <w:rFonts w:cs="Calibri"/>
          <w:lang w:val="en-GB"/>
        </w:rPr>
        <w:t xml:space="preserve"> in this thesis</w:t>
      </w:r>
      <w:r w:rsidR="00875E15">
        <w:rPr>
          <w:rFonts w:cs="Calibri"/>
          <w:lang w:val="en-GB"/>
        </w:rPr>
        <w:t xml:space="preserve">. </w:t>
      </w:r>
      <w:r w:rsidR="001627A8">
        <w:rPr>
          <w:rFonts w:cs="Calibri"/>
          <w:lang w:val="en-GB"/>
        </w:rPr>
        <w:t xml:space="preserve">The only exception is the model developed by Kothari et al. (2005); this model was developed after the publication of Dechow et al. (1995) and added to the discussion of the developed models because of its different perspective on measuring accruals and the detection on the use of earnings management. </w:t>
      </w:r>
    </w:p>
    <w:p w:rsidR="00607559" w:rsidRPr="00F67CC4" w:rsidRDefault="001C6A3E" w:rsidP="00607559">
      <w:pPr>
        <w:spacing w:line="360" w:lineRule="auto"/>
        <w:rPr>
          <w:rFonts w:cs="Calibri"/>
          <w:lang w:val="en-GB"/>
        </w:rPr>
      </w:pPr>
      <w:r w:rsidRPr="00F67CC4">
        <w:rPr>
          <w:rFonts w:cs="Calibri"/>
          <w:b/>
          <w:lang w:val="en-GB"/>
        </w:rPr>
        <w:t>3.4.2.1 Healy (1985)</w:t>
      </w:r>
      <w:r w:rsidR="004D5028" w:rsidRPr="00F67CC4">
        <w:rPr>
          <w:rFonts w:cs="Calibri"/>
          <w:b/>
          <w:u w:val="single"/>
          <w:lang w:val="en-GB"/>
        </w:rPr>
        <w:br/>
      </w:r>
      <w:r w:rsidR="00B664C1" w:rsidRPr="00F67CC4">
        <w:rPr>
          <w:rFonts w:cs="Calibri"/>
          <w:lang w:val="en-GB"/>
        </w:rPr>
        <w:t xml:space="preserve">In order to estimate the use of earnings management, Healy (1985) states that two proxies </w:t>
      </w:r>
      <w:r w:rsidR="00875E15">
        <w:rPr>
          <w:rFonts w:cs="Calibri"/>
          <w:lang w:val="en-GB"/>
        </w:rPr>
        <w:t xml:space="preserve">exist </w:t>
      </w:r>
      <w:r w:rsidR="00B664C1" w:rsidRPr="00F67CC4">
        <w:rPr>
          <w:rFonts w:cs="Calibri"/>
          <w:lang w:val="en-GB"/>
        </w:rPr>
        <w:t>for discretionary accruals and accounting choices: total accruals and the effect of voluntary changes in accounting</w:t>
      </w:r>
      <w:r w:rsidR="002862A8" w:rsidRPr="00F67CC4">
        <w:rPr>
          <w:rFonts w:cs="Calibri"/>
          <w:lang w:val="en-GB"/>
        </w:rPr>
        <w:t xml:space="preserve"> procedures on earnings</w:t>
      </w:r>
      <w:r w:rsidR="0098462F" w:rsidRPr="00F67CC4">
        <w:rPr>
          <w:rFonts w:cs="Calibri"/>
          <w:lang w:val="en-GB"/>
        </w:rPr>
        <w:t xml:space="preserve"> (Healy</w:t>
      </w:r>
      <w:r w:rsidR="00B664C1" w:rsidRPr="00F67CC4">
        <w:rPr>
          <w:rFonts w:cs="Calibri"/>
          <w:lang w:val="en-GB"/>
        </w:rPr>
        <w:t xml:space="preserve"> 1</w:t>
      </w:r>
      <w:r w:rsidR="0098462F" w:rsidRPr="00F67CC4">
        <w:rPr>
          <w:rFonts w:cs="Calibri"/>
          <w:lang w:val="en-GB"/>
        </w:rPr>
        <w:t>9</w:t>
      </w:r>
      <w:r w:rsidR="00B664C1" w:rsidRPr="00F67CC4">
        <w:rPr>
          <w:rFonts w:cs="Calibri"/>
          <w:lang w:val="en-GB"/>
        </w:rPr>
        <w:t>85, p</w:t>
      </w:r>
      <w:r w:rsidR="00875E15">
        <w:rPr>
          <w:rFonts w:cs="Calibri"/>
          <w:lang w:val="en-GB"/>
        </w:rPr>
        <w:t xml:space="preserve"> </w:t>
      </w:r>
      <w:r w:rsidR="00B664C1" w:rsidRPr="00F67CC4">
        <w:rPr>
          <w:rFonts w:cs="Calibri"/>
          <w:lang w:val="en-GB"/>
        </w:rPr>
        <w:t>94)</w:t>
      </w:r>
      <w:r w:rsidR="002862A8" w:rsidRPr="00F67CC4">
        <w:rPr>
          <w:rFonts w:cs="Calibri"/>
          <w:lang w:val="en-GB"/>
        </w:rPr>
        <w:t>.</w:t>
      </w:r>
      <w:r w:rsidR="00B664C1" w:rsidRPr="00F67CC4">
        <w:rPr>
          <w:rFonts w:cs="Calibri"/>
          <w:lang w:val="en-GB"/>
        </w:rPr>
        <w:t xml:space="preserve"> </w:t>
      </w:r>
      <w:r w:rsidR="002862A8" w:rsidRPr="00F67CC4">
        <w:rPr>
          <w:rFonts w:cs="Calibri"/>
          <w:lang w:val="en-GB"/>
        </w:rPr>
        <w:t>With the use of formula (1) the total accruals are measured which are used to determine the non-discretionary accrual component. The</w:t>
      </w:r>
      <w:r w:rsidR="00607559" w:rsidRPr="00F67CC4">
        <w:rPr>
          <w:rFonts w:cs="Calibri"/>
          <w:lang w:val="en-GB"/>
        </w:rPr>
        <w:t xml:space="preserve"> non-discretionary accruals are estimated by the mean total accruals from the estimation period:</w:t>
      </w:r>
    </w:p>
    <w:p w:rsidR="009A73AF" w:rsidRPr="00F67CC4" w:rsidRDefault="00607559" w:rsidP="009A73AF">
      <w:pPr>
        <w:spacing w:line="360" w:lineRule="auto"/>
        <w:rPr>
          <w:rFonts w:cs="Calibri"/>
          <w:b/>
          <w:sz w:val="28"/>
          <w:szCs w:val="28"/>
          <w:lang w:val="en-US"/>
        </w:rPr>
      </w:pPr>
      <w:r w:rsidRPr="00F67CC4">
        <w:rPr>
          <w:rFonts w:cs="Calibri"/>
          <w:b/>
          <w:sz w:val="28"/>
          <w:szCs w:val="28"/>
          <w:lang w:val="en-US"/>
        </w:rPr>
        <w:t>NDA</w:t>
      </w:r>
      <w:r w:rsidR="0091120F" w:rsidRPr="00F67CC4">
        <w:rPr>
          <w:rFonts w:cs="Calibri"/>
          <w:b/>
          <w:sz w:val="28"/>
          <w:szCs w:val="28"/>
          <w:lang w:val="en-US"/>
        </w:rPr>
        <w:t>τ</w:t>
      </w:r>
      <w:r w:rsidRPr="00F67CC4">
        <w:rPr>
          <w:rFonts w:cs="Calibri"/>
          <w:b/>
          <w:sz w:val="28"/>
          <w:szCs w:val="28"/>
          <w:lang w:val="en-US"/>
        </w:rPr>
        <w:t xml:space="preserve"> = </w:t>
      </w:r>
      <w:r w:rsidRPr="00F67CC4">
        <w:rPr>
          <w:rFonts w:cs="Calibri"/>
          <w:b/>
          <w:sz w:val="28"/>
          <w:szCs w:val="28"/>
          <w:lang w:val="en-GB"/>
        </w:rPr>
        <w:t>Σ</w:t>
      </w:r>
      <w:r w:rsidRPr="00F67CC4">
        <w:rPr>
          <w:rFonts w:cs="Calibri"/>
          <w:b/>
          <w:lang w:val="en-US"/>
        </w:rPr>
        <w:t xml:space="preserve"> </w:t>
      </w:r>
      <w:r w:rsidRPr="00F67CC4">
        <w:rPr>
          <w:rFonts w:cs="Calibri"/>
          <w:b/>
          <w:sz w:val="28"/>
          <w:szCs w:val="28"/>
          <w:lang w:val="en-US"/>
        </w:rPr>
        <w:t>TA</w:t>
      </w:r>
      <w:r w:rsidRPr="00F67CC4">
        <w:rPr>
          <w:rFonts w:cs="Calibri"/>
          <w:b/>
          <w:lang w:val="en-US"/>
        </w:rPr>
        <w:t>t</w:t>
      </w:r>
      <w:r w:rsidRPr="00F67CC4">
        <w:rPr>
          <w:rFonts w:cs="Calibri"/>
          <w:b/>
          <w:sz w:val="28"/>
          <w:szCs w:val="28"/>
          <w:lang w:val="en-US"/>
        </w:rPr>
        <w:t xml:space="preserve"> / T</w:t>
      </w:r>
    </w:p>
    <w:p w:rsidR="009A73AF" w:rsidRPr="00F67CC4" w:rsidRDefault="009A73AF" w:rsidP="009A73AF">
      <w:pPr>
        <w:spacing w:line="240" w:lineRule="auto"/>
        <w:rPr>
          <w:rFonts w:cs="Calibri"/>
          <w:b/>
          <w:lang w:val="en-GB"/>
        </w:rPr>
      </w:pPr>
      <w:r w:rsidRPr="00F67CC4">
        <w:rPr>
          <w:rFonts w:cs="Calibri"/>
          <w:b/>
          <w:lang w:val="en-GB"/>
        </w:rPr>
        <w:t xml:space="preserve">NDA = nondiscretionary accruals </w:t>
      </w:r>
    </w:p>
    <w:p w:rsidR="009A73AF" w:rsidRPr="00F67CC4" w:rsidRDefault="009A73AF" w:rsidP="009A73AF">
      <w:pPr>
        <w:spacing w:line="240" w:lineRule="auto"/>
        <w:rPr>
          <w:rFonts w:cs="Calibri"/>
          <w:b/>
          <w:lang w:val="en-GB"/>
        </w:rPr>
      </w:pPr>
      <w:r w:rsidRPr="00F67CC4">
        <w:rPr>
          <w:rFonts w:cs="Calibri"/>
          <w:b/>
          <w:lang w:val="en-GB"/>
        </w:rPr>
        <w:t>TA</w:t>
      </w:r>
      <w:r w:rsidR="00E2683C">
        <w:rPr>
          <w:rFonts w:cs="Calibri"/>
          <w:b/>
          <w:lang w:val="en-GB"/>
        </w:rPr>
        <w:t xml:space="preserve"> = Total Accruals</w:t>
      </w:r>
    </w:p>
    <w:p w:rsidR="00B84045" w:rsidRPr="00F67CC4" w:rsidRDefault="0091120F" w:rsidP="009A73AF">
      <w:pPr>
        <w:spacing w:line="240" w:lineRule="auto"/>
        <w:rPr>
          <w:rFonts w:cs="Calibri"/>
          <w:b/>
          <w:lang w:val="en-GB"/>
        </w:rPr>
      </w:pPr>
      <w:r w:rsidRPr="00F67CC4">
        <w:rPr>
          <w:rFonts w:cs="Calibri"/>
          <w:b/>
          <w:lang w:val="en-GB"/>
        </w:rPr>
        <w:t>t</w:t>
      </w:r>
      <w:r w:rsidR="00B84045" w:rsidRPr="00F67CC4">
        <w:rPr>
          <w:rFonts w:cs="Calibri"/>
          <w:b/>
          <w:lang w:val="en-GB"/>
        </w:rPr>
        <w:t xml:space="preserve"> = year</w:t>
      </w:r>
      <w:r w:rsidRPr="00F67CC4">
        <w:rPr>
          <w:rFonts w:cs="Calibri"/>
          <w:b/>
          <w:lang w:val="en-GB"/>
        </w:rPr>
        <w:t xml:space="preserve"> subscript for year included in the estimation period</w:t>
      </w:r>
      <w:r w:rsidR="00B84045" w:rsidRPr="00F67CC4">
        <w:rPr>
          <w:rFonts w:cs="Calibri"/>
          <w:b/>
          <w:lang w:val="en-GB"/>
        </w:rPr>
        <w:t xml:space="preserve"> </w:t>
      </w:r>
    </w:p>
    <w:p w:rsidR="0091120F" w:rsidRPr="00F67CC4" w:rsidRDefault="0091120F" w:rsidP="009A73AF">
      <w:pPr>
        <w:spacing w:line="240" w:lineRule="auto"/>
        <w:rPr>
          <w:rFonts w:cs="Calibri"/>
          <w:b/>
          <w:lang w:val="en-GB"/>
        </w:rPr>
      </w:pPr>
      <w:r w:rsidRPr="00F67CC4">
        <w:rPr>
          <w:rFonts w:cs="Calibri"/>
          <w:b/>
          <w:lang w:val="en-US"/>
        </w:rPr>
        <w:lastRenderedPageBreak/>
        <w:t xml:space="preserve">τ = a year subscript indicating a year in the event period </w:t>
      </w:r>
    </w:p>
    <w:p w:rsidR="001C6A3E" w:rsidRPr="00F67CC4" w:rsidRDefault="00AC02A7" w:rsidP="00F74511">
      <w:pPr>
        <w:spacing w:line="360" w:lineRule="auto"/>
        <w:rPr>
          <w:rFonts w:cs="Calibri"/>
          <w:bCs/>
          <w:lang w:val="en-GB"/>
        </w:rPr>
      </w:pPr>
      <w:r>
        <w:rPr>
          <w:rFonts w:cs="Calibri"/>
          <w:bCs/>
          <w:lang w:val="en-GB"/>
        </w:rPr>
        <w:t xml:space="preserve">Healy (1985) assumes </w:t>
      </w:r>
      <w:r w:rsidR="001C6A3E" w:rsidRPr="00F67CC4">
        <w:rPr>
          <w:rFonts w:cs="Calibri"/>
          <w:bCs/>
          <w:lang w:val="en-GB"/>
        </w:rPr>
        <w:t>that</w:t>
      </w:r>
      <w:r w:rsidR="00875E15">
        <w:rPr>
          <w:rFonts w:cs="Calibri"/>
          <w:bCs/>
          <w:lang w:val="en-GB"/>
        </w:rPr>
        <w:t xml:space="preserve"> the use of</w:t>
      </w:r>
      <w:r w:rsidR="001C6A3E" w:rsidRPr="00F67CC4">
        <w:rPr>
          <w:rFonts w:cs="Calibri"/>
          <w:bCs/>
          <w:lang w:val="en-GB"/>
        </w:rPr>
        <w:t xml:space="preserve"> earnings management </w:t>
      </w:r>
      <w:r w:rsidR="00525AA1">
        <w:rPr>
          <w:rFonts w:cs="Calibri"/>
          <w:bCs/>
          <w:lang w:val="en-GB"/>
        </w:rPr>
        <w:t xml:space="preserve">occurs </w:t>
      </w:r>
      <w:r w:rsidR="00264278" w:rsidRPr="00F67CC4">
        <w:rPr>
          <w:rFonts w:cs="Calibri"/>
          <w:bCs/>
          <w:lang w:val="en-GB"/>
        </w:rPr>
        <w:t>systematically</w:t>
      </w:r>
      <w:r w:rsidR="001C6A3E" w:rsidRPr="00F67CC4">
        <w:rPr>
          <w:rFonts w:cs="Calibri"/>
          <w:bCs/>
          <w:lang w:val="en-GB"/>
        </w:rPr>
        <w:t xml:space="preserve">. </w:t>
      </w:r>
      <w:r w:rsidR="00875E15">
        <w:rPr>
          <w:rFonts w:cs="Calibri"/>
          <w:bCs/>
          <w:lang w:val="en-GB"/>
        </w:rPr>
        <w:t>Consequently</w:t>
      </w:r>
      <w:r w:rsidR="003831B3" w:rsidRPr="00F67CC4">
        <w:rPr>
          <w:rFonts w:cs="Calibri"/>
          <w:bCs/>
          <w:lang w:val="en-GB"/>
        </w:rPr>
        <w:t xml:space="preserve"> it is possible according to Healy (1985) to use the estimated total</w:t>
      </w:r>
      <w:r w:rsidR="006F495C">
        <w:rPr>
          <w:rFonts w:cs="Calibri"/>
          <w:bCs/>
          <w:lang w:val="en-GB"/>
        </w:rPr>
        <w:t xml:space="preserve"> amount of</w:t>
      </w:r>
      <w:r w:rsidR="003831B3" w:rsidRPr="00F67CC4">
        <w:rPr>
          <w:rFonts w:cs="Calibri"/>
          <w:bCs/>
          <w:lang w:val="en-GB"/>
        </w:rPr>
        <w:t xml:space="preserve"> accruals over a period for the determination of the non-discretionary accrual component. </w:t>
      </w:r>
      <w:r w:rsidR="00393BA8" w:rsidRPr="00F67CC4">
        <w:rPr>
          <w:rFonts w:cs="Calibri"/>
          <w:bCs/>
          <w:lang w:val="en-GB"/>
        </w:rPr>
        <w:t>The period of estimation will be determined by a period of a manager, which will maximize his expected future award by managing</w:t>
      </w:r>
      <w:r w:rsidR="00875E15">
        <w:rPr>
          <w:rFonts w:cs="Calibri"/>
          <w:bCs/>
          <w:lang w:val="en-GB"/>
        </w:rPr>
        <w:t xml:space="preserve"> the published</w:t>
      </w:r>
      <w:r w:rsidR="00393BA8" w:rsidRPr="00F67CC4">
        <w:rPr>
          <w:rFonts w:cs="Calibri"/>
          <w:bCs/>
          <w:lang w:val="en-GB"/>
        </w:rPr>
        <w:t xml:space="preserve"> earnings (Healy 1985, p</w:t>
      </w:r>
      <w:r w:rsidR="00875E15">
        <w:rPr>
          <w:rFonts w:cs="Calibri"/>
          <w:bCs/>
          <w:lang w:val="en-GB"/>
        </w:rPr>
        <w:t xml:space="preserve"> </w:t>
      </w:r>
      <w:r w:rsidR="00393BA8" w:rsidRPr="00F67CC4">
        <w:rPr>
          <w:rFonts w:cs="Calibri"/>
          <w:bCs/>
          <w:lang w:val="en-GB"/>
        </w:rPr>
        <w:t>90)</w:t>
      </w:r>
      <w:r w:rsidR="00525AA1">
        <w:rPr>
          <w:rFonts w:cs="Calibri"/>
          <w:bCs/>
          <w:lang w:val="en-GB"/>
        </w:rPr>
        <w:t xml:space="preserve">. </w:t>
      </w:r>
      <w:r w:rsidR="003831B3" w:rsidRPr="00F67CC4">
        <w:rPr>
          <w:rFonts w:cs="Calibri"/>
          <w:bCs/>
          <w:lang w:val="en-GB"/>
        </w:rPr>
        <w:t>However, t</w:t>
      </w:r>
      <w:r w:rsidR="001C6A3E" w:rsidRPr="00F67CC4">
        <w:rPr>
          <w:rFonts w:cs="Calibri"/>
          <w:lang w:val="en-GB"/>
        </w:rPr>
        <w:t>he limitation of this model is that Healy (1985) assumes that non</w:t>
      </w:r>
      <w:r w:rsidR="003831B3" w:rsidRPr="00F67CC4">
        <w:rPr>
          <w:rFonts w:cs="Calibri"/>
          <w:lang w:val="en-GB"/>
        </w:rPr>
        <w:t>-</w:t>
      </w:r>
      <w:r w:rsidR="001C6A3E" w:rsidRPr="00F67CC4">
        <w:rPr>
          <w:rFonts w:cs="Calibri"/>
          <w:lang w:val="en-GB"/>
        </w:rPr>
        <w:t>discretionary accruals are constant over time and follow a white noise</w:t>
      </w:r>
      <w:r w:rsidR="00525AA1">
        <w:rPr>
          <w:rFonts w:cs="Calibri"/>
          <w:lang w:val="en-GB"/>
        </w:rPr>
        <w:t xml:space="preserve"> process around a constant mean</w:t>
      </w:r>
      <w:r w:rsidR="001C6A3E" w:rsidRPr="00F67CC4">
        <w:rPr>
          <w:rFonts w:cs="Calibri"/>
          <w:lang w:val="en-GB"/>
        </w:rPr>
        <w:t xml:space="preserve"> (Dechow et </w:t>
      </w:r>
      <w:r w:rsidR="00D30E26" w:rsidRPr="00F67CC4">
        <w:rPr>
          <w:rFonts w:cs="Calibri"/>
          <w:lang w:val="en-GB"/>
        </w:rPr>
        <w:t>al. 1995</w:t>
      </w:r>
      <w:r w:rsidR="0098462F" w:rsidRPr="00F67CC4">
        <w:rPr>
          <w:rFonts w:cs="Calibri"/>
          <w:lang w:val="en-GB"/>
        </w:rPr>
        <w:t>, p</w:t>
      </w:r>
      <w:r w:rsidR="00875E15">
        <w:rPr>
          <w:rFonts w:cs="Calibri"/>
          <w:lang w:val="en-GB"/>
        </w:rPr>
        <w:t xml:space="preserve"> </w:t>
      </w:r>
      <w:r w:rsidR="0098462F" w:rsidRPr="00F67CC4">
        <w:rPr>
          <w:rFonts w:cs="Calibri"/>
          <w:lang w:val="en-GB"/>
        </w:rPr>
        <w:t>197</w:t>
      </w:r>
      <w:r w:rsidR="00D30E26" w:rsidRPr="00F67CC4">
        <w:rPr>
          <w:rFonts w:cs="Calibri"/>
          <w:lang w:val="en-GB"/>
        </w:rPr>
        <w:t>)</w:t>
      </w:r>
      <w:r w:rsidR="00525AA1">
        <w:rPr>
          <w:rFonts w:cs="Calibri"/>
          <w:lang w:val="en-GB"/>
        </w:rPr>
        <w:t>.</w:t>
      </w:r>
      <w:r w:rsidR="00D30E26" w:rsidRPr="00F67CC4">
        <w:rPr>
          <w:rFonts w:cs="Calibri"/>
          <w:lang w:val="en-GB"/>
        </w:rPr>
        <w:t xml:space="preserve"> These assumptions do</w:t>
      </w:r>
      <w:r w:rsidR="001C6A3E" w:rsidRPr="00F67CC4">
        <w:rPr>
          <w:rFonts w:cs="Calibri"/>
          <w:lang w:val="en-GB"/>
        </w:rPr>
        <w:t xml:space="preserve"> not always hold in reality, which </w:t>
      </w:r>
      <w:r w:rsidR="00875E15">
        <w:rPr>
          <w:rFonts w:cs="Calibri"/>
          <w:lang w:val="en-GB"/>
        </w:rPr>
        <w:t>creates</w:t>
      </w:r>
      <w:r w:rsidR="001C6A3E" w:rsidRPr="00F67CC4">
        <w:rPr>
          <w:rFonts w:cs="Calibri"/>
          <w:lang w:val="en-GB"/>
        </w:rPr>
        <w:t xml:space="preserve"> errors in </w:t>
      </w:r>
      <w:r>
        <w:rPr>
          <w:rFonts w:cs="Calibri"/>
          <w:lang w:val="en-GB"/>
        </w:rPr>
        <w:t xml:space="preserve">the </w:t>
      </w:r>
      <w:r w:rsidR="001C6A3E" w:rsidRPr="00F67CC4">
        <w:rPr>
          <w:rFonts w:cs="Calibri"/>
          <w:lang w:val="en-GB"/>
        </w:rPr>
        <w:t xml:space="preserve">conclusions drawn </w:t>
      </w:r>
      <w:r w:rsidR="00525AA1">
        <w:rPr>
          <w:rFonts w:cs="Calibri"/>
          <w:lang w:val="en-GB"/>
        </w:rPr>
        <w:t>by</w:t>
      </w:r>
      <w:r w:rsidR="001C6A3E" w:rsidRPr="00F67CC4">
        <w:rPr>
          <w:rFonts w:cs="Calibri"/>
          <w:lang w:val="en-GB"/>
        </w:rPr>
        <w:t xml:space="preserve"> this model.</w:t>
      </w:r>
    </w:p>
    <w:p w:rsidR="002F4809" w:rsidRPr="00F67CC4" w:rsidRDefault="001C6A3E" w:rsidP="00525AA1">
      <w:pPr>
        <w:spacing w:line="360" w:lineRule="auto"/>
        <w:rPr>
          <w:rFonts w:cs="Calibri"/>
          <w:b/>
          <w:bCs/>
          <w:sz w:val="28"/>
          <w:szCs w:val="28"/>
          <w:lang w:val="en-US"/>
        </w:rPr>
      </w:pPr>
      <w:r w:rsidRPr="00F67CC4">
        <w:rPr>
          <w:rFonts w:cs="Calibri"/>
          <w:b/>
          <w:bCs/>
          <w:lang w:val="en-GB"/>
        </w:rPr>
        <w:t>3.4.2.2 DeAngelo (1986)</w:t>
      </w:r>
      <w:r w:rsidRPr="00F67CC4">
        <w:rPr>
          <w:rFonts w:cs="Calibri"/>
          <w:b/>
          <w:bCs/>
          <w:u w:val="single"/>
          <w:lang w:val="en-GB"/>
        </w:rPr>
        <w:br/>
      </w:r>
      <w:r w:rsidR="00586C74">
        <w:rPr>
          <w:rFonts w:cs="Calibri"/>
          <w:bCs/>
          <w:lang w:val="en-GB"/>
        </w:rPr>
        <w:t>DeA</w:t>
      </w:r>
      <w:r w:rsidR="00525AA1">
        <w:rPr>
          <w:rFonts w:cs="Calibri"/>
          <w:bCs/>
          <w:lang w:val="en-GB"/>
        </w:rPr>
        <w:t xml:space="preserve">ngelo (1986) elaborated on the model of Healy (1985), </w:t>
      </w:r>
      <w:r w:rsidR="0047474D">
        <w:rPr>
          <w:rFonts w:cs="Calibri"/>
          <w:bCs/>
          <w:lang w:val="en-GB"/>
        </w:rPr>
        <w:t>but the</w:t>
      </w:r>
      <w:r w:rsidR="003831B3" w:rsidRPr="00F67CC4">
        <w:rPr>
          <w:rFonts w:cs="Calibri"/>
          <w:bCs/>
          <w:lang w:val="en-GB"/>
        </w:rPr>
        <w:t xml:space="preserve"> difference between the two</w:t>
      </w:r>
      <w:r w:rsidR="00264278" w:rsidRPr="00F67CC4">
        <w:rPr>
          <w:rFonts w:cs="Calibri"/>
          <w:bCs/>
          <w:lang w:val="en-GB"/>
        </w:rPr>
        <w:t xml:space="preserve"> models is that DeAngelo (1986) restricts the estimation period for non-discretionary accruals to </w:t>
      </w:r>
      <w:r w:rsidR="00525AA1">
        <w:rPr>
          <w:rFonts w:cs="Calibri"/>
          <w:bCs/>
          <w:lang w:val="en-GB"/>
        </w:rPr>
        <w:t>previous</w:t>
      </w:r>
      <w:r w:rsidR="006F495C">
        <w:rPr>
          <w:rFonts w:cs="Calibri"/>
          <w:bCs/>
          <w:lang w:val="en-GB"/>
        </w:rPr>
        <w:t>’</w:t>
      </w:r>
      <w:r w:rsidR="00525AA1">
        <w:rPr>
          <w:rFonts w:cs="Calibri"/>
          <w:bCs/>
          <w:lang w:val="en-GB"/>
        </w:rPr>
        <w:t xml:space="preserve"> year</w:t>
      </w:r>
      <w:r w:rsidR="00264278" w:rsidRPr="00F67CC4">
        <w:rPr>
          <w:rFonts w:cs="Calibri"/>
          <w:bCs/>
          <w:lang w:val="en-GB"/>
        </w:rPr>
        <w:t xml:space="preserve"> observation (Dechow et </w:t>
      </w:r>
      <w:r w:rsidR="0047474D">
        <w:rPr>
          <w:rFonts w:cs="Calibri"/>
          <w:bCs/>
          <w:lang w:val="en-GB"/>
        </w:rPr>
        <w:t>a</w:t>
      </w:r>
      <w:r w:rsidR="00264278" w:rsidRPr="00F67CC4">
        <w:rPr>
          <w:rFonts w:cs="Calibri"/>
          <w:bCs/>
          <w:lang w:val="en-GB"/>
        </w:rPr>
        <w:t>l</w:t>
      </w:r>
      <w:r w:rsidR="0047474D">
        <w:rPr>
          <w:rFonts w:cs="Calibri"/>
          <w:bCs/>
          <w:lang w:val="en-GB"/>
        </w:rPr>
        <w:t>.</w:t>
      </w:r>
      <w:r w:rsidR="00264278" w:rsidRPr="00F67CC4">
        <w:rPr>
          <w:rFonts w:cs="Calibri"/>
          <w:bCs/>
          <w:lang w:val="en-GB"/>
        </w:rPr>
        <w:t xml:space="preserve"> 1995, p</w:t>
      </w:r>
      <w:r w:rsidR="00586C74">
        <w:rPr>
          <w:rFonts w:cs="Calibri"/>
          <w:bCs/>
          <w:lang w:val="en-GB"/>
        </w:rPr>
        <w:t xml:space="preserve"> </w:t>
      </w:r>
      <w:r w:rsidR="00264278" w:rsidRPr="00F67CC4">
        <w:rPr>
          <w:rFonts w:cs="Calibri"/>
          <w:bCs/>
          <w:lang w:val="en-GB"/>
        </w:rPr>
        <w:t>198)</w:t>
      </w:r>
      <w:r w:rsidR="00525AA1">
        <w:rPr>
          <w:rFonts w:cs="Calibri"/>
          <w:bCs/>
          <w:lang w:val="en-GB"/>
        </w:rPr>
        <w:t>.</w:t>
      </w:r>
      <w:r w:rsidR="00264278" w:rsidRPr="00F67CC4">
        <w:rPr>
          <w:rFonts w:cs="Calibri"/>
          <w:bCs/>
          <w:lang w:val="en-GB"/>
        </w:rPr>
        <w:t xml:space="preserve"> </w:t>
      </w:r>
    </w:p>
    <w:p w:rsidR="001C6A3E" w:rsidRPr="00F67CC4" w:rsidRDefault="001C6A3E" w:rsidP="00F74511">
      <w:pPr>
        <w:spacing w:line="360" w:lineRule="auto"/>
        <w:rPr>
          <w:rFonts w:cs="Calibri"/>
          <w:b/>
          <w:lang w:val="en-GB"/>
        </w:rPr>
      </w:pPr>
      <w:r w:rsidRPr="00F67CC4">
        <w:rPr>
          <w:rFonts w:cs="Calibri"/>
          <w:b/>
          <w:sz w:val="28"/>
          <w:szCs w:val="28"/>
          <w:lang w:val="en-GB"/>
        </w:rPr>
        <w:t>NDA</w:t>
      </w:r>
      <w:r w:rsidRPr="00F67CC4">
        <w:rPr>
          <w:rFonts w:cs="Calibri"/>
          <w:b/>
          <w:lang w:val="en-GB"/>
        </w:rPr>
        <w:t>t</w:t>
      </w:r>
      <w:r w:rsidRPr="00F67CC4">
        <w:rPr>
          <w:rFonts w:cs="Calibri"/>
          <w:b/>
          <w:sz w:val="28"/>
          <w:szCs w:val="28"/>
          <w:lang w:val="en-GB"/>
        </w:rPr>
        <w:t xml:space="preserve"> = TA</w:t>
      </w:r>
      <w:r w:rsidRPr="00F67CC4">
        <w:rPr>
          <w:rFonts w:cs="Calibri"/>
          <w:b/>
          <w:lang w:val="en-GB"/>
        </w:rPr>
        <w:t>t-1</w:t>
      </w:r>
    </w:p>
    <w:p w:rsidR="001C6A3E" w:rsidRPr="00F67CC4" w:rsidRDefault="00BC1DDE" w:rsidP="009B2DEF">
      <w:pPr>
        <w:spacing w:line="240" w:lineRule="auto"/>
        <w:rPr>
          <w:rFonts w:cs="Calibri"/>
          <w:b/>
          <w:lang w:val="en-GB"/>
        </w:rPr>
      </w:pPr>
      <w:r>
        <w:rPr>
          <w:rFonts w:cs="Calibri"/>
          <w:b/>
          <w:lang w:val="en-GB"/>
        </w:rPr>
        <w:t>NDA = non-discretionary accruals</w:t>
      </w:r>
    </w:p>
    <w:p w:rsidR="001C6A3E" w:rsidRDefault="001C6A3E" w:rsidP="009B2DEF">
      <w:pPr>
        <w:spacing w:line="240" w:lineRule="auto"/>
        <w:rPr>
          <w:rFonts w:cs="Calibri"/>
          <w:b/>
          <w:lang w:val="en-GB"/>
        </w:rPr>
      </w:pPr>
      <w:r w:rsidRPr="00F67CC4">
        <w:rPr>
          <w:rFonts w:cs="Calibri"/>
          <w:b/>
          <w:lang w:val="en-GB"/>
        </w:rPr>
        <w:t>TA</w:t>
      </w:r>
      <w:r w:rsidRPr="00F67CC4">
        <w:rPr>
          <w:rFonts w:cs="Calibri"/>
          <w:b/>
          <w:sz w:val="20"/>
          <w:szCs w:val="20"/>
          <w:lang w:val="en-GB"/>
        </w:rPr>
        <w:t xml:space="preserve"> </w:t>
      </w:r>
      <w:r w:rsidRPr="00F67CC4">
        <w:rPr>
          <w:rFonts w:cs="Calibri"/>
          <w:b/>
          <w:lang w:val="en-GB"/>
        </w:rPr>
        <w:t>= total accruals</w:t>
      </w:r>
    </w:p>
    <w:p w:rsidR="00BC1DDE" w:rsidRPr="00F67CC4" w:rsidRDefault="00BC1DDE" w:rsidP="009B2DEF">
      <w:pPr>
        <w:spacing w:line="240" w:lineRule="auto"/>
        <w:rPr>
          <w:rFonts w:cs="Calibri"/>
          <w:b/>
          <w:lang w:val="en-GB"/>
        </w:rPr>
      </w:pPr>
      <w:r>
        <w:rPr>
          <w:rFonts w:cs="Calibri"/>
          <w:b/>
          <w:lang w:val="en-GB"/>
        </w:rPr>
        <w:t>t = period index</w:t>
      </w:r>
    </w:p>
    <w:p w:rsidR="00264278" w:rsidRPr="00F67CC4" w:rsidRDefault="0047474D" w:rsidP="00863AE0">
      <w:pPr>
        <w:spacing w:line="360" w:lineRule="auto"/>
        <w:rPr>
          <w:rFonts w:cs="Calibri"/>
          <w:lang w:val="en-GB"/>
        </w:rPr>
      </w:pPr>
      <w:r>
        <w:rPr>
          <w:rFonts w:cs="Calibri"/>
          <w:lang w:val="en-GB"/>
        </w:rPr>
        <w:t>Like Healy (1985),</w:t>
      </w:r>
      <w:r w:rsidR="00863AE0" w:rsidRPr="00F67CC4">
        <w:rPr>
          <w:rFonts w:cs="Calibri"/>
          <w:lang w:val="en-GB"/>
        </w:rPr>
        <w:t xml:space="preserve"> </w:t>
      </w:r>
      <w:r w:rsidR="00264278" w:rsidRPr="00F67CC4">
        <w:rPr>
          <w:rFonts w:cs="Calibri"/>
          <w:lang w:val="en-GB"/>
        </w:rPr>
        <w:t xml:space="preserve">DeAngelo (1986) </w:t>
      </w:r>
      <w:r w:rsidR="00863AE0" w:rsidRPr="00F67CC4">
        <w:rPr>
          <w:rFonts w:cs="Calibri"/>
          <w:lang w:val="en-GB"/>
        </w:rPr>
        <w:t>expect</w:t>
      </w:r>
      <w:r>
        <w:rPr>
          <w:rFonts w:cs="Calibri"/>
          <w:lang w:val="en-GB"/>
        </w:rPr>
        <w:t>s</w:t>
      </w:r>
      <w:r w:rsidR="00863AE0" w:rsidRPr="00F67CC4">
        <w:rPr>
          <w:rFonts w:cs="Calibri"/>
          <w:lang w:val="en-GB"/>
        </w:rPr>
        <w:t xml:space="preserve"> that non-discretionary accruals are constant over time. When no constancy over time</w:t>
      </w:r>
      <w:r w:rsidR="00586C74">
        <w:rPr>
          <w:rFonts w:cs="Calibri"/>
          <w:lang w:val="en-GB"/>
        </w:rPr>
        <w:t xml:space="preserve"> exists</w:t>
      </w:r>
      <w:r w:rsidR="00863AE0" w:rsidRPr="00F67CC4">
        <w:rPr>
          <w:rFonts w:cs="Calibri"/>
          <w:lang w:val="en-GB"/>
        </w:rPr>
        <w:t xml:space="preserve"> measurement of the accruals w</w:t>
      </w:r>
      <w:r w:rsidR="00525AA1">
        <w:rPr>
          <w:rFonts w:cs="Calibri"/>
          <w:lang w:val="en-GB"/>
        </w:rPr>
        <w:t>ill be with errors (Dechow et a</w:t>
      </w:r>
      <w:r w:rsidR="00863AE0" w:rsidRPr="00F67CC4">
        <w:rPr>
          <w:rFonts w:cs="Calibri"/>
          <w:lang w:val="en-GB"/>
        </w:rPr>
        <w:t>l</w:t>
      </w:r>
      <w:r w:rsidR="00525AA1">
        <w:rPr>
          <w:rFonts w:cs="Calibri"/>
          <w:lang w:val="en-GB"/>
        </w:rPr>
        <w:t>.</w:t>
      </w:r>
      <w:r w:rsidR="00863AE0" w:rsidRPr="00F67CC4">
        <w:rPr>
          <w:rFonts w:cs="Calibri"/>
          <w:lang w:val="en-GB"/>
        </w:rPr>
        <w:t xml:space="preserve"> 1995, p</w:t>
      </w:r>
      <w:r w:rsidR="00586C74">
        <w:rPr>
          <w:rFonts w:cs="Calibri"/>
          <w:lang w:val="en-GB"/>
        </w:rPr>
        <w:t xml:space="preserve"> </w:t>
      </w:r>
      <w:r w:rsidR="00863AE0" w:rsidRPr="00F67CC4">
        <w:rPr>
          <w:rFonts w:cs="Calibri"/>
          <w:lang w:val="en-GB"/>
        </w:rPr>
        <w:t>198). This limitation of the models is considerable, because according to Kaplan (1985) non-discretionary accruals should change in response to change in</w:t>
      </w:r>
      <w:r w:rsidR="00586C74">
        <w:rPr>
          <w:rFonts w:cs="Calibri"/>
          <w:lang w:val="en-GB"/>
        </w:rPr>
        <w:t xml:space="preserve"> the</w:t>
      </w:r>
      <w:r w:rsidR="00863AE0" w:rsidRPr="00F67CC4">
        <w:rPr>
          <w:rFonts w:cs="Calibri"/>
          <w:lang w:val="en-GB"/>
        </w:rPr>
        <w:t xml:space="preserve"> economic circumstances (Dechow et. al 1995, p198).</w:t>
      </w:r>
    </w:p>
    <w:p w:rsidR="00750975" w:rsidRDefault="001C6A3E" w:rsidP="00256AE0">
      <w:pPr>
        <w:spacing w:line="360" w:lineRule="auto"/>
        <w:rPr>
          <w:rFonts w:cs="Calibri"/>
          <w:lang w:val="fr-FR"/>
        </w:rPr>
      </w:pPr>
      <w:r w:rsidRPr="00F67CC4">
        <w:rPr>
          <w:rFonts w:cs="Calibri"/>
          <w:b/>
          <w:bCs/>
          <w:lang w:val="en-GB"/>
        </w:rPr>
        <w:t>3.4.2.3 Jones Model (1991)</w:t>
      </w:r>
      <w:r w:rsidR="00750975" w:rsidRPr="00F67CC4">
        <w:rPr>
          <w:rFonts w:cs="Calibri"/>
          <w:b/>
          <w:bCs/>
          <w:lang w:val="en-GB"/>
        </w:rPr>
        <w:br/>
      </w:r>
      <w:r w:rsidR="009A57CA" w:rsidRPr="00F67CC4">
        <w:rPr>
          <w:rFonts w:cs="Calibri"/>
          <w:bCs/>
          <w:lang w:val="en-GB"/>
        </w:rPr>
        <w:t xml:space="preserve">Jones (1991) created a model that differentiates from the </w:t>
      </w:r>
      <w:r w:rsidR="003831B3" w:rsidRPr="00F67CC4">
        <w:rPr>
          <w:rFonts w:cs="Calibri"/>
          <w:bCs/>
          <w:lang w:val="en-GB"/>
        </w:rPr>
        <w:t xml:space="preserve">previous </w:t>
      </w:r>
      <w:r w:rsidR="00586C74">
        <w:rPr>
          <w:rFonts w:cs="Calibri"/>
          <w:bCs/>
          <w:lang w:val="en-GB"/>
        </w:rPr>
        <w:t>commented</w:t>
      </w:r>
      <w:r w:rsidR="009A57CA" w:rsidRPr="00F67CC4">
        <w:rPr>
          <w:rFonts w:cs="Calibri"/>
          <w:bCs/>
          <w:lang w:val="en-GB"/>
        </w:rPr>
        <w:t xml:space="preserve"> models by not assuming that </w:t>
      </w:r>
      <w:r w:rsidR="00586C74">
        <w:rPr>
          <w:rFonts w:cs="Calibri"/>
          <w:bCs/>
          <w:lang w:val="en-GB"/>
        </w:rPr>
        <w:t xml:space="preserve">the </w:t>
      </w:r>
      <w:r w:rsidR="009A57CA" w:rsidRPr="00F67CC4">
        <w:rPr>
          <w:rFonts w:cs="Calibri"/>
          <w:bCs/>
          <w:lang w:val="en-GB"/>
        </w:rPr>
        <w:t>non-discretionary accruals are constant</w:t>
      </w:r>
      <w:r w:rsidR="00750975" w:rsidRPr="00F67CC4">
        <w:rPr>
          <w:rFonts w:cs="Calibri"/>
          <w:bCs/>
          <w:lang w:val="en-GB"/>
        </w:rPr>
        <w:t xml:space="preserve"> </w:t>
      </w:r>
      <w:r w:rsidR="003831B3" w:rsidRPr="00F67CC4">
        <w:rPr>
          <w:rFonts w:cs="Calibri"/>
          <w:bCs/>
          <w:lang w:val="en-GB"/>
        </w:rPr>
        <w:t xml:space="preserve">over time </w:t>
      </w:r>
      <w:r w:rsidR="00750975" w:rsidRPr="00F67CC4">
        <w:rPr>
          <w:rFonts w:cs="Calibri"/>
          <w:bCs/>
          <w:lang w:val="en-GB"/>
        </w:rPr>
        <w:t>and</w:t>
      </w:r>
      <w:r w:rsidR="009F7FF2">
        <w:rPr>
          <w:rFonts w:cs="Calibri"/>
          <w:bCs/>
          <w:lang w:val="en-GB"/>
        </w:rPr>
        <w:t xml:space="preserve"> by</w:t>
      </w:r>
      <w:r w:rsidR="00750975" w:rsidRPr="00F67CC4">
        <w:rPr>
          <w:rFonts w:cs="Calibri"/>
          <w:bCs/>
          <w:lang w:val="en-GB"/>
        </w:rPr>
        <w:t xml:space="preserve"> taking economic circumstances into account. This is </w:t>
      </w:r>
      <w:r w:rsidR="00586C74">
        <w:rPr>
          <w:rFonts w:cs="Calibri"/>
          <w:bCs/>
          <w:lang w:val="en-GB"/>
        </w:rPr>
        <w:t>executed</w:t>
      </w:r>
      <w:r w:rsidR="00750975" w:rsidRPr="00F67CC4">
        <w:rPr>
          <w:rFonts w:cs="Calibri"/>
          <w:bCs/>
          <w:lang w:val="en-GB"/>
        </w:rPr>
        <w:t xml:space="preserve"> by not focussing on the total</w:t>
      </w:r>
      <w:r w:rsidR="006F495C">
        <w:rPr>
          <w:rFonts w:cs="Calibri"/>
          <w:bCs/>
          <w:lang w:val="en-GB"/>
        </w:rPr>
        <w:t xml:space="preserve"> amount of</w:t>
      </w:r>
      <w:r w:rsidR="00750975" w:rsidRPr="00F67CC4">
        <w:rPr>
          <w:rFonts w:cs="Calibri"/>
          <w:bCs/>
          <w:lang w:val="en-GB"/>
        </w:rPr>
        <w:t xml:space="preserve"> accruals, but on specific accruals. First, Jones (1991) determines the total </w:t>
      </w:r>
      <w:r w:rsidR="006F495C">
        <w:rPr>
          <w:rFonts w:cs="Calibri"/>
          <w:bCs/>
          <w:lang w:val="en-GB"/>
        </w:rPr>
        <w:t xml:space="preserve">amount of </w:t>
      </w:r>
      <w:r w:rsidR="00750975" w:rsidRPr="00F67CC4">
        <w:rPr>
          <w:rFonts w:cs="Calibri"/>
          <w:bCs/>
          <w:lang w:val="en-GB"/>
        </w:rPr>
        <w:t xml:space="preserve">accruals by using formula (1). Next </w:t>
      </w:r>
      <w:r w:rsidR="00131F9B" w:rsidRPr="00F67CC4">
        <w:rPr>
          <w:rFonts w:cs="Calibri"/>
          <w:bCs/>
          <w:lang w:val="en-GB"/>
        </w:rPr>
        <w:t xml:space="preserve">the </w:t>
      </w:r>
      <w:r w:rsidR="00750975" w:rsidRPr="00F67CC4">
        <w:rPr>
          <w:rFonts w:cs="Calibri"/>
          <w:bCs/>
          <w:lang w:val="en-GB"/>
        </w:rPr>
        <w:t>firm-</w:t>
      </w:r>
      <w:r w:rsidR="00750975" w:rsidRPr="00F67CC4">
        <w:rPr>
          <w:rFonts w:cs="Calibri"/>
          <w:bCs/>
          <w:lang w:val="en-US"/>
        </w:rPr>
        <w:t xml:space="preserve">specific parameters </w:t>
      </w:r>
      <w:r w:rsidR="00750975" w:rsidRPr="00F67CC4">
        <w:rPr>
          <w:rFonts w:cs="Calibri"/>
          <w:lang w:val="en-US"/>
        </w:rPr>
        <w:t xml:space="preserve">α1, α2 and α3 will be </w:t>
      </w:r>
      <w:r w:rsidR="00B776B6" w:rsidRPr="00F67CC4">
        <w:rPr>
          <w:rFonts w:cs="Calibri"/>
          <w:lang w:val="en-US"/>
        </w:rPr>
        <w:t>estimated by the following model in the estimation period (Dechow et. al 1995</w:t>
      </w:r>
      <w:r w:rsidR="00586C74">
        <w:rPr>
          <w:rFonts w:cs="Calibri"/>
          <w:lang w:val="en-US"/>
        </w:rPr>
        <w:t>,</w:t>
      </w:r>
      <w:r w:rsidR="00B776B6" w:rsidRPr="00F67CC4">
        <w:rPr>
          <w:rFonts w:cs="Calibri"/>
          <w:lang w:val="en-US"/>
        </w:rPr>
        <w:t xml:space="preserve"> p</w:t>
      </w:r>
      <w:r w:rsidR="00586C74">
        <w:rPr>
          <w:rFonts w:cs="Calibri"/>
          <w:lang w:val="en-US"/>
        </w:rPr>
        <w:t xml:space="preserve"> </w:t>
      </w:r>
      <w:r w:rsidR="00B776B6" w:rsidRPr="00F67CC4">
        <w:rPr>
          <w:rFonts w:cs="Calibri"/>
          <w:lang w:val="en-US"/>
        </w:rPr>
        <w:t>198):</w:t>
      </w:r>
      <w:r w:rsidR="00B776B6" w:rsidRPr="00F67CC4">
        <w:rPr>
          <w:rFonts w:cs="Calibri"/>
          <w:lang w:val="fr-FR"/>
        </w:rPr>
        <w:t xml:space="preserve"> </w:t>
      </w:r>
    </w:p>
    <w:p w:rsidR="001C6A3E" w:rsidRPr="00F67CC4" w:rsidRDefault="001C6A3E" w:rsidP="00F74511">
      <w:pPr>
        <w:spacing w:line="360" w:lineRule="auto"/>
        <w:rPr>
          <w:rFonts w:cs="Calibri"/>
          <w:b/>
          <w:sz w:val="28"/>
          <w:szCs w:val="28"/>
          <w:lang w:val="fr-FR"/>
        </w:rPr>
      </w:pPr>
      <w:r w:rsidRPr="00F67CC4">
        <w:rPr>
          <w:rFonts w:cs="Calibri"/>
          <w:b/>
          <w:sz w:val="28"/>
          <w:szCs w:val="28"/>
          <w:lang w:val="fr-FR"/>
        </w:rPr>
        <w:t>TA</w:t>
      </w:r>
      <w:r w:rsidRPr="00F67CC4">
        <w:rPr>
          <w:rFonts w:cs="Calibri"/>
          <w:b/>
          <w:lang w:val="fr-FR"/>
        </w:rPr>
        <w:t>t</w:t>
      </w:r>
      <w:r w:rsidR="00B776B6" w:rsidRPr="00F67CC4">
        <w:rPr>
          <w:rFonts w:cs="Calibri"/>
          <w:b/>
          <w:sz w:val="28"/>
          <w:szCs w:val="28"/>
          <w:lang w:val="fr-FR"/>
        </w:rPr>
        <w:t xml:space="preserve"> = a</w:t>
      </w:r>
      <w:r w:rsidR="00B776B6" w:rsidRPr="00F67CC4">
        <w:rPr>
          <w:rFonts w:cs="Calibri"/>
          <w:b/>
          <w:lang w:val="fr-FR"/>
        </w:rPr>
        <w:t>1</w:t>
      </w:r>
      <w:r w:rsidR="00B776B6" w:rsidRPr="00F67CC4">
        <w:rPr>
          <w:rFonts w:cs="Calibri"/>
          <w:b/>
          <w:sz w:val="28"/>
          <w:szCs w:val="28"/>
          <w:lang w:val="fr-FR"/>
        </w:rPr>
        <w:t xml:space="preserve"> [1/A</w:t>
      </w:r>
      <w:r w:rsidRPr="00F67CC4">
        <w:rPr>
          <w:rFonts w:cs="Calibri"/>
          <w:b/>
          <w:lang w:val="fr-FR"/>
        </w:rPr>
        <w:t>t-1</w:t>
      </w:r>
      <w:r w:rsidR="00B776B6" w:rsidRPr="00F67CC4">
        <w:rPr>
          <w:rFonts w:cs="Calibri"/>
          <w:b/>
          <w:sz w:val="28"/>
          <w:szCs w:val="28"/>
          <w:lang w:val="fr-FR"/>
        </w:rPr>
        <w:t>] + a</w:t>
      </w:r>
      <w:r w:rsidR="00B776B6" w:rsidRPr="00F67CC4">
        <w:rPr>
          <w:rFonts w:cs="Calibri"/>
          <w:b/>
          <w:lang w:val="fr-FR"/>
        </w:rPr>
        <w:t>2</w:t>
      </w:r>
      <w:r w:rsidRPr="00F67CC4">
        <w:rPr>
          <w:rFonts w:cs="Calibri"/>
          <w:b/>
          <w:sz w:val="28"/>
          <w:szCs w:val="28"/>
          <w:lang w:val="fr-FR"/>
        </w:rPr>
        <w:t xml:space="preserve"> [ΔREV</w:t>
      </w:r>
      <w:r w:rsidRPr="00F67CC4">
        <w:rPr>
          <w:rFonts w:cs="Calibri"/>
          <w:b/>
          <w:lang w:val="fr-FR"/>
        </w:rPr>
        <w:t>t</w:t>
      </w:r>
      <w:r w:rsidR="00B776B6" w:rsidRPr="00F67CC4">
        <w:rPr>
          <w:rFonts w:cs="Calibri"/>
          <w:b/>
          <w:sz w:val="28"/>
          <w:szCs w:val="28"/>
          <w:lang w:val="fr-FR"/>
        </w:rPr>
        <w:t>] + a</w:t>
      </w:r>
      <w:r w:rsidR="00B776B6" w:rsidRPr="00F67CC4">
        <w:rPr>
          <w:rFonts w:cs="Calibri"/>
          <w:b/>
          <w:lang w:val="fr-FR"/>
        </w:rPr>
        <w:t>3</w:t>
      </w:r>
      <w:r w:rsidRPr="00F67CC4">
        <w:rPr>
          <w:rFonts w:cs="Calibri"/>
          <w:b/>
          <w:sz w:val="28"/>
          <w:szCs w:val="28"/>
          <w:lang w:val="fr-FR"/>
        </w:rPr>
        <w:t xml:space="preserve"> [PPE</w:t>
      </w:r>
      <w:r w:rsidRPr="00F67CC4">
        <w:rPr>
          <w:rFonts w:cs="Calibri"/>
          <w:b/>
          <w:lang w:val="fr-FR"/>
        </w:rPr>
        <w:t>t</w:t>
      </w:r>
      <w:r w:rsidR="00B776B6" w:rsidRPr="00F67CC4">
        <w:rPr>
          <w:rFonts w:cs="Calibri"/>
          <w:b/>
          <w:sz w:val="28"/>
          <w:szCs w:val="28"/>
          <w:lang w:val="fr-FR"/>
        </w:rPr>
        <w:t xml:space="preserve">] + </w:t>
      </w:r>
      <w:r w:rsidR="001645E2" w:rsidRPr="00F67CC4">
        <w:rPr>
          <w:rFonts w:cs="Calibri"/>
          <w:b/>
          <w:sz w:val="28"/>
          <w:szCs w:val="28"/>
          <w:lang w:val="en-US"/>
        </w:rPr>
        <w:t>υ</w:t>
      </w:r>
      <w:r w:rsidR="00B776B6" w:rsidRPr="00F67CC4">
        <w:rPr>
          <w:rFonts w:cs="Calibri"/>
          <w:b/>
          <w:lang w:val="fr-FR"/>
        </w:rPr>
        <w:t>t</w:t>
      </w:r>
    </w:p>
    <w:p w:rsidR="006F495C" w:rsidRPr="00F67CC4" w:rsidRDefault="00BC1DDE" w:rsidP="00B776B6">
      <w:pPr>
        <w:spacing w:line="360" w:lineRule="auto"/>
        <w:rPr>
          <w:rFonts w:cs="Calibri"/>
          <w:b/>
          <w:lang w:val="en-US"/>
        </w:rPr>
      </w:pPr>
      <w:r>
        <w:rPr>
          <w:rFonts w:cs="Calibri"/>
          <w:b/>
          <w:lang w:val="en-US"/>
        </w:rPr>
        <w:lastRenderedPageBreak/>
        <w:t>TA</w:t>
      </w:r>
      <w:r w:rsidR="001C6A3E" w:rsidRPr="00F67CC4">
        <w:rPr>
          <w:rFonts w:cs="Calibri"/>
          <w:b/>
          <w:lang w:val="en-US"/>
        </w:rPr>
        <w:t xml:space="preserve"> = to</w:t>
      </w:r>
      <w:r w:rsidR="00393BA8" w:rsidRPr="00F67CC4">
        <w:rPr>
          <w:rFonts w:cs="Calibri"/>
          <w:b/>
          <w:lang w:val="en-US"/>
        </w:rPr>
        <w:t xml:space="preserve">tal accruals </w:t>
      </w:r>
      <w:r w:rsidR="00B776B6" w:rsidRPr="00F67CC4">
        <w:rPr>
          <w:rFonts w:cs="Calibri"/>
          <w:b/>
          <w:lang w:val="en-US"/>
        </w:rPr>
        <w:br/>
      </w:r>
      <w:r w:rsidR="001C6A3E" w:rsidRPr="00F67CC4">
        <w:rPr>
          <w:rFonts w:cs="Calibri"/>
          <w:b/>
          <w:lang w:val="fr-FR"/>
        </w:rPr>
        <w:t>Δ</w:t>
      </w:r>
      <w:r w:rsidR="00B776B6" w:rsidRPr="00F67CC4">
        <w:rPr>
          <w:rFonts w:cs="Calibri"/>
          <w:b/>
          <w:lang w:val="en-US"/>
        </w:rPr>
        <w:t>REV</w:t>
      </w:r>
      <w:r w:rsidR="001C6A3E" w:rsidRPr="00F67CC4">
        <w:rPr>
          <w:rFonts w:cs="Calibri"/>
          <w:b/>
          <w:lang w:val="en-US"/>
        </w:rPr>
        <w:t xml:space="preserve"> = </w:t>
      </w:r>
      <w:r w:rsidR="00A71FFF">
        <w:rPr>
          <w:rFonts w:cs="Calibri"/>
          <w:b/>
          <w:lang w:val="en-US"/>
        </w:rPr>
        <w:t>change in revenues</w:t>
      </w:r>
      <w:r w:rsidR="00B776B6" w:rsidRPr="00F67CC4">
        <w:rPr>
          <w:rFonts w:cs="Calibri"/>
          <w:b/>
          <w:lang w:val="en-US"/>
        </w:rPr>
        <w:br/>
        <w:t>PPE</w:t>
      </w:r>
      <w:r w:rsidR="001C6A3E" w:rsidRPr="00F67CC4">
        <w:rPr>
          <w:rFonts w:cs="Calibri"/>
          <w:b/>
          <w:lang w:val="en-US"/>
        </w:rPr>
        <w:t xml:space="preserve"> = gross property, plant and equipment </w:t>
      </w:r>
      <w:r w:rsidR="00B776B6" w:rsidRPr="00F67CC4">
        <w:rPr>
          <w:rFonts w:cs="Calibri"/>
          <w:b/>
          <w:lang w:val="en-US"/>
        </w:rPr>
        <w:br/>
      </w:r>
      <w:r w:rsidR="001645E2" w:rsidRPr="00F67CC4">
        <w:rPr>
          <w:rFonts w:cs="Calibri"/>
          <w:b/>
          <w:sz w:val="28"/>
          <w:szCs w:val="28"/>
          <w:lang w:val="en-US"/>
        </w:rPr>
        <w:t>υ</w:t>
      </w:r>
      <w:r w:rsidR="001C6A3E" w:rsidRPr="00F67CC4">
        <w:rPr>
          <w:rFonts w:cs="Calibri"/>
          <w:b/>
          <w:lang w:val="en-US"/>
        </w:rPr>
        <w:t xml:space="preserve"> = error term </w:t>
      </w:r>
      <w:r w:rsidR="00B776B6" w:rsidRPr="00F67CC4">
        <w:rPr>
          <w:rFonts w:cs="Calibri"/>
          <w:b/>
          <w:lang w:val="en-US"/>
        </w:rPr>
        <w:br/>
      </w:r>
      <w:r w:rsidR="00A71FFF">
        <w:rPr>
          <w:rFonts w:cs="Calibri"/>
          <w:b/>
          <w:lang w:val="en-US"/>
        </w:rPr>
        <w:t>t = year index</w:t>
      </w:r>
    </w:p>
    <w:p w:rsidR="00B517E9" w:rsidRPr="00F67CC4" w:rsidRDefault="00131F9B" w:rsidP="00205B78">
      <w:pPr>
        <w:spacing w:line="360" w:lineRule="auto"/>
        <w:rPr>
          <w:rFonts w:cs="Calibri"/>
          <w:bCs/>
          <w:lang w:val="en-US"/>
        </w:rPr>
      </w:pPr>
      <w:r w:rsidRPr="00F67CC4">
        <w:rPr>
          <w:rFonts w:cs="Calibri"/>
          <w:bCs/>
          <w:lang w:val="en-US"/>
        </w:rPr>
        <w:t xml:space="preserve">The Ordinary Least Squares </w:t>
      </w:r>
      <w:r w:rsidR="00B517E9" w:rsidRPr="00F67CC4">
        <w:rPr>
          <w:rFonts w:cs="Calibri"/>
          <w:bCs/>
          <w:lang w:val="en-US"/>
        </w:rPr>
        <w:t xml:space="preserve">(OLS) </w:t>
      </w:r>
      <w:r w:rsidRPr="00F67CC4">
        <w:rPr>
          <w:rFonts w:cs="Calibri"/>
          <w:bCs/>
          <w:lang w:val="en-US"/>
        </w:rPr>
        <w:t>a1, a2 and a3 are the estimations of α1, α2 and α3 in the determination of the amount of non-discretionary accruals.</w:t>
      </w:r>
      <w:r w:rsidR="00B517E9" w:rsidRPr="00F67CC4">
        <w:rPr>
          <w:rFonts w:cs="Calibri"/>
          <w:bCs/>
          <w:lang w:val="en-US"/>
        </w:rPr>
        <w:t xml:space="preserve"> OLS is useful when the relation between a dependent and an explanatory variable needs to be tested. The OLS estimates are the parameters that yield the minimum sum of the square</w:t>
      </w:r>
      <w:r w:rsidR="0047474D">
        <w:rPr>
          <w:rFonts w:cs="Calibri"/>
          <w:bCs/>
          <w:lang w:val="en-US"/>
        </w:rPr>
        <w:t>d residuals</w:t>
      </w:r>
      <w:r w:rsidR="00B517E9" w:rsidRPr="00F67CC4">
        <w:rPr>
          <w:rFonts w:cs="Calibri"/>
          <w:bCs/>
          <w:lang w:val="en-US"/>
        </w:rPr>
        <w:t xml:space="preserve"> (</w:t>
      </w:r>
      <w:r w:rsidR="0090574D" w:rsidRPr="0090574D">
        <w:rPr>
          <w:rFonts w:cs="Calibri"/>
          <w:bCs/>
          <w:lang w:val="en-US"/>
        </w:rPr>
        <w:t>Chumney and Simpson 2006</w:t>
      </w:r>
      <w:r w:rsidR="0090574D">
        <w:rPr>
          <w:rFonts w:cs="Calibri"/>
          <w:bCs/>
          <w:lang w:val="en-US"/>
        </w:rPr>
        <w:t>, p</w:t>
      </w:r>
      <w:r w:rsidR="00930314">
        <w:rPr>
          <w:rFonts w:cs="Calibri"/>
          <w:bCs/>
          <w:lang w:val="en-US"/>
        </w:rPr>
        <w:t xml:space="preserve"> </w:t>
      </w:r>
      <w:r w:rsidR="0090574D">
        <w:rPr>
          <w:rFonts w:cs="Calibri"/>
          <w:bCs/>
          <w:lang w:val="en-US"/>
        </w:rPr>
        <w:t xml:space="preserve">94). </w:t>
      </w:r>
      <w:r w:rsidR="00B517E9" w:rsidRPr="00F67CC4">
        <w:rPr>
          <w:rFonts w:cs="Calibri"/>
          <w:bCs/>
          <w:lang w:val="en-US"/>
        </w:rPr>
        <w:t>With the use of OLS, the non-discretionary accruals are determined by:</w:t>
      </w:r>
    </w:p>
    <w:p w:rsidR="003831B3" w:rsidRPr="00F67CC4" w:rsidRDefault="00131F9B" w:rsidP="003831B3">
      <w:pPr>
        <w:spacing w:line="240" w:lineRule="auto"/>
        <w:rPr>
          <w:rFonts w:cs="Calibri"/>
          <w:b/>
          <w:bCs/>
          <w:lang w:val="en-US"/>
        </w:rPr>
      </w:pPr>
      <w:r w:rsidRPr="00F67CC4">
        <w:rPr>
          <w:rFonts w:cs="Calibri"/>
          <w:b/>
          <w:bCs/>
          <w:sz w:val="28"/>
          <w:szCs w:val="28"/>
          <w:lang w:val="en-US"/>
        </w:rPr>
        <w:t>NDA</w:t>
      </w:r>
      <w:r w:rsidRPr="00F67CC4">
        <w:rPr>
          <w:rFonts w:cs="Calibri"/>
          <w:b/>
          <w:bCs/>
          <w:lang w:val="en-US"/>
        </w:rPr>
        <w:t>t</w:t>
      </w:r>
      <w:r w:rsidRPr="00F67CC4">
        <w:rPr>
          <w:rFonts w:cs="Calibri"/>
          <w:b/>
          <w:bCs/>
          <w:sz w:val="28"/>
          <w:szCs w:val="28"/>
          <w:lang w:val="en-US"/>
        </w:rPr>
        <w:t xml:space="preserve"> = </w:t>
      </w:r>
      <w:r w:rsidRPr="00F67CC4">
        <w:rPr>
          <w:rFonts w:cs="Calibri"/>
          <w:b/>
          <w:sz w:val="28"/>
          <w:szCs w:val="28"/>
          <w:lang w:val="fr-FR"/>
        </w:rPr>
        <w:t>α</w:t>
      </w:r>
      <w:r w:rsidRPr="00F67CC4">
        <w:rPr>
          <w:rFonts w:cs="Calibri"/>
          <w:b/>
          <w:bCs/>
          <w:sz w:val="28"/>
          <w:szCs w:val="28"/>
          <w:lang w:val="en-US"/>
        </w:rPr>
        <w:t>1(1/A</w:t>
      </w:r>
      <w:r w:rsidRPr="00F67CC4">
        <w:rPr>
          <w:rFonts w:cs="Calibri"/>
          <w:b/>
          <w:bCs/>
          <w:lang w:val="en-US"/>
        </w:rPr>
        <w:t>t-1</w:t>
      </w:r>
      <w:r w:rsidRPr="00F67CC4">
        <w:rPr>
          <w:rFonts w:cs="Calibri"/>
          <w:b/>
          <w:bCs/>
          <w:sz w:val="28"/>
          <w:szCs w:val="28"/>
          <w:lang w:val="en-US"/>
        </w:rPr>
        <w:t xml:space="preserve">) + </w:t>
      </w:r>
      <w:r w:rsidRPr="00F67CC4">
        <w:rPr>
          <w:rFonts w:cs="Calibri"/>
          <w:b/>
          <w:sz w:val="28"/>
          <w:szCs w:val="28"/>
          <w:lang w:val="fr-FR"/>
        </w:rPr>
        <w:t>α</w:t>
      </w:r>
      <w:r w:rsidRPr="00F67CC4">
        <w:rPr>
          <w:rFonts w:cs="Calibri"/>
          <w:b/>
          <w:bCs/>
          <w:sz w:val="28"/>
          <w:szCs w:val="28"/>
          <w:lang w:val="en-US"/>
        </w:rPr>
        <w:t>2(ΔREV</w:t>
      </w:r>
      <w:r w:rsidRPr="00F67CC4">
        <w:rPr>
          <w:rFonts w:cs="Calibri"/>
          <w:b/>
          <w:bCs/>
          <w:lang w:val="en-US"/>
        </w:rPr>
        <w:t>t</w:t>
      </w:r>
      <w:r w:rsidRPr="00F67CC4">
        <w:rPr>
          <w:rFonts w:cs="Calibri"/>
          <w:b/>
          <w:bCs/>
          <w:sz w:val="28"/>
          <w:szCs w:val="28"/>
          <w:lang w:val="en-US"/>
        </w:rPr>
        <w:t xml:space="preserve">) + </w:t>
      </w:r>
      <w:r w:rsidRPr="00F67CC4">
        <w:rPr>
          <w:rFonts w:cs="Calibri"/>
          <w:b/>
          <w:sz w:val="28"/>
          <w:szCs w:val="28"/>
          <w:lang w:val="fr-FR"/>
        </w:rPr>
        <w:t>α</w:t>
      </w:r>
      <w:r w:rsidRPr="00F67CC4">
        <w:rPr>
          <w:rFonts w:cs="Calibri"/>
          <w:b/>
          <w:bCs/>
          <w:sz w:val="28"/>
          <w:szCs w:val="28"/>
          <w:lang w:val="en-US"/>
        </w:rPr>
        <w:t>3(PPE</w:t>
      </w:r>
      <w:r w:rsidRPr="00F67CC4">
        <w:rPr>
          <w:rFonts w:cs="Calibri"/>
          <w:b/>
          <w:bCs/>
          <w:lang w:val="en-US"/>
        </w:rPr>
        <w:t>t</w:t>
      </w:r>
      <w:r w:rsidRPr="00F67CC4">
        <w:rPr>
          <w:rFonts w:cs="Calibri"/>
          <w:b/>
          <w:bCs/>
          <w:sz w:val="28"/>
          <w:szCs w:val="28"/>
          <w:lang w:val="en-US"/>
        </w:rPr>
        <w:t>)</w:t>
      </w:r>
      <w:r w:rsidRPr="00F67CC4">
        <w:rPr>
          <w:rFonts w:cs="Calibri"/>
          <w:b/>
          <w:bCs/>
          <w:sz w:val="28"/>
          <w:szCs w:val="28"/>
          <w:lang w:val="en-US"/>
        </w:rPr>
        <w:br/>
      </w:r>
      <w:r w:rsidRPr="00F67CC4">
        <w:rPr>
          <w:rFonts w:cs="Calibri"/>
          <w:b/>
          <w:bCs/>
          <w:lang w:val="en-US"/>
        </w:rPr>
        <w:br/>
      </w:r>
      <w:r w:rsidR="003831B3" w:rsidRPr="00F67CC4">
        <w:rPr>
          <w:rFonts w:cs="Calibri"/>
          <w:b/>
          <w:bCs/>
          <w:lang w:val="en-US"/>
        </w:rPr>
        <w:t>A</w:t>
      </w:r>
      <w:r w:rsidR="003831B3" w:rsidRPr="00F67CC4">
        <w:rPr>
          <w:rFonts w:cs="Calibri"/>
          <w:b/>
          <w:bCs/>
          <w:sz w:val="20"/>
          <w:szCs w:val="20"/>
          <w:lang w:val="en-US"/>
        </w:rPr>
        <w:t xml:space="preserve"> </w:t>
      </w:r>
      <w:r w:rsidR="003831B3" w:rsidRPr="00F67CC4">
        <w:rPr>
          <w:rFonts w:cs="Calibri"/>
          <w:b/>
          <w:bCs/>
          <w:lang w:val="en-US"/>
        </w:rPr>
        <w:t xml:space="preserve">= total assets </w:t>
      </w:r>
    </w:p>
    <w:p w:rsidR="00131F9B" w:rsidRPr="00F67CC4" w:rsidRDefault="00131F9B" w:rsidP="00131F9B">
      <w:pPr>
        <w:spacing w:line="240" w:lineRule="auto"/>
        <w:rPr>
          <w:rFonts w:cs="Calibri"/>
          <w:b/>
          <w:bCs/>
          <w:lang w:val="en-US"/>
        </w:rPr>
      </w:pPr>
      <w:r w:rsidRPr="00F67CC4">
        <w:rPr>
          <w:rFonts w:cs="Calibri"/>
          <w:b/>
          <w:bCs/>
          <w:lang w:val="en-US"/>
        </w:rPr>
        <w:t>ΔREV</w:t>
      </w:r>
      <w:r w:rsidR="00BC1DDE">
        <w:rPr>
          <w:rFonts w:cs="Calibri"/>
          <w:b/>
          <w:bCs/>
          <w:sz w:val="20"/>
          <w:szCs w:val="20"/>
          <w:lang w:val="en-US"/>
        </w:rPr>
        <w:t xml:space="preserve"> </w:t>
      </w:r>
      <w:r w:rsidRPr="00F67CC4">
        <w:rPr>
          <w:rFonts w:cs="Calibri"/>
          <w:b/>
          <w:bCs/>
          <w:lang w:val="en-US"/>
        </w:rPr>
        <w:t xml:space="preserve">= </w:t>
      </w:r>
      <w:r w:rsidR="009F7FF2">
        <w:rPr>
          <w:rFonts w:cs="Calibri"/>
          <w:b/>
          <w:bCs/>
          <w:lang w:val="en-US"/>
        </w:rPr>
        <w:t>change in revenues</w:t>
      </w:r>
    </w:p>
    <w:p w:rsidR="00131F9B" w:rsidRPr="00F67CC4" w:rsidRDefault="00131F9B" w:rsidP="00131F9B">
      <w:pPr>
        <w:spacing w:line="240" w:lineRule="auto"/>
        <w:rPr>
          <w:rFonts w:cs="Calibri"/>
          <w:b/>
          <w:bCs/>
          <w:lang w:val="en-US"/>
        </w:rPr>
      </w:pPr>
      <w:r w:rsidRPr="00F67CC4">
        <w:rPr>
          <w:rFonts w:cs="Calibri"/>
          <w:b/>
          <w:bCs/>
          <w:lang w:val="en-US"/>
        </w:rPr>
        <w:t xml:space="preserve">PPE = gross property plant and equipment </w:t>
      </w:r>
    </w:p>
    <w:p w:rsidR="00131F9B" w:rsidRDefault="00131F9B" w:rsidP="00131F9B">
      <w:pPr>
        <w:spacing w:line="240" w:lineRule="auto"/>
        <w:rPr>
          <w:rFonts w:cs="Calibri"/>
          <w:b/>
          <w:bCs/>
          <w:lang w:val="en-US"/>
        </w:rPr>
      </w:pPr>
      <w:r w:rsidRPr="00F67CC4">
        <w:rPr>
          <w:rFonts w:cs="Calibri"/>
          <w:b/>
          <w:lang w:val="fr-FR"/>
        </w:rPr>
        <w:t>α</w:t>
      </w:r>
      <w:r w:rsidRPr="00F67CC4">
        <w:rPr>
          <w:rFonts w:cs="Calibri"/>
          <w:b/>
          <w:bCs/>
          <w:lang w:val="en-US"/>
        </w:rPr>
        <w:t xml:space="preserve">1, </w:t>
      </w:r>
      <w:r w:rsidRPr="00F67CC4">
        <w:rPr>
          <w:rFonts w:cs="Calibri"/>
          <w:b/>
          <w:lang w:val="fr-FR"/>
        </w:rPr>
        <w:t>α</w:t>
      </w:r>
      <w:r w:rsidRPr="00F67CC4">
        <w:rPr>
          <w:rFonts w:cs="Calibri"/>
          <w:b/>
          <w:bCs/>
          <w:lang w:val="en-US"/>
        </w:rPr>
        <w:t xml:space="preserve">2, </w:t>
      </w:r>
      <w:r w:rsidRPr="00F67CC4">
        <w:rPr>
          <w:rFonts w:cs="Calibri"/>
          <w:b/>
          <w:lang w:val="fr-FR"/>
        </w:rPr>
        <w:t>α</w:t>
      </w:r>
      <w:r w:rsidRPr="00F67CC4">
        <w:rPr>
          <w:rFonts w:cs="Calibri"/>
          <w:b/>
          <w:bCs/>
          <w:lang w:val="en-US"/>
        </w:rPr>
        <w:t>3 = firm-specific parameters</w:t>
      </w:r>
    </w:p>
    <w:p w:rsidR="009F7FF2" w:rsidRPr="00F67CC4" w:rsidRDefault="009F7FF2" w:rsidP="00131F9B">
      <w:pPr>
        <w:spacing w:line="240" w:lineRule="auto"/>
        <w:rPr>
          <w:rFonts w:cs="Calibri"/>
          <w:b/>
          <w:bCs/>
          <w:lang w:val="en-US"/>
        </w:rPr>
      </w:pPr>
      <w:r>
        <w:rPr>
          <w:rFonts w:cs="Calibri"/>
          <w:b/>
          <w:bCs/>
          <w:lang w:val="en-US"/>
        </w:rPr>
        <w:t>t = year index</w:t>
      </w:r>
    </w:p>
    <w:p w:rsidR="001C6A3E" w:rsidRPr="00F67CC4" w:rsidRDefault="00131F9B" w:rsidP="006043DE">
      <w:pPr>
        <w:spacing w:line="360" w:lineRule="auto"/>
        <w:rPr>
          <w:rFonts w:cs="Calibri"/>
          <w:bCs/>
          <w:lang w:val="en-US"/>
        </w:rPr>
      </w:pPr>
      <w:r w:rsidRPr="00F67CC4">
        <w:rPr>
          <w:rFonts w:cs="Calibri"/>
          <w:bCs/>
          <w:lang w:val="en-US"/>
        </w:rPr>
        <w:t>The strength of this</w:t>
      </w:r>
      <w:r w:rsidR="001C6A3E" w:rsidRPr="00F67CC4">
        <w:rPr>
          <w:rFonts w:cs="Calibri"/>
          <w:bCs/>
          <w:lang w:val="en-US"/>
        </w:rPr>
        <w:t xml:space="preserve"> model compar</w:t>
      </w:r>
      <w:r w:rsidR="00AC6159">
        <w:rPr>
          <w:rFonts w:cs="Calibri"/>
          <w:bCs/>
          <w:lang w:val="en-US"/>
        </w:rPr>
        <w:t>ed</w:t>
      </w:r>
      <w:r w:rsidR="001C6A3E" w:rsidRPr="00F67CC4">
        <w:rPr>
          <w:rFonts w:cs="Calibri"/>
          <w:bCs/>
          <w:lang w:val="en-US"/>
        </w:rPr>
        <w:t xml:space="preserve"> to other models</w:t>
      </w:r>
      <w:r w:rsidR="009F7FF2">
        <w:rPr>
          <w:rFonts w:cs="Calibri"/>
          <w:bCs/>
          <w:lang w:val="en-US"/>
        </w:rPr>
        <w:t xml:space="preserve"> previous </w:t>
      </w:r>
      <w:r w:rsidR="00586C74">
        <w:rPr>
          <w:rFonts w:cs="Calibri"/>
          <w:bCs/>
          <w:lang w:val="en-US"/>
        </w:rPr>
        <w:t>commented</w:t>
      </w:r>
      <w:r w:rsidR="00E53854">
        <w:rPr>
          <w:rFonts w:cs="Calibri"/>
          <w:bCs/>
          <w:lang w:val="en-US"/>
        </w:rPr>
        <w:t xml:space="preserve"> is the addition of the </w:t>
      </w:r>
      <w:r w:rsidR="001C6A3E" w:rsidRPr="00F67CC4">
        <w:rPr>
          <w:rFonts w:cs="Calibri"/>
          <w:bCs/>
          <w:lang w:val="en-US"/>
        </w:rPr>
        <w:t>variables</w:t>
      </w:r>
      <w:r w:rsidR="00E53854">
        <w:rPr>
          <w:rFonts w:cs="Calibri"/>
          <w:bCs/>
          <w:lang w:val="en-US"/>
        </w:rPr>
        <w:t xml:space="preserve"> </w:t>
      </w:r>
      <w:r w:rsidR="00E52C6B">
        <w:rPr>
          <w:rFonts w:cs="Calibri"/>
          <w:bCs/>
          <w:lang w:val="en-US"/>
        </w:rPr>
        <w:t xml:space="preserve">change in </w:t>
      </w:r>
      <w:r w:rsidR="003831B3" w:rsidRPr="00F67CC4">
        <w:rPr>
          <w:rFonts w:cs="Calibri"/>
          <w:bCs/>
          <w:lang w:val="en-US"/>
        </w:rPr>
        <w:t xml:space="preserve">revenue </w:t>
      </w:r>
      <w:r w:rsidR="001C6A3E" w:rsidRPr="00F67CC4">
        <w:rPr>
          <w:rFonts w:cs="Calibri"/>
          <w:bCs/>
          <w:lang w:val="en-US"/>
        </w:rPr>
        <w:t>and Property, Plant and Equipment</w:t>
      </w:r>
      <w:r w:rsidR="003831B3" w:rsidRPr="00F67CC4">
        <w:rPr>
          <w:rFonts w:cs="Calibri"/>
          <w:bCs/>
          <w:lang w:val="en-US"/>
        </w:rPr>
        <w:t xml:space="preserve"> (PPE)</w:t>
      </w:r>
      <w:r w:rsidR="001C6A3E" w:rsidRPr="00F67CC4">
        <w:rPr>
          <w:rFonts w:cs="Calibri"/>
          <w:bCs/>
          <w:lang w:val="en-US"/>
        </w:rPr>
        <w:t xml:space="preserve"> to take changing conditions of a company into account.</w:t>
      </w:r>
      <w:r w:rsidRPr="00F67CC4">
        <w:rPr>
          <w:rFonts w:cs="Calibri"/>
          <w:bCs/>
          <w:lang w:val="en-US"/>
        </w:rPr>
        <w:t xml:space="preserve"> </w:t>
      </w:r>
      <w:r w:rsidR="001C6A3E" w:rsidRPr="00F67CC4">
        <w:rPr>
          <w:rFonts w:cs="Calibri"/>
          <w:bCs/>
          <w:lang w:val="en-US"/>
        </w:rPr>
        <w:t>Another important variable that</w:t>
      </w:r>
      <w:r w:rsidR="00930314">
        <w:rPr>
          <w:rFonts w:cs="Calibri"/>
          <w:bCs/>
          <w:lang w:val="en-US"/>
        </w:rPr>
        <w:t xml:space="preserve"> by Jones (1991)</w:t>
      </w:r>
      <w:r w:rsidR="001C6A3E" w:rsidRPr="00F67CC4">
        <w:rPr>
          <w:rFonts w:cs="Calibri"/>
          <w:bCs/>
          <w:lang w:val="en-US"/>
        </w:rPr>
        <w:t xml:space="preserve"> is used </w:t>
      </w:r>
      <w:r w:rsidR="00930314">
        <w:rPr>
          <w:rFonts w:cs="Calibri"/>
          <w:bCs/>
          <w:lang w:val="en-US"/>
        </w:rPr>
        <w:t>to reduce heteroscedasticity is</w:t>
      </w:r>
      <w:r w:rsidR="001C6A3E" w:rsidRPr="00F67CC4">
        <w:rPr>
          <w:rFonts w:cs="Calibri"/>
          <w:bCs/>
          <w:lang w:val="en-US"/>
        </w:rPr>
        <w:t xml:space="preserve"> the scaling of all variables by the</w:t>
      </w:r>
      <w:r w:rsidR="001C6A3E" w:rsidRPr="00F67CC4">
        <w:rPr>
          <w:rFonts w:cs="Calibri"/>
          <w:b/>
          <w:bCs/>
          <w:lang w:val="en-US"/>
        </w:rPr>
        <w:t xml:space="preserve"> </w:t>
      </w:r>
      <w:r w:rsidR="00AE1884">
        <w:rPr>
          <w:rFonts w:cs="Calibri"/>
          <w:bCs/>
          <w:lang w:val="en-US"/>
        </w:rPr>
        <w:t xml:space="preserve">total amount of </w:t>
      </w:r>
      <w:r w:rsidR="001C6A3E" w:rsidRPr="00F67CC4">
        <w:rPr>
          <w:rFonts w:cs="Calibri"/>
          <w:bCs/>
          <w:lang w:val="en-US"/>
        </w:rPr>
        <w:t>asse</w:t>
      </w:r>
      <w:r w:rsidR="00FD215B" w:rsidRPr="00F67CC4">
        <w:rPr>
          <w:rFonts w:cs="Calibri"/>
          <w:bCs/>
          <w:lang w:val="en-US"/>
        </w:rPr>
        <w:t>ts</w:t>
      </w:r>
      <w:r w:rsidR="001C6A3E" w:rsidRPr="00F67CC4">
        <w:rPr>
          <w:rFonts w:cs="Calibri"/>
          <w:bCs/>
          <w:lang w:val="en-US"/>
        </w:rPr>
        <w:t xml:space="preserve"> </w:t>
      </w:r>
      <w:r w:rsidR="00930314">
        <w:rPr>
          <w:rFonts w:cs="Calibri"/>
          <w:bCs/>
          <w:lang w:val="en-US"/>
        </w:rPr>
        <w:t xml:space="preserve">(Jones 1991, </w:t>
      </w:r>
      <w:r w:rsidR="00576A16" w:rsidRPr="00F67CC4">
        <w:rPr>
          <w:rFonts w:cs="Calibri"/>
          <w:bCs/>
          <w:lang w:val="en-US"/>
        </w:rPr>
        <w:t>p</w:t>
      </w:r>
      <w:r w:rsidR="00930314">
        <w:rPr>
          <w:rFonts w:cs="Calibri"/>
          <w:bCs/>
          <w:lang w:val="en-US"/>
        </w:rPr>
        <w:t xml:space="preserve"> </w:t>
      </w:r>
      <w:r w:rsidR="00576A16" w:rsidRPr="00F67CC4">
        <w:rPr>
          <w:rFonts w:cs="Calibri"/>
          <w:bCs/>
          <w:lang w:val="en-US"/>
        </w:rPr>
        <w:t>212)</w:t>
      </w:r>
      <w:r w:rsidR="00FD215B" w:rsidRPr="00F67CC4">
        <w:rPr>
          <w:rFonts w:cs="Calibri"/>
          <w:bCs/>
          <w:lang w:val="en-US"/>
        </w:rPr>
        <w:t>.</w:t>
      </w:r>
      <w:r w:rsidRPr="00F67CC4">
        <w:rPr>
          <w:rFonts w:cs="Calibri"/>
          <w:bCs/>
          <w:lang w:val="en-US"/>
        </w:rPr>
        <w:t xml:space="preserve"> </w:t>
      </w:r>
      <w:r w:rsidR="00FD215B" w:rsidRPr="00F67CC4">
        <w:rPr>
          <w:rFonts w:cs="Calibri"/>
          <w:bCs/>
          <w:lang w:val="en-US"/>
        </w:rPr>
        <w:t>The limitation</w:t>
      </w:r>
      <w:r w:rsidR="001C6A3E" w:rsidRPr="00F67CC4">
        <w:rPr>
          <w:rFonts w:cs="Calibri"/>
          <w:bCs/>
          <w:lang w:val="en-US"/>
        </w:rPr>
        <w:t xml:space="preserve"> of this model is that</w:t>
      </w:r>
      <w:r w:rsidR="00AE1884">
        <w:rPr>
          <w:rFonts w:cs="Calibri"/>
          <w:bCs/>
          <w:lang w:val="en-US"/>
        </w:rPr>
        <w:t xml:space="preserve"> the</w:t>
      </w:r>
      <w:r w:rsidR="001C6A3E" w:rsidRPr="00F67CC4">
        <w:rPr>
          <w:rFonts w:cs="Calibri"/>
          <w:bCs/>
          <w:lang w:val="en-US"/>
        </w:rPr>
        <w:t xml:space="preserve"> total</w:t>
      </w:r>
      <w:r w:rsidR="00AE1884">
        <w:rPr>
          <w:rFonts w:cs="Calibri"/>
          <w:bCs/>
          <w:lang w:val="en-US"/>
        </w:rPr>
        <w:t xml:space="preserve"> amount of</w:t>
      </w:r>
      <w:r w:rsidR="001C6A3E" w:rsidRPr="00F67CC4">
        <w:rPr>
          <w:rFonts w:cs="Calibri"/>
          <w:bCs/>
          <w:lang w:val="en-US"/>
        </w:rPr>
        <w:t xml:space="preserve"> accruals will extract the discretionary component of </w:t>
      </w:r>
      <w:r w:rsidR="003831B3" w:rsidRPr="00F67CC4">
        <w:rPr>
          <w:rFonts w:cs="Calibri"/>
          <w:bCs/>
          <w:lang w:val="en-US"/>
        </w:rPr>
        <w:t xml:space="preserve">the </w:t>
      </w:r>
      <w:r w:rsidR="001C6A3E" w:rsidRPr="00F67CC4">
        <w:rPr>
          <w:rFonts w:cs="Calibri"/>
          <w:bCs/>
          <w:lang w:val="en-US"/>
        </w:rPr>
        <w:t xml:space="preserve">accruals which causes that the estimation </w:t>
      </w:r>
      <w:r w:rsidR="00930314">
        <w:rPr>
          <w:rFonts w:cs="Calibri"/>
          <w:bCs/>
          <w:lang w:val="en-US"/>
        </w:rPr>
        <w:t xml:space="preserve">the use </w:t>
      </w:r>
      <w:r w:rsidR="001C6A3E" w:rsidRPr="00F67CC4">
        <w:rPr>
          <w:rFonts w:cs="Calibri"/>
          <w:bCs/>
          <w:lang w:val="en-US"/>
        </w:rPr>
        <w:t>of earnings m</w:t>
      </w:r>
      <w:r w:rsidR="00831A48">
        <w:rPr>
          <w:rFonts w:cs="Calibri"/>
          <w:bCs/>
          <w:lang w:val="en-US"/>
        </w:rPr>
        <w:t>anagement is biased toward zero</w:t>
      </w:r>
      <w:r w:rsidR="001C6A3E" w:rsidRPr="00F67CC4">
        <w:rPr>
          <w:rFonts w:cs="Calibri"/>
          <w:bCs/>
          <w:lang w:val="en-US"/>
        </w:rPr>
        <w:t xml:space="preserve"> (Dechow et al. 1995</w:t>
      </w:r>
      <w:r w:rsidR="00FD215B" w:rsidRPr="00F67CC4">
        <w:rPr>
          <w:rFonts w:cs="Calibri"/>
          <w:bCs/>
          <w:lang w:val="en-US"/>
        </w:rPr>
        <w:t>,</w:t>
      </w:r>
      <w:r w:rsidR="001C6A3E" w:rsidRPr="00F67CC4">
        <w:rPr>
          <w:rFonts w:cs="Calibri"/>
          <w:bCs/>
          <w:lang w:val="en-US"/>
        </w:rPr>
        <w:t xml:space="preserve"> p</w:t>
      </w:r>
      <w:r w:rsidR="00930314">
        <w:rPr>
          <w:rFonts w:cs="Calibri"/>
          <w:bCs/>
          <w:lang w:val="en-US"/>
        </w:rPr>
        <w:t xml:space="preserve"> </w:t>
      </w:r>
      <w:r w:rsidR="001C6A3E" w:rsidRPr="00F67CC4">
        <w:rPr>
          <w:rFonts w:cs="Calibri"/>
          <w:bCs/>
          <w:lang w:val="en-US"/>
        </w:rPr>
        <w:t>199)</w:t>
      </w:r>
      <w:r w:rsidR="00831A48">
        <w:rPr>
          <w:rFonts w:cs="Calibri"/>
          <w:bCs/>
          <w:lang w:val="en-US"/>
        </w:rPr>
        <w:t>.</w:t>
      </w:r>
      <w:r w:rsidR="001C6A3E" w:rsidRPr="00F67CC4">
        <w:rPr>
          <w:rFonts w:cs="Calibri"/>
          <w:bCs/>
          <w:lang w:val="en-US"/>
        </w:rPr>
        <w:t xml:space="preserve"> </w:t>
      </w:r>
    </w:p>
    <w:p w:rsidR="001C6A3E" w:rsidRPr="00F67CC4" w:rsidRDefault="001C6A3E" w:rsidP="00256AE0">
      <w:pPr>
        <w:spacing w:line="360" w:lineRule="auto"/>
        <w:rPr>
          <w:rFonts w:cs="Calibri"/>
          <w:b/>
          <w:bCs/>
          <w:lang w:val="en-US"/>
        </w:rPr>
      </w:pPr>
      <w:r w:rsidRPr="00F67CC4">
        <w:rPr>
          <w:rFonts w:cs="Calibri"/>
          <w:b/>
          <w:lang w:val="en-US"/>
        </w:rPr>
        <w:t>3.4.2.4 Modified Jones Model (1995)</w:t>
      </w:r>
      <w:r w:rsidRPr="00F67CC4">
        <w:rPr>
          <w:rFonts w:cs="Calibri"/>
          <w:bCs/>
          <w:u w:val="single"/>
          <w:lang w:val="en-US"/>
        </w:rPr>
        <w:br/>
      </w:r>
      <w:r w:rsidR="004C2589" w:rsidRPr="00F67CC4">
        <w:rPr>
          <w:rFonts w:cs="Calibri"/>
          <w:bCs/>
          <w:lang w:val="en-US"/>
        </w:rPr>
        <w:t xml:space="preserve">Dechow et al (1995) </w:t>
      </w:r>
      <w:r w:rsidR="003831B3" w:rsidRPr="00F67CC4">
        <w:rPr>
          <w:rFonts w:cs="Calibri"/>
          <w:bCs/>
          <w:lang w:val="en-US"/>
        </w:rPr>
        <w:t xml:space="preserve">adjusted </w:t>
      </w:r>
      <w:r w:rsidR="004C2589" w:rsidRPr="00F67CC4">
        <w:rPr>
          <w:rFonts w:cs="Calibri"/>
          <w:bCs/>
          <w:lang w:val="en-US"/>
        </w:rPr>
        <w:t>the</w:t>
      </w:r>
      <w:r w:rsidR="003831B3" w:rsidRPr="00F67CC4">
        <w:rPr>
          <w:rFonts w:cs="Calibri"/>
          <w:bCs/>
          <w:lang w:val="en-US"/>
        </w:rPr>
        <w:t xml:space="preserve"> model of</w:t>
      </w:r>
      <w:r w:rsidR="004C2589" w:rsidRPr="00F67CC4">
        <w:rPr>
          <w:rFonts w:cs="Calibri"/>
          <w:bCs/>
          <w:lang w:val="en-US"/>
        </w:rPr>
        <w:t xml:space="preserve"> Jones (1991)</w:t>
      </w:r>
      <w:r w:rsidRPr="00F67CC4">
        <w:rPr>
          <w:rFonts w:cs="Calibri"/>
          <w:bCs/>
          <w:lang w:val="en-US"/>
        </w:rPr>
        <w:t>, which resulted in the Modified Jones Model</w:t>
      </w:r>
      <w:r w:rsidR="003831B3" w:rsidRPr="00F67CC4">
        <w:rPr>
          <w:rFonts w:cs="Calibri"/>
          <w:bCs/>
          <w:lang w:val="en-US"/>
        </w:rPr>
        <w:t xml:space="preserve"> (1995)</w:t>
      </w:r>
      <w:r w:rsidRPr="00F67CC4">
        <w:rPr>
          <w:rFonts w:cs="Calibri"/>
          <w:bCs/>
          <w:lang w:val="en-US"/>
        </w:rPr>
        <w:t>.</w:t>
      </w:r>
      <w:r w:rsidR="004C2589" w:rsidRPr="00F67CC4">
        <w:rPr>
          <w:rFonts w:cs="Calibri"/>
          <w:bCs/>
          <w:lang w:val="en-US"/>
        </w:rPr>
        <w:t xml:space="preserve"> The formula for</w:t>
      </w:r>
      <w:r w:rsidR="00D30E26" w:rsidRPr="00F67CC4">
        <w:rPr>
          <w:rFonts w:cs="Calibri"/>
          <w:bCs/>
          <w:lang w:val="en-US"/>
        </w:rPr>
        <w:t xml:space="preserve"> determining</w:t>
      </w:r>
      <w:r w:rsidR="004C2589" w:rsidRPr="00F67CC4">
        <w:rPr>
          <w:rFonts w:cs="Calibri"/>
          <w:bCs/>
          <w:lang w:val="en-US"/>
        </w:rPr>
        <w:t xml:space="preserve"> the total </w:t>
      </w:r>
      <w:r w:rsidR="00AE1884">
        <w:rPr>
          <w:rFonts w:cs="Calibri"/>
          <w:bCs/>
          <w:lang w:val="en-US"/>
        </w:rPr>
        <w:t xml:space="preserve">amount of </w:t>
      </w:r>
      <w:r w:rsidR="004C2589" w:rsidRPr="00F67CC4">
        <w:rPr>
          <w:rFonts w:cs="Calibri"/>
          <w:bCs/>
          <w:lang w:val="en-US"/>
        </w:rPr>
        <w:t xml:space="preserve">accruals (TA) </w:t>
      </w:r>
      <w:r w:rsidR="00D30E26" w:rsidRPr="00F67CC4">
        <w:rPr>
          <w:rFonts w:cs="Calibri"/>
          <w:bCs/>
          <w:lang w:val="en-US"/>
        </w:rPr>
        <w:t>is similar to</w:t>
      </w:r>
      <w:r w:rsidR="00FD215B" w:rsidRPr="00F67CC4">
        <w:rPr>
          <w:rFonts w:cs="Calibri"/>
          <w:bCs/>
          <w:lang w:val="en-US"/>
        </w:rPr>
        <w:t xml:space="preserve"> </w:t>
      </w:r>
      <w:r w:rsidR="003831B3" w:rsidRPr="00F67CC4">
        <w:rPr>
          <w:rFonts w:cs="Calibri"/>
          <w:bCs/>
          <w:lang w:val="en-US"/>
        </w:rPr>
        <w:t>the formula used with the Jones model (1991);</w:t>
      </w:r>
      <w:r w:rsidR="00E3770B" w:rsidRPr="00F67CC4">
        <w:rPr>
          <w:rFonts w:cs="Calibri"/>
          <w:bCs/>
          <w:lang w:val="en-US"/>
        </w:rPr>
        <w:t xml:space="preserve"> t</w:t>
      </w:r>
      <w:r w:rsidR="004C2589" w:rsidRPr="00F67CC4">
        <w:rPr>
          <w:rFonts w:cs="Calibri"/>
          <w:bCs/>
          <w:lang w:val="en-US"/>
        </w:rPr>
        <w:t>he difference in the determination of the non-discretionary accruals</w:t>
      </w:r>
      <w:r w:rsidR="003831B3" w:rsidRPr="00F67CC4">
        <w:rPr>
          <w:rFonts w:cs="Calibri"/>
          <w:bCs/>
          <w:lang w:val="en-US"/>
        </w:rPr>
        <w:t xml:space="preserve"> component</w:t>
      </w:r>
      <w:r w:rsidR="004C2589" w:rsidRPr="00F67CC4">
        <w:rPr>
          <w:rFonts w:cs="Calibri"/>
          <w:bCs/>
          <w:lang w:val="en-US"/>
        </w:rPr>
        <w:t xml:space="preserve">. </w:t>
      </w:r>
      <w:r w:rsidRPr="00F67CC4">
        <w:rPr>
          <w:rFonts w:cs="Calibri"/>
          <w:bCs/>
          <w:lang w:val="en-US"/>
        </w:rPr>
        <w:t xml:space="preserve"> </w:t>
      </w:r>
      <w:r w:rsidR="00E9063B" w:rsidRPr="00F67CC4">
        <w:rPr>
          <w:rFonts w:cs="Calibri"/>
          <w:bCs/>
          <w:lang w:val="en-US"/>
        </w:rPr>
        <w:t>The difference with the Jones model (1991) is</w:t>
      </w:r>
      <w:r w:rsidR="00930314">
        <w:rPr>
          <w:rFonts w:cs="Calibri"/>
          <w:bCs/>
          <w:lang w:val="en-US"/>
        </w:rPr>
        <w:t xml:space="preserve"> in order to eliminate the assumption that discretion is exercised over revenues;</w:t>
      </w:r>
      <w:r w:rsidR="00E9063B" w:rsidRPr="00F67CC4">
        <w:rPr>
          <w:rFonts w:cs="Calibri"/>
          <w:bCs/>
          <w:lang w:val="en-US"/>
        </w:rPr>
        <w:t xml:space="preserve"> the change in revenues is adjusted for the change in </w:t>
      </w:r>
      <w:r w:rsidR="00930314">
        <w:rPr>
          <w:rFonts w:cs="Calibri"/>
          <w:bCs/>
          <w:lang w:val="en-US"/>
        </w:rPr>
        <w:t xml:space="preserve">the </w:t>
      </w:r>
      <w:r w:rsidR="00E9063B" w:rsidRPr="00F67CC4">
        <w:rPr>
          <w:rFonts w:cs="Calibri"/>
          <w:bCs/>
          <w:lang w:val="en-US"/>
        </w:rPr>
        <w:t xml:space="preserve">receivables </w:t>
      </w:r>
      <w:r w:rsidRPr="00F67CC4">
        <w:rPr>
          <w:rFonts w:cs="Calibri"/>
          <w:bCs/>
          <w:lang w:val="en-US"/>
        </w:rPr>
        <w:t>(Dechow et al. 1995</w:t>
      </w:r>
      <w:r w:rsidR="00FD215B" w:rsidRPr="00F67CC4">
        <w:rPr>
          <w:rFonts w:cs="Calibri"/>
          <w:bCs/>
          <w:lang w:val="en-US"/>
        </w:rPr>
        <w:t>,</w:t>
      </w:r>
      <w:r w:rsidRPr="00F67CC4">
        <w:rPr>
          <w:rFonts w:cs="Calibri"/>
          <w:bCs/>
          <w:lang w:val="en-US"/>
        </w:rPr>
        <w:t xml:space="preserve"> p</w:t>
      </w:r>
      <w:r w:rsidR="00930314">
        <w:rPr>
          <w:rFonts w:cs="Calibri"/>
          <w:bCs/>
          <w:lang w:val="en-US"/>
        </w:rPr>
        <w:t xml:space="preserve"> </w:t>
      </w:r>
      <w:r w:rsidRPr="00F67CC4">
        <w:rPr>
          <w:rFonts w:cs="Calibri"/>
          <w:bCs/>
          <w:lang w:val="en-US"/>
        </w:rPr>
        <w:t>199)</w:t>
      </w:r>
      <w:r w:rsidR="003831B3" w:rsidRPr="00F67CC4">
        <w:rPr>
          <w:rFonts w:cs="Calibri"/>
          <w:bCs/>
          <w:lang w:val="en-US"/>
        </w:rPr>
        <w:t>.</w:t>
      </w:r>
      <w:r w:rsidR="00FD215B" w:rsidRPr="00F67CC4">
        <w:rPr>
          <w:rFonts w:cs="Calibri"/>
          <w:bCs/>
          <w:lang w:val="en-US"/>
        </w:rPr>
        <w:t xml:space="preserve"> </w:t>
      </w:r>
      <w:r w:rsidR="00E9063B" w:rsidRPr="00F67CC4">
        <w:rPr>
          <w:rFonts w:cs="Calibri"/>
          <w:bCs/>
          <w:lang w:val="en-US"/>
        </w:rPr>
        <w:t>This modification has resulted in</w:t>
      </w:r>
      <w:r w:rsidR="00FD215B" w:rsidRPr="00F67CC4">
        <w:rPr>
          <w:rFonts w:cs="Calibri"/>
          <w:bCs/>
          <w:lang w:val="en-US"/>
        </w:rPr>
        <w:t xml:space="preserve"> the following equation</w:t>
      </w:r>
      <w:r w:rsidR="00E9063B" w:rsidRPr="00F67CC4">
        <w:rPr>
          <w:rFonts w:cs="Calibri"/>
          <w:bCs/>
          <w:lang w:val="en-US"/>
        </w:rPr>
        <w:t xml:space="preserve"> for determining </w:t>
      </w:r>
      <w:r w:rsidR="00930314">
        <w:rPr>
          <w:rFonts w:cs="Calibri"/>
          <w:bCs/>
          <w:lang w:val="en-US"/>
        </w:rPr>
        <w:t xml:space="preserve">the </w:t>
      </w:r>
      <w:r w:rsidR="00E9063B" w:rsidRPr="00F67CC4">
        <w:rPr>
          <w:rFonts w:cs="Calibri"/>
          <w:bCs/>
          <w:lang w:val="en-US"/>
        </w:rPr>
        <w:t>non-discretionary accruals</w:t>
      </w:r>
      <w:r w:rsidR="00FD215B" w:rsidRPr="00F67CC4">
        <w:rPr>
          <w:rFonts w:cs="Calibri"/>
          <w:bCs/>
          <w:lang w:val="en-US"/>
        </w:rPr>
        <w:t>:</w:t>
      </w:r>
    </w:p>
    <w:p w:rsidR="001C6A3E" w:rsidRDefault="001C6A3E" w:rsidP="00F74511">
      <w:pPr>
        <w:spacing w:line="360" w:lineRule="auto"/>
        <w:rPr>
          <w:rFonts w:cs="Calibri"/>
          <w:b/>
          <w:sz w:val="28"/>
          <w:szCs w:val="28"/>
          <w:lang w:val="en-US"/>
        </w:rPr>
      </w:pPr>
      <w:r w:rsidRPr="00F67CC4">
        <w:rPr>
          <w:rFonts w:cs="Calibri"/>
          <w:b/>
          <w:sz w:val="28"/>
          <w:szCs w:val="28"/>
          <w:lang w:val="en-US"/>
        </w:rPr>
        <w:lastRenderedPageBreak/>
        <w:t>NDA</w:t>
      </w:r>
      <w:r w:rsidRPr="00F67CC4">
        <w:rPr>
          <w:rFonts w:cs="Calibri"/>
          <w:b/>
          <w:lang w:val="en-US"/>
        </w:rPr>
        <w:t>t</w:t>
      </w:r>
      <w:r w:rsidRPr="00F67CC4">
        <w:rPr>
          <w:rFonts w:cs="Calibri"/>
          <w:b/>
          <w:sz w:val="28"/>
          <w:szCs w:val="28"/>
          <w:lang w:val="en-US"/>
        </w:rPr>
        <w:t xml:space="preserve"> = </w:t>
      </w:r>
      <w:r w:rsidRPr="00F67CC4">
        <w:rPr>
          <w:rFonts w:cs="Calibri"/>
          <w:b/>
          <w:sz w:val="28"/>
          <w:szCs w:val="28"/>
          <w:lang w:val="fr-FR"/>
        </w:rPr>
        <w:t>α</w:t>
      </w:r>
      <w:r w:rsidR="00E3770B" w:rsidRPr="00F67CC4">
        <w:rPr>
          <w:rFonts w:cs="Calibri"/>
          <w:b/>
          <w:sz w:val="28"/>
          <w:szCs w:val="28"/>
          <w:lang w:val="en-US"/>
        </w:rPr>
        <w:t xml:space="preserve">1 </w:t>
      </w:r>
      <w:r w:rsidRPr="00F67CC4">
        <w:rPr>
          <w:rFonts w:cs="Calibri"/>
          <w:b/>
          <w:sz w:val="28"/>
          <w:szCs w:val="28"/>
          <w:lang w:val="en-US"/>
        </w:rPr>
        <w:t>(1/A</w:t>
      </w:r>
      <w:r w:rsidRPr="00F67CC4">
        <w:rPr>
          <w:rFonts w:cs="Calibri"/>
          <w:b/>
          <w:lang w:val="en-US"/>
        </w:rPr>
        <w:t>t-1</w:t>
      </w:r>
      <w:r w:rsidRPr="00F67CC4">
        <w:rPr>
          <w:rFonts w:cs="Calibri"/>
          <w:b/>
          <w:sz w:val="28"/>
          <w:szCs w:val="28"/>
          <w:lang w:val="en-US"/>
        </w:rPr>
        <w:t xml:space="preserve">) + </w:t>
      </w:r>
      <w:r w:rsidRPr="00F67CC4">
        <w:rPr>
          <w:rFonts w:cs="Calibri"/>
          <w:b/>
          <w:sz w:val="28"/>
          <w:szCs w:val="28"/>
          <w:lang w:val="fr-FR"/>
        </w:rPr>
        <w:t>α</w:t>
      </w:r>
      <w:r w:rsidR="00E3770B" w:rsidRPr="00F67CC4">
        <w:rPr>
          <w:rFonts w:cs="Calibri"/>
          <w:b/>
          <w:sz w:val="28"/>
          <w:szCs w:val="28"/>
          <w:lang w:val="en-US"/>
        </w:rPr>
        <w:t xml:space="preserve">2 </w:t>
      </w:r>
      <w:r w:rsidRPr="00F67CC4">
        <w:rPr>
          <w:rFonts w:cs="Calibri"/>
          <w:b/>
          <w:sz w:val="28"/>
          <w:szCs w:val="28"/>
          <w:lang w:val="en-US"/>
        </w:rPr>
        <w:t>(ΔREV</w:t>
      </w:r>
      <w:r w:rsidRPr="00F67CC4">
        <w:rPr>
          <w:rFonts w:cs="Calibri"/>
          <w:b/>
          <w:lang w:val="en-US"/>
        </w:rPr>
        <w:t>t</w:t>
      </w:r>
      <w:r w:rsidRPr="00F67CC4">
        <w:rPr>
          <w:rFonts w:cs="Calibri"/>
          <w:b/>
          <w:sz w:val="28"/>
          <w:szCs w:val="28"/>
          <w:lang w:val="en-US"/>
        </w:rPr>
        <w:t xml:space="preserve"> – ΔREC</w:t>
      </w:r>
      <w:r w:rsidRPr="00F67CC4">
        <w:rPr>
          <w:rFonts w:cs="Calibri"/>
          <w:b/>
          <w:lang w:val="en-US"/>
        </w:rPr>
        <w:t>t</w:t>
      </w:r>
      <w:r w:rsidRPr="00F67CC4">
        <w:rPr>
          <w:rFonts w:cs="Calibri"/>
          <w:b/>
          <w:sz w:val="28"/>
          <w:szCs w:val="28"/>
          <w:lang w:val="en-US"/>
        </w:rPr>
        <w:t xml:space="preserve">) + </w:t>
      </w:r>
      <w:r w:rsidRPr="00F67CC4">
        <w:rPr>
          <w:rFonts w:cs="Calibri"/>
          <w:b/>
          <w:sz w:val="28"/>
          <w:szCs w:val="28"/>
          <w:lang w:val="fr-FR"/>
        </w:rPr>
        <w:t>α</w:t>
      </w:r>
      <w:r w:rsidR="00E3770B" w:rsidRPr="00F67CC4">
        <w:rPr>
          <w:rFonts w:cs="Calibri"/>
          <w:b/>
          <w:sz w:val="28"/>
          <w:szCs w:val="28"/>
          <w:lang w:val="en-US"/>
        </w:rPr>
        <w:t xml:space="preserve">3 </w:t>
      </w:r>
      <w:r w:rsidRPr="00F67CC4">
        <w:rPr>
          <w:rFonts w:cs="Calibri"/>
          <w:b/>
          <w:sz w:val="28"/>
          <w:szCs w:val="28"/>
          <w:lang w:val="en-US"/>
        </w:rPr>
        <w:t>(PPE</w:t>
      </w:r>
      <w:r w:rsidRPr="00F67CC4">
        <w:rPr>
          <w:rFonts w:cs="Calibri"/>
          <w:b/>
          <w:lang w:val="en-US"/>
        </w:rPr>
        <w:t>t</w:t>
      </w:r>
      <w:r w:rsidRPr="00F67CC4">
        <w:rPr>
          <w:rFonts w:cs="Calibri"/>
          <w:b/>
          <w:sz w:val="28"/>
          <w:szCs w:val="28"/>
          <w:lang w:val="en-US"/>
        </w:rPr>
        <w:t>)</w:t>
      </w:r>
    </w:p>
    <w:p w:rsidR="00486089" w:rsidRPr="00F67CC4" w:rsidRDefault="007F2EFD" w:rsidP="007F2EFD">
      <w:pPr>
        <w:spacing w:line="240" w:lineRule="auto"/>
        <w:rPr>
          <w:rFonts w:cs="Calibri"/>
          <w:b/>
          <w:bCs/>
          <w:lang w:val="en-US"/>
        </w:rPr>
      </w:pPr>
      <w:r w:rsidRPr="00F67CC4">
        <w:rPr>
          <w:rFonts w:cs="Calibri"/>
          <w:b/>
          <w:bCs/>
          <w:lang w:val="en-US"/>
        </w:rPr>
        <w:t>A</w:t>
      </w:r>
      <w:r w:rsidR="00BC1DDE">
        <w:rPr>
          <w:rFonts w:cs="Calibri"/>
          <w:b/>
          <w:bCs/>
          <w:sz w:val="20"/>
          <w:szCs w:val="20"/>
          <w:lang w:val="en-US"/>
        </w:rPr>
        <w:t xml:space="preserve"> </w:t>
      </w:r>
      <w:r w:rsidRPr="00F67CC4">
        <w:rPr>
          <w:rFonts w:cs="Calibri"/>
          <w:b/>
          <w:bCs/>
          <w:lang w:val="en-US"/>
        </w:rPr>
        <w:t xml:space="preserve">= total assets </w:t>
      </w:r>
    </w:p>
    <w:p w:rsidR="00486089" w:rsidRPr="00F67CC4" w:rsidRDefault="007F2EFD" w:rsidP="007F2EFD">
      <w:pPr>
        <w:spacing w:line="240" w:lineRule="auto"/>
        <w:rPr>
          <w:rFonts w:cs="Calibri"/>
          <w:b/>
          <w:bCs/>
          <w:lang w:val="en-US"/>
        </w:rPr>
      </w:pPr>
      <w:r w:rsidRPr="00F67CC4">
        <w:rPr>
          <w:rFonts w:cs="Calibri"/>
          <w:b/>
          <w:bCs/>
          <w:lang w:val="en-US"/>
        </w:rPr>
        <w:t xml:space="preserve">ΔREV = </w:t>
      </w:r>
      <w:r w:rsidR="00BC1DDE">
        <w:rPr>
          <w:rFonts w:cs="Calibri"/>
          <w:b/>
          <w:bCs/>
          <w:lang w:val="en-US"/>
        </w:rPr>
        <w:t xml:space="preserve">change in </w:t>
      </w:r>
      <w:r w:rsidRPr="00F67CC4">
        <w:rPr>
          <w:rFonts w:cs="Calibri"/>
          <w:b/>
          <w:bCs/>
          <w:lang w:val="en-US"/>
        </w:rPr>
        <w:t xml:space="preserve">revenue </w:t>
      </w:r>
    </w:p>
    <w:p w:rsidR="00486089" w:rsidRPr="00F67CC4" w:rsidRDefault="007F2EFD" w:rsidP="007F2EFD">
      <w:pPr>
        <w:spacing w:line="240" w:lineRule="auto"/>
        <w:rPr>
          <w:rFonts w:cs="Calibri"/>
          <w:b/>
          <w:lang w:val="en-US"/>
        </w:rPr>
      </w:pPr>
      <w:r w:rsidRPr="00F67CC4">
        <w:rPr>
          <w:rFonts w:cs="Calibri"/>
          <w:b/>
          <w:lang w:val="en-US"/>
        </w:rPr>
        <w:t>ΔREC</w:t>
      </w:r>
      <w:r w:rsidRPr="00F67CC4">
        <w:rPr>
          <w:rFonts w:cs="Calibri"/>
          <w:b/>
          <w:sz w:val="20"/>
          <w:szCs w:val="20"/>
          <w:lang w:val="en-US"/>
        </w:rPr>
        <w:t xml:space="preserve"> </w:t>
      </w:r>
      <w:r w:rsidRPr="00F67CC4">
        <w:rPr>
          <w:rFonts w:cs="Calibri"/>
          <w:b/>
          <w:lang w:val="en-US"/>
        </w:rPr>
        <w:t xml:space="preserve">= </w:t>
      </w:r>
      <w:r w:rsidR="00BC1DDE">
        <w:rPr>
          <w:rFonts w:cs="Calibri"/>
          <w:b/>
          <w:lang w:val="en-US"/>
        </w:rPr>
        <w:t>change in net receivables</w:t>
      </w:r>
    </w:p>
    <w:p w:rsidR="00BC1DDE" w:rsidRDefault="007F2EFD" w:rsidP="007F2EFD">
      <w:pPr>
        <w:spacing w:line="240" w:lineRule="auto"/>
        <w:rPr>
          <w:rFonts w:cs="Calibri"/>
          <w:b/>
          <w:bCs/>
          <w:lang w:val="en-US"/>
        </w:rPr>
      </w:pPr>
      <w:r w:rsidRPr="00F67CC4">
        <w:rPr>
          <w:rFonts w:cs="Calibri"/>
          <w:b/>
          <w:bCs/>
          <w:lang w:val="en-US"/>
        </w:rPr>
        <w:t xml:space="preserve">PPE = gross property plant and equipment </w:t>
      </w:r>
    </w:p>
    <w:p w:rsidR="00BC1DDE" w:rsidRPr="00F67CC4" w:rsidRDefault="00BC1DDE" w:rsidP="007F2EFD">
      <w:pPr>
        <w:spacing w:line="240" w:lineRule="auto"/>
        <w:rPr>
          <w:rFonts w:cs="Calibri"/>
          <w:b/>
          <w:bCs/>
          <w:lang w:val="en-US"/>
        </w:rPr>
      </w:pPr>
      <w:r>
        <w:rPr>
          <w:rFonts w:cs="Calibri"/>
          <w:b/>
          <w:bCs/>
          <w:lang w:val="en-US"/>
        </w:rPr>
        <w:t xml:space="preserve">t = </w:t>
      </w:r>
      <w:r w:rsidR="005D7562">
        <w:rPr>
          <w:rFonts w:cs="Calibri"/>
          <w:b/>
          <w:bCs/>
          <w:lang w:val="en-US"/>
        </w:rPr>
        <w:t>year</w:t>
      </w:r>
      <w:r>
        <w:rPr>
          <w:rFonts w:cs="Calibri"/>
          <w:b/>
          <w:bCs/>
          <w:lang w:val="en-US"/>
        </w:rPr>
        <w:t xml:space="preserve"> index</w:t>
      </w:r>
    </w:p>
    <w:p w:rsidR="00661F86" w:rsidRPr="00F67CC4" w:rsidRDefault="00661F86" w:rsidP="00AE1884">
      <w:pPr>
        <w:spacing w:line="360" w:lineRule="auto"/>
        <w:rPr>
          <w:rFonts w:cs="Calibri"/>
          <w:bCs/>
          <w:lang w:val="en-GB"/>
        </w:rPr>
      </w:pPr>
      <w:r w:rsidRPr="00F67CC4">
        <w:rPr>
          <w:rFonts w:cs="Calibri"/>
          <w:bCs/>
          <w:lang w:val="en-US"/>
        </w:rPr>
        <w:t>The reason for this modification is that it is assumed that discretion on recognition of revenue on credit sales is easier than exercising discretion over the recogn</w:t>
      </w:r>
      <w:r w:rsidR="00BC1DDE">
        <w:rPr>
          <w:rFonts w:cs="Calibri"/>
          <w:bCs/>
          <w:lang w:val="en-US"/>
        </w:rPr>
        <w:t xml:space="preserve">ition of revenue on cash sales </w:t>
      </w:r>
      <w:r w:rsidRPr="00F67CC4">
        <w:rPr>
          <w:rFonts w:cs="Calibri"/>
          <w:bCs/>
          <w:lang w:val="en-GB"/>
        </w:rPr>
        <w:t>(Dechow et al. 1995, p</w:t>
      </w:r>
      <w:r w:rsidR="00930314">
        <w:rPr>
          <w:rFonts w:cs="Calibri"/>
          <w:bCs/>
          <w:lang w:val="en-GB"/>
        </w:rPr>
        <w:t xml:space="preserve"> </w:t>
      </w:r>
      <w:r w:rsidRPr="00F67CC4">
        <w:rPr>
          <w:rFonts w:cs="Calibri"/>
          <w:bCs/>
          <w:lang w:val="en-GB"/>
        </w:rPr>
        <w:t>199)</w:t>
      </w:r>
      <w:r w:rsidR="00BC1DDE">
        <w:rPr>
          <w:rFonts w:cs="Calibri"/>
          <w:bCs/>
          <w:lang w:val="en-GB"/>
        </w:rPr>
        <w:t>.</w:t>
      </w:r>
    </w:p>
    <w:p w:rsidR="000653D8" w:rsidRPr="00F67CC4" w:rsidRDefault="00E54B34" w:rsidP="00AE1884">
      <w:pPr>
        <w:spacing w:line="360" w:lineRule="auto"/>
        <w:rPr>
          <w:rFonts w:cs="Calibri"/>
          <w:bCs/>
          <w:lang w:val="en-GB"/>
        </w:rPr>
      </w:pPr>
      <w:r w:rsidRPr="00F67CC4">
        <w:rPr>
          <w:rFonts w:cs="Calibri"/>
          <w:bCs/>
          <w:lang w:val="en-GB"/>
        </w:rPr>
        <w:t xml:space="preserve">With the determination of the total amount of accruals and the </w:t>
      </w:r>
      <w:r w:rsidR="00893F97" w:rsidRPr="00F67CC4">
        <w:rPr>
          <w:rFonts w:cs="Calibri"/>
          <w:bCs/>
          <w:lang w:val="en-GB"/>
        </w:rPr>
        <w:t>non-discretionary</w:t>
      </w:r>
      <w:r w:rsidRPr="00F67CC4">
        <w:rPr>
          <w:rFonts w:cs="Calibri"/>
          <w:bCs/>
          <w:lang w:val="en-GB"/>
        </w:rPr>
        <w:t xml:space="preserve"> component, the discretionary component can be determined. This discretionary component is adjustable by management and </w:t>
      </w:r>
      <w:r w:rsidR="00930314">
        <w:rPr>
          <w:rFonts w:cs="Calibri"/>
          <w:bCs/>
          <w:lang w:val="en-GB"/>
        </w:rPr>
        <w:t>consequently</w:t>
      </w:r>
      <w:r w:rsidRPr="00F67CC4">
        <w:rPr>
          <w:rFonts w:cs="Calibri"/>
          <w:bCs/>
          <w:lang w:val="en-GB"/>
        </w:rPr>
        <w:t xml:space="preserve"> an indication for the use of earnings management.</w:t>
      </w:r>
    </w:p>
    <w:p w:rsidR="001C6A3E" w:rsidRPr="00F67CC4" w:rsidRDefault="001C6A3E" w:rsidP="00626A37">
      <w:pPr>
        <w:spacing w:line="360" w:lineRule="auto"/>
        <w:rPr>
          <w:rFonts w:cs="Calibri"/>
          <w:lang w:val="en-US"/>
        </w:rPr>
      </w:pPr>
      <w:r w:rsidRPr="00F67CC4">
        <w:rPr>
          <w:rFonts w:cs="Calibri"/>
          <w:b/>
          <w:bCs/>
        </w:rPr>
        <w:t>3.4.2.5 Kothari et al (2005)</w:t>
      </w:r>
      <w:r w:rsidR="00C7270A" w:rsidRPr="00F67CC4">
        <w:rPr>
          <w:rFonts w:cs="Calibri"/>
          <w:b/>
          <w:bCs/>
          <w:u w:val="single"/>
        </w:rPr>
        <w:br/>
      </w:r>
      <w:r w:rsidRPr="00F67CC4">
        <w:rPr>
          <w:rFonts w:cs="Calibri"/>
        </w:rPr>
        <w:t xml:space="preserve">Kothari et al. </w:t>
      </w:r>
      <w:r w:rsidRPr="00F67CC4">
        <w:rPr>
          <w:rFonts w:cs="Calibri"/>
          <w:lang w:val="en-US"/>
        </w:rPr>
        <w:t>(2005) have a different perspective</w:t>
      </w:r>
      <w:r w:rsidR="00AC6159">
        <w:rPr>
          <w:rFonts w:cs="Calibri"/>
          <w:lang w:val="en-US"/>
        </w:rPr>
        <w:t xml:space="preserve"> compared to the previous described models</w:t>
      </w:r>
      <w:r w:rsidRPr="00F67CC4">
        <w:rPr>
          <w:rFonts w:cs="Calibri"/>
          <w:lang w:val="en-US"/>
        </w:rPr>
        <w:t xml:space="preserve"> </w:t>
      </w:r>
      <w:r w:rsidR="00930314">
        <w:rPr>
          <w:rFonts w:cs="Calibri"/>
          <w:lang w:val="en-US"/>
        </w:rPr>
        <w:t>in which way</w:t>
      </w:r>
      <w:r w:rsidRPr="00F67CC4">
        <w:rPr>
          <w:rFonts w:cs="Calibri"/>
          <w:lang w:val="en-US"/>
        </w:rPr>
        <w:t xml:space="preserve"> accruals should be measured for</w:t>
      </w:r>
      <w:r w:rsidR="00096415" w:rsidRPr="00F67CC4">
        <w:rPr>
          <w:rFonts w:cs="Calibri"/>
          <w:lang w:val="en-US"/>
        </w:rPr>
        <w:t xml:space="preserve"> </w:t>
      </w:r>
      <w:r w:rsidR="00123841">
        <w:rPr>
          <w:rFonts w:cs="Calibri"/>
          <w:lang w:val="en-US"/>
        </w:rPr>
        <w:t>detecting</w:t>
      </w:r>
      <w:r w:rsidR="00096415" w:rsidRPr="00F67CC4">
        <w:rPr>
          <w:rFonts w:cs="Calibri"/>
          <w:lang w:val="en-US"/>
        </w:rPr>
        <w:t xml:space="preserve"> </w:t>
      </w:r>
      <w:r w:rsidR="00930314">
        <w:rPr>
          <w:rFonts w:cs="Calibri"/>
          <w:lang w:val="en-US"/>
        </w:rPr>
        <w:t xml:space="preserve">the use of </w:t>
      </w:r>
      <w:r w:rsidRPr="00F67CC4">
        <w:rPr>
          <w:rFonts w:cs="Calibri"/>
          <w:lang w:val="en-US"/>
        </w:rPr>
        <w:t xml:space="preserve">earnings management. According to Kothari et al. (2005), performance matched discretionary accrual measures are the key to success in </w:t>
      </w:r>
      <w:r w:rsidR="00123841">
        <w:rPr>
          <w:rFonts w:cs="Calibri"/>
          <w:lang w:val="en-US"/>
        </w:rPr>
        <w:t>detecting</w:t>
      </w:r>
      <w:r w:rsidRPr="00F67CC4">
        <w:rPr>
          <w:rFonts w:cs="Calibri"/>
          <w:lang w:val="en-US"/>
        </w:rPr>
        <w:t xml:space="preserve"> </w:t>
      </w:r>
      <w:r w:rsidR="00930314">
        <w:rPr>
          <w:rFonts w:cs="Calibri"/>
          <w:lang w:val="en-US"/>
        </w:rPr>
        <w:t xml:space="preserve">the use of </w:t>
      </w:r>
      <w:r w:rsidRPr="00F67CC4">
        <w:rPr>
          <w:rFonts w:cs="Calibri"/>
          <w:lang w:val="en-US"/>
        </w:rPr>
        <w:t>earnings management. Accruals are correlated with a firm’s contemporaneous and past performance (Gunny 2010, p</w:t>
      </w:r>
      <w:r w:rsidR="00930314">
        <w:rPr>
          <w:rFonts w:cs="Calibri"/>
          <w:lang w:val="en-US"/>
        </w:rPr>
        <w:t xml:space="preserve"> </w:t>
      </w:r>
      <w:r w:rsidRPr="00F67CC4">
        <w:rPr>
          <w:rFonts w:cs="Calibri"/>
          <w:lang w:val="en-US"/>
        </w:rPr>
        <w:t>167)</w:t>
      </w:r>
      <w:r w:rsidR="00E8708A">
        <w:rPr>
          <w:rFonts w:cs="Calibri"/>
          <w:lang w:val="en-US"/>
        </w:rPr>
        <w:t>.</w:t>
      </w:r>
    </w:p>
    <w:p w:rsidR="00930314" w:rsidRDefault="00AD0BD7" w:rsidP="00626A37">
      <w:pPr>
        <w:spacing w:line="360" w:lineRule="auto"/>
        <w:rPr>
          <w:rFonts w:cs="Calibri"/>
          <w:lang w:val="en-US"/>
        </w:rPr>
      </w:pPr>
      <w:r w:rsidRPr="00F67CC4">
        <w:rPr>
          <w:rFonts w:cs="Calibri"/>
          <w:lang w:val="en-US"/>
        </w:rPr>
        <w:t>The reason Kothari et al. (2005) have chosen for performance</w:t>
      </w:r>
      <w:r w:rsidR="00E8708A">
        <w:rPr>
          <w:rFonts w:cs="Calibri"/>
          <w:lang w:val="en-US"/>
        </w:rPr>
        <w:t xml:space="preserve"> </w:t>
      </w:r>
      <w:r w:rsidRPr="00F67CC4">
        <w:rPr>
          <w:rFonts w:cs="Calibri"/>
          <w:lang w:val="en-US"/>
        </w:rPr>
        <w:t>matched discretiona</w:t>
      </w:r>
      <w:r w:rsidR="00C7270A" w:rsidRPr="00F67CC4">
        <w:rPr>
          <w:rFonts w:cs="Calibri"/>
          <w:lang w:val="en-US"/>
        </w:rPr>
        <w:t>ry accrual measures, is</w:t>
      </w:r>
      <w:r w:rsidR="00E815F7" w:rsidRPr="00F67CC4">
        <w:rPr>
          <w:rFonts w:cs="Calibri"/>
          <w:lang w:val="en-US"/>
        </w:rPr>
        <w:t xml:space="preserve"> the mis</w:t>
      </w:r>
      <w:r w:rsidRPr="00F67CC4">
        <w:rPr>
          <w:rFonts w:cs="Calibri"/>
          <w:lang w:val="en-US"/>
        </w:rPr>
        <w:t xml:space="preserve">specification of the Jones (1991) </w:t>
      </w:r>
      <w:r w:rsidR="00E8708A">
        <w:rPr>
          <w:rFonts w:cs="Calibri"/>
          <w:lang w:val="en-US"/>
        </w:rPr>
        <w:t>and modified-Jones model (1995)</w:t>
      </w:r>
      <w:r w:rsidRPr="00F67CC4">
        <w:rPr>
          <w:rFonts w:cs="Calibri"/>
          <w:lang w:val="en-US"/>
        </w:rPr>
        <w:t xml:space="preserve"> when companies experience extreme perf</w:t>
      </w:r>
      <w:r w:rsidR="00E8708A">
        <w:rPr>
          <w:rFonts w:cs="Calibri"/>
          <w:lang w:val="en-US"/>
        </w:rPr>
        <w:t>ormance (Kothari et al. 2005, p</w:t>
      </w:r>
      <w:r w:rsidR="00930314">
        <w:rPr>
          <w:rFonts w:cs="Calibri"/>
          <w:lang w:val="en-US"/>
        </w:rPr>
        <w:t xml:space="preserve"> </w:t>
      </w:r>
      <w:r w:rsidRPr="00F67CC4">
        <w:rPr>
          <w:rFonts w:cs="Calibri"/>
          <w:lang w:val="en-US"/>
        </w:rPr>
        <w:t>166)</w:t>
      </w:r>
      <w:r w:rsidR="00FD215B" w:rsidRPr="00F67CC4">
        <w:rPr>
          <w:rFonts w:cs="Calibri"/>
          <w:lang w:val="en-US"/>
        </w:rPr>
        <w:t>.</w:t>
      </w:r>
      <w:r w:rsidR="00E815F7" w:rsidRPr="00F67CC4">
        <w:rPr>
          <w:rFonts w:cs="Calibri"/>
          <w:lang w:val="en-US"/>
        </w:rPr>
        <w:t xml:space="preserve"> According to </w:t>
      </w:r>
      <w:r w:rsidR="001645E2" w:rsidRPr="00F67CC4">
        <w:rPr>
          <w:rFonts w:cs="Calibri"/>
          <w:lang w:val="en-US"/>
        </w:rPr>
        <w:t xml:space="preserve">Kothari et al. (2005), </w:t>
      </w:r>
      <w:r w:rsidR="00930314">
        <w:rPr>
          <w:rFonts w:cs="Calibri"/>
          <w:lang w:val="en-US"/>
        </w:rPr>
        <w:t>because of the use of accounting conservatism and the use of earnings management incentives which are the base of the other approaches like the Jones Model (1991) and Modified Jones Model (1995) no linear relation exists between the current and the future performance (Kothari et al. 2005, p 170).</w:t>
      </w:r>
    </w:p>
    <w:p w:rsidR="00E53854" w:rsidRDefault="009A11D2" w:rsidP="00E53854">
      <w:pPr>
        <w:spacing w:line="360" w:lineRule="auto"/>
        <w:rPr>
          <w:rFonts w:cs="Calibri"/>
          <w:lang w:val="en-US"/>
        </w:rPr>
      </w:pPr>
      <w:r w:rsidRPr="00F67CC4">
        <w:rPr>
          <w:rFonts w:cs="Calibri"/>
          <w:lang w:val="en-US"/>
        </w:rPr>
        <w:t>The estimation of</w:t>
      </w:r>
      <w:r w:rsidR="00930314">
        <w:rPr>
          <w:rFonts w:cs="Calibri"/>
          <w:lang w:val="en-US"/>
        </w:rPr>
        <w:t xml:space="preserve"> the</w:t>
      </w:r>
      <w:r w:rsidRPr="00F67CC4">
        <w:rPr>
          <w:rFonts w:cs="Calibri"/>
          <w:lang w:val="en-US"/>
        </w:rPr>
        <w:t xml:space="preserve"> discretionary accruals starts with the determination of </w:t>
      </w:r>
      <w:r w:rsidR="00F755C5">
        <w:rPr>
          <w:rFonts w:cs="Calibri"/>
          <w:lang w:val="en-US"/>
        </w:rPr>
        <w:t xml:space="preserve">the </w:t>
      </w:r>
      <w:r w:rsidRPr="00F67CC4">
        <w:rPr>
          <w:rFonts w:cs="Calibri"/>
          <w:lang w:val="en-US"/>
        </w:rPr>
        <w:t>total</w:t>
      </w:r>
      <w:r w:rsidR="00F755C5">
        <w:rPr>
          <w:rFonts w:cs="Calibri"/>
          <w:lang w:val="en-US"/>
        </w:rPr>
        <w:t xml:space="preserve"> amount of </w:t>
      </w:r>
      <w:r w:rsidRPr="00F67CC4">
        <w:rPr>
          <w:rFonts w:cs="Calibri"/>
          <w:lang w:val="en-US"/>
        </w:rPr>
        <w:t xml:space="preserve">accruals (TA), which is determined by the use of the Modified Jones Model (1995). </w:t>
      </w:r>
      <w:r w:rsidR="00930314">
        <w:rPr>
          <w:rFonts w:cs="Calibri"/>
          <w:lang w:val="en-US"/>
        </w:rPr>
        <w:t>Compared to the Modified Jones Model (1995), t</w:t>
      </w:r>
      <w:r w:rsidR="00E53854">
        <w:rPr>
          <w:rFonts w:cs="Calibri"/>
          <w:lang w:val="en-US"/>
        </w:rPr>
        <w:t>he formula for determining the total amount of accruals shows two different variables</w:t>
      </w:r>
      <w:r w:rsidR="00AC6159">
        <w:rPr>
          <w:rFonts w:cs="Calibri"/>
          <w:lang w:val="en-US"/>
        </w:rPr>
        <w:t xml:space="preserve">: change in Sales and </w:t>
      </w:r>
      <w:r w:rsidR="00930314">
        <w:rPr>
          <w:rFonts w:cs="Calibri"/>
          <w:lang w:val="en-US"/>
        </w:rPr>
        <w:t xml:space="preserve">in </w:t>
      </w:r>
      <w:r w:rsidR="00AC6159">
        <w:rPr>
          <w:rFonts w:cs="Calibri"/>
          <w:lang w:val="en-US"/>
        </w:rPr>
        <w:t xml:space="preserve">Return on Assets (ROA). Change in </w:t>
      </w:r>
      <w:r w:rsidR="00F755C5">
        <w:rPr>
          <w:rFonts w:cs="Calibri"/>
          <w:lang w:val="en-US"/>
        </w:rPr>
        <w:t xml:space="preserve">Sales is equal to </w:t>
      </w:r>
      <w:r w:rsidR="00E53854">
        <w:rPr>
          <w:rFonts w:cs="Calibri"/>
          <w:lang w:val="en-US"/>
        </w:rPr>
        <w:t xml:space="preserve">ΔREVt – </w:t>
      </w:r>
      <w:r w:rsidR="00E53854">
        <w:rPr>
          <w:rFonts w:cs="Calibri"/>
          <w:lang w:val="en-US"/>
        </w:rPr>
        <w:lastRenderedPageBreak/>
        <w:t xml:space="preserve">ΔRECt that is used in the Modified Jones model (1995), </w:t>
      </w:r>
      <w:r w:rsidR="00930314">
        <w:rPr>
          <w:rFonts w:cs="Calibri"/>
          <w:lang w:val="en-US"/>
        </w:rPr>
        <w:t>consequently</w:t>
      </w:r>
      <w:r w:rsidR="00E53854">
        <w:rPr>
          <w:rFonts w:cs="Calibri"/>
          <w:lang w:val="en-US"/>
        </w:rPr>
        <w:t xml:space="preserve"> the only difference between this model and the Modified Jones model (1995) is the addition of the variable ROA. </w:t>
      </w:r>
    </w:p>
    <w:p w:rsidR="00E53854" w:rsidRDefault="00E53854" w:rsidP="00E53854">
      <w:pPr>
        <w:spacing w:line="360" w:lineRule="auto"/>
        <w:rPr>
          <w:rFonts w:cs="Calibri"/>
          <w:lang w:val="en-US"/>
        </w:rPr>
      </w:pPr>
      <w:r>
        <w:rPr>
          <w:rFonts w:cs="Calibri"/>
          <w:lang w:val="en-US"/>
        </w:rPr>
        <w:t xml:space="preserve">With this addition, Kothari et al. (2005) </w:t>
      </w:r>
      <w:r w:rsidR="00AC6159">
        <w:rPr>
          <w:rFonts w:cs="Calibri"/>
          <w:lang w:val="en-US"/>
        </w:rPr>
        <w:t>determines the OLS coefficients</w:t>
      </w:r>
      <w:r>
        <w:rPr>
          <w:rFonts w:cs="Calibri"/>
          <w:lang w:val="en-US"/>
        </w:rPr>
        <w:t xml:space="preserve"> by:</w:t>
      </w:r>
    </w:p>
    <w:p w:rsidR="001C6A3E" w:rsidRPr="00F67CC4" w:rsidRDefault="00003656" w:rsidP="00E53854">
      <w:pPr>
        <w:spacing w:line="360" w:lineRule="auto"/>
        <w:rPr>
          <w:rFonts w:cs="Calibri"/>
          <w:b/>
          <w:lang w:val="en-US"/>
        </w:rPr>
      </w:pPr>
      <w:r>
        <w:rPr>
          <w:rFonts w:cs="Calibri"/>
          <w:b/>
          <w:sz w:val="28"/>
          <w:szCs w:val="28"/>
          <w:lang w:val="en-US"/>
        </w:rPr>
        <w:t>NDA</w:t>
      </w:r>
      <w:r w:rsidR="001C6A3E" w:rsidRPr="00F67CC4">
        <w:rPr>
          <w:rFonts w:cs="Calibri"/>
          <w:b/>
          <w:lang w:val="en-US"/>
        </w:rPr>
        <w:t>t</w:t>
      </w:r>
      <w:r w:rsidR="001C6A3E" w:rsidRPr="00F67CC4">
        <w:rPr>
          <w:rFonts w:cs="Calibri"/>
          <w:b/>
          <w:sz w:val="28"/>
          <w:szCs w:val="28"/>
          <w:lang w:val="en-US"/>
        </w:rPr>
        <w:t xml:space="preserve"> = </w:t>
      </w:r>
      <w:r w:rsidRPr="00F67CC4">
        <w:rPr>
          <w:rFonts w:cs="Calibri"/>
          <w:b/>
          <w:sz w:val="28"/>
          <w:szCs w:val="28"/>
          <w:lang w:val="fr-FR"/>
        </w:rPr>
        <w:t>α</w:t>
      </w:r>
      <w:r w:rsidR="00AC6159">
        <w:rPr>
          <w:rFonts w:cs="Calibri"/>
          <w:b/>
          <w:sz w:val="28"/>
          <w:szCs w:val="28"/>
          <w:lang w:val="en-US"/>
        </w:rPr>
        <w:t>1 [</w:t>
      </w:r>
      <w:r>
        <w:rPr>
          <w:rFonts w:cs="Calibri"/>
          <w:b/>
          <w:sz w:val="28"/>
          <w:szCs w:val="28"/>
          <w:lang w:val="en-US"/>
        </w:rPr>
        <w:t>1/A</w:t>
      </w:r>
      <w:r w:rsidR="001C6A3E" w:rsidRPr="00F67CC4">
        <w:rPr>
          <w:rFonts w:cs="Calibri"/>
          <w:b/>
          <w:lang w:val="en-US"/>
        </w:rPr>
        <w:t>t-1</w:t>
      </w:r>
      <w:r w:rsidR="00AC6159">
        <w:rPr>
          <w:rFonts w:cs="Calibri"/>
          <w:b/>
          <w:sz w:val="28"/>
          <w:szCs w:val="28"/>
          <w:lang w:val="en-US"/>
        </w:rPr>
        <w:t>]</w:t>
      </w:r>
      <w:r w:rsidR="001C6A3E" w:rsidRPr="00F67CC4">
        <w:rPr>
          <w:rFonts w:cs="Calibri"/>
          <w:b/>
          <w:sz w:val="28"/>
          <w:szCs w:val="28"/>
          <w:lang w:val="en-US"/>
        </w:rPr>
        <w:t xml:space="preserve"> + </w:t>
      </w:r>
      <w:r w:rsidRPr="00F67CC4">
        <w:rPr>
          <w:rFonts w:cs="Calibri"/>
          <w:b/>
          <w:sz w:val="28"/>
          <w:szCs w:val="28"/>
          <w:lang w:val="fr-FR"/>
        </w:rPr>
        <w:t>α</w:t>
      </w:r>
      <w:r w:rsidR="00AC6159">
        <w:rPr>
          <w:rFonts w:cs="Calibri"/>
          <w:b/>
          <w:sz w:val="28"/>
          <w:szCs w:val="28"/>
          <w:lang w:val="en-US"/>
        </w:rPr>
        <w:t>2 [</w:t>
      </w:r>
      <w:r w:rsidR="001C6A3E" w:rsidRPr="00F67CC4">
        <w:rPr>
          <w:rFonts w:cs="Calibri"/>
          <w:b/>
          <w:sz w:val="28"/>
          <w:szCs w:val="28"/>
          <w:lang w:val="en-US"/>
        </w:rPr>
        <w:t>ΔSALES</w:t>
      </w:r>
      <w:r w:rsidR="001C6A3E" w:rsidRPr="00F67CC4">
        <w:rPr>
          <w:rFonts w:cs="Calibri"/>
          <w:b/>
          <w:lang w:val="en-US"/>
        </w:rPr>
        <w:t>t</w:t>
      </w:r>
      <w:r w:rsidR="00AC6159">
        <w:rPr>
          <w:rFonts w:cs="Calibri"/>
          <w:b/>
          <w:sz w:val="28"/>
          <w:szCs w:val="28"/>
          <w:lang w:val="en-US"/>
        </w:rPr>
        <w:t>]</w:t>
      </w:r>
      <w:r w:rsidR="001C6A3E" w:rsidRPr="00F67CC4">
        <w:rPr>
          <w:rFonts w:cs="Calibri"/>
          <w:b/>
          <w:sz w:val="28"/>
          <w:szCs w:val="28"/>
          <w:lang w:val="en-US"/>
        </w:rPr>
        <w:t xml:space="preserve">+ </w:t>
      </w:r>
      <w:r w:rsidRPr="00F67CC4">
        <w:rPr>
          <w:rFonts w:cs="Calibri"/>
          <w:b/>
          <w:sz w:val="28"/>
          <w:szCs w:val="28"/>
          <w:lang w:val="fr-FR"/>
        </w:rPr>
        <w:t>α</w:t>
      </w:r>
      <w:r w:rsidR="00AC6159">
        <w:rPr>
          <w:rFonts w:cs="Calibri"/>
          <w:b/>
          <w:sz w:val="28"/>
          <w:szCs w:val="28"/>
          <w:lang w:val="en-US"/>
        </w:rPr>
        <w:t>3 [</w:t>
      </w:r>
      <w:r w:rsidR="001C6A3E" w:rsidRPr="00F67CC4">
        <w:rPr>
          <w:rFonts w:cs="Calibri"/>
          <w:b/>
          <w:sz w:val="28"/>
          <w:szCs w:val="28"/>
          <w:lang w:val="en-US"/>
        </w:rPr>
        <w:t>PPE</w:t>
      </w:r>
      <w:r w:rsidR="001C6A3E" w:rsidRPr="00F67CC4">
        <w:rPr>
          <w:rFonts w:cs="Calibri"/>
          <w:b/>
          <w:lang w:val="en-US"/>
        </w:rPr>
        <w:t>t</w:t>
      </w:r>
      <w:r w:rsidR="00AC6159">
        <w:rPr>
          <w:rFonts w:cs="Calibri"/>
          <w:b/>
          <w:sz w:val="28"/>
          <w:szCs w:val="28"/>
          <w:lang w:val="en-US"/>
        </w:rPr>
        <w:t>]</w:t>
      </w:r>
      <w:r w:rsidR="001C6A3E" w:rsidRPr="00F67CC4">
        <w:rPr>
          <w:rFonts w:cs="Calibri"/>
          <w:b/>
          <w:sz w:val="28"/>
          <w:szCs w:val="28"/>
          <w:lang w:val="en-US"/>
        </w:rPr>
        <w:t xml:space="preserve">+ </w:t>
      </w:r>
      <w:r w:rsidRPr="00F67CC4">
        <w:rPr>
          <w:rFonts w:cs="Calibri"/>
          <w:b/>
          <w:sz w:val="28"/>
          <w:szCs w:val="28"/>
          <w:lang w:val="fr-FR"/>
        </w:rPr>
        <w:t>α</w:t>
      </w:r>
      <w:r w:rsidR="00AC6159">
        <w:rPr>
          <w:rFonts w:cs="Calibri"/>
          <w:b/>
          <w:sz w:val="28"/>
          <w:szCs w:val="28"/>
          <w:lang w:val="en-US"/>
        </w:rPr>
        <w:t>4 [</w:t>
      </w:r>
      <w:r w:rsidR="001C6A3E" w:rsidRPr="00F67CC4">
        <w:rPr>
          <w:rFonts w:cs="Calibri"/>
          <w:b/>
          <w:sz w:val="28"/>
          <w:szCs w:val="28"/>
          <w:lang w:val="en-US"/>
        </w:rPr>
        <w:t>ROA</w:t>
      </w:r>
      <w:r w:rsidR="001C6A3E" w:rsidRPr="00F67CC4">
        <w:rPr>
          <w:rFonts w:cs="Calibri"/>
          <w:b/>
          <w:lang w:val="en-US"/>
        </w:rPr>
        <w:t>t (or</w:t>
      </w:r>
      <w:r>
        <w:rPr>
          <w:rFonts w:cs="Calibri"/>
          <w:b/>
          <w:lang w:val="en-US"/>
        </w:rPr>
        <w:t xml:space="preserve"> </w:t>
      </w:r>
      <w:r w:rsidR="001C6A3E" w:rsidRPr="00F67CC4">
        <w:rPr>
          <w:rFonts w:cs="Calibri"/>
          <w:b/>
          <w:lang w:val="en-US"/>
        </w:rPr>
        <w:t>t-1)</w:t>
      </w:r>
      <w:r w:rsidR="00AC6159">
        <w:rPr>
          <w:rFonts w:cs="Calibri"/>
          <w:b/>
          <w:sz w:val="28"/>
          <w:szCs w:val="28"/>
          <w:lang w:val="en-US"/>
        </w:rPr>
        <w:t>]</w:t>
      </w:r>
      <w:r>
        <w:rPr>
          <w:rFonts w:cs="Calibri"/>
          <w:b/>
          <w:sz w:val="28"/>
          <w:szCs w:val="28"/>
          <w:lang w:val="en-US"/>
        </w:rPr>
        <w:t xml:space="preserve"> </w:t>
      </w:r>
    </w:p>
    <w:p w:rsidR="003831B3" w:rsidRPr="005D7562" w:rsidRDefault="00003656" w:rsidP="00F74511">
      <w:pPr>
        <w:spacing w:line="360" w:lineRule="auto"/>
        <w:rPr>
          <w:rFonts w:cs="Calibri"/>
          <w:b/>
          <w:lang w:val="en-US"/>
        </w:rPr>
      </w:pPr>
      <w:r>
        <w:rPr>
          <w:rFonts w:cs="Calibri"/>
          <w:b/>
          <w:lang w:val="en-US"/>
        </w:rPr>
        <w:t>NDA</w:t>
      </w:r>
      <w:r w:rsidR="00E815F7" w:rsidRPr="005D7562">
        <w:rPr>
          <w:rFonts w:cs="Calibri"/>
          <w:b/>
          <w:lang w:val="en-US"/>
        </w:rPr>
        <w:t xml:space="preserve"> =</w:t>
      </w:r>
      <w:r>
        <w:rPr>
          <w:rFonts w:cs="Calibri"/>
          <w:b/>
          <w:lang w:val="en-US"/>
        </w:rPr>
        <w:t xml:space="preserve"> Non-discretionary</w:t>
      </w:r>
      <w:r w:rsidR="00E815F7" w:rsidRPr="005D7562">
        <w:rPr>
          <w:rFonts w:cs="Calibri"/>
          <w:b/>
          <w:lang w:val="en-US"/>
        </w:rPr>
        <w:t xml:space="preserve"> Accruals</w:t>
      </w:r>
      <w:r w:rsidR="00D41A73">
        <w:rPr>
          <w:rFonts w:cs="Calibri"/>
          <w:b/>
          <w:lang w:val="en-US"/>
        </w:rPr>
        <w:br/>
        <w:t>A</w:t>
      </w:r>
      <w:r w:rsidR="00BD04A2" w:rsidRPr="005D7562">
        <w:rPr>
          <w:rFonts w:cs="Calibri"/>
          <w:b/>
          <w:lang w:val="en-US"/>
        </w:rPr>
        <w:t xml:space="preserve"> = total amount of assets</w:t>
      </w:r>
      <w:r w:rsidR="00BD04A2" w:rsidRPr="005D7562">
        <w:rPr>
          <w:rFonts w:cs="Calibri"/>
          <w:b/>
          <w:lang w:val="en-US"/>
        </w:rPr>
        <w:br/>
      </w:r>
      <w:r w:rsidR="00E815F7" w:rsidRPr="005D7562">
        <w:rPr>
          <w:rFonts w:cs="Calibri"/>
          <w:b/>
          <w:lang w:val="en-US"/>
        </w:rPr>
        <w:t>ΔSALES = the change in Sale</w:t>
      </w:r>
      <w:r w:rsidR="00BD04A2" w:rsidRPr="005D7562">
        <w:rPr>
          <w:rFonts w:cs="Calibri"/>
          <w:b/>
          <w:lang w:val="en-US"/>
        </w:rPr>
        <w:t>s scaled by lagged total assets</w:t>
      </w:r>
      <w:r w:rsidR="00BD04A2" w:rsidRPr="005D7562">
        <w:rPr>
          <w:rFonts w:cs="Calibri"/>
          <w:b/>
          <w:lang w:val="en-US"/>
        </w:rPr>
        <w:br/>
      </w:r>
      <w:r w:rsidR="00E815F7" w:rsidRPr="005D7562">
        <w:rPr>
          <w:rFonts w:cs="Calibri"/>
          <w:b/>
          <w:lang w:val="en-US"/>
        </w:rPr>
        <w:t>PPE = Property, Plant and Equipmen</w:t>
      </w:r>
      <w:r w:rsidR="00BD04A2" w:rsidRPr="005D7562">
        <w:rPr>
          <w:rFonts w:cs="Calibri"/>
          <w:b/>
          <w:lang w:val="en-US"/>
        </w:rPr>
        <w:t>t scaled by lagged total assets</w:t>
      </w:r>
      <w:r w:rsidR="00BD04A2" w:rsidRPr="005D7562">
        <w:rPr>
          <w:rFonts w:cs="Calibri"/>
          <w:b/>
          <w:lang w:val="en-US"/>
        </w:rPr>
        <w:br/>
      </w:r>
      <w:r w:rsidR="00E815F7" w:rsidRPr="005D7562">
        <w:rPr>
          <w:rFonts w:cs="Calibri"/>
          <w:b/>
          <w:lang w:val="en-US"/>
        </w:rPr>
        <w:t>ROA = Return on Assets</w:t>
      </w:r>
      <w:r w:rsidR="005D7562" w:rsidRPr="005D7562">
        <w:rPr>
          <w:rFonts w:cs="Calibri"/>
          <w:b/>
          <w:lang w:val="en-US"/>
        </w:rPr>
        <w:br/>
        <w:t>t = year index</w:t>
      </w:r>
    </w:p>
    <w:p w:rsidR="00E53854" w:rsidRDefault="00ED5F0E" w:rsidP="00E53854">
      <w:pPr>
        <w:spacing w:line="360" w:lineRule="auto"/>
        <w:rPr>
          <w:rFonts w:cs="Calibri"/>
          <w:lang w:val="en-US"/>
        </w:rPr>
      </w:pPr>
      <w:r w:rsidRPr="00F67CC4">
        <w:rPr>
          <w:rFonts w:cs="Calibri"/>
          <w:lang w:val="en-US"/>
        </w:rPr>
        <w:t>Each firm-year observation will be matched with another observation from the same industry and year with the closest return on as</w:t>
      </w:r>
      <w:r w:rsidR="00E8708A">
        <w:rPr>
          <w:rFonts w:cs="Calibri"/>
          <w:lang w:val="en-US"/>
        </w:rPr>
        <w:t>sets in the current year, ROAit</w:t>
      </w:r>
      <w:r w:rsidRPr="00F67CC4">
        <w:rPr>
          <w:rFonts w:cs="Calibri"/>
          <w:lang w:val="en-US"/>
        </w:rPr>
        <w:t xml:space="preserve"> (Kothari et al</w:t>
      </w:r>
      <w:r w:rsidR="00F755C5">
        <w:rPr>
          <w:rFonts w:cs="Calibri"/>
          <w:lang w:val="en-US"/>
        </w:rPr>
        <w:t>.</w:t>
      </w:r>
      <w:r w:rsidRPr="00F67CC4">
        <w:rPr>
          <w:rFonts w:cs="Calibri"/>
          <w:lang w:val="en-US"/>
        </w:rPr>
        <w:t xml:space="preserve"> 2005, p</w:t>
      </w:r>
      <w:r w:rsidR="00857CBF">
        <w:rPr>
          <w:rFonts w:cs="Calibri"/>
          <w:lang w:val="en-US"/>
        </w:rPr>
        <w:t xml:space="preserve"> </w:t>
      </w:r>
      <w:r w:rsidRPr="00F67CC4">
        <w:rPr>
          <w:rFonts w:cs="Calibri"/>
          <w:lang w:val="en-US"/>
        </w:rPr>
        <w:t>174)</w:t>
      </w:r>
      <w:r w:rsidR="00E8708A">
        <w:rPr>
          <w:rFonts w:cs="Calibri"/>
          <w:lang w:val="en-US"/>
        </w:rPr>
        <w:t>.</w:t>
      </w:r>
      <w:r w:rsidR="00E53854">
        <w:rPr>
          <w:rFonts w:cs="Calibri"/>
          <w:lang w:val="en-US"/>
        </w:rPr>
        <w:t xml:space="preserve"> With the use of a t-test, the significance of the mean discretionary accruals is</w:t>
      </w:r>
      <w:r w:rsidR="00857CBF">
        <w:rPr>
          <w:rFonts w:cs="Calibri"/>
          <w:lang w:val="en-US"/>
        </w:rPr>
        <w:t xml:space="preserve"> assessed (Kothari et al. 2005, p </w:t>
      </w:r>
      <w:r w:rsidR="00E53854">
        <w:rPr>
          <w:rFonts w:cs="Calibri"/>
          <w:lang w:val="en-US"/>
        </w:rPr>
        <w:t>175)</w:t>
      </w:r>
      <w:r w:rsidR="00F755C5">
        <w:rPr>
          <w:rFonts w:cs="Calibri"/>
          <w:lang w:val="en-US"/>
        </w:rPr>
        <w:t>.</w:t>
      </w:r>
    </w:p>
    <w:p w:rsidR="00857CBF" w:rsidRDefault="00857CBF" w:rsidP="005A7A3F">
      <w:pPr>
        <w:spacing w:line="360" w:lineRule="auto"/>
        <w:rPr>
          <w:rFonts w:cs="Calibri"/>
          <w:lang w:val="en-US"/>
        </w:rPr>
      </w:pPr>
      <w:r>
        <w:rPr>
          <w:rFonts w:cs="Calibri"/>
          <w:lang w:val="en-US"/>
        </w:rPr>
        <w:t>Before</w:t>
      </w:r>
      <w:r w:rsidR="00F06B02" w:rsidRPr="00F67CC4">
        <w:rPr>
          <w:rFonts w:cs="Calibri"/>
          <w:lang w:val="en-US"/>
        </w:rPr>
        <w:t xml:space="preserve"> the most-used accrual-based approaches have been </w:t>
      </w:r>
      <w:r>
        <w:rPr>
          <w:rFonts w:cs="Calibri"/>
          <w:lang w:val="en-US"/>
        </w:rPr>
        <w:t>presented</w:t>
      </w:r>
      <w:r w:rsidR="00F06B02" w:rsidRPr="00F67CC4">
        <w:rPr>
          <w:rFonts w:cs="Calibri"/>
          <w:lang w:val="en-US"/>
        </w:rPr>
        <w:t xml:space="preserve">, </w:t>
      </w:r>
      <w:r>
        <w:rPr>
          <w:rFonts w:cs="Calibri"/>
          <w:lang w:val="en-US"/>
        </w:rPr>
        <w:t xml:space="preserve">next will be commented the use of real earnings management approaches before will be decided which accruals-based approach in this research will be used. </w:t>
      </w:r>
    </w:p>
    <w:p w:rsidR="008A630A" w:rsidRPr="00857CBF" w:rsidRDefault="002E7013" w:rsidP="005A7A3F">
      <w:pPr>
        <w:spacing w:line="360" w:lineRule="auto"/>
        <w:rPr>
          <w:rFonts w:cs="Calibri"/>
          <w:lang w:val="en-US"/>
        </w:rPr>
      </w:pPr>
      <w:r>
        <w:rPr>
          <w:rFonts w:cs="Calibri"/>
          <w:b/>
          <w:lang w:val="en-GB"/>
        </w:rPr>
        <w:t>3.4.3</w:t>
      </w:r>
      <w:r w:rsidR="001C6A3E" w:rsidRPr="00F67CC4">
        <w:rPr>
          <w:rFonts w:cs="Calibri"/>
          <w:b/>
          <w:lang w:val="en-GB"/>
        </w:rPr>
        <w:t xml:space="preserve"> Real activities Approach</w:t>
      </w:r>
      <w:r w:rsidR="001C6A3E" w:rsidRPr="00F67CC4">
        <w:rPr>
          <w:rFonts w:cs="Calibri"/>
          <w:b/>
          <w:lang w:val="en-GB"/>
        </w:rPr>
        <w:br/>
      </w:r>
      <w:r w:rsidR="00857CBF">
        <w:rPr>
          <w:rFonts w:cs="Calibri"/>
          <w:lang w:val="en-GB"/>
        </w:rPr>
        <w:t>Based on a survey executed by Graham et al. (2005) n</w:t>
      </w:r>
      <w:r w:rsidR="001C6A3E" w:rsidRPr="00F67CC4">
        <w:rPr>
          <w:rFonts w:cs="Calibri"/>
          <w:lang w:val="en-GB"/>
        </w:rPr>
        <w:t xml:space="preserve">ext to the accruals-approach, the manipulation of real activities </w:t>
      </w:r>
      <w:r w:rsidR="00AC6159">
        <w:rPr>
          <w:rFonts w:cs="Calibri"/>
          <w:lang w:val="en-GB"/>
        </w:rPr>
        <w:t>for</w:t>
      </w:r>
      <w:r w:rsidR="001C6A3E" w:rsidRPr="00F67CC4">
        <w:rPr>
          <w:rFonts w:cs="Calibri"/>
          <w:lang w:val="en-GB"/>
        </w:rPr>
        <w:t xml:space="preserve"> manag</w:t>
      </w:r>
      <w:r w:rsidR="00AC6159">
        <w:rPr>
          <w:rFonts w:cs="Calibri"/>
          <w:lang w:val="en-GB"/>
        </w:rPr>
        <w:t>ing</w:t>
      </w:r>
      <w:r w:rsidR="001C6A3E" w:rsidRPr="00F67CC4">
        <w:rPr>
          <w:rFonts w:cs="Calibri"/>
          <w:lang w:val="en-GB"/>
        </w:rPr>
        <w:t xml:space="preserve"> </w:t>
      </w:r>
      <w:r w:rsidR="00857CBF">
        <w:rPr>
          <w:rFonts w:cs="Calibri"/>
          <w:lang w:val="en-GB"/>
        </w:rPr>
        <w:t xml:space="preserve">the </w:t>
      </w:r>
      <w:r w:rsidR="001C6A3E" w:rsidRPr="00F67CC4">
        <w:rPr>
          <w:rFonts w:cs="Calibri"/>
          <w:lang w:val="en-GB"/>
        </w:rPr>
        <w:t>earnings</w:t>
      </w:r>
      <w:r w:rsidR="00F06B02" w:rsidRPr="00F67CC4">
        <w:rPr>
          <w:rFonts w:cs="Calibri"/>
          <w:lang w:val="en-GB"/>
        </w:rPr>
        <w:t xml:space="preserve"> </w:t>
      </w:r>
      <w:r w:rsidR="00857CBF">
        <w:rPr>
          <w:rFonts w:cs="Calibri"/>
          <w:lang w:val="en-GB"/>
        </w:rPr>
        <w:t xml:space="preserve">is increasing. </w:t>
      </w:r>
      <w:r w:rsidR="001C6A3E" w:rsidRPr="00F67CC4">
        <w:rPr>
          <w:rFonts w:cs="Calibri"/>
          <w:lang w:val="en-GB"/>
        </w:rPr>
        <w:t xml:space="preserve">The results of the survey suggest that </w:t>
      </w:r>
      <w:r w:rsidR="00726785" w:rsidRPr="00F67CC4">
        <w:rPr>
          <w:rFonts w:cs="Calibri"/>
          <w:lang w:val="en-GB"/>
        </w:rPr>
        <w:t>managers</w:t>
      </w:r>
      <w:r w:rsidR="001C6A3E" w:rsidRPr="00F67CC4">
        <w:rPr>
          <w:rFonts w:cs="Calibri"/>
          <w:lang w:val="en-GB"/>
        </w:rPr>
        <w:t xml:space="preserve"> are switching to managing earnings </w:t>
      </w:r>
      <w:r w:rsidR="00F06B02" w:rsidRPr="00F67CC4">
        <w:rPr>
          <w:rFonts w:cs="Calibri"/>
          <w:lang w:val="en-GB"/>
        </w:rPr>
        <w:t xml:space="preserve">by </w:t>
      </w:r>
      <w:r w:rsidR="001C6A3E" w:rsidRPr="00F67CC4">
        <w:rPr>
          <w:rFonts w:cs="Calibri"/>
          <w:lang w:val="en-GB"/>
        </w:rPr>
        <w:t xml:space="preserve">using real activities </w:t>
      </w:r>
      <w:r w:rsidR="00F06B02" w:rsidRPr="00F67CC4">
        <w:rPr>
          <w:rFonts w:cs="Calibri"/>
          <w:lang w:val="en-GB"/>
        </w:rPr>
        <w:t xml:space="preserve">instead of </w:t>
      </w:r>
      <w:r w:rsidR="00857CBF">
        <w:rPr>
          <w:rFonts w:cs="Calibri"/>
          <w:lang w:val="en-GB"/>
        </w:rPr>
        <w:t xml:space="preserve">the use of </w:t>
      </w:r>
      <w:r w:rsidR="00F06B02" w:rsidRPr="00F67CC4">
        <w:rPr>
          <w:rFonts w:cs="Calibri"/>
          <w:lang w:val="en-GB"/>
        </w:rPr>
        <w:t>accruals</w:t>
      </w:r>
      <w:r w:rsidR="008A630A" w:rsidRPr="00F67CC4">
        <w:rPr>
          <w:rFonts w:cs="Calibri"/>
          <w:lang w:val="en-GB"/>
        </w:rPr>
        <w:t xml:space="preserve"> </w:t>
      </w:r>
      <w:r w:rsidR="00726785" w:rsidRPr="00F67CC4">
        <w:rPr>
          <w:rFonts w:cs="Calibri"/>
          <w:lang w:val="en-GB"/>
        </w:rPr>
        <w:t>(</w:t>
      </w:r>
      <w:r w:rsidR="008A630A" w:rsidRPr="00F67CC4">
        <w:rPr>
          <w:rFonts w:cs="Calibri"/>
          <w:lang w:val="en-GB"/>
        </w:rPr>
        <w:t>Graham et al. 2005, p</w:t>
      </w:r>
      <w:r w:rsidR="00857CBF">
        <w:rPr>
          <w:rFonts w:cs="Calibri"/>
          <w:lang w:val="en-GB"/>
        </w:rPr>
        <w:t xml:space="preserve"> </w:t>
      </w:r>
      <w:r w:rsidR="008A630A" w:rsidRPr="00F67CC4">
        <w:rPr>
          <w:rFonts w:cs="Calibri"/>
          <w:lang w:val="en-GB"/>
        </w:rPr>
        <w:t>66</w:t>
      </w:r>
      <w:r w:rsidR="00726785" w:rsidRPr="00F67CC4">
        <w:rPr>
          <w:rFonts w:cs="Calibri"/>
          <w:lang w:val="en-GB"/>
        </w:rPr>
        <w:t>)</w:t>
      </w:r>
      <w:r w:rsidR="00E8708A">
        <w:rPr>
          <w:rFonts w:cs="Calibri"/>
          <w:lang w:val="en-GB"/>
        </w:rPr>
        <w:t>.</w:t>
      </w:r>
      <w:r w:rsidR="008A630A" w:rsidRPr="00F67CC4">
        <w:rPr>
          <w:rFonts w:cs="Calibri"/>
          <w:lang w:val="en-GB"/>
        </w:rPr>
        <w:t xml:space="preserve"> </w:t>
      </w:r>
      <w:r w:rsidR="001C6A3E" w:rsidRPr="00F67CC4">
        <w:rPr>
          <w:rFonts w:cs="Calibri"/>
          <w:lang w:val="en-GB"/>
        </w:rPr>
        <w:t>Because of the fact that this approach is relatively ‘new’, not many models have been developed</w:t>
      </w:r>
      <w:r w:rsidR="00F06B02" w:rsidRPr="00F67CC4">
        <w:rPr>
          <w:rFonts w:cs="Calibri"/>
          <w:lang w:val="en-GB"/>
        </w:rPr>
        <w:t xml:space="preserve"> yet</w:t>
      </w:r>
      <w:r w:rsidR="001C6A3E" w:rsidRPr="00F67CC4">
        <w:rPr>
          <w:rFonts w:cs="Calibri"/>
          <w:lang w:val="en-GB"/>
        </w:rPr>
        <w:t xml:space="preserve"> </w:t>
      </w:r>
      <w:r w:rsidR="00F06B02" w:rsidRPr="00F67CC4">
        <w:rPr>
          <w:rFonts w:cs="Calibri"/>
          <w:lang w:val="en-GB"/>
        </w:rPr>
        <w:t xml:space="preserve">to detect </w:t>
      </w:r>
      <w:r w:rsidR="00857CBF">
        <w:rPr>
          <w:rFonts w:cs="Calibri"/>
          <w:lang w:val="en-GB"/>
        </w:rPr>
        <w:t xml:space="preserve">the use of </w:t>
      </w:r>
      <w:r w:rsidR="00F06B02" w:rsidRPr="00F67CC4">
        <w:rPr>
          <w:rFonts w:cs="Calibri"/>
          <w:lang w:val="en-GB"/>
        </w:rPr>
        <w:t xml:space="preserve">real activities manipulation. </w:t>
      </w:r>
      <w:r w:rsidR="00857CBF">
        <w:rPr>
          <w:rFonts w:cs="Calibri"/>
          <w:lang w:val="en-GB"/>
        </w:rPr>
        <w:t>Consequently</w:t>
      </w:r>
      <w:r w:rsidR="00F06B02" w:rsidRPr="00F67CC4">
        <w:rPr>
          <w:rFonts w:cs="Calibri"/>
          <w:lang w:val="en-GB"/>
        </w:rPr>
        <w:t xml:space="preserve">, only two models, </w:t>
      </w:r>
      <w:r w:rsidR="00E8708A">
        <w:rPr>
          <w:rFonts w:cs="Calibri"/>
          <w:lang w:val="en-GB"/>
        </w:rPr>
        <w:t xml:space="preserve">the models </w:t>
      </w:r>
      <w:r w:rsidR="00F06B02" w:rsidRPr="00F67CC4">
        <w:rPr>
          <w:rFonts w:cs="Calibri"/>
          <w:lang w:val="en-GB"/>
        </w:rPr>
        <w:t xml:space="preserve">developed by Roychowdhury (2006) and Gunny (2010), will be </w:t>
      </w:r>
      <w:r w:rsidR="00857CBF">
        <w:rPr>
          <w:rFonts w:cs="Calibri"/>
          <w:lang w:val="en-GB"/>
        </w:rPr>
        <w:t>commented and will be explained in which way they differ from each other.</w:t>
      </w:r>
    </w:p>
    <w:p w:rsidR="0085026E" w:rsidRDefault="002E7013" w:rsidP="002446DC">
      <w:pPr>
        <w:spacing w:line="360" w:lineRule="auto"/>
        <w:rPr>
          <w:rFonts w:cs="Calibri"/>
          <w:lang w:val="en-GB"/>
        </w:rPr>
      </w:pPr>
      <w:r>
        <w:rPr>
          <w:rFonts w:cs="Calibri"/>
          <w:b/>
          <w:bCs/>
          <w:lang w:val="en-GB"/>
        </w:rPr>
        <w:t>3.4.3</w:t>
      </w:r>
      <w:r w:rsidR="001C6A3E" w:rsidRPr="00F67CC4">
        <w:rPr>
          <w:rFonts w:cs="Calibri"/>
          <w:b/>
          <w:bCs/>
          <w:lang w:val="en-GB"/>
        </w:rPr>
        <w:t>.1 Real Activities Manipulation</w:t>
      </w:r>
      <w:r w:rsidR="001C6A3E" w:rsidRPr="00F67CC4">
        <w:rPr>
          <w:rFonts w:cs="Calibri"/>
          <w:b/>
          <w:bCs/>
          <w:lang w:val="en-GB"/>
        </w:rPr>
        <w:br/>
      </w:r>
      <w:r w:rsidR="001C6A3E" w:rsidRPr="00F67CC4">
        <w:rPr>
          <w:rFonts w:cs="Calibri"/>
          <w:lang w:val="en-GB"/>
        </w:rPr>
        <w:t>Real earnings management is th</w:t>
      </w:r>
      <w:r w:rsidR="002676EA" w:rsidRPr="00F67CC4">
        <w:rPr>
          <w:rFonts w:cs="Calibri"/>
          <w:lang w:val="en-GB"/>
        </w:rPr>
        <w:t>e adjustment of the scale and</w:t>
      </w:r>
      <w:r w:rsidR="001C6A3E" w:rsidRPr="00F67CC4">
        <w:rPr>
          <w:rFonts w:cs="Calibri"/>
          <w:lang w:val="en-GB"/>
        </w:rPr>
        <w:t xml:space="preserve"> </w:t>
      </w:r>
      <w:r w:rsidR="00857CBF">
        <w:rPr>
          <w:rFonts w:cs="Calibri"/>
          <w:lang w:val="en-GB"/>
        </w:rPr>
        <w:t xml:space="preserve">the </w:t>
      </w:r>
      <w:r w:rsidR="00CB507C" w:rsidRPr="00F67CC4">
        <w:rPr>
          <w:rFonts w:cs="Calibri"/>
          <w:lang w:val="en-GB"/>
        </w:rPr>
        <w:t xml:space="preserve">timing </w:t>
      </w:r>
      <w:r w:rsidR="001C6A3E" w:rsidRPr="00F67CC4">
        <w:rPr>
          <w:rFonts w:cs="Calibri"/>
          <w:lang w:val="en-GB"/>
        </w:rPr>
        <w:t>of busin</w:t>
      </w:r>
      <w:r w:rsidR="002676EA" w:rsidRPr="00F67CC4">
        <w:rPr>
          <w:rFonts w:cs="Calibri"/>
          <w:lang w:val="en-GB"/>
        </w:rPr>
        <w:t xml:space="preserve">ess activities by management. By these adjustments, the value of </w:t>
      </w:r>
      <w:r w:rsidR="001C6A3E" w:rsidRPr="00F67CC4">
        <w:rPr>
          <w:rFonts w:cs="Calibri"/>
          <w:lang w:val="en-GB"/>
        </w:rPr>
        <w:t>business activities</w:t>
      </w:r>
      <w:r w:rsidR="002676EA" w:rsidRPr="00F67CC4">
        <w:rPr>
          <w:rFonts w:cs="Calibri"/>
          <w:lang w:val="en-GB"/>
        </w:rPr>
        <w:t xml:space="preserve"> will change which</w:t>
      </w:r>
      <w:r w:rsidR="001C6A3E" w:rsidRPr="00F67CC4">
        <w:rPr>
          <w:rFonts w:cs="Calibri"/>
          <w:lang w:val="en-GB"/>
        </w:rPr>
        <w:t xml:space="preserve"> influences the </w:t>
      </w:r>
      <w:r w:rsidR="00FD215B" w:rsidRPr="00F67CC4">
        <w:rPr>
          <w:rFonts w:cs="Calibri"/>
          <w:lang w:val="en-GB"/>
        </w:rPr>
        <w:t>financial position of a company</w:t>
      </w:r>
      <w:r w:rsidR="001C6A3E" w:rsidRPr="00F67CC4">
        <w:rPr>
          <w:rFonts w:cs="Calibri"/>
          <w:lang w:val="en-GB"/>
        </w:rPr>
        <w:t xml:space="preserve"> </w:t>
      </w:r>
      <w:r w:rsidR="00A11324" w:rsidRPr="00F67CC4">
        <w:rPr>
          <w:rFonts w:cs="Calibri"/>
          <w:lang w:val="en-GB"/>
        </w:rPr>
        <w:t>(Schipper</w:t>
      </w:r>
      <w:r w:rsidR="00CB507C" w:rsidRPr="00F67CC4">
        <w:rPr>
          <w:rFonts w:cs="Calibri"/>
          <w:lang w:val="en-GB"/>
        </w:rPr>
        <w:t xml:space="preserve"> 1989, p92</w:t>
      </w:r>
      <w:r w:rsidR="00BD04A2" w:rsidRPr="00F67CC4">
        <w:rPr>
          <w:rFonts w:cs="Calibri"/>
          <w:lang w:val="en-GB"/>
        </w:rPr>
        <w:t>)</w:t>
      </w:r>
      <w:r w:rsidR="00FD215B" w:rsidRPr="00F67CC4">
        <w:rPr>
          <w:rFonts w:cs="Calibri"/>
          <w:lang w:val="en-GB"/>
        </w:rPr>
        <w:t xml:space="preserve">. </w:t>
      </w:r>
      <w:r w:rsidR="001C6A3E" w:rsidRPr="00F67CC4">
        <w:rPr>
          <w:rFonts w:cs="Calibri"/>
          <w:lang w:val="en-GB"/>
        </w:rPr>
        <w:t>In order to detect</w:t>
      </w:r>
      <w:r w:rsidR="00857CBF">
        <w:rPr>
          <w:rFonts w:cs="Calibri"/>
          <w:lang w:val="en-GB"/>
        </w:rPr>
        <w:t xml:space="preserve"> the use of</w:t>
      </w:r>
      <w:r w:rsidR="001C6A3E" w:rsidRPr="00F67CC4">
        <w:rPr>
          <w:rFonts w:cs="Calibri"/>
          <w:lang w:val="en-GB"/>
        </w:rPr>
        <w:t xml:space="preserve"> real earnings management, the focus is on</w:t>
      </w:r>
      <w:r w:rsidR="002676EA" w:rsidRPr="00F67CC4">
        <w:rPr>
          <w:rFonts w:cs="Calibri"/>
          <w:lang w:val="en-GB"/>
        </w:rPr>
        <w:t xml:space="preserve"> </w:t>
      </w:r>
      <w:r w:rsidR="001C6A3E" w:rsidRPr="00F67CC4">
        <w:rPr>
          <w:rFonts w:cs="Calibri"/>
          <w:lang w:val="en-GB"/>
        </w:rPr>
        <w:t>operating, investing and financing activities</w:t>
      </w:r>
      <w:r w:rsidR="002676EA" w:rsidRPr="00F67CC4">
        <w:rPr>
          <w:rFonts w:cs="Calibri"/>
          <w:lang w:val="en-GB"/>
        </w:rPr>
        <w:t xml:space="preserve"> of a company</w:t>
      </w:r>
      <w:r w:rsidR="001C6A3E" w:rsidRPr="00F67CC4">
        <w:rPr>
          <w:rFonts w:cs="Calibri"/>
          <w:lang w:val="en-GB"/>
        </w:rPr>
        <w:t xml:space="preserve">. </w:t>
      </w:r>
      <w:r w:rsidR="00993068">
        <w:rPr>
          <w:rFonts w:cs="Calibri"/>
          <w:lang w:val="en-GB"/>
        </w:rPr>
        <w:t xml:space="preserve">These </w:t>
      </w:r>
      <w:r w:rsidR="00993068">
        <w:rPr>
          <w:rFonts w:cs="Calibri"/>
          <w:lang w:val="en-GB"/>
        </w:rPr>
        <w:lastRenderedPageBreak/>
        <w:t>activities will be checked by comparing their actual level with a ‘normal’ level that is determined by models developed by Roychowdhury (2006) and Gunny (2010). A difference between these levels is indicative for the management of</w:t>
      </w:r>
      <w:r w:rsidR="00857CBF">
        <w:rPr>
          <w:rFonts w:cs="Calibri"/>
          <w:lang w:val="en-GB"/>
        </w:rPr>
        <w:t xml:space="preserve"> the published</w:t>
      </w:r>
      <w:r w:rsidR="00993068">
        <w:rPr>
          <w:rFonts w:cs="Calibri"/>
          <w:lang w:val="en-GB"/>
        </w:rPr>
        <w:t xml:space="preserve"> earnings; a positive value for increasing and a </w:t>
      </w:r>
      <w:r w:rsidR="006365B1">
        <w:rPr>
          <w:rFonts w:cs="Calibri"/>
          <w:lang w:val="en-GB"/>
        </w:rPr>
        <w:t xml:space="preserve">negative value for decreasing </w:t>
      </w:r>
      <w:r w:rsidR="00857CBF">
        <w:rPr>
          <w:rFonts w:cs="Calibri"/>
          <w:lang w:val="en-GB"/>
        </w:rPr>
        <w:t xml:space="preserve">earnings </w:t>
      </w:r>
      <w:r w:rsidR="006365B1">
        <w:rPr>
          <w:rFonts w:cs="Calibri"/>
          <w:lang w:val="en-GB"/>
        </w:rPr>
        <w:t>management</w:t>
      </w:r>
    </w:p>
    <w:p w:rsidR="002676EA" w:rsidRPr="00F67CC4" w:rsidRDefault="006365B1" w:rsidP="002446DC">
      <w:pPr>
        <w:spacing w:line="360" w:lineRule="auto"/>
        <w:rPr>
          <w:rFonts w:cs="Calibri"/>
          <w:lang w:val="en-GB"/>
        </w:rPr>
      </w:pPr>
      <w:r>
        <w:rPr>
          <w:rFonts w:cs="Calibri"/>
          <w:lang w:val="en-GB"/>
        </w:rPr>
        <w:t>These models developed by Roychowdhury (2006) and Gunny (2010) will in the next sections</w:t>
      </w:r>
      <w:r w:rsidR="00857CBF">
        <w:rPr>
          <w:rFonts w:cs="Calibri"/>
          <w:lang w:val="en-GB"/>
        </w:rPr>
        <w:t xml:space="preserve"> be commented</w:t>
      </w:r>
      <w:r>
        <w:rPr>
          <w:rFonts w:cs="Calibri"/>
          <w:lang w:val="en-GB"/>
        </w:rPr>
        <w:t xml:space="preserve">; the similarities and </w:t>
      </w:r>
      <w:r w:rsidR="00857CBF">
        <w:rPr>
          <w:rFonts w:cs="Calibri"/>
          <w:lang w:val="en-GB"/>
        </w:rPr>
        <w:t xml:space="preserve">the </w:t>
      </w:r>
      <w:r>
        <w:rPr>
          <w:rFonts w:cs="Calibri"/>
          <w:lang w:val="en-GB"/>
        </w:rPr>
        <w:t xml:space="preserve">differences will be explained. </w:t>
      </w:r>
      <w:r w:rsidR="001C6A3E" w:rsidRPr="00F67CC4">
        <w:rPr>
          <w:rFonts w:cs="Calibri"/>
          <w:lang w:val="en-GB"/>
        </w:rPr>
        <w:t xml:space="preserve">A limitation </w:t>
      </w:r>
      <w:r w:rsidR="00857CBF">
        <w:rPr>
          <w:rFonts w:cs="Calibri"/>
          <w:lang w:val="en-GB"/>
        </w:rPr>
        <w:t xml:space="preserve">of both models is that </w:t>
      </w:r>
      <w:r w:rsidR="001C6A3E" w:rsidRPr="00F67CC4">
        <w:rPr>
          <w:rFonts w:cs="Calibri"/>
          <w:lang w:val="en-GB"/>
        </w:rPr>
        <w:t xml:space="preserve">no evidence </w:t>
      </w:r>
      <w:r w:rsidR="00857CBF">
        <w:rPr>
          <w:rFonts w:cs="Calibri"/>
          <w:lang w:val="en-GB"/>
        </w:rPr>
        <w:t xml:space="preserve">exists </w:t>
      </w:r>
      <w:r w:rsidR="001C6A3E" w:rsidRPr="00F67CC4">
        <w:rPr>
          <w:rFonts w:cs="Calibri"/>
          <w:lang w:val="en-GB"/>
        </w:rPr>
        <w:t xml:space="preserve">on the validity of both models. </w:t>
      </w:r>
      <w:r w:rsidR="00857CBF">
        <w:rPr>
          <w:rFonts w:cs="Calibri"/>
          <w:lang w:val="en-GB"/>
        </w:rPr>
        <w:t>Tests have been executed</w:t>
      </w:r>
      <w:r w:rsidR="002676EA" w:rsidRPr="00F67CC4">
        <w:rPr>
          <w:rFonts w:cs="Calibri"/>
          <w:lang w:val="en-GB"/>
        </w:rPr>
        <w:t xml:space="preserve"> on the</w:t>
      </w:r>
      <w:r w:rsidR="00D60D84" w:rsidRPr="00F67CC4">
        <w:rPr>
          <w:rFonts w:cs="Calibri"/>
          <w:lang w:val="en-GB"/>
        </w:rPr>
        <w:t xml:space="preserve"> validity of the proxies used in the model</w:t>
      </w:r>
      <w:r w:rsidR="002676EA" w:rsidRPr="00F67CC4">
        <w:rPr>
          <w:rFonts w:cs="Calibri"/>
          <w:lang w:val="en-GB"/>
        </w:rPr>
        <w:t>s</w:t>
      </w:r>
      <w:r w:rsidR="00D60D84" w:rsidRPr="00F67CC4">
        <w:rPr>
          <w:rFonts w:cs="Calibri"/>
          <w:lang w:val="en-GB"/>
        </w:rPr>
        <w:t xml:space="preserve"> </w:t>
      </w:r>
      <w:r w:rsidR="001C6A3E" w:rsidRPr="00F67CC4">
        <w:rPr>
          <w:rFonts w:cs="Calibri"/>
          <w:bCs/>
          <w:lang w:val="en-GB"/>
        </w:rPr>
        <w:t>(</w:t>
      </w:r>
      <w:r w:rsidR="00D60D84" w:rsidRPr="00F67CC4">
        <w:rPr>
          <w:rFonts w:cs="Calibri"/>
          <w:bCs/>
          <w:lang w:val="en-GB"/>
        </w:rPr>
        <w:t>Zang 2005, Gunny 2006</w:t>
      </w:r>
      <w:r w:rsidR="001C6A3E" w:rsidRPr="00F67CC4">
        <w:rPr>
          <w:rFonts w:cs="Calibri"/>
          <w:bCs/>
          <w:lang w:val="en-GB"/>
        </w:rPr>
        <w:t>)</w:t>
      </w:r>
      <w:r w:rsidR="001C6A3E" w:rsidRPr="00F67CC4">
        <w:rPr>
          <w:rFonts w:cs="Calibri"/>
          <w:b/>
          <w:bCs/>
          <w:lang w:val="en-GB"/>
        </w:rPr>
        <w:t xml:space="preserve"> </w:t>
      </w:r>
      <w:r w:rsidR="00857CBF">
        <w:rPr>
          <w:rFonts w:cs="Calibri"/>
          <w:lang w:val="en-GB"/>
        </w:rPr>
        <w:t>but</w:t>
      </w:r>
      <w:r w:rsidR="001C6A3E" w:rsidRPr="00F67CC4">
        <w:rPr>
          <w:rFonts w:cs="Calibri"/>
          <w:lang w:val="en-GB"/>
        </w:rPr>
        <w:t xml:space="preserve"> no evidence</w:t>
      </w:r>
      <w:r w:rsidR="00857CBF">
        <w:rPr>
          <w:rFonts w:cs="Calibri"/>
          <w:lang w:val="en-GB"/>
        </w:rPr>
        <w:t xml:space="preserve"> exists</w:t>
      </w:r>
      <w:r w:rsidR="001C6A3E" w:rsidRPr="00F67CC4">
        <w:rPr>
          <w:rFonts w:cs="Calibri"/>
          <w:lang w:val="en-GB"/>
        </w:rPr>
        <w:t xml:space="preserve"> on the validity of </w:t>
      </w:r>
      <w:r w:rsidR="002676EA" w:rsidRPr="00F67CC4">
        <w:rPr>
          <w:rFonts w:cs="Calibri"/>
          <w:lang w:val="en-GB"/>
        </w:rPr>
        <w:t xml:space="preserve">the </w:t>
      </w:r>
      <w:r w:rsidR="001C6A3E" w:rsidRPr="00F67CC4">
        <w:rPr>
          <w:rFonts w:cs="Calibri"/>
          <w:lang w:val="en-GB"/>
        </w:rPr>
        <w:t>models</w:t>
      </w:r>
      <w:r w:rsidR="002B26E8" w:rsidRPr="00F67CC4">
        <w:rPr>
          <w:rFonts w:cs="Calibri"/>
          <w:lang w:val="en-GB"/>
        </w:rPr>
        <w:t xml:space="preserve">. </w:t>
      </w:r>
      <w:r w:rsidR="00857CBF">
        <w:rPr>
          <w:rFonts w:cs="Calibri"/>
          <w:bCs/>
          <w:lang w:val="en-GB"/>
        </w:rPr>
        <w:t>Consequently</w:t>
      </w:r>
      <w:r w:rsidR="001C6A3E" w:rsidRPr="00F67CC4">
        <w:rPr>
          <w:rFonts w:cs="Calibri"/>
          <w:bCs/>
          <w:lang w:val="en-GB"/>
        </w:rPr>
        <w:t xml:space="preserve"> the decision is based on previous real earnings management studies </w:t>
      </w:r>
      <w:r w:rsidR="002676EA" w:rsidRPr="00F67CC4">
        <w:rPr>
          <w:rFonts w:cs="Calibri"/>
          <w:bCs/>
          <w:lang w:val="en-GB"/>
        </w:rPr>
        <w:t xml:space="preserve">(Cohen et al. 2008; Cohen and Zarowin 2010; Lippens 2010 and Zang 2012) </w:t>
      </w:r>
      <w:r w:rsidR="001C6A3E" w:rsidRPr="00F67CC4">
        <w:rPr>
          <w:rFonts w:cs="Calibri"/>
          <w:bCs/>
          <w:lang w:val="en-GB"/>
        </w:rPr>
        <w:t xml:space="preserve">and their </w:t>
      </w:r>
      <w:r w:rsidR="002676EA" w:rsidRPr="00F67CC4">
        <w:rPr>
          <w:rFonts w:cs="Calibri"/>
          <w:bCs/>
          <w:lang w:val="en-GB"/>
        </w:rPr>
        <w:t>choice</w:t>
      </w:r>
      <w:r w:rsidR="002B7D3A" w:rsidRPr="00F67CC4">
        <w:rPr>
          <w:rFonts w:cs="Calibri"/>
          <w:bCs/>
          <w:lang w:val="en-GB"/>
        </w:rPr>
        <w:t xml:space="preserve"> of </w:t>
      </w:r>
      <w:r w:rsidR="001C6A3E" w:rsidRPr="00F67CC4">
        <w:rPr>
          <w:rFonts w:cs="Calibri"/>
          <w:bCs/>
          <w:lang w:val="en-GB"/>
        </w:rPr>
        <w:t>model</w:t>
      </w:r>
      <w:r w:rsidR="002B7D3A" w:rsidRPr="00F67CC4">
        <w:rPr>
          <w:rFonts w:cs="Calibri"/>
          <w:bCs/>
          <w:lang w:val="en-GB"/>
        </w:rPr>
        <w:t xml:space="preserve"> for detecting </w:t>
      </w:r>
      <w:r w:rsidR="00857CBF">
        <w:rPr>
          <w:rFonts w:cs="Calibri"/>
          <w:bCs/>
          <w:lang w:val="en-GB"/>
        </w:rPr>
        <w:t xml:space="preserve">the use of </w:t>
      </w:r>
      <w:r w:rsidR="002B7D3A" w:rsidRPr="00F67CC4">
        <w:rPr>
          <w:rFonts w:cs="Calibri"/>
          <w:bCs/>
          <w:lang w:val="en-GB"/>
        </w:rPr>
        <w:t>real activities manipulation</w:t>
      </w:r>
      <w:r w:rsidR="001C6A3E" w:rsidRPr="00F67CC4">
        <w:rPr>
          <w:rFonts w:cs="Calibri"/>
          <w:bCs/>
          <w:lang w:val="en-GB"/>
        </w:rPr>
        <w:t xml:space="preserve">. </w:t>
      </w:r>
    </w:p>
    <w:p w:rsidR="001C6A3E" w:rsidRPr="00F67CC4" w:rsidRDefault="002E7013" w:rsidP="00626A37">
      <w:pPr>
        <w:spacing w:line="360" w:lineRule="auto"/>
        <w:rPr>
          <w:rFonts w:cs="Calibri"/>
          <w:lang w:val="en-GB"/>
        </w:rPr>
      </w:pPr>
      <w:r>
        <w:rPr>
          <w:rFonts w:cs="Calibri"/>
          <w:b/>
          <w:bCs/>
          <w:lang w:val="en-GB"/>
        </w:rPr>
        <w:t>3.4.3</w:t>
      </w:r>
      <w:r w:rsidR="001C6A3E" w:rsidRPr="00F67CC4">
        <w:rPr>
          <w:rFonts w:cs="Calibri"/>
          <w:b/>
          <w:bCs/>
          <w:lang w:val="en-GB"/>
        </w:rPr>
        <w:t>.2 Real Activities Manipulation Models</w:t>
      </w:r>
      <w:r w:rsidR="001C6A3E" w:rsidRPr="00F67CC4">
        <w:rPr>
          <w:rFonts w:cs="Calibri"/>
          <w:b/>
          <w:bCs/>
          <w:lang w:val="en-GB"/>
        </w:rPr>
        <w:br/>
      </w:r>
      <w:r w:rsidR="001C6A3E" w:rsidRPr="00F67CC4">
        <w:rPr>
          <w:rFonts w:cs="Calibri"/>
          <w:lang w:val="en-GB"/>
        </w:rPr>
        <w:t xml:space="preserve">In order to detect real activities manipulation, the models of Roychowdhury (2006) and Gunny (2010) are </w:t>
      </w:r>
      <w:r w:rsidR="00857CBF">
        <w:rPr>
          <w:rFonts w:cs="Calibri"/>
          <w:lang w:val="en-GB"/>
        </w:rPr>
        <w:t>commented</w:t>
      </w:r>
      <w:r w:rsidR="001C6A3E" w:rsidRPr="00F67CC4">
        <w:rPr>
          <w:rFonts w:cs="Calibri"/>
          <w:lang w:val="en-GB"/>
        </w:rPr>
        <w:t xml:space="preserve">. Each model will be explained, limitations will be noted and finally the conclusion will be drawn </w:t>
      </w:r>
      <w:r w:rsidR="002B7D3A" w:rsidRPr="00F67CC4">
        <w:rPr>
          <w:rFonts w:cs="Calibri"/>
          <w:lang w:val="en-GB"/>
        </w:rPr>
        <w:t xml:space="preserve">by choosing the </w:t>
      </w:r>
      <w:r w:rsidR="002B26E8" w:rsidRPr="00F67CC4">
        <w:rPr>
          <w:rFonts w:cs="Calibri"/>
          <w:lang w:val="en-GB"/>
        </w:rPr>
        <w:t xml:space="preserve">method by checking </w:t>
      </w:r>
      <w:r w:rsidR="002C0961">
        <w:rPr>
          <w:rFonts w:cs="Calibri"/>
          <w:lang w:val="en-GB"/>
        </w:rPr>
        <w:t>earlier conducted</w:t>
      </w:r>
      <w:r w:rsidR="002B26E8" w:rsidRPr="00F67CC4">
        <w:rPr>
          <w:rFonts w:cs="Calibri"/>
          <w:lang w:val="en-GB"/>
        </w:rPr>
        <w:t xml:space="preserve"> researches on real earnings management.</w:t>
      </w:r>
    </w:p>
    <w:p w:rsidR="001C6A3E" w:rsidRPr="00F67CC4" w:rsidRDefault="002E7013" w:rsidP="002233C7">
      <w:pPr>
        <w:spacing w:line="360" w:lineRule="auto"/>
        <w:rPr>
          <w:rFonts w:cs="Calibri"/>
          <w:b/>
          <w:u w:val="single"/>
          <w:lang w:val="en-GB"/>
        </w:rPr>
      </w:pPr>
      <w:r>
        <w:rPr>
          <w:rFonts w:cs="Calibri"/>
          <w:b/>
          <w:lang w:val="en-GB"/>
        </w:rPr>
        <w:t>3.4.3</w:t>
      </w:r>
      <w:r w:rsidR="001C6A3E" w:rsidRPr="00F67CC4">
        <w:rPr>
          <w:rFonts w:cs="Calibri"/>
          <w:b/>
          <w:lang w:val="en-GB"/>
        </w:rPr>
        <w:t>.3 Roychowdhury (2006)</w:t>
      </w:r>
      <w:r w:rsidR="001C6A3E" w:rsidRPr="00F67CC4">
        <w:rPr>
          <w:rFonts w:cs="Calibri"/>
          <w:b/>
          <w:u w:val="single"/>
          <w:lang w:val="en-GB"/>
        </w:rPr>
        <w:br/>
      </w:r>
      <w:r w:rsidR="001C6A3E" w:rsidRPr="00F67CC4">
        <w:rPr>
          <w:rFonts w:cs="Calibri"/>
          <w:bCs/>
          <w:lang w:val="en-GB"/>
        </w:rPr>
        <w:t>The focus of Roychowdhury (2006) is on sales manipulation, reduction of discretionary expen</w:t>
      </w:r>
      <w:r w:rsidR="008920A9">
        <w:rPr>
          <w:rFonts w:cs="Calibri"/>
          <w:bCs/>
          <w:lang w:val="en-GB"/>
        </w:rPr>
        <w:t>ses and overproduction. In order to investigate this,</w:t>
      </w:r>
      <w:r w:rsidR="001C6A3E" w:rsidRPr="00F67CC4">
        <w:rPr>
          <w:rFonts w:cs="Calibri"/>
          <w:bCs/>
          <w:lang w:val="en-GB"/>
        </w:rPr>
        <w:t xml:space="preserve"> patterns in </w:t>
      </w:r>
      <w:r w:rsidR="002C0961">
        <w:rPr>
          <w:rFonts w:cs="Calibri"/>
          <w:bCs/>
          <w:lang w:val="en-GB"/>
        </w:rPr>
        <w:t>cash flow from operations (</w:t>
      </w:r>
      <w:r w:rsidR="001C6A3E" w:rsidRPr="00F67CC4">
        <w:rPr>
          <w:rFonts w:cs="Calibri"/>
          <w:bCs/>
          <w:lang w:val="en-GB"/>
        </w:rPr>
        <w:t>CFO</w:t>
      </w:r>
      <w:r w:rsidR="002C0961">
        <w:rPr>
          <w:rFonts w:cs="Calibri"/>
          <w:bCs/>
          <w:lang w:val="en-GB"/>
        </w:rPr>
        <w:t>)</w:t>
      </w:r>
      <w:r w:rsidR="001C6A3E" w:rsidRPr="00F67CC4">
        <w:rPr>
          <w:rFonts w:cs="Calibri"/>
          <w:bCs/>
          <w:lang w:val="en-GB"/>
        </w:rPr>
        <w:t>, discretionary expenses and production costs for firms close to the zero earn</w:t>
      </w:r>
      <w:r w:rsidR="008920A9">
        <w:rPr>
          <w:rFonts w:cs="Calibri"/>
          <w:bCs/>
          <w:lang w:val="en-GB"/>
        </w:rPr>
        <w:t>ings benchmark are investigated</w:t>
      </w:r>
      <w:r w:rsidR="001C6A3E" w:rsidRPr="00F67CC4">
        <w:rPr>
          <w:rFonts w:cs="Calibri"/>
          <w:bCs/>
          <w:lang w:val="en-GB"/>
        </w:rPr>
        <w:t xml:space="preserve"> </w:t>
      </w:r>
      <w:r w:rsidR="00244061" w:rsidRPr="00F67CC4">
        <w:rPr>
          <w:rFonts w:cs="Calibri"/>
          <w:bCs/>
          <w:lang w:val="en-GB"/>
        </w:rPr>
        <w:t>(Roychowdhury 2006, p</w:t>
      </w:r>
      <w:r w:rsidR="00857CBF">
        <w:rPr>
          <w:rFonts w:cs="Calibri"/>
          <w:bCs/>
          <w:lang w:val="en-GB"/>
        </w:rPr>
        <w:t xml:space="preserve"> </w:t>
      </w:r>
      <w:r w:rsidR="00244061" w:rsidRPr="00F67CC4">
        <w:rPr>
          <w:rFonts w:cs="Calibri"/>
          <w:bCs/>
          <w:lang w:val="en-GB"/>
        </w:rPr>
        <w:t>339)</w:t>
      </w:r>
      <w:r w:rsidR="008920A9">
        <w:rPr>
          <w:rFonts w:cs="Calibri"/>
          <w:bCs/>
          <w:lang w:val="en-GB"/>
        </w:rPr>
        <w:t>.</w:t>
      </w:r>
      <w:r w:rsidR="00244061" w:rsidRPr="00F67CC4">
        <w:rPr>
          <w:rFonts w:cs="Calibri"/>
          <w:bCs/>
          <w:lang w:val="en-GB"/>
        </w:rPr>
        <w:t xml:space="preserve"> </w:t>
      </w:r>
      <w:r w:rsidR="00157E95">
        <w:rPr>
          <w:rFonts w:cs="Calibri"/>
          <w:bCs/>
          <w:lang w:val="en-GB"/>
        </w:rPr>
        <w:t>Dechow et al. (1998) investigated the relation between earnings and cash flows and developed</w:t>
      </w:r>
      <w:r w:rsidR="00936DC8">
        <w:rPr>
          <w:rFonts w:cs="Calibri"/>
          <w:bCs/>
          <w:lang w:val="en-GB"/>
        </w:rPr>
        <w:t xml:space="preserve"> a</w:t>
      </w:r>
      <w:r w:rsidR="00157E95">
        <w:rPr>
          <w:rFonts w:cs="Calibri"/>
          <w:bCs/>
          <w:lang w:val="en-GB"/>
        </w:rPr>
        <w:t xml:space="preserve"> </w:t>
      </w:r>
      <w:r w:rsidR="00936DC8">
        <w:rPr>
          <w:rFonts w:cs="Calibri"/>
          <w:bCs/>
          <w:lang w:val="en-GB"/>
        </w:rPr>
        <w:t xml:space="preserve">model </w:t>
      </w:r>
      <w:r w:rsidR="00157E95">
        <w:rPr>
          <w:rFonts w:cs="Calibri"/>
          <w:bCs/>
          <w:lang w:val="en-GB"/>
        </w:rPr>
        <w:t xml:space="preserve">to test this relation. </w:t>
      </w:r>
      <w:r w:rsidR="001C6A3E" w:rsidRPr="00F67CC4">
        <w:rPr>
          <w:rFonts w:cs="Calibri"/>
          <w:bCs/>
          <w:lang w:val="en-GB"/>
        </w:rPr>
        <w:t xml:space="preserve">With the </w:t>
      </w:r>
      <w:r w:rsidR="00FB1522">
        <w:rPr>
          <w:rFonts w:cs="Calibri"/>
          <w:bCs/>
          <w:lang w:val="en-GB"/>
        </w:rPr>
        <w:t>model of</w:t>
      </w:r>
      <w:r w:rsidR="001C6A3E" w:rsidRPr="00F67CC4">
        <w:rPr>
          <w:rFonts w:cs="Calibri"/>
          <w:bCs/>
          <w:lang w:val="en-GB"/>
        </w:rPr>
        <w:t xml:space="preserve"> Dechow et al. (1998) </w:t>
      </w:r>
      <w:r w:rsidR="00FB1522">
        <w:rPr>
          <w:rFonts w:cs="Calibri"/>
          <w:bCs/>
          <w:lang w:val="en-GB"/>
        </w:rPr>
        <w:t xml:space="preserve">as fundament, </w:t>
      </w:r>
      <w:r w:rsidR="001C6A3E" w:rsidRPr="00F67CC4">
        <w:rPr>
          <w:rFonts w:cs="Calibri"/>
          <w:bCs/>
          <w:lang w:val="en-GB"/>
        </w:rPr>
        <w:t>the normal levels of CFO,</w:t>
      </w:r>
      <w:r w:rsidR="008D7D60" w:rsidRPr="00F67CC4">
        <w:rPr>
          <w:rFonts w:cs="Calibri"/>
          <w:bCs/>
          <w:lang w:val="en-GB"/>
        </w:rPr>
        <w:t xml:space="preserve"> production costs and </w:t>
      </w:r>
      <w:r w:rsidR="001C6A3E" w:rsidRPr="00F67CC4">
        <w:rPr>
          <w:rFonts w:cs="Calibri"/>
          <w:bCs/>
          <w:lang w:val="en-GB"/>
        </w:rPr>
        <w:t xml:space="preserve">discretionary </w:t>
      </w:r>
      <w:r w:rsidR="008D7D60" w:rsidRPr="00F67CC4">
        <w:rPr>
          <w:rFonts w:cs="Calibri"/>
          <w:bCs/>
          <w:lang w:val="en-GB"/>
        </w:rPr>
        <w:t xml:space="preserve">expenses </w:t>
      </w:r>
      <w:r w:rsidR="001C6A3E" w:rsidRPr="00F67CC4">
        <w:rPr>
          <w:rFonts w:cs="Calibri"/>
          <w:bCs/>
          <w:lang w:val="en-GB"/>
        </w:rPr>
        <w:t xml:space="preserve">are derived for every firm-year. </w:t>
      </w:r>
    </w:p>
    <w:p w:rsidR="001C6A3E" w:rsidRDefault="001C6A3E" w:rsidP="005A7A3F">
      <w:pPr>
        <w:spacing w:line="360" w:lineRule="auto"/>
        <w:rPr>
          <w:rFonts w:cs="Calibri"/>
          <w:bCs/>
          <w:lang w:val="en-GB"/>
        </w:rPr>
      </w:pPr>
      <w:r w:rsidRPr="00F67CC4">
        <w:rPr>
          <w:rFonts w:cs="Calibri"/>
          <w:bCs/>
          <w:lang w:val="en-GB"/>
        </w:rPr>
        <w:t xml:space="preserve">Following Dechow et. (1998), the cash flow from operations </w:t>
      </w:r>
      <w:r w:rsidR="00737D20" w:rsidRPr="00F67CC4">
        <w:rPr>
          <w:rFonts w:cs="Calibri"/>
          <w:bCs/>
          <w:lang w:val="en-GB"/>
        </w:rPr>
        <w:t>is</w:t>
      </w:r>
      <w:r w:rsidRPr="00F67CC4">
        <w:rPr>
          <w:rFonts w:cs="Calibri"/>
          <w:bCs/>
          <w:lang w:val="en-GB"/>
        </w:rPr>
        <w:t xml:space="preserve"> expressed as a linear function of sales and change</w:t>
      </w:r>
      <w:r w:rsidR="00CC51EC" w:rsidRPr="00F67CC4">
        <w:rPr>
          <w:rFonts w:cs="Calibri"/>
          <w:bCs/>
          <w:lang w:val="en-GB"/>
        </w:rPr>
        <w:t xml:space="preserve"> in sales in the current period</w:t>
      </w:r>
      <w:r w:rsidRPr="00F67CC4">
        <w:rPr>
          <w:rFonts w:cs="Calibri"/>
          <w:bCs/>
          <w:lang w:val="en-GB"/>
        </w:rPr>
        <w:t xml:space="preserve"> </w:t>
      </w:r>
      <w:r w:rsidR="0013043B" w:rsidRPr="00F67CC4">
        <w:rPr>
          <w:rFonts w:cs="Calibri"/>
          <w:bCs/>
          <w:lang w:val="en-GB"/>
        </w:rPr>
        <w:t xml:space="preserve">(Roychowdhury 2006, </w:t>
      </w:r>
      <w:r w:rsidR="00936DC8">
        <w:rPr>
          <w:rFonts w:cs="Calibri"/>
          <w:bCs/>
          <w:lang w:val="en-GB"/>
        </w:rPr>
        <w:t xml:space="preserve"> </w:t>
      </w:r>
      <w:r w:rsidR="0013043B" w:rsidRPr="00F67CC4">
        <w:rPr>
          <w:rFonts w:cs="Calibri"/>
          <w:bCs/>
          <w:lang w:val="en-GB"/>
        </w:rPr>
        <w:t>p344)</w:t>
      </w:r>
      <w:r w:rsidR="00CC51EC" w:rsidRPr="00F67CC4">
        <w:rPr>
          <w:rFonts w:cs="Calibri"/>
          <w:bCs/>
          <w:lang w:val="en-GB"/>
        </w:rPr>
        <w:t>.</w:t>
      </w:r>
      <w:r w:rsidR="0013043B" w:rsidRPr="00F67CC4">
        <w:rPr>
          <w:rFonts w:cs="Calibri"/>
          <w:bCs/>
          <w:lang w:val="en-GB"/>
        </w:rPr>
        <w:t xml:space="preserve"> </w:t>
      </w:r>
      <w:r w:rsidRPr="00F67CC4">
        <w:rPr>
          <w:rFonts w:cs="Calibri"/>
          <w:bCs/>
          <w:lang w:val="en-GB"/>
        </w:rPr>
        <w:t>This linear fun</w:t>
      </w:r>
      <w:r w:rsidR="0013043B" w:rsidRPr="00F67CC4">
        <w:rPr>
          <w:rFonts w:cs="Calibri"/>
          <w:bCs/>
          <w:lang w:val="en-GB"/>
        </w:rPr>
        <w:t>ction is estimated by running the</w:t>
      </w:r>
      <w:r w:rsidRPr="00F67CC4">
        <w:rPr>
          <w:rFonts w:cs="Calibri"/>
          <w:bCs/>
          <w:lang w:val="en-GB"/>
        </w:rPr>
        <w:t xml:space="preserve"> following regression: </w:t>
      </w:r>
    </w:p>
    <w:p w:rsidR="00007FE2" w:rsidRDefault="00007FE2" w:rsidP="005A7A3F">
      <w:pPr>
        <w:spacing w:line="360" w:lineRule="auto"/>
        <w:rPr>
          <w:rFonts w:cs="Calibri"/>
          <w:b/>
          <w:sz w:val="28"/>
          <w:szCs w:val="28"/>
          <w:lang w:val="en-GB"/>
        </w:rPr>
      </w:pPr>
    </w:p>
    <w:p w:rsidR="00007FE2" w:rsidRDefault="00007FE2" w:rsidP="005A7A3F">
      <w:pPr>
        <w:spacing w:line="360" w:lineRule="auto"/>
        <w:rPr>
          <w:rFonts w:cs="Calibri"/>
          <w:b/>
          <w:sz w:val="28"/>
          <w:szCs w:val="28"/>
          <w:lang w:val="en-GB"/>
        </w:rPr>
      </w:pPr>
    </w:p>
    <w:p w:rsidR="00007FE2" w:rsidRDefault="00007FE2" w:rsidP="005A7A3F">
      <w:pPr>
        <w:spacing w:line="360" w:lineRule="auto"/>
        <w:rPr>
          <w:rFonts w:cs="Calibri"/>
          <w:b/>
          <w:sz w:val="28"/>
          <w:szCs w:val="28"/>
          <w:lang w:val="en-GB"/>
        </w:rPr>
      </w:pPr>
    </w:p>
    <w:p w:rsidR="001C6A3E" w:rsidRPr="00F67CC4" w:rsidRDefault="001C6A3E" w:rsidP="005A7A3F">
      <w:pPr>
        <w:spacing w:line="360" w:lineRule="auto"/>
        <w:rPr>
          <w:rFonts w:cs="Calibri"/>
          <w:b/>
          <w:sz w:val="28"/>
          <w:szCs w:val="28"/>
          <w:lang w:val="en-GB"/>
        </w:rPr>
      </w:pPr>
      <w:r w:rsidRPr="00F67CC4">
        <w:rPr>
          <w:rFonts w:cs="Calibri"/>
          <w:b/>
          <w:sz w:val="28"/>
          <w:szCs w:val="28"/>
          <w:lang w:val="en-GB"/>
        </w:rPr>
        <w:lastRenderedPageBreak/>
        <w:t>CFO</w:t>
      </w:r>
      <w:r w:rsidRPr="00F67CC4">
        <w:rPr>
          <w:rFonts w:cs="Calibri"/>
          <w:b/>
          <w:lang w:val="en-GB"/>
        </w:rPr>
        <w:t>t</w:t>
      </w:r>
      <w:r w:rsidRPr="00F67CC4">
        <w:rPr>
          <w:rFonts w:cs="Calibri"/>
          <w:b/>
          <w:sz w:val="28"/>
          <w:szCs w:val="28"/>
          <w:lang w:val="en-GB"/>
        </w:rPr>
        <w:t xml:space="preserve"> / A</w:t>
      </w:r>
      <w:r w:rsidRPr="00F67CC4">
        <w:rPr>
          <w:rFonts w:cs="Calibri"/>
          <w:b/>
          <w:lang w:val="en-GB"/>
        </w:rPr>
        <w:t xml:space="preserve">t-1 </w:t>
      </w:r>
      <w:r w:rsidRPr="00F67CC4">
        <w:rPr>
          <w:rFonts w:cs="Calibri"/>
          <w:b/>
          <w:sz w:val="28"/>
          <w:szCs w:val="28"/>
          <w:lang w:val="en-GB"/>
        </w:rPr>
        <w:t>= α0 + α1*(1/A</w:t>
      </w:r>
      <w:r w:rsidRPr="00F67CC4">
        <w:rPr>
          <w:rFonts w:cs="Calibri"/>
          <w:b/>
          <w:lang w:val="en-GB"/>
        </w:rPr>
        <w:t>t-1</w:t>
      </w:r>
      <w:r w:rsidRPr="00F67CC4">
        <w:rPr>
          <w:rFonts w:cs="Calibri"/>
          <w:b/>
          <w:sz w:val="28"/>
          <w:szCs w:val="28"/>
          <w:lang w:val="en-GB"/>
        </w:rPr>
        <w:t>) + β1*(S</w:t>
      </w:r>
      <w:r w:rsidRPr="00F67CC4">
        <w:rPr>
          <w:rFonts w:cs="Calibri"/>
          <w:b/>
          <w:lang w:val="en-GB"/>
        </w:rPr>
        <w:t>t</w:t>
      </w:r>
      <w:r w:rsidRPr="00F67CC4">
        <w:rPr>
          <w:rFonts w:cs="Calibri"/>
          <w:b/>
          <w:sz w:val="28"/>
          <w:szCs w:val="28"/>
          <w:lang w:val="en-GB"/>
        </w:rPr>
        <w:t>/A</w:t>
      </w:r>
      <w:r w:rsidRPr="00F67CC4">
        <w:rPr>
          <w:rFonts w:cs="Calibri"/>
          <w:b/>
          <w:lang w:val="en-GB"/>
        </w:rPr>
        <w:t>t-1</w:t>
      </w:r>
      <w:r w:rsidRPr="00F67CC4">
        <w:rPr>
          <w:rFonts w:cs="Calibri"/>
          <w:b/>
          <w:sz w:val="28"/>
          <w:szCs w:val="28"/>
          <w:lang w:val="en-GB"/>
        </w:rPr>
        <w:t>) + β2*(ΔS</w:t>
      </w:r>
      <w:r w:rsidRPr="00F67CC4">
        <w:rPr>
          <w:rFonts w:cs="Calibri"/>
          <w:b/>
          <w:lang w:val="en-GB"/>
        </w:rPr>
        <w:t>t</w:t>
      </w:r>
      <w:r w:rsidRPr="00F67CC4">
        <w:rPr>
          <w:rFonts w:cs="Calibri"/>
          <w:b/>
          <w:sz w:val="28"/>
          <w:szCs w:val="28"/>
          <w:lang w:val="en-GB"/>
        </w:rPr>
        <w:t>/A</w:t>
      </w:r>
      <w:r w:rsidRPr="00F67CC4">
        <w:rPr>
          <w:rFonts w:cs="Calibri"/>
          <w:b/>
          <w:lang w:val="en-GB"/>
        </w:rPr>
        <w:t>t-1</w:t>
      </w:r>
      <w:r w:rsidRPr="00F67CC4">
        <w:rPr>
          <w:rFonts w:cs="Calibri"/>
          <w:b/>
          <w:sz w:val="28"/>
          <w:szCs w:val="28"/>
          <w:lang w:val="en-GB"/>
        </w:rPr>
        <w:t>) + ε</w:t>
      </w:r>
      <w:r w:rsidRPr="00F67CC4">
        <w:rPr>
          <w:rFonts w:cs="Calibri"/>
          <w:b/>
          <w:lang w:val="en-GB"/>
        </w:rPr>
        <w:t>t</w:t>
      </w:r>
      <w:r w:rsidR="00936DC8">
        <w:rPr>
          <w:rFonts w:cs="Calibri"/>
          <w:b/>
          <w:lang w:val="en-GB"/>
        </w:rPr>
        <w:tab/>
      </w:r>
      <w:r w:rsidR="00936DC8">
        <w:rPr>
          <w:rFonts w:cs="Calibri"/>
          <w:b/>
          <w:sz w:val="28"/>
          <w:szCs w:val="28"/>
          <w:lang w:val="en-GB"/>
        </w:rPr>
        <w:t>(1)</w:t>
      </w:r>
      <w:r w:rsidR="00936DC8">
        <w:rPr>
          <w:rFonts w:cs="Calibri"/>
          <w:b/>
          <w:lang w:val="en-GB"/>
        </w:rPr>
        <w:t xml:space="preserve"> </w:t>
      </w:r>
    </w:p>
    <w:p w:rsidR="001C6A3E" w:rsidRPr="00F67CC4" w:rsidRDefault="001C6A3E" w:rsidP="005A7A3F">
      <w:pPr>
        <w:spacing w:line="360" w:lineRule="auto"/>
        <w:rPr>
          <w:rFonts w:cs="Calibri"/>
          <w:lang w:val="en-GB"/>
        </w:rPr>
      </w:pPr>
      <w:r w:rsidRPr="00F67CC4">
        <w:rPr>
          <w:rFonts w:cs="Calibri"/>
          <w:b/>
          <w:lang w:val="en-GB"/>
        </w:rPr>
        <w:t xml:space="preserve">CFO = Cash Flow of Operations </w:t>
      </w:r>
      <w:r w:rsidR="002B78E4" w:rsidRPr="00F67CC4">
        <w:rPr>
          <w:rFonts w:cs="Calibri"/>
          <w:b/>
          <w:lang w:val="en-GB"/>
        </w:rPr>
        <w:br/>
      </w:r>
      <w:r w:rsidRPr="00F67CC4">
        <w:rPr>
          <w:rFonts w:cs="Calibri"/>
          <w:b/>
          <w:lang w:val="en-GB"/>
        </w:rPr>
        <w:t>A</w:t>
      </w:r>
      <w:r w:rsidR="00893F97" w:rsidRPr="00F67CC4">
        <w:rPr>
          <w:rFonts w:cs="Calibri"/>
          <w:b/>
          <w:lang w:val="en-GB"/>
        </w:rPr>
        <w:t xml:space="preserve"> = T</w:t>
      </w:r>
      <w:r w:rsidRPr="00F67CC4">
        <w:rPr>
          <w:rFonts w:cs="Calibri"/>
          <w:b/>
          <w:lang w:val="en-GB"/>
        </w:rPr>
        <w:t>otal</w:t>
      </w:r>
      <w:r w:rsidR="00893F97" w:rsidRPr="00F67CC4">
        <w:rPr>
          <w:rFonts w:cs="Calibri"/>
          <w:b/>
          <w:lang w:val="en-GB"/>
        </w:rPr>
        <w:t xml:space="preserve"> Assets</w:t>
      </w:r>
      <w:r w:rsidR="002B78E4" w:rsidRPr="00F67CC4">
        <w:rPr>
          <w:rFonts w:cs="Calibri"/>
          <w:b/>
          <w:lang w:val="en-GB"/>
        </w:rPr>
        <w:br/>
      </w:r>
      <w:r w:rsidRPr="00F67CC4">
        <w:rPr>
          <w:rFonts w:cs="Calibri"/>
          <w:b/>
          <w:lang w:val="en-GB"/>
        </w:rPr>
        <w:t>S</w:t>
      </w:r>
      <w:r w:rsidR="00893F97" w:rsidRPr="00F67CC4">
        <w:rPr>
          <w:rFonts w:cs="Calibri"/>
          <w:b/>
          <w:lang w:val="en-GB"/>
        </w:rPr>
        <w:t xml:space="preserve"> = Sales</w:t>
      </w:r>
      <w:r w:rsidR="00893F97" w:rsidRPr="00F67CC4">
        <w:rPr>
          <w:rFonts w:cs="Calibri"/>
          <w:b/>
          <w:lang w:val="en-GB"/>
        </w:rPr>
        <w:br/>
      </w:r>
      <w:r w:rsidR="00893F97" w:rsidRPr="00893F97">
        <w:rPr>
          <w:rFonts w:cs="Calibri"/>
          <w:b/>
          <w:lang w:val="en-GB"/>
        </w:rPr>
        <w:t xml:space="preserve">ε = </w:t>
      </w:r>
      <w:r w:rsidR="00CF75BA">
        <w:rPr>
          <w:rFonts w:cs="Calibri"/>
          <w:b/>
          <w:lang w:val="en-GB"/>
        </w:rPr>
        <w:t>E</w:t>
      </w:r>
      <w:r w:rsidR="00893F97" w:rsidRPr="00893F97">
        <w:rPr>
          <w:rFonts w:cs="Calibri"/>
          <w:b/>
          <w:lang w:val="en-GB"/>
        </w:rPr>
        <w:t>rror term</w:t>
      </w:r>
      <w:r w:rsidR="00CF75BA">
        <w:rPr>
          <w:rFonts w:cs="Calibri"/>
          <w:b/>
          <w:lang w:val="en-GB"/>
        </w:rPr>
        <w:br/>
        <w:t>t = P</w:t>
      </w:r>
      <w:r w:rsidR="00CF75BA" w:rsidRPr="00F67CC4">
        <w:rPr>
          <w:rFonts w:cs="Calibri"/>
          <w:b/>
          <w:lang w:val="en-GB"/>
        </w:rPr>
        <w:t>eriod index</w:t>
      </w:r>
      <w:r w:rsidR="002B78E4" w:rsidRPr="00F67CC4">
        <w:rPr>
          <w:rFonts w:cs="Calibri"/>
          <w:b/>
          <w:lang w:val="en-GB"/>
        </w:rPr>
        <w:br/>
      </w:r>
      <w:r w:rsidR="00FB4553">
        <w:rPr>
          <w:rFonts w:cs="Calibri"/>
          <w:lang w:val="en-GB"/>
        </w:rPr>
        <w:br/>
      </w:r>
      <w:r w:rsidR="002C0961">
        <w:rPr>
          <w:rFonts w:cs="Calibri"/>
          <w:lang w:val="en-GB"/>
        </w:rPr>
        <w:t xml:space="preserve">With the use of the coefficients derived with </w:t>
      </w:r>
      <w:r w:rsidR="00936DC8">
        <w:rPr>
          <w:rFonts w:cs="Calibri"/>
          <w:lang w:val="en-GB"/>
        </w:rPr>
        <w:t xml:space="preserve">the </w:t>
      </w:r>
      <w:r w:rsidR="002C0961">
        <w:rPr>
          <w:rFonts w:cs="Calibri"/>
          <w:lang w:val="en-GB"/>
        </w:rPr>
        <w:t>historical data, the ‘normal’ level of CFO is determined which is compared to the actual level of</w:t>
      </w:r>
      <w:r w:rsidR="00936DC8">
        <w:rPr>
          <w:rFonts w:cs="Calibri"/>
          <w:lang w:val="en-GB"/>
        </w:rPr>
        <w:t xml:space="preserve"> the</w:t>
      </w:r>
      <w:r w:rsidR="002C0961">
        <w:rPr>
          <w:rFonts w:cs="Calibri"/>
          <w:lang w:val="en-GB"/>
        </w:rPr>
        <w:t xml:space="preserve"> CFO. The difference between these levels is indicative for the use of real earnings management. </w:t>
      </w:r>
      <w:r w:rsidRPr="00F67CC4">
        <w:rPr>
          <w:rFonts w:cs="Calibri"/>
          <w:lang w:val="en-GB"/>
        </w:rPr>
        <w:t xml:space="preserve">This way of determining the </w:t>
      </w:r>
      <w:r w:rsidR="002C0961">
        <w:rPr>
          <w:rFonts w:cs="Calibri"/>
          <w:lang w:val="en-GB"/>
        </w:rPr>
        <w:t xml:space="preserve">indicative value for real earnings management, </w:t>
      </w:r>
      <w:r w:rsidR="00936DC8">
        <w:rPr>
          <w:rFonts w:cs="Calibri"/>
          <w:lang w:val="en-GB"/>
        </w:rPr>
        <w:t xml:space="preserve">in addition is </w:t>
      </w:r>
      <w:r w:rsidRPr="00F67CC4">
        <w:rPr>
          <w:rFonts w:cs="Calibri"/>
          <w:lang w:val="en-GB"/>
        </w:rPr>
        <w:t>used for</w:t>
      </w:r>
      <w:r w:rsidR="00FB4553">
        <w:rPr>
          <w:rFonts w:cs="Calibri"/>
          <w:lang w:val="en-GB"/>
        </w:rPr>
        <w:t xml:space="preserve"> the variables</w:t>
      </w:r>
      <w:r w:rsidRPr="00F67CC4">
        <w:rPr>
          <w:rFonts w:cs="Calibri"/>
          <w:lang w:val="en-GB"/>
        </w:rPr>
        <w:t xml:space="preserve"> COGS, inventory growth and production costs.</w:t>
      </w:r>
    </w:p>
    <w:p w:rsidR="008920A9" w:rsidRPr="00936DC8" w:rsidRDefault="001C6A3E" w:rsidP="005A7A3F">
      <w:pPr>
        <w:spacing w:line="360" w:lineRule="auto"/>
        <w:rPr>
          <w:rFonts w:cs="Calibri"/>
          <w:b/>
          <w:sz w:val="28"/>
          <w:szCs w:val="28"/>
          <w:lang w:val="en-GB"/>
        </w:rPr>
      </w:pPr>
      <w:r w:rsidRPr="00F67CC4">
        <w:rPr>
          <w:rFonts w:cs="Calibri"/>
          <w:b/>
          <w:sz w:val="28"/>
          <w:szCs w:val="28"/>
          <w:lang w:val="en-GB"/>
        </w:rPr>
        <w:t>COGS</w:t>
      </w:r>
      <w:r w:rsidRPr="00F67CC4">
        <w:rPr>
          <w:rFonts w:cs="Calibri"/>
          <w:b/>
          <w:lang w:val="en-GB"/>
        </w:rPr>
        <w:t>t</w:t>
      </w:r>
      <w:r w:rsidRPr="00F67CC4">
        <w:rPr>
          <w:rFonts w:cs="Calibri"/>
          <w:b/>
          <w:sz w:val="28"/>
          <w:szCs w:val="28"/>
          <w:lang w:val="en-GB"/>
        </w:rPr>
        <w:t>/A</w:t>
      </w:r>
      <w:r w:rsidRPr="00F67CC4">
        <w:rPr>
          <w:rFonts w:cs="Calibri"/>
          <w:b/>
          <w:lang w:val="en-GB"/>
        </w:rPr>
        <w:t xml:space="preserve">t-1 </w:t>
      </w:r>
      <w:r w:rsidRPr="00F67CC4">
        <w:rPr>
          <w:rFonts w:cs="Calibri"/>
          <w:b/>
          <w:sz w:val="28"/>
          <w:szCs w:val="28"/>
          <w:lang w:val="en-GB"/>
        </w:rPr>
        <w:t>=</w:t>
      </w:r>
      <w:r w:rsidR="001C4B05" w:rsidRPr="00F67CC4">
        <w:rPr>
          <w:rFonts w:cs="Calibri"/>
          <w:b/>
          <w:sz w:val="28"/>
          <w:szCs w:val="28"/>
          <w:lang w:val="en-GB"/>
        </w:rPr>
        <w:t xml:space="preserve"> </w:t>
      </w:r>
      <w:r w:rsidRPr="00F67CC4">
        <w:rPr>
          <w:rFonts w:cs="Calibri"/>
          <w:b/>
          <w:sz w:val="28"/>
          <w:szCs w:val="28"/>
          <w:lang w:val="en-GB"/>
        </w:rPr>
        <w:t>α0 + α1*(1/A</w:t>
      </w:r>
      <w:r w:rsidRPr="00F67CC4">
        <w:rPr>
          <w:rFonts w:cs="Calibri"/>
          <w:b/>
          <w:lang w:val="en-GB"/>
        </w:rPr>
        <w:t>t-1</w:t>
      </w:r>
      <w:r w:rsidRPr="00F67CC4">
        <w:rPr>
          <w:rFonts w:cs="Calibri"/>
          <w:b/>
          <w:sz w:val="28"/>
          <w:szCs w:val="28"/>
          <w:lang w:val="en-GB"/>
        </w:rPr>
        <w:t>) + β*(S</w:t>
      </w:r>
      <w:r w:rsidRPr="00F67CC4">
        <w:rPr>
          <w:rFonts w:cs="Calibri"/>
          <w:b/>
          <w:lang w:val="en-GB"/>
        </w:rPr>
        <w:t>t</w:t>
      </w:r>
      <w:r w:rsidRPr="00F67CC4">
        <w:rPr>
          <w:rFonts w:cs="Calibri"/>
          <w:b/>
          <w:sz w:val="28"/>
          <w:szCs w:val="28"/>
          <w:lang w:val="en-GB"/>
        </w:rPr>
        <w:t>/A</w:t>
      </w:r>
      <w:r w:rsidRPr="00F67CC4">
        <w:rPr>
          <w:rFonts w:cs="Calibri"/>
          <w:b/>
          <w:lang w:val="en-GB"/>
        </w:rPr>
        <w:t>t-1</w:t>
      </w:r>
      <w:r w:rsidRPr="00F67CC4">
        <w:rPr>
          <w:rFonts w:cs="Calibri"/>
          <w:b/>
          <w:sz w:val="28"/>
          <w:szCs w:val="28"/>
          <w:lang w:val="en-GB"/>
        </w:rPr>
        <w:t>) + ε</w:t>
      </w:r>
      <w:r w:rsidRPr="00F67CC4">
        <w:rPr>
          <w:rFonts w:cs="Calibri"/>
          <w:b/>
          <w:lang w:val="en-GB"/>
        </w:rPr>
        <w:t>t</w:t>
      </w:r>
      <w:r w:rsidR="00936DC8">
        <w:rPr>
          <w:rFonts w:cs="Calibri"/>
          <w:b/>
          <w:sz w:val="28"/>
          <w:szCs w:val="28"/>
          <w:lang w:val="en-GB"/>
        </w:rPr>
        <w:tab/>
        <w:t>(2)</w:t>
      </w:r>
    </w:p>
    <w:p w:rsidR="00893F97" w:rsidRPr="00F67CC4" w:rsidRDefault="00893F97" w:rsidP="005A7A3F">
      <w:pPr>
        <w:spacing w:line="360" w:lineRule="auto"/>
        <w:rPr>
          <w:rFonts w:cs="Calibri"/>
          <w:b/>
          <w:lang w:val="en-GB"/>
        </w:rPr>
      </w:pPr>
      <w:r w:rsidRPr="00F67CC4">
        <w:rPr>
          <w:rFonts w:cs="Calibri"/>
          <w:b/>
          <w:lang w:val="en-GB"/>
        </w:rPr>
        <w:t>COGS = Costs of Goods Sold</w:t>
      </w:r>
      <w:r w:rsidRPr="00F67CC4">
        <w:rPr>
          <w:rFonts w:cs="Calibri"/>
          <w:b/>
          <w:lang w:val="en-GB"/>
        </w:rPr>
        <w:br/>
        <w:t>A = Total Assets</w:t>
      </w:r>
      <w:r w:rsidRPr="00F67CC4">
        <w:rPr>
          <w:rFonts w:cs="Calibri"/>
          <w:b/>
          <w:lang w:val="en-GB"/>
        </w:rPr>
        <w:br/>
        <w:t>S = Sales</w:t>
      </w:r>
      <w:r w:rsidR="00CF75BA">
        <w:rPr>
          <w:rFonts w:cs="Calibri"/>
          <w:b/>
          <w:lang w:val="en-GB"/>
        </w:rPr>
        <w:br/>
        <w:t>ε = E</w:t>
      </w:r>
      <w:r w:rsidR="00CF75BA" w:rsidRPr="00893F97">
        <w:rPr>
          <w:rFonts w:cs="Calibri"/>
          <w:b/>
          <w:lang w:val="en-GB"/>
        </w:rPr>
        <w:t>rror term</w:t>
      </w:r>
      <w:r w:rsidR="00CF75BA">
        <w:rPr>
          <w:rFonts w:cs="Calibri"/>
          <w:b/>
          <w:lang w:val="en-GB"/>
        </w:rPr>
        <w:br/>
      </w:r>
      <w:r w:rsidRPr="00F67CC4">
        <w:rPr>
          <w:rFonts w:cs="Calibri"/>
          <w:b/>
          <w:lang w:val="en-GB"/>
        </w:rPr>
        <w:t>t = Period index</w:t>
      </w:r>
      <w:r w:rsidRPr="00F67CC4">
        <w:rPr>
          <w:rFonts w:cs="Calibri"/>
          <w:b/>
          <w:lang w:val="en-GB"/>
        </w:rPr>
        <w:br/>
      </w:r>
    </w:p>
    <w:p w:rsidR="001C6A3E" w:rsidRPr="00936DC8" w:rsidRDefault="001C6A3E" w:rsidP="005A7A3F">
      <w:pPr>
        <w:spacing w:line="360" w:lineRule="auto"/>
        <w:rPr>
          <w:rFonts w:cs="Calibri"/>
          <w:b/>
          <w:sz w:val="28"/>
          <w:szCs w:val="28"/>
          <w:lang w:val="en-GB"/>
        </w:rPr>
      </w:pPr>
      <w:r w:rsidRPr="00F67CC4">
        <w:rPr>
          <w:rFonts w:cs="Calibri"/>
          <w:b/>
          <w:sz w:val="28"/>
          <w:szCs w:val="28"/>
          <w:lang w:val="en-GB"/>
        </w:rPr>
        <w:t>ΔINV</w:t>
      </w:r>
      <w:r w:rsidRPr="00F67CC4">
        <w:rPr>
          <w:rFonts w:cs="Calibri"/>
          <w:b/>
          <w:lang w:val="en-GB"/>
        </w:rPr>
        <w:t>t</w:t>
      </w:r>
      <w:r w:rsidRPr="00F67CC4">
        <w:rPr>
          <w:rFonts w:cs="Calibri"/>
          <w:b/>
          <w:sz w:val="28"/>
          <w:szCs w:val="28"/>
          <w:lang w:val="en-GB"/>
        </w:rPr>
        <w:t>/A</w:t>
      </w:r>
      <w:r w:rsidRPr="00F67CC4">
        <w:rPr>
          <w:rFonts w:cs="Calibri"/>
          <w:b/>
          <w:lang w:val="en-GB"/>
        </w:rPr>
        <w:t xml:space="preserve">t-1 </w:t>
      </w:r>
      <w:r w:rsidRPr="00F67CC4">
        <w:rPr>
          <w:rFonts w:cs="Calibri"/>
          <w:b/>
          <w:sz w:val="28"/>
          <w:szCs w:val="28"/>
          <w:lang w:val="en-GB"/>
        </w:rPr>
        <w:t>= α0 + α1*(1/A</w:t>
      </w:r>
      <w:r w:rsidRPr="00F67CC4">
        <w:rPr>
          <w:rFonts w:cs="Calibri"/>
          <w:b/>
          <w:lang w:val="en-GB"/>
        </w:rPr>
        <w:t>t-1</w:t>
      </w:r>
      <w:r w:rsidRPr="00F67CC4">
        <w:rPr>
          <w:rFonts w:cs="Calibri"/>
          <w:b/>
          <w:sz w:val="28"/>
          <w:szCs w:val="28"/>
          <w:lang w:val="en-GB"/>
        </w:rPr>
        <w:t>) + β1*(ΔS</w:t>
      </w:r>
      <w:r w:rsidRPr="00F67CC4">
        <w:rPr>
          <w:rFonts w:cs="Calibri"/>
          <w:b/>
          <w:lang w:val="en-GB"/>
        </w:rPr>
        <w:t>t</w:t>
      </w:r>
      <w:r w:rsidRPr="00F67CC4">
        <w:rPr>
          <w:rFonts w:cs="Calibri"/>
          <w:b/>
          <w:sz w:val="28"/>
          <w:szCs w:val="28"/>
          <w:lang w:val="en-GB"/>
        </w:rPr>
        <w:t>/A</w:t>
      </w:r>
      <w:r w:rsidRPr="00F67CC4">
        <w:rPr>
          <w:rFonts w:cs="Calibri"/>
          <w:b/>
          <w:lang w:val="en-GB"/>
        </w:rPr>
        <w:t>t-1</w:t>
      </w:r>
      <w:r w:rsidRPr="00F67CC4">
        <w:rPr>
          <w:rFonts w:cs="Calibri"/>
          <w:b/>
          <w:sz w:val="28"/>
          <w:szCs w:val="28"/>
          <w:lang w:val="en-GB"/>
        </w:rPr>
        <w:t>) + β2*(ΔS</w:t>
      </w:r>
      <w:r w:rsidRPr="00F67CC4">
        <w:rPr>
          <w:rFonts w:cs="Calibri"/>
          <w:b/>
          <w:lang w:val="en-GB"/>
        </w:rPr>
        <w:t>t-1</w:t>
      </w:r>
      <w:r w:rsidRPr="00F67CC4">
        <w:rPr>
          <w:rFonts w:cs="Calibri"/>
          <w:b/>
          <w:sz w:val="28"/>
          <w:szCs w:val="28"/>
          <w:lang w:val="en-GB"/>
        </w:rPr>
        <w:t>/A</w:t>
      </w:r>
      <w:r w:rsidRPr="00F67CC4">
        <w:rPr>
          <w:rFonts w:cs="Calibri"/>
          <w:b/>
          <w:lang w:val="en-GB"/>
        </w:rPr>
        <w:t>t-1</w:t>
      </w:r>
      <w:r w:rsidRPr="00F67CC4">
        <w:rPr>
          <w:rFonts w:cs="Calibri"/>
          <w:b/>
          <w:sz w:val="28"/>
          <w:szCs w:val="28"/>
          <w:lang w:val="en-GB"/>
        </w:rPr>
        <w:t>) + ε</w:t>
      </w:r>
      <w:r w:rsidRPr="00F67CC4">
        <w:rPr>
          <w:rFonts w:cs="Calibri"/>
          <w:b/>
          <w:lang w:val="en-GB"/>
        </w:rPr>
        <w:t>t</w:t>
      </w:r>
      <w:r w:rsidR="00936DC8">
        <w:rPr>
          <w:rFonts w:cs="Calibri"/>
          <w:b/>
          <w:sz w:val="28"/>
          <w:szCs w:val="28"/>
          <w:lang w:val="en-GB"/>
        </w:rPr>
        <w:tab/>
        <w:t>(3)</w:t>
      </w:r>
    </w:p>
    <w:p w:rsidR="001C6A3E" w:rsidRPr="00F67CC4" w:rsidRDefault="00893F97" w:rsidP="005A7A3F">
      <w:pPr>
        <w:spacing w:line="360" w:lineRule="auto"/>
        <w:rPr>
          <w:rFonts w:cs="Calibri"/>
          <w:b/>
          <w:lang w:val="en-GB"/>
        </w:rPr>
      </w:pPr>
      <w:r w:rsidRPr="00F67CC4">
        <w:rPr>
          <w:rFonts w:cs="Calibri"/>
          <w:b/>
          <w:lang w:val="en-GB"/>
        </w:rPr>
        <w:t>INV</w:t>
      </w:r>
      <w:r w:rsidR="001C6A3E" w:rsidRPr="00F67CC4">
        <w:rPr>
          <w:rFonts w:cs="Calibri"/>
          <w:b/>
          <w:lang w:val="en-GB"/>
        </w:rPr>
        <w:t xml:space="preserve"> = </w:t>
      </w:r>
      <w:r w:rsidRPr="00F67CC4">
        <w:rPr>
          <w:rFonts w:cs="Calibri"/>
          <w:b/>
          <w:lang w:val="en-GB"/>
        </w:rPr>
        <w:t>I</w:t>
      </w:r>
      <w:r w:rsidR="004B1539" w:rsidRPr="00F67CC4">
        <w:rPr>
          <w:rFonts w:cs="Calibri"/>
          <w:b/>
          <w:lang w:val="en-GB"/>
        </w:rPr>
        <w:t>nventory</w:t>
      </w:r>
      <w:r w:rsidR="00CF75BA">
        <w:rPr>
          <w:rFonts w:cs="Calibri"/>
          <w:b/>
          <w:lang w:val="en-GB"/>
        </w:rPr>
        <w:br/>
        <w:t>A = T</w:t>
      </w:r>
      <w:r w:rsidRPr="00F67CC4">
        <w:rPr>
          <w:rFonts w:cs="Calibri"/>
          <w:b/>
          <w:lang w:val="en-GB"/>
        </w:rPr>
        <w:t>otal assets</w:t>
      </w:r>
      <w:r w:rsidRPr="00F67CC4">
        <w:rPr>
          <w:rFonts w:cs="Calibri"/>
          <w:b/>
          <w:lang w:val="en-GB"/>
        </w:rPr>
        <w:br/>
        <w:t>S = Sales</w:t>
      </w:r>
      <w:r w:rsidRPr="00F67CC4">
        <w:rPr>
          <w:rFonts w:cs="Calibri"/>
          <w:b/>
          <w:lang w:val="en-GB"/>
        </w:rPr>
        <w:br/>
      </w:r>
      <w:r w:rsidR="00CF75BA">
        <w:rPr>
          <w:rFonts w:cs="Calibri"/>
          <w:b/>
          <w:lang w:val="en-GB"/>
        </w:rPr>
        <w:t>ε = E</w:t>
      </w:r>
      <w:r w:rsidRPr="00893F97">
        <w:rPr>
          <w:rFonts w:cs="Calibri"/>
          <w:b/>
          <w:lang w:val="en-GB"/>
        </w:rPr>
        <w:t>rror term</w:t>
      </w:r>
      <w:r w:rsidR="00CF75BA">
        <w:rPr>
          <w:rFonts w:cs="Calibri"/>
          <w:b/>
          <w:lang w:val="en-GB"/>
        </w:rPr>
        <w:br/>
      </w:r>
      <w:r w:rsidR="00CF75BA" w:rsidRPr="00F67CC4">
        <w:rPr>
          <w:rFonts w:cs="Calibri"/>
          <w:b/>
          <w:lang w:val="en-GB"/>
        </w:rPr>
        <w:t>t = Period index</w:t>
      </w:r>
    </w:p>
    <w:p w:rsidR="008D7D60" w:rsidRPr="00F67CC4" w:rsidRDefault="008D7D60" w:rsidP="005A7A3F">
      <w:pPr>
        <w:spacing w:line="360" w:lineRule="auto"/>
        <w:rPr>
          <w:rFonts w:cs="Calibri"/>
          <w:lang w:val="en-GB"/>
        </w:rPr>
      </w:pPr>
      <w:r w:rsidRPr="00F67CC4">
        <w:rPr>
          <w:rFonts w:cs="Calibri"/>
          <w:lang w:val="en-GB"/>
        </w:rPr>
        <w:t xml:space="preserve">These two equations for determining the normal level of COGS and change in Inventory are the basis for determining the normal level of </w:t>
      </w:r>
      <w:r w:rsidR="00936DC8">
        <w:rPr>
          <w:rFonts w:cs="Calibri"/>
          <w:lang w:val="en-GB"/>
        </w:rPr>
        <w:t xml:space="preserve">the </w:t>
      </w:r>
      <w:r w:rsidRPr="00F67CC4">
        <w:rPr>
          <w:rFonts w:cs="Calibri"/>
          <w:lang w:val="en-GB"/>
        </w:rPr>
        <w:t xml:space="preserve">production costs. </w:t>
      </w:r>
      <w:r w:rsidR="00936DC8">
        <w:rPr>
          <w:rFonts w:cs="Calibri"/>
          <w:lang w:val="en-GB"/>
        </w:rPr>
        <w:t>Based on</w:t>
      </w:r>
      <w:r w:rsidRPr="00F67CC4">
        <w:rPr>
          <w:rFonts w:cs="Calibri"/>
          <w:lang w:val="en-GB"/>
        </w:rPr>
        <w:t xml:space="preserve"> these two equations together, the equation for determining the normal level of production costs is defined: </w:t>
      </w:r>
    </w:p>
    <w:p w:rsidR="00FB4553" w:rsidRDefault="00FB4553" w:rsidP="005A7A3F">
      <w:pPr>
        <w:spacing w:line="360" w:lineRule="auto"/>
        <w:rPr>
          <w:rFonts w:cs="Calibri"/>
          <w:b/>
          <w:sz w:val="28"/>
          <w:szCs w:val="28"/>
          <w:lang w:val="en-GB"/>
        </w:rPr>
      </w:pPr>
    </w:p>
    <w:p w:rsidR="001C6A3E" w:rsidRPr="00F67CC4" w:rsidRDefault="001C6A3E" w:rsidP="005A7A3F">
      <w:pPr>
        <w:spacing w:line="360" w:lineRule="auto"/>
        <w:rPr>
          <w:rFonts w:cs="Calibri"/>
          <w:b/>
          <w:sz w:val="28"/>
          <w:szCs w:val="28"/>
          <w:lang w:val="en-GB"/>
        </w:rPr>
      </w:pPr>
      <w:r w:rsidRPr="00F67CC4">
        <w:rPr>
          <w:rFonts w:cs="Calibri"/>
          <w:b/>
          <w:sz w:val="28"/>
          <w:szCs w:val="28"/>
          <w:lang w:val="en-GB"/>
        </w:rPr>
        <w:lastRenderedPageBreak/>
        <w:t>PROD</w:t>
      </w:r>
      <w:r w:rsidRPr="00F67CC4">
        <w:rPr>
          <w:rFonts w:cs="Calibri"/>
          <w:b/>
          <w:lang w:val="en-GB"/>
        </w:rPr>
        <w:t>t</w:t>
      </w:r>
      <w:r w:rsidRPr="00F67CC4">
        <w:rPr>
          <w:rFonts w:cs="Calibri"/>
          <w:b/>
          <w:sz w:val="28"/>
          <w:szCs w:val="28"/>
          <w:lang w:val="en-GB"/>
        </w:rPr>
        <w:t>/A</w:t>
      </w:r>
      <w:r w:rsidRPr="00F67CC4">
        <w:rPr>
          <w:rFonts w:cs="Calibri"/>
          <w:b/>
          <w:lang w:val="en-GB"/>
        </w:rPr>
        <w:t xml:space="preserve">t-1 </w:t>
      </w:r>
      <w:r w:rsidRPr="00F67CC4">
        <w:rPr>
          <w:rFonts w:cs="Calibri"/>
          <w:b/>
          <w:sz w:val="28"/>
          <w:szCs w:val="28"/>
          <w:lang w:val="en-GB"/>
        </w:rPr>
        <w:t>= α0 + α1*(1/A</w:t>
      </w:r>
      <w:r w:rsidRPr="00F67CC4">
        <w:rPr>
          <w:rFonts w:cs="Calibri"/>
          <w:b/>
          <w:lang w:val="en-GB"/>
        </w:rPr>
        <w:t>t-1</w:t>
      </w:r>
      <w:r w:rsidRPr="00F67CC4">
        <w:rPr>
          <w:rFonts w:cs="Calibri"/>
          <w:b/>
          <w:sz w:val="28"/>
          <w:szCs w:val="28"/>
          <w:lang w:val="en-GB"/>
        </w:rPr>
        <w:t>) + β1*(S</w:t>
      </w:r>
      <w:r w:rsidRPr="00F67CC4">
        <w:rPr>
          <w:rFonts w:cs="Calibri"/>
          <w:b/>
          <w:lang w:val="en-GB"/>
        </w:rPr>
        <w:t>t</w:t>
      </w:r>
      <w:r w:rsidRPr="00F67CC4">
        <w:rPr>
          <w:rFonts w:cs="Calibri"/>
          <w:b/>
          <w:sz w:val="28"/>
          <w:szCs w:val="28"/>
          <w:lang w:val="en-GB"/>
        </w:rPr>
        <w:t>/A</w:t>
      </w:r>
      <w:r w:rsidRPr="00F67CC4">
        <w:rPr>
          <w:rFonts w:cs="Calibri"/>
          <w:b/>
          <w:lang w:val="en-GB"/>
        </w:rPr>
        <w:t>t-1</w:t>
      </w:r>
      <w:r w:rsidRPr="00F67CC4">
        <w:rPr>
          <w:rFonts w:cs="Calibri"/>
          <w:b/>
          <w:sz w:val="28"/>
          <w:szCs w:val="28"/>
          <w:lang w:val="en-GB"/>
        </w:rPr>
        <w:t>) + β2*(ΔS</w:t>
      </w:r>
      <w:r w:rsidRPr="00F67CC4">
        <w:rPr>
          <w:rFonts w:cs="Calibri"/>
          <w:b/>
          <w:lang w:val="en-GB"/>
        </w:rPr>
        <w:t>t</w:t>
      </w:r>
      <w:r w:rsidRPr="00F67CC4">
        <w:rPr>
          <w:rFonts w:cs="Calibri"/>
          <w:b/>
          <w:sz w:val="28"/>
          <w:szCs w:val="28"/>
          <w:lang w:val="en-GB"/>
        </w:rPr>
        <w:t>/A</w:t>
      </w:r>
      <w:r w:rsidRPr="00F67CC4">
        <w:rPr>
          <w:rFonts w:cs="Calibri"/>
          <w:b/>
          <w:lang w:val="en-GB"/>
        </w:rPr>
        <w:t>t-1</w:t>
      </w:r>
      <w:r w:rsidRPr="00F67CC4">
        <w:rPr>
          <w:rFonts w:cs="Calibri"/>
          <w:b/>
          <w:sz w:val="28"/>
          <w:szCs w:val="28"/>
          <w:lang w:val="en-GB"/>
        </w:rPr>
        <w:t>) + β3*(ΔS</w:t>
      </w:r>
      <w:r w:rsidRPr="00F67CC4">
        <w:rPr>
          <w:rFonts w:cs="Calibri"/>
          <w:b/>
          <w:lang w:val="en-GB"/>
        </w:rPr>
        <w:t>t-1</w:t>
      </w:r>
      <w:r w:rsidRPr="00F67CC4">
        <w:rPr>
          <w:rFonts w:cs="Calibri"/>
          <w:b/>
          <w:sz w:val="28"/>
          <w:szCs w:val="28"/>
          <w:lang w:val="en-GB"/>
        </w:rPr>
        <w:t>/A</w:t>
      </w:r>
      <w:r w:rsidRPr="00F67CC4">
        <w:rPr>
          <w:rFonts w:cs="Calibri"/>
          <w:b/>
          <w:lang w:val="en-GB"/>
        </w:rPr>
        <w:t>t-1</w:t>
      </w:r>
      <w:r w:rsidRPr="00F67CC4">
        <w:rPr>
          <w:rFonts w:cs="Calibri"/>
          <w:b/>
          <w:sz w:val="28"/>
          <w:szCs w:val="28"/>
          <w:lang w:val="en-GB"/>
        </w:rPr>
        <w:t>) + ε</w:t>
      </w:r>
      <w:r w:rsidRPr="00F67CC4">
        <w:rPr>
          <w:rFonts w:cs="Calibri"/>
          <w:b/>
          <w:lang w:val="en-GB"/>
        </w:rPr>
        <w:t>t</w:t>
      </w:r>
      <w:r w:rsidR="00936DC8">
        <w:rPr>
          <w:rFonts w:cs="Calibri"/>
          <w:b/>
          <w:sz w:val="28"/>
          <w:szCs w:val="28"/>
          <w:lang w:val="en-GB"/>
        </w:rPr>
        <w:tab/>
        <w:t>(4)</w:t>
      </w:r>
      <w:r w:rsidR="00893F97" w:rsidRPr="00F67CC4">
        <w:rPr>
          <w:rFonts w:cs="Calibri"/>
          <w:b/>
          <w:sz w:val="28"/>
          <w:szCs w:val="28"/>
          <w:lang w:val="en-GB"/>
        </w:rPr>
        <w:br/>
      </w:r>
      <w:r w:rsidR="00893F97" w:rsidRPr="00F67CC4">
        <w:rPr>
          <w:rFonts w:cs="Calibri"/>
          <w:b/>
          <w:lang w:val="en-GB"/>
        </w:rPr>
        <w:t>PROD = production costs</w:t>
      </w:r>
      <w:r w:rsidR="00893F97" w:rsidRPr="00F67CC4">
        <w:rPr>
          <w:rFonts w:cs="Calibri"/>
          <w:b/>
          <w:sz w:val="28"/>
          <w:szCs w:val="28"/>
          <w:lang w:val="en-GB"/>
        </w:rPr>
        <w:br/>
      </w:r>
      <w:r w:rsidR="00CF75BA">
        <w:rPr>
          <w:rFonts w:cs="Calibri"/>
          <w:b/>
          <w:lang w:val="en-GB"/>
        </w:rPr>
        <w:t>A = T</w:t>
      </w:r>
      <w:r w:rsidR="00893F97" w:rsidRPr="00893F97">
        <w:rPr>
          <w:rFonts w:cs="Calibri"/>
          <w:b/>
          <w:lang w:val="en-GB"/>
        </w:rPr>
        <w:t>otal assets</w:t>
      </w:r>
      <w:r w:rsidR="00893F97" w:rsidRPr="00893F97">
        <w:rPr>
          <w:rFonts w:cs="Calibri"/>
          <w:b/>
          <w:lang w:val="en-GB"/>
        </w:rPr>
        <w:br/>
      </w:r>
      <w:r w:rsidR="00CF75BA">
        <w:rPr>
          <w:rFonts w:cs="Calibri"/>
          <w:b/>
          <w:lang w:val="en-GB"/>
        </w:rPr>
        <w:t>S = Sales</w:t>
      </w:r>
      <w:r w:rsidR="00CF75BA">
        <w:rPr>
          <w:rFonts w:cs="Calibri"/>
          <w:b/>
          <w:lang w:val="en-GB"/>
        </w:rPr>
        <w:br/>
        <w:t>ε = E</w:t>
      </w:r>
      <w:r w:rsidR="00893F97" w:rsidRPr="00893F97">
        <w:rPr>
          <w:rFonts w:cs="Calibri"/>
          <w:b/>
          <w:lang w:val="en-GB"/>
        </w:rPr>
        <w:t>rror term</w:t>
      </w:r>
      <w:r w:rsidR="00CF75BA">
        <w:rPr>
          <w:rFonts w:cs="Calibri"/>
          <w:b/>
          <w:lang w:val="en-GB"/>
        </w:rPr>
        <w:br/>
      </w:r>
      <w:r w:rsidR="00CF75BA" w:rsidRPr="00893F97">
        <w:rPr>
          <w:rFonts w:cs="Calibri"/>
          <w:b/>
          <w:lang w:val="en-GB"/>
        </w:rPr>
        <w:t>t = Period index</w:t>
      </w:r>
    </w:p>
    <w:p w:rsidR="007F2EFD" w:rsidRPr="00F67CC4" w:rsidRDefault="00747174" w:rsidP="005A7A3F">
      <w:pPr>
        <w:spacing w:line="360" w:lineRule="auto"/>
        <w:rPr>
          <w:rFonts w:cs="Calibri"/>
          <w:lang w:val="en-GB"/>
        </w:rPr>
      </w:pPr>
      <w:r w:rsidRPr="00F67CC4">
        <w:rPr>
          <w:rFonts w:cs="Calibri"/>
          <w:lang w:val="en-GB"/>
        </w:rPr>
        <w:t>The last regression is about discretionary expenses like R&amp;D, advertising and maintenance expenses. These expenses are most likely to be used for earnings management when these expenditures not immediate generate revenue and income. T</w:t>
      </w:r>
      <w:r w:rsidR="0013043B" w:rsidRPr="00F67CC4">
        <w:rPr>
          <w:rFonts w:cs="Calibri"/>
          <w:lang w:val="en-GB"/>
        </w:rPr>
        <w:t xml:space="preserve">he ‘normal’ level of discretionary expenses </w:t>
      </w:r>
      <w:r w:rsidRPr="00F67CC4">
        <w:rPr>
          <w:rFonts w:cs="Calibri"/>
          <w:lang w:val="en-GB"/>
        </w:rPr>
        <w:t xml:space="preserve">is determined </w:t>
      </w:r>
      <w:r w:rsidR="0013043B" w:rsidRPr="00F67CC4">
        <w:rPr>
          <w:rFonts w:cs="Calibri"/>
          <w:lang w:val="en-GB"/>
        </w:rPr>
        <w:t xml:space="preserve">by </w:t>
      </w:r>
      <w:r w:rsidR="00936DC8">
        <w:rPr>
          <w:rFonts w:cs="Calibri"/>
          <w:lang w:val="en-GB"/>
        </w:rPr>
        <w:t>investigating</w:t>
      </w:r>
      <w:r w:rsidR="0013043B" w:rsidRPr="00F67CC4">
        <w:rPr>
          <w:rFonts w:cs="Calibri"/>
          <w:lang w:val="en-GB"/>
        </w:rPr>
        <w:t xml:space="preserve"> the linear fu</w:t>
      </w:r>
      <w:r w:rsidR="008920A9">
        <w:rPr>
          <w:rFonts w:cs="Calibri"/>
          <w:lang w:val="en-GB"/>
        </w:rPr>
        <w:t>nction of contemporaneous sales</w:t>
      </w:r>
      <w:r w:rsidR="005435AE" w:rsidRPr="00F67CC4">
        <w:rPr>
          <w:rFonts w:cs="Calibri"/>
          <w:lang w:val="en-GB"/>
        </w:rPr>
        <w:t xml:space="preserve"> (Roychowdhury 2006, p</w:t>
      </w:r>
      <w:r w:rsidR="00936DC8">
        <w:rPr>
          <w:rFonts w:cs="Calibri"/>
          <w:lang w:val="en-GB"/>
        </w:rPr>
        <w:t xml:space="preserve"> </w:t>
      </w:r>
      <w:r w:rsidR="005435AE" w:rsidRPr="00F67CC4">
        <w:rPr>
          <w:rFonts w:cs="Calibri"/>
          <w:lang w:val="en-GB"/>
        </w:rPr>
        <w:t>340)</w:t>
      </w:r>
      <w:r w:rsidR="008920A9">
        <w:rPr>
          <w:rFonts w:cs="Calibri"/>
          <w:lang w:val="en-GB"/>
        </w:rPr>
        <w:t>.</w:t>
      </w:r>
      <w:r w:rsidR="00737D20" w:rsidRPr="00F67CC4">
        <w:rPr>
          <w:rFonts w:cs="Calibri"/>
          <w:lang w:val="en-GB"/>
        </w:rPr>
        <w:t xml:space="preserve"> But Roychowdhury (2006) states</w:t>
      </w:r>
      <w:r w:rsidR="00DD2E85" w:rsidRPr="00F67CC4">
        <w:rPr>
          <w:rFonts w:cs="Calibri"/>
          <w:lang w:val="en-GB"/>
        </w:rPr>
        <w:t xml:space="preserve"> that when this linear function is used, managers </w:t>
      </w:r>
      <w:r w:rsidR="00CC51EC" w:rsidRPr="00F67CC4">
        <w:rPr>
          <w:rFonts w:cs="Calibri"/>
          <w:lang w:val="en-GB"/>
        </w:rPr>
        <w:t>who</w:t>
      </w:r>
      <w:r w:rsidR="00DD2E85" w:rsidRPr="00F67CC4">
        <w:rPr>
          <w:rFonts w:cs="Calibri"/>
          <w:lang w:val="en-GB"/>
        </w:rPr>
        <w:t xml:space="preserve"> upward sales to increase </w:t>
      </w:r>
      <w:r w:rsidR="00936DC8">
        <w:rPr>
          <w:rFonts w:cs="Calibri"/>
          <w:lang w:val="en-GB"/>
        </w:rPr>
        <w:t xml:space="preserve">the </w:t>
      </w:r>
      <w:r w:rsidR="00DD2E85" w:rsidRPr="00F67CC4">
        <w:rPr>
          <w:rFonts w:cs="Calibri"/>
          <w:lang w:val="en-GB"/>
        </w:rPr>
        <w:t xml:space="preserve">reported earnings in a year, </w:t>
      </w:r>
      <w:r w:rsidR="008920A9">
        <w:rPr>
          <w:rFonts w:cs="Calibri"/>
          <w:lang w:val="en-GB"/>
        </w:rPr>
        <w:t xml:space="preserve">will have an outcome of this regression with </w:t>
      </w:r>
      <w:r w:rsidR="00DD2E85" w:rsidRPr="00F67CC4">
        <w:rPr>
          <w:rFonts w:cs="Calibri"/>
          <w:lang w:val="en-GB"/>
        </w:rPr>
        <w:t xml:space="preserve">unusually low residuals, even when discretionary expenses are not reduced. </w:t>
      </w:r>
      <w:r w:rsidR="00936DC8">
        <w:rPr>
          <w:rFonts w:cs="Calibri"/>
          <w:lang w:val="en-GB"/>
        </w:rPr>
        <w:t>Consequently</w:t>
      </w:r>
      <w:r w:rsidR="00DD2E85" w:rsidRPr="00F67CC4">
        <w:rPr>
          <w:rFonts w:cs="Calibri"/>
          <w:lang w:val="en-GB"/>
        </w:rPr>
        <w:t xml:space="preserve"> the discretionary expenses are expressed as a function of </w:t>
      </w:r>
      <w:r w:rsidR="00936DC8">
        <w:rPr>
          <w:rFonts w:cs="Calibri"/>
          <w:lang w:val="en-GB"/>
        </w:rPr>
        <w:t xml:space="preserve">the </w:t>
      </w:r>
      <w:r w:rsidR="00DD2E85" w:rsidRPr="00F67CC4">
        <w:rPr>
          <w:rFonts w:cs="Calibri"/>
          <w:lang w:val="en-GB"/>
        </w:rPr>
        <w:t>lagged sales (Roychowdhury 2006, p</w:t>
      </w:r>
      <w:r w:rsidR="00936DC8">
        <w:rPr>
          <w:rFonts w:cs="Calibri"/>
          <w:lang w:val="en-GB"/>
        </w:rPr>
        <w:t xml:space="preserve"> </w:t>
      </w:r>
      <w:r w:rsidR="00DD2E85" w:rsidRPr="00F67CC4">
        <w:rPr>
          <w:rFonts w:cs="Calibri"/>
          <w:lang w:val="en-GB"/>
        </w:rPr>
        <w:t>345):</w:t>
      </w:r>
    </w:p>
    <w:p w:rsidR="008920A9" w:rsidRPr="00936DC8" w:rsidRDefault="001C6A3E" w:rsidP="005A7A3F">
      <w:pPr>
        <w:spacing w:line="360" w:lineRule="auto"/>
        <w:rPr>
          <w:rFonts w:cs="Calibri"/>
          <w:b/>
          <w:sz w:val="28"/>
          <w:szCs w:val="28"/>
          <w:lang w:val="en-GB"/>
        </w:rPr>
      </w:pPr>
      <w:r w:rsidRPr="00F67CC4">
        <w:rPr>
          <w:rFonts w:cs="Calibri"/>
          <w:b/>
          <w:sz w:val="28"/>
          <w:szCs w:val="28"/>
          <w:lang w:val="en-GB"/>
        </w:rPr>
        <w:t>DISEXPt/A</w:t>
      </w:r>
      <w:r w:rsidRPr="00FB4553">
        <w:rPr>
          <w:rFonts w:cs="Calibri"/>
          <w:b/>
          <w:lang w:val="en-GB"/>
        </w:rPr>
        <w:t xml:space="preserve">t-1 </w:t>
      </w:r>
      <w:r w:rsidRPr="00F67CC4">
        <w:rPr>
          <w:rFonts w:cs="Calibri"/>
          <w:b/>
          <w:sz w:val="28"/>
          <w:szCs w:val="28"/>
          <w:lang w:val="en-GB"/>
        </w:rPr>
        <w:t>= α0 + α</w:t>
      </w:r>
      <w:r w:rsidR="00FB4553">
        <w:rPr>
          <w:rFonts w:cs="Calibri"/>
          <w:b/>
          <w:sz w:val="28"/>
          <w:szCs w:val="28"/>
          <w:lang w:val="en-GB"/>
        </w:rPr>
        <w:t>1*(1/A</w:t>
      </w:r>
      <w:r w:rsidR="00FB4553" w:rsidRPr="00FB4553">
        <w:rPr>
          <w:rFonts w:cs="Calibri"/>
          <w:b/>
          <w:lang w:val="en-GB"/>
        </w:rPr>
        <w:t>t-1</w:t>
      </w:r>
      <w:r w:rsidR="00FB4553">
        <w:rPr>
          <w:rFonts w:cs="Calibri"/>
          <w:b/>
          <w:sz w:val="28"/>
          <w:szCs w:val="28"/>
          <w:lang w:val="en-GB"/>
        </w:rPr>
        <w:t>) + β*(S</w:t>
      </w:r>
      <w:r w:rsidR="00FB4553" w:rsidRPr="00FB4553">
        <w:rPr>
          <w:rFonts w:cs="Calibri"/>
          <w:b/>
          <w:lang w:val="en-GB"/>
        </w:rPr>
        <w:t>t-1</w:t>
      </w:r>
      <w:r w:rsidR="00FB4553">
        <w:rPr>
          <w:rFonts w:cs="Calibri"/>
          <w:b/>
          <w:sz w:val="28"/>
          <w:szCs w:val="28"/>
          <w:lang w:val="en-GB"/>
        </w:rPr>
        <w:t>/A</w:t>
      </w:r>
      <w:r w:rsidR="00FB4553" w:rsidRPr="00FB4553">
        <w:rPr>
          <w:rFonts w:cs="Calibri"/>
          <w:b/>
          <w:lang w:val="en-GB"/>
        </w:rPr>
        <w:t>t-1</w:t>
      </w:r>
      <w:r w:rsidR="00FB4553">
        <w:rPr>
          <w:rFonts w:cs="Calibri"/>
          <w:b/>
          <w:sz w:val="28"/>
          <w:szCs w:val="28"/>
          <w:lang w:val="en-GB"/>
        </w:rPr>
        <w:t>) + ε</w:t>
      </w:r>
      <w:r w:rsidR="00FB4553" w:rsidRPr="00FB4553">
        <w:rPr>
          <w:rFonts w:cs="Calibri"/>
          <w:b/>
          <w:lang w:val="en-GB"/>
        </w:rPr>
        <w:t>t</w:t>
      </w:r>
      <w:r w:rsidR="00936DC8">
        <w:rPr>
          <w:rFonts w:cs="Calibri"/>
          <w:b/>
          <w:lang w:val="en-GB"/>
        </w:rPr>
        <w:tab/>
      </w:r>
      <w:r w:rsidR="00936DC8">
        <w:rPr>
          <w:rFonts w:cs="Calibri"/>
          <w:b/>
          <w:sz w:val="28"/>
          <w:szCs w:val="28"/>
          <w:lang w:val="en-GB"/>
        </w:rPr>
        <w:t>(5)</w:t>
      </w:r>
    </w:p>
    <w:p w:rsidR="001C6A3E" w:rsidRPr="008920A9" w:rsidRDefault="00893F97" w:rsidP="005A7A3F">
      <w:pPr>
        <w:spacing w:line="360" w:lineRule="auto"/>
        <w:rPr>
          <w:rFonts w:cs="Calibri"/>
          <w:b/>
          <w:lang w:val="en-GB"/>
        </w:rPr>
      </w:pPr>
      <w:r w:rsidRPr="00F67CC4">
        <w:rPr>
          <w:rFonts w:cs="Calibri"/>
          <w:b/>
          <w:lang w:val="en-GB"/>
        </w:rPr>
        <w:t>DISEXP = discretionary expenses; R&amp;D, SG&amp;A and Advertising expenses</w:t>
      </w:r>
      <w:r w:rsidRPr="00F67CC4">
        <w:rPr>
          <w:rFonts w:cs="Calibri"/>
          <w:b/>
          <w:sz w:val="28"/>
          <w:szCs w:val="28"/>
          <w:lang w:val="en-GB"/>
        </w:rPr>
        <w:br/>
      </w:r>
      <w:r w:rsidRPr="00893F97">
        <w:rPr>
          <w:rFonts w:cs="Calibri"/>
          <w:b/>
          <w:lang w:val="en-GB"/>
        </w:rPr>
        <w:t xml:space="preserve">A = </w:t>
      </w:r>
      <w:r w:rsidR="00CF75BA">
        <w:rPr>
          <w:rFonts w:cs="Calibri"/>
          <w:b/>
          <w:lang w:val="en-GB"/>
        </w:rPr>
        <w:t>T</w:t>
      </w:r>
      <w:r w:rsidRPr="00893F97">
        <w:rPr>
          <w:rFonts w:cs="Calibri"/>
          <w:b/>
          <w:lang w:val="en-GB"/>
        </w:rPr>
        <w:t>otal assets</w:t>
      </w:r>
      <w:r w:rsidR="008920A9">
        <w:rPr>
          <w:rFonts w:cs="Calibri"/>
          <w:b/>
          <w:lang w:val="en-GB"/>
        </w:rPr>
        <w:br/>
      </w:r>
      <w:r w:rsidRPr="00893F97">
        <w:rPr>
          <w:rFonts w:cs="Calibri"/>
          <w:b/>
          <w:lang w:val="en-GB"/>
        </w:rPr>
        <w:t>S = Sales</w:t>
      </w:r>
      <w:r w:rsidRPr="00893F97">
        <w:rPr>
          <w:rFonts w:cs="Calibri"/>
          <w:b/>
          <w:lang w:val="en-GB"/>
        </w:rPr>
        <w:br/>
      </w:r>
      <w:r w:rsidR="00CF75BA">
        <w:rPr>
          <w:rFonts w:cs="Calibri"/>
          <w:b/>
          <w:lang w:val="en-GB"/>
        </w:rPr>
        <w:t>ε = E</w:t>
      </w:r>
      <w:r w:rsidRPr="00893F97">
        <w:rPr>
          <w:rFonts w:cs="Calibri"/>
          <w:b/>
          <w:lang w:val="en-GB"/>
        </w:rPr>
        <w:t>rror term</w:t>
      </w:r>
      <w:r w:rsidR="00CF75BA">
        <w:rPr>
          <w:rFonts w:cs="Calibri"/>
          <w:b/>
          <w:lang w:val="en-GB"/>
        </w:rPr>
        <w:br/>
      </w:r>
      <w:r w:rsidR="00CF75BA" w:rsidRPr="00893F97">
        <w:rPr>
          <w:rFonts w:cs="Calibri"/>
          <w:b/>
          <w:lang w:val="en-GB"/>
        </w:rPr>
        <w:t>t = Period index</w:t>
      </w:r>
    </w:p>
    <w:p w:rsidR="00E53854" w:rsidRDefault="00E53854" w:rsidP="00E53854">
      <w:pPr>
        <w:spacing w:line="360" w:lineRule="auto"/>
        <w:rPr>
          <w:rFonts w:cs="Calibri"/>
          <w:lang w:val="en-GB"/>
        </w:rPr>
      </w:pPr>
      <w:r>
        <w:rPr>
          <w:rFonts w:cs="Calibri"/>
          <w:lang w:val="en-GB"/>
        </w:rPr>
        <w:t xml:space="preserve">With the use of the five regressions stated </w:t>
      </w:r>
      <w:r w:rsidR="00936DC8">
        <w:rPr>
          <w:rFonts w:cs="Calibri"/>
          <w:lang w:val="en-GB"/>
        </w:rPr>
        <w:t>before</w:t>
      </w:r>
      <w:r>
        <w:rPr>
          <w:rFonts w:cs="Calibri"/>
          <w:lang w:val="en-GB"/>
        </w:rPr>
        <w:t xml:space="preserve">, the ‘normal’ levels of the variables are determined. The difference between the actual and the ‘normal’ level of the variables </w:t>
      </w:r>
      <w:r w:rsidR="007F7B82">
        <w:rPr>
          <w:rFonts w:cs="Calibri"/>
          <w:lang w:val="en-GB"/>
        </w:rPr>
        <w:t>is</w:t>
      </w:r>
      <w:r>
        <w:rPr>
          <w:rFonts w:cs="Calibri"/>
          <w:lang w:val="en-GB"/>
        </w:rPr>
        <w:t xml:space="preserve"> indicat</w:t>
      </w:r>
      <w:r w:rsidR="007F7B82">
        <w:rPr>
          <w:rFonts w:cs="Calibri"/>
          <w:lang w:val="en-GB"/>
        </w:rPr>
        <w:t>ive</w:t>
      </w:r>
      <w:r>
        <w:rPr>
          <w:rFonts w:cs="Calibri"/>
          <w:lang w:val="en-GB"/>
        </w:rPr>
        <w:t xml:space="preserve"> for the use of earnings management. Roychowdhury (2006) compares suspect firm-years with the rest of the sample for the detecting of earnings management. A regression with the abnormal level of a variable as dependent variable will check the influence of control variables like size and market-to-book ratio (Roychowdhury 2006, p</w:t>
      </w:r>
      <w:r w:rsidR="00936DC8">
        <w:rPr>
          <w:rFonts w:cs="Calibri"/>
          <w:lang w:val="en-GB"/>
        </w:rPr>
        <w:t xml:space="preserve"> </w:t>
      </w:r>
      <w:r>
        <w:rPr>
          <w:rFonts w:cs="Calibri"/>
          <w:lang w:val="en-GB"/>
        </w:rPr>
        <w:t xml:space="preserve">349-350).  </w:t>
      </w:r>
    </w:p>
    <w:p w:rsidR="001C6A3E" w:rsidRPr="00F67CC4" w:rsidRDefault="002E7013" w:rsidP="00335CD4">
      <w:pPr>
        <w:spacing w:line="360" w:lineRule="auto"/>
        <w:rPr>
          <w:rFonts w:cs="Calibri"/>
          <w:bCs/>
          <w:lang w:val="en-GB"/>
        </w:rPr>
      </w:pPr>
      <w:r>
        <w:rPr>
          <w:rFonts w:cs="Calibri"/>
          <w:b/>
          <w:bCs/>
          <w:lang w:val="en-GB"/>
        </w:rPr>
        <w:t>3.4.3</w:t>
      </w:r>
      <w:r w:rsidR="001C6A3E" w:rsidRPr="00F67CC4">
        <w:rPr>
          <w:rFonts w:cs="Calibri"/>
          <w:b/>
          <w:bCs/>
          <w:lang w:val="en-GB"/>
        </w:rPr>
        <w:t>.4 Gunny (2010)</w:t>
      </w:r>
      <w:r w:rsidR="00335CD4" w:rsidRPr="00F67CC4">
        <w:rPr>
          <w:rFonts w:cs="Calibri"/>
          <w:b/>
          <w:bCs/>
          <w:u w:val="single"/>
          <w:lang w:val="en-GB"/>
        </w:rPr>
        <w:br/>
      </w:r>
      <w:r w:rsidR="001C6A3E" w:rsidRPr="00F67CC4">
        <w:rPr>
          <w:rFonts w:cs="Calibri"/>
          <w:bCs/>
          <w:lang w:val="en-GB"/>
        </w:rPr>
        <w:t xml:space="preserve">The </w:t>
      </w:r>
      <w:r w:rsidR="0012210F">
        <w:rPr>
          <w:rFonts w:cs="Calibri"/>
          <w:bCs/>
          <w:lang w:val="en-GB"/>
        </w:rPr>
        <w:t>research</w:t>
      </w:r>
      <w:r w:rsidR="001C6A3E" w:rsidRPr="00F67CC4">
        <w:rPr>
          <w:rFonts w:cs="Calibri"/>
          <w:bCs/>
          <w:lang w:val="en-GB"/>
        </w:rPr>
        <w:t xml:space="preserve"> of Gunny (2010) focuses on four </w:t>
      </w:r>
      <w:r w:rsidR="00764C63" w:rsidRPr="00F67CC4">
        <w:rPr>
          <w:rFonts w:cs="Calibri"/>
          <w:bCs/>
          <w:lang w:val="en-GB"/>
        </w:rPr>
        <w:t>aspects</w:t>
      </w:r>
      <w:r w:rsidR="001C6A3E" w:rsidRPr="00F67CC4">
        <w:rPr>
          <w:rFonts w:cs="Calibri"/>
          <w:bCs/>
          <w:lang w:val="en-GB"/>
        </w:rPr>
        <w:t xml:space="preserve"> that are demonstrated to</w:t>
      </w:r>
      <w:r w:rsidR="00764C63" w:rsidRPr="00F67CC4">
        <w:rPr>
          <w:rFonts w:cs="Calibri"/>
          <w:bCs/>
          <w:lang w:val="en-GB"/>
        </w:rPr>
        <w:t xml:space="preserve"> be used for real activities manipulation</w:t>
      </w:r>
      <w:r w:rsidR="001C6A3E" w:rsidRPr="00F67CC4">
        <w:rPr>
          <w:rFonts w:cs="Calibri"/>
          <w:bCs/>
          <w:lang w:val="en-GB"/>
        </w:rPr>
        <w:t xml:space="preserve"> by empirical evidence in prior literature </w:t>
      </w:r>
      <w:r w:rsidR="001C6A3E" w:rsidRPr="00F67CC4">
        <w:rPr>
          <w:rFonts w:cs="Calibri"/>
          <w:lang w:val="en-GB"/>
        </w:rPr>
        <w:t xml:space="preserve">(Gunny 2005, Roychowdhury 2006, Zang 2006). These four </w:t>
      </w:r>
      <w:r w:rsidR="001C6A3E" w:rsidRPr="00F67CC4">
        <w:rPr>
          <w:rFonts w:cs="Calibri"/>
          <w:bCs/>
          <w:lang w:val="en-GB"/>
        </w:rPr>
        <w:t xml:space="preserve">types are (1) R&amp;D expenses, (2) SG&amp;A expenses, (3) timing of sale and gain </w:t>
      </w:r>
      <w:r w:rsidR="001C6A3E" w:rsidRPr="00F67CC4">
        <w:rPr>
          <w:rFonts w:cs="Calibri"/>
          <w:bCs/>
          <w:lang w:val="en-GB"/>
        </w:rPr>
        <w:lastRenderedPageBreak/>
        <w:t>report of fixed assets and (4) overproduction. In order to understand whether earnings are managed or ‘normal’, Gunny (2010) developed models to estimate the expected (i.e. ‘norma</w:t>
      </w:r>
      <w:r w:rsidR="00CB507C" w:rsidRPr="00F67CC4">
        <w:rPr>
          <w:rFonts w:cs="Calibri"/>
          <w:bCs/>
          <w:lang w:val="en-GB"/>
        </w:rPr>
        <w:t xml:space="preserve">l’) level of all four expenses or gains </w:t>
      </w:r>
      <w:r w:rsidR="001C6A3E" w:rsidRPr="00F67CC4">
        <w:rPr>
          <w:rFonts w:cs="Calibri"/>
          <w:bCs/>
          <w:lang w:val="en-GB"/>
        </w:rPr>
        <w:t>associated with</w:t>
      </w:r>
      <w:r w:rsidR="00936DC8">
        <w:rPr>
          <w:rFonts w:cs="Calibri"/>
          <w:bCs/>
          <w:lang w:val="en-GB"/>
        </w:rPr>
        <w:t xml:space="preserve"> the use of</w:t>
      </w:r>
      <w:r w:rsidR="001C6A3E" w:rsidRPr="00F67CC4">
        <w:rPr>
          <w:rFonts w:cs="Calibri"/>
          <w:bCs/>
          <w:lang w:val="en-GB"/>
        </w:rPr>
        <w:t xml:space="preserve"> real earnings management (Gunny 2010, p862)</w:t>
      </w:r>
      <w:r w:rsidR="00CC51EC" w:rsidRPr="00F67CC4">
        <w:rPr>
          <w:rFonts w:cs="Calibri"/>
          <w:bCs/>
          <w:lang w:val="en-GB"/>
        </w:rPr>
        <w:t>.</w:t>
      </w:r>
    </w:p>
    <w:p w:rsidR="001C6A3E" w:rsidRPr="00F67CC4" w:rsidRDefault="001C6A3E" w:rsidP="00137B55">
      <w:pPr>
        <w:spacing w:before="240" w:line="360" w:lineRule="auto"/>
        <w:rPr>
          <w:rFonts w:cs="Calibri"/>
          <w:bCs/>
          <w:lang w:val="en-GB"/>
        </w:rPr>
      </w:pPr>
      <w:r w:rsidRPr="00F67CC4">
        <w:rPr>
          <w:rFonts w:cs="Calibri"/>
          <w:bCs/>
          <w:lang w:val="en-GB"/>
        </w:rPr>
        <w:t xml:space="preserve">The first </w:t>
      </w:r>
      <w:r w:rsidR="00737D20" w:rsidRPr="00F67CC4">
        <w:rPr>
          <w:rFonts w:cs="Calibri"/>
          <w:bCs/>
          <w:lang w:val="en-GB"/>
        </w:rPr>
        <w:t>proxy for</w:t>
      </w:r>
      <w:r w:rsidRPr="00F67CC4">
        <w:rPr>
          <w:rFonts w:cs="Calibri"/>
          <w:bCs/>
          <w:lang w:val="en-GB"/>
        </w:rPr>
        <w:t xml:space="preserve"> </w:t>
      </w:r>
      <w:r w:rsidR="00936DC8">
        <w:rPr>
          <w:rFonts w:cs="Calibri"/>
          <w:bCs/>
          <w:lang w:val="en-GB"/>
        </w:rPr>
        <w:t xml:space="preserve">the use of </w:t>
      </w:r>
      <w:r w:rsidRPr="00F67CC4">
        <w:rPr>
          <w:rFonts w:cs="Calibri"/>
          <w:bCs/>
          <w:lang w:val="en-GB"/>
        </w:rPr>
        <w:t xml:space="preserve">real earnings management is a discretionary expense, </w:t>
      </w:r>
      <w:r w:rsidR="00B4261A" w:rsidRPr="00F67CC4">
        <w:rPr>
          <w:rFonts w:cs="Calibri"/>
          <w:bCs/>
          <w:lang w:val="en-GB"/>
        </w:rPr>
        <w:t xml:space="preserve">the </w:t>
      </w:r>
      <w:r w:rsidRPr="00F67CC4">
        <w:rPr>
          <w:rFonts w:cs="Calibri"/>
          <w:bCs/>
          <w:lang w:val="en-GB"/>
        </w:rPr>
        <w:t>R&amp;D expenses</w:t>
      </w:r>
      <w:r w:rsidR="00C53A24">
        <w:rPr>
          <w:rFonts w:cs="Calibri"/>
          <w:bCs/>
          <w:lang w:val="en-GB"/>
        </w:rPr>
        <w:t xml:space="preserve"> of a company</w:t>
      </w:r>
      <w:r w:rsidRPr="00E652FA">
        <w:rPr>
          <w:rFonts w:cs="Calibri"/>
          <w:bCs/>
          <w:lang w:val="en-GB"/>
        </w:rPr>
        <w:t>.</w:t>
      </w:r>
      <w:r w:rsidR="00CB507C" w:rsidRPr="00E652FA">
        <w:rPr>
          <w:rFonts w:cs="Calibri"/>
          <w:bCs/>
          <w:lang w:val="en-GB"/>
        </w:rPr>
        <w:t xml:space="preserve"> Baber et al. (1991), Dechow and Sloan (1991), Bushee (1998), Bens et al. (2002) and Chen (2004) provide evidence that </w:t>
      </w:r>
      <w:r w:rsidR="00936DC8">
        <w:rPr>
          <w:rFonts w:cs="Calibri"/>
          <w:bCs/>
          <w:lang w:val="en-GB"/>
        </w:rPr>
        <w:t xml:space="preserve">the </w:t>
      </w:r>
      <w:r w:rsidR="00CB507C" w:rsidRPr="00E652FA">
        <w:rPr>
          <w:rFonts w:cs="Calibri"/>
          <w:bCs/>
          <w:lang w:val="en-GB"/>
        </w:rPr>
        <w:t>R&amp;D expenses are used to achieve various income objectives (Gunny 2010, p 858-859)</w:t>
      </w:r>
      <w:r w:rsidR="00737D20" w:rsidRPr="00E652FA">
        <w:rPr>
          <w:rFonts w:cs="Calibri"/>
          <w:bCs/>
          <w:lang w:val="en-GB"/>
        </w:rPr>
        <w:t>.</w:t>
      </w:r>
      <w:r w:rsidR="00CB507C" w:rsidRPr="00F67CC4">
        <w:rPr>
          <w:rFonts w:cs="Calibri"/>
          <w:bCs/>
          <w:lang w:val="en-GB"/>
        </w:rPr>
        <w:t xml:space="preserve"> </w:t>
      </w:r>
      <w:r w:rsidR="00B4261A" w:rsidRPr="00F67CC4">
        <w:rPr>
          <w:rFonts w:cs="Calibri"/>
          <w:bCs/>
          <w:lang w:val="en-GB"/>
        </w:rPr>
        <w:t>With the</w:t>
      </w:r>
      <w:r w:rsidR="00936DC8">
        <w:rPr>
          <w:rFonts w:cs="Calibri"/>
          <w:bCs/>
          <w:lang w:val="en-GB"/>
        </w:rPr>
        <w:t xml:space="preserve"> evidence of these researches and the models developed by Berger (1993) and Roychowdhury (2006)</w:t>
      </w:r>
      <w:r w:rsidR="00B4261A" w:rsidRPr="00F67CC4">
        <w:rPr>
          <w:rFonts w:cs="Calibri"/>
          <w:bCs/>
          <w:lang w:val="en-GB"/>
        </w:rPr>
        <w:t xml:space="preserve">, Gunny (2010) expresses the </w:t>
      </w:r>
      <w:r w:rsidRPr="00F67CC4">
        <w:rPr>
          <w:rFonts w:cs="Calibri"/>
          <w:bCs/>
          <w:lang w:val="en-GB"/>
        </w:rPr>
        <w:t>normal level of R&amp;D expense</w:t>
      </w:r>
      <w:r w:rsidR="00B4261A" w:rsidRPr="00F67CC4">
        <w:rPr>
          <w:rFonts w:cs="Calibri"/>
          <w:bCs/>
          <w:lang w:val="en-GB"/>
        </w:rPr>
        <w:t xml:space="preserve"> by</w:t>
      </w:r>
      <w:r w:rsidRPr="00F67CC4">
        <w:rPr>
          <w:rFonts w:cs="Calibri"/>
          <w:bCs/>
          <w:lang w:val="en-GB"/>
        </w:rPr>
        <w:t xml:space="preserve"> the following model:</w:t>
      </w:r>
    </w:p>
    <w:p w:rsidR="001C6A3E" w:rsidRPr="00F67CC4" w:rsidRDefault="001C6A3E" w:rsidP="007F7B82">
      <w:pPr>
        <w:spacing w:line="360" w:lineRule="auto"/>
        <w:rPr>
          <w:rFonts w:cs="Calibri"/>
          <w:b/>
          <w:bCs/>
          <w:sz w:val="28"/>
          <w:szCs w:val="28"/>
          <w:lang w:val="en-GB"/>
        </w:rPr>
      </w:pPr>
      <w:r w:rsidRPr="00F67CC4">
        <w:rPr>
          <w:rFonts w:cs="Calibri"/>
          <w:b/>
          <w:bCs/>
          <w:sz w:val="28"/>
          <w:szCs w:val="28"/>
          <w:lang w:val="en-GB"/>
        </w:rPr>
        <w:t>RD</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α</w:t>
      </w:r>
      <w:r w:rsidRPr="00F67CC4">
        <w:rPr>
          <w:rFonts w:cs="Calibri"/>
          <w:b/>
          <w:bCs/>
          <w:sz w:val="28"/>
          <w:szCs w:val="28"/>
          <w:lang w:val="en-GB"/>
        </w:rPr>
        <w:t xml:space="preserve">0 + </w:t>
      </w:r>
      <w:r w:rsidRPr="00F67CC4">
        <w:rPr>
          <w:rFonts w:cs="Calibri"/>
          <w:b/>
          <w:sz w:val="28"/>
          <w:szCs w:val="28"/>
          <w:lang w:val="fr-FR"/>
        </w:rPr>
        <w:t>α</w:t>
      </w:r>
      <w:r w:rsidRPr="00F67CC4">
        <w:rPr>
          <w:rFonts w:cs="Calibri"/>
          <w:b/>
          <w:bCs/>
          <w:sz w:val="28"/>
          <w:szCs w:val="28"/>
          <w:lang w:val="en-GB"/>
        </w:rPr>
        <w:t>1*(1/A</w:t>
      </w:r>
      <w:r w:rsidRPr="00F67CC4">
        <w:rPr>
          <w:rFonts w:cs="Calibri"/>
          <w:b/>
          <w:bCs/>
          <w:lang w:val="en-GB"/>
        </w:rPr>
        <w:t>t-1</w:t>
      </w:r>
      <w:r w:rsidRPr="00F67CC4">
        <w:rPr>
          <w:rFonts w:cs="Calibri"/>
          <w:b/>
          <w:bCs/>
          <w:sz w:val="28"/>
          <w:szCs w:val="28"/>
          <w:lang w:val="en-GB"/>
        </w:rPr>
        <w:t>)</w:t>
      </w:r>
      <w:r w:rsidRPr="00F67CC4">
        <w:rPr>
          <w:rFonts w:cs="Calibri"/>
          <w:b/>
          <w:bCs/>
          <w:lang w:val="en-GB"/>
        </w:rPr>
        <w:t xml:space="preserve">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1*MV</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2*Q</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3*(INT</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t-1</w:t>
      </w:r>
      <w:r w:rsidRPr="00F67CC4">
        <w:rPr>
          <w:rFonts w:cs="Calibri"/>
          <w:b/>
          <w:bCs/>
          <w:sz w:val="28"/>
          <w:szCs w:val="28"/>
          <w:lang w:val="en-GB"/>
        </w:rPr>
        <w:t>)</w:t>
      </w:r>
      <w:r w:rsidRPr="00F67CC4">
        <w:rPr>
          <w:rFonts w:cs="Calibri"/>
          <w:b/>
          <w:bCs/>
          <w:lang w:val="en-GB"/>
        </w:rPr>
        <w:t xml:space="preserve">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4*(RD</w:t>
      </w:r>
      <w:r w:rsidRPr="00F67CC4">
        <w:rPr>
          <w:rFonts w:cs="Calibri"/>
          <w:b/>
          <w:bCs/>
          <w:lang w:val="en-GB"/>
        </w:rPr>
        <w:t>t-1</w:t>
      </w:r>
      <w:r w:rsidRPr="00F67CC4">
        <w:rPr>
          <w:rFonts w:cs="Calibri"/>
          <w:b/>
          <w:bCs/>
          <w:sz w:val="28"/>
          <w:szCs w:val="28"/>
          <w:lang w:val="en-GB"/>
        </w:rPr>
        <w:t xml:space="preserve"> / A</w:t>
      </w:r>
      <w:r w:rsidRPr="00F67CC4">
        <w:rPr>
          <w:rFonts w:cs="Calibri"/>
          <w:b/>
          <w:bCs/>
          <w:lang w:val="en-GB"/>
        </w:rPr>
        <w:t>t-1</w:t>
      </w:r>
      <w:r w:rsidRPr="00F67CC4">
        <w:rPr>
          <w:rFonts w:cs="Calibri"/>
          <w:b/>
          <w:bCs/>
          <w:sz w:val="28"/>
          <w:szCs w:val="28"/>
          <w:lang w:val="en-GB"/>
        </w:rPr>
        <w:t>) + e</w:t>
      </w:r>
      <w:r w:rsidRPr="00F67CC4">
        <w:rPr>
          <w:rFonts w:cs="Calibri"/>
          <w:b/>
          <w:bCs/>
          <w:sz w:val="20"/>
          <w:szCs w:val="20"/>
          <w:lang w:val="en-GB"/>
        </w:rPr>
        <w:t>R&amp;Dt</w:t>
      </w:r>
      <w:r w:rsidRPr="00F67CC4">
        <w:rPr>
          <w:rFonts w:cs="Calibri"/>
          <w:b/>
          <w:bCs/>
          <w:sz w:val="28"/>
          <w:szCs w:val="28"/>
          <w:lang w:val="en-GB"/>
        </w:rPr>
        <w:t xml:space="preserve"> (1)</w:t>
      </w:r>
    </w:p>
    <w:p w:rsidR="00BE4B9B" w:rsidRPr="00F67CC4" w:rsidRDefault="001C6A3E" w:rsidP="007F7B82">
      <w:pPr>
        <w:spacing w:line="360" w:lineRule="auto"/>
        <w:rPr>
          <w:rFonts w:cs="Calibri"/>
          <w:b/>
          <w:bCs/>
          <w:lang w:val="en-GB"/>
        </w:rPr>
      </w:pPr>
      <w:r w:rsidRPr="00F67CC4">
        <w:rPr>
          <w:rFonts w:cs="Calibri"/>
          <w:b/>
          <w:bCs/>
          <w:lang w:val="en-GB"/>
        </w:rPr>
        <w:t>RD = R&amp;D expense</w:t>
      </w:r>
      <w:r w:rsidR="007F7B82">
        <w:rPr>
          <w:rFonts w:cs="Calibri"/>
          <w:b/>
          <w:bCs/>
          <w:lang w:val="en-GB"/>
        </w:rPr>
        <w:br/>
      </w:r>
      <w:r w:rsidR="00CF75BA">
        <w:rPr>
          <w:rFonts w:cs="Calibri"/>
          <w:b/>
          <w:bCs/>
          <w:lang w:val="en-GB"/>
        </w:rPr>
        <w:t>A = T</w:t>
      </w:r>
      <w:r w:rsidRPr="00F67CC4">
        <w:rPr>
          <w:rFonts w:cs="Calibri"/>
          <w:b/>
          <w:bCs/>
          <w:lang w:val="en-GB"/>
        </w:rPr>
        <w:t>otal assets</w:t>
      </w:r>
      <w:r w:rsidR="007F7B82">
        <w:rPr>
          <w:rFonts w:cs="Calibri"/>
          <w:b/>
          <w:bCs/>
          <w:lang w:val="en-GB"/>
        </w:rPr>
        <w:br/>
      </w:r>
      <w:r w:rsidR="00CF75BA">
        <w:rPr>
          <w:rFonts w:cs="Calibri"/>
          <w:b/>
          <w:bCs/>
          <w:lang w:val="en-GB"/>
        </w:rPr>
        <w:t>MV = T</w:t>
      </w:r>
      <w:r w:rsidRPr="00F67CC4">
        <w:rPr>
          <w:rFonts w:cs="Calibri"/>
          <w:b/>
          <w:bCs/>
          <w:lang w:val="en-GB"/>
        </w:rPr>
        <w:t>he natural log of market value</w:t>
      </w:r>
      <w:r w:rsidR="007F7B82">
        <w:rPr>
          <w:rFonts w:cs="Calibri"/>
          <w:b/>
          <w:bCs/>
          <w:lang w:val="en-GB"/>
        </w:rPr>
        <w:br/>
      </w:r>
      <w:r w:rsidR="00764C63" w:rsidRPr="00F67CC4">
        <w:rPr>
          <w:rFonts w:cs="Calibri"/>
          <w:b/>
          <w:bCs/>
          <w:lang w:val="en-GB"/>
        </w:rPr>
        <w:t>Q = Tobin’s Q</w:t>
      </w:r>
      <w:r w:rsidR="007F7B82">
        <w:rPr>
          <w:rFonts w:cs="Calibri"/>
          <w:b/>
          <w:bCs/>
          <w:lang w:val="en-GB"/>
        </w:rPr>
        <w:br/>
      </w:r>
      <w:r w:rsidR="00CF75BA">
        <w:rPr>
          <w:rFonts w:cs="Calibri"/>
          <w:b/>
          <w:bCs/>
          <w:lang w:val="en-GB"/>
        </w:rPr>
        <w:t>INT = I</w:t>
      </w:r>
      <w:r w:rsidRPr="00F67CC4">
        <w:rPr>
          <w:rFonts w:cs="Calibri"/>
          <w:b/>
          <w:bCs/>
          <w:lang w:val="en-GB"/>
        </w:rPr>
        <w:t>nternal funds</w:t>
      </w:r>
      <w:r w:rsidR="007F7B82">
        <w:rPr>
          <w:rFonts w:cs="Calibri"/>
          <w:b/>
          <w:bCs/>
          <w:lang w:val="en-GB"/>
        </w:rPr>
        <w:br/>
      </w:r>
      <w:r w:rsidR="00BE4B9B" w:rsidRPr="00BE4B9B">
        <w:rPr>
          <w:rFonts w:cs="Calibri"/>
          <w:b/>
          <w:sz w:val="24"/>
          <w:szCs w:val="24"/>
          <w:lang w:val="en-GB"/>
        </w:rPr>
        <w:t>ε</w:t>
      </w:r>
      <w:r w:rsidR="00BE4B9B">
        <w:rPr>
          <w:rFonts w:cs="Calibri"/>
          <w:b/>
          <w:lang w:val="en-GB"/>
        </w:rPr>
        <w:t xml:space="preserve"> r&amp;d</w:t>
      </w:r>
      <w:r w:rsidR="00CF75BA">
        <w:rPr>
          <w:rFonts w:cs="Calibri"/>
          <w:b/>
          <w:lang w:val="en-GB"/>
        </w:rPr>
        <w:t xml:space="preserve"> = E</w:t>
      </w:r>
      <w:r w:rsidR="00BE4B9B" w:rsidRPr="00893F97">
        <w:rPr>
          <w:rFonts w:cs="Calibri"/>
          <w:b/>
          <w:lang w:val="en-GB"/>
        </w:rPr>
        <w:t>rror term</w:t>
      </w:r>
      <w:r w:rsidR="00CF75BA">
        <w:rPr>
          <w:rFonts w:cs="Calibri"/>
          <w:b/>
          <w:lang w:val="en-GB"/>
        </w:rPr>
        <w:br/>
      </w:r>
      <w:r w:rsidR="00CF75BA" w:rsidRPr="00F67CC4">
        <w:rPr>
          <w:rFonts w:cs="Calibri"/>
          <w:b/>
          <w:bCs/>
          <w:lang w:val="en-GB"/>
        </w:rPr>
        <w:t xml:space="preserve">t = </w:t>
      </w:r>
      <w:r w:rsidR="00CF75BA">
        <w:rPr>
          <w:rFonts w:cs="Calibri"/>
          <w:b/>
          <w:bCs/>
          <w:lang w:val="en-GB"/>
        </w:rPr>
        <w:t>Year</w:t>
      </w:r>
      <w:r w:rsidR="00CF75BA" w:rsidRPr="00F67CC4">
        <w:rPr>
          <w:rFonts w:cs="Calibri"/>
          <w:b/>
          <w:bCs/>
          <w:lang w:val="en-GB"/>
        </w:rPr>
        <w:t xml:space="preserve"> index</w:t>
      </w:r>
    </w:p>
    <w:p w:rsidR="001C6A3E" w:rsidRPr="00F67CC4" w:rsidRDefault="001C6A3E" w:rsidP="00F74511">
      <w:pPr>
        <w:spacing w:line="360" w:lineRule="auto"/>
        <w:rPr>
          <w:rFonts w:cs="Calibri"/>
          <w:bCs/>
          <w:lang w:val="en-GB"/>
        </w:rPr>
      </w:pPr>
      <w:r w:rsidRPr="00F67CC4">
        <w:rPr>
          <w:rFonts w:cs="Calibri"/>
          <w:bCs/>
          <w:lang w:val="en-GB"/>
        </w:rPr>
        <w:t xml:space="preserve">The second proxy </w:t>
      </w:r>
      <w:r w:rsidR="00281AF2" w:rsidRPr="00F67CC4">
        <w:rPr>
          <w:rFonts w:cs="Calibri"/>
          <w:bCs/>
          <w:lang w:val="en-GB"/>
        </w:rPr>
        <w:t>for</w:t>
      </w:r>
      <w:r w:rsidR="00936DC8">
        <w:rPr>
          <w:rFonts w:cs="Calibri"/>
          <w:bCs/>
          <w:lang w:val="en-GB"/>
        </w:rPr>
        <w:t xml:space="preserve"> the use of</w:t>
      </w:r>
      <w:r w:rsidR="00281AF2" w:rsidRPr="00F67CC4">
        <w:rPr>
          <w:rFonts w:cs="Calibri"/>
          <w:bCs/>
          <w:lang w:val="en-GB"/>
        </w:rPr>
        <w:t xml:space="preserve"> real earnings management </w:t>
      </w:r>
      <w:r w:rsidR="00936DC8">
        <w:rPr>
          <w:rFonts w:cs="Calibri"/>
          <w:bCs/>
          <w:lang w:val="en-GB"/>
        </w:rPr>
        <w:t>is</w:t>
      </w:r>
      <w:r w:rsidR="00737D20" w:rsidRPr="00F67CC4">
        <w:rPr>
          <w:rFonts w:cs="Calibri"/>
          <w:bCs/>
          <w:lang w:val="en-GB"/>
        </w:rPr>
        <w:t xml:space="preserve"> </w:t>
      </w:r>
      <w:r w:rsidR="00281AF2" w:rsidRPr="00F67CC4">
        <w:rPr>
          <w:rFonts w:cs="Calibri"/>
          <w:bCs/>
          <w:lang w:val="en-GB"/>
        </w:rPr>
        <w:t>the SG&amp;A expenses. T</w:t>
      </w:r>
      <w:r w:rsidRPr="00F67CC4">
        <w:rPr>
          <w:rFonts w:cs="Calibri"/>
          <w:bCs/>
          <w:lang w:val="en-GB"/>
        </w:rPr>
        <w:t xml:space="preserve">he normal level of SG&amp;A is estimated </w:t>
      </w:r>
      <w:r w:rsidR="00281AF2" w:rsidRPr="00F67CC4">
        <w:rPr>
          <w:rFonts w:cs="Calibri"/>
          <w:bCs/>
          <w:lang w:val="en-GB"/>
        </w:rPr>
        <w:t xml:space="preserve">by </w:t>
      </w:r>
      <w:r w:rsidRPr="00F67CC4">
        <w:rPr>
          <w:rFonts w:cs="Calibri"/>
          <w:bCs/>
          <w:lang w:val="en-GB"/>
        </w:rPr>
        <w:t>the following model:</w:t>
      </w:r>
    </w:p>
    <w:p w:rsidR="001C6A3E" w:rsidRPr="00F67CC4" w:rsidRDefault="001C6A3E" w:rsidP="00F74511">
      <w:pPr>
        <w:spacing w:line="360" w:lineRule="auto"/>
        <w:rPr>
          <w:rFonts w:cs="Calibri"/>
          <w:b/>
          <w:bCs/>
          <w:sz w:val="28"/>
          <w:szCs w:val="28"/>
          <w:lang w:val="en-GB"/>
        </w:rPr>
      </w:pPr>
      <w:r w:rsidRPr="00F67CC4">
        <w:rPr>
          <w:rFonts w:cs="Calibri"/>
          <w:b/>
          <w:bCs/>
          <w:sz w:val="28"/>
          <w:szCs w:val="28"/>
          <w:lang w:val="en-GB"/>
        </w:rPr>
        <w:t>SGA</w:t>
      </w:r>
      <w:r w:rsidRPr="00F67CC4">
        <w:rPr>
          <w:rFonts w:cs="Calibri"/>
          <w:b/>
          <w:bCs/>
          <w:lang w:val="en-GB"/>
        </w:rPr>
        <w:t xml:space="preserve">t </w:t>
      </w:r>
      <w:r w:rsidRPr="00F67CC4">
        <w:rPr>
          <w:rFonts w:cs="Calibri"/>
          <w:b/>
          <w:bCs/>
          <w:sz w:val="28"/>
          <w:szCs w:val="28"/>
          <w:lang w:val="en-GB"/>
        </w:rPr>
        <w:t>/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α</w:t>
      </w:r>
      <w:r w:rsidRPr="00F67CC4">
        <w:rPr>
          <w:rFonts w:cs="Calibri"/>
          <w:b/>
          <w:bCs/>
          <w:sz w:val="28"/>
          <w:szCs w:val="28"/>
          <w:lang w:val="en-GB"/>
        </w:rPr>
        <w:t xml:space="preserve">0 + </w:t>
      </w:r>
      <w:r w:rsidRPr="00F67CC4">
        <w:rPr>
          <w:rFonts w:cs="Calibri"/>
          <w:b/>
          <w:sz w:val="28"/>
          <w:szCs w:val="28"/>
          <w:lang w:val="fr-FR"/>
        </w:rPr>
        <w:t>α</w:t>
      </w:r>
      <w:r w:rsidRPr="00F67CC4">
        <w:rPr>
          <w:rFonts w:cs="Calibri"/>
          <w:b/>
          <w:bCs/>
          <w:sz w:val="28"/>
          <w:szCs w:val="28"/>
          <w:lang w:val="en-GB"/>
        </w:rPr>
        <w:t>1*(1/A</w:t>
      </w:r>
      <w:r w:rsidRPr="00F67CC4">
        <w:rPr>
          <w:rFonts w:cs="Calibri"/>
          <w:b/>
          <w:bCs/>
          <w:lang w:val="en-GB"/>
        </w:rPr>
        <w:t>t-1</w:t>
      </w:r>
      <w:r w:rsidRPr="00F67CC4">
        <w:rPr>
          <w:rFonts w:cs="Calibri"/>
          <w:b/>
          <w:bCs/>
          <w:sz w:val="28"/>
          <w:szCs w:val="28"/>
          <w:lang w:val="en-GB"/>
        </w:rPr>
        <w:t>)</w:t>
      </w:r>
      <w:r w:rsidRPr="00F67CC4">
        <w:rPr>
          <w:rFonts w:cs="Calibri"/>
          <w:b/>
          <w:bCs/>
          <w:lang w:val="en-GB"/>
        </w:rPr>
        <w:t xml:space="preserve">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1*MV</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2*Q</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3*(INT</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t-1</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4*(ΔS</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t-1</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5*(ΔS</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t-1</w:t>
      </w:r>
      <w:r w:rsidRPr="00F67CC4">
        <w:rPr>
          <w:rFonts w:cs="Calibri"/>
          <w:b/>
          <w:bCs/>
          <w:sz w:val="28"/>
          <w:szCs w:val="28"/>
          <w:lang w:val="en-GB"/>
        </w:rPr>
        <w:t>)</w:t>
      </w:r>
      <w:r w:rsidRPr="00F67CC4">
        <w:rPr>
          <w:rFonts w:cs="Calibri"/>
          <w:b/>
          <w:bCs/>
          <w:lang w:val="en-GB"/>
        </w:rPr>
        <w:t xml:space="preserve"> </w:t>
      </w:r>
      <w:r w:rsidRPr="00F67CC4">
        <w:rPr>
          <w:rFonts w:cs="Calibri"/>
          <w:b/>
          <w:bCs/>
          <w:sz w:val="28"/>
          <w:szCs w:val="28"/>
          <w:lang w:val="en-GB"/>
        </w:rPr>
        <w:t>* DD + e</w:t>
      </w:r>
      <w:r w:rsidRPr="00F67CC4">
        <w:rPr>
          <w:rFonts w:cs="Calibri"/>
          <w:b/>
          <w:bCs/>
          <w:sz w:val="20"/>
          <w:szCs w:val="20"/>
          <w:lang w:val="en-GB"/>
        </w:rPr>
        <w:t>SG&amp;At</w:t>
      </w:r>
      <w:r w:rsidRPr="00F67CC4">
        <w:rPr>
          <w:rFonts w:cs="Calibri"/>
          <w:b/>
          <w:bCs/>
          <w:sz w:val="28"/>
          <w:szCs w:val="28"/>
          <w:lang w:val="en-GB"/>
        </w:rPr>
        <w:t xml:space="preserve"> (2)</w:t>
      </w:r>
    </w:p>
    <w:p w:rsidR="00BE4B9B" w:rsidRPr="00F67CC4" w:rsidRDefault="001C6A3E" w:rsidP="007F7B82">
      <w:pPr>
        <w:spacing w:line="360" w:lineRule="auto"/>
        <w:rPr>
          <w:rFonts w:cs="Calibri"/>
          <w:b/>
          <w:bCs/>
          <w:lang w:val="en-GB"/>
        </w:rPr>
      </w:pPr>
      <w:r w:rsidRPr="00F67CC4">
        <w:rPr>
          <w:rFonts w:cs="Calibri"/>
          <w:b/>
          <w:bCs/>
          <w:lang w:val="en-GB"/>
        </w:rPr>
        <w:t>SGA = Selling, General &amp; Administrative expenses</w:t>
      </w:r>
      <w:r w:rsidR="007F7B82">
        <w:rPr>
          <w:rFonts w:cs="Calibri"/>
          <w:b/>
          <w:bCs/>
          <w:lang w:val="en-GB"/>
        </w:rPr>
        <w:br/>
      </w:r>
      <w:r w:rsidR="00CF75BA">
        <w:rPr>
          <w:rFonts w:cs="Calibri"/>
          <w:b/>
          <w:bCs/>
          <w:lang w:val="en-GB"/>
        </w:rPr>
        <w:t>A = T</w:t>
      </w:r>
      <w:r w:rsidR="00281AF2" w:rsidRPr="00F67CC4">
        <w:rPr>
          <w:rFonts w:cs="Calibri"/>
          <w:b/>
          <w:bCs/>
          <w:lang w:val="en-GB"/>
        </w:rPr>
        <w:t>otal assets</w:t>
      </w:r>
      <w:r w:rsidR="007F7B82">
        <w:rPr>
          <w:rFonts w:cs="Calibri"/>
          <w:b/>
          <w:bCs/>
          <w:lang w:val="en-GB"/>
        </w:rPr>
        <w:br/>
      </w:r>
      <w:r w:rsidR="00CF75BA">
        <w:rPr>
          <w:rFonts w:cs="Calibri"/>
          <w:b/>
          <w:bCs/>
          <w:lang w:val="en-GB"/>
        </w:rPr>
        <w:t>MV = T</w:t>
      </w:r>
      <w:r w:rsidRPr="00F67CC4">
        <w:rPr>
          <w:rFonts w:cs="Calibri"/>
          <w:b/>
          <w:bCs/>
          <w:lang w:val="en-GB"/>
        </w:rPr>
        <w:t>he na</w:t>
      </w:r>
      <w:r w:rsidR="00281AF2" w:rsidRPr="00F67CC4">
        <w:rPr>
          <w:rFonts w:cs="Calibri"/>
          <w:b/>
          <w:bCs/>
          <w:lang w:val="en-GB"/>
        </w:rPr>
        <w:t>tural logarithm of market value</w:t>
      </w:r>
      <w:r w:rsidR="007F7B82">
        <w:rPr>
          <w:rFonts w:cs="Calibri"/>
          <w:b/>
          <w:bCs/>
          <w:lang w:val="en-GB"/>
        </w:rPr>
        <w:br/>
      </w:r>
      <w:r w:rsidRPr="00F67CC4">
        <w:rPr>
          <w:rFonts w:cs="Calibri"/>
          <w:b/>
          <w:bCs/>
          <w:lang w:val="en-GB"/>
        </w:rPr>
        <w:t>Q</w:t>
      </w:r>
      <w:r w:rsidR="00281AF2" w:rsidRPr="00F67CC4">
        <w:rPr>
          <w:rFonts w:cs="Calibri"/>
          <w:b/>
          <w:bCs/>
          <w:lang w:val="en-GB"/>
        </w:rPr>
        <w:t xml:space="preserve"> = Tobin’s Q</w:t>
      </w:r>
      <w:r w:rsidR="007F7B82">
        <w:rPr>
          <w:rFonts w:cs="Calibri"/>
          <w:b/>
          <w:bCs/>
          <w:lang w:val="en-GB"/>
        </w:rPr>
        <w:br/>
      </w:r>
      <w:r w:rsidR="00CF75BA">
        <w:rPr>
          <w:rFonts w:cs="Calibri"/>
          <w:b/>
          <w:bCs/>
          <w:lang w:val="en-GB"/>
        </w:rPr>
        <w:t>INT = I</w:t>
      </w:r>
      <w:r w:rsidR="00281AF2" w:rsidRPr="00F67CC4">
        <w:rPr>
          <w:rFonts w:cs="Calibri"/>
          <w:b/>
          <w:bCs/>
          <w:lang w:val="en-GB"/>
        </w:rPr>
        <w:t>nternal funds</w:t>
      </w:r>
      <w:r w:rsidR="007F7B82">
        <w:rPr>
          <w:rFonts w:cs="Calibri"/>
          <w:b/>
          <w:bCs/>
          <w:lang w:val="en-GB"/>
        </w:rPr>
        <w:br/>
      </w:r>
      <w:r w:rsidR="00CF75BA">
        <w:rPr>
          <w:rFonts w:cs="Calibri"/>
          <w:b/>
          <w:bCs/>
          <w:lang w:val="en-GB"/>
        </w:rPr>
        <w:t>S = T</w:t>
      </w:r>
      <w:r w:rsidR="00394B8C" w:rsidRPr="00F67CC4">
        <w:rPr>
          <w:rFonts w:cs="Calibri"/>
          <w:b/>
          <w:bCs/>
          <w:lang w:val="en-GB"/>
        </w:rPr>
        <w:t>otal sales</w:t>
      </w:r>
      <w:r w:rsidR="007F7B82">
        <w:rPr>
          <w:rFonts w:cs="Calibri"/>
          <w:b/>
          <w:bCs/>
          <w:lang w:val="en-GB"/>
        </w:rPr>
        <w:br/>
      </w:r>
      <w:r w:rsidR="00CF75BA">
        <w:rPr>
          <w:rFonts w:cs="Calibri"/>
          <w:b/>
          <w:bCs/>
          <w:lang w:val="en-GB"/>
        </w:rPr>
        <w:t>DD = I</w:t>
      </w:r>
      <w:r w:rsidRPr="00F67CC4">
        <w:rPr>
          <w:rFonts w:cs="Calibri"/>
          <w:b/>
          <w:bCs/>
          <w:lang w:val="en-GB"/>
        </w:rPr>
        <w:t>ndicator variable equal to 1 when total sales decrease betw</w:t>
      </w:r>
      <w:r w:rsidR="009F2C79" w:rsidRPr="00F67CC4">
        <w:rPr>
          <w:rFonts w:cs="Calibri"/>
          <w:b/>
          <w:bCs/>
          <w:lang w:val="en-GB"/>
        </w:rPr>
        <w:t>een t - 1 and t, zero otherwise</w:t>
      </w:r>
      <w:r w:rsidR="007F7B82">
        <w:rPr>
          <w:rFonts w:cs="Calibri"/>
          <w:b/>
          <w:bCs/>
          <w:lang w:val="en-GB"/>
        </w:rPr>
        <w:br/>
      </w:r>
      <w:r w:rsidR="00BE4B9B" w:rsidRPr="00BE4B9B">
        <w:rPr>
          <w:rFonts w:cs="Calibri"/>
          <w:b/>
          <w:sz w:val="24"/>
          <w:szCs w:val="24"/>
          <w:lang w:val="en-GB"/>
        </w:rPr>
        <w:lastRenderedPageBreak/>
        <w:t>ε</w:t>
      </w:r>
      <w:r w:rsidR="00BE4B9B">
        <w:rPr>
          <w:rFonts w:cs="Calibri"/>
          <w:b/>
          <w:lang w:val="en-GB"/>
        </w:rPr>
        <w:t xml:space="preserve"> sg&amp;a</w:t>
      </w:r>
      <w:r w:rsidR="00CF75BA">
        <w:rPr>
          <w:rFonts w:cs="Calibri"/>
          <w:b/>
          <w:lang w:val="en-GB"/>
        </w:rPr>
        <w:t xml:space="preserve"> = E</w:t>
      </w:r>
      <w:r w:rsidR="00BE4B9B" w:rsidRPr="00893F97">
        <w:rPr>
          <w:rFonts w:cs="Calibri"/>
          <w:b/>
          <w:lang w:val="en-GB"/>
        </w:rPr>
        <w:t>rror term</w:t>
      </w:r>
      <w:r w:rsidR="00CF75BA">
        <w:rPr>
          <w:rFonts w:cs="Calibri"/>
          <w:b/>
          <w:lang w:val="en-GB"/>
        </w:rPr>
        <w:br/>
      </w:r>
      <w:r w:rsidR="00CF75BA" w:rsidRPr="00F67CC4">
        <w:rPr>
          <w:rFonts w:cs="Calibri"/>
          <w:b/>
          <w:bCs/>
          <w:lang w:val="en-GB"/>
        </w:rPr>
        <w:t xml:space="preserve">t = </w:t>
      </w:r>
      <w:r w:rsidR="00CF75BA">
        <w:rPr>
          <w:rFonts w:cs="Calibri"/>
          <w:b/>
          <w:bCs/>
          <w:lang w:val="en-GB"/>
        </w:rPr>
        <w:t>Year</w:t>
      </w:r>
      <w:r w:rsidR="00CF75BA" w:rsidRPr="00F67CC4">
        <w:rPr>
          <w:rFonts w:cs="Calibri"/>
          <w:b/>
          <w:bCs/>
          <w:lang w:val="en-GB"/>
        </w:rPr>
        <w:t xml:space="preserve"> index</w:t>
      </w:r>
    </w:p>
    <w:p w:rsidR="00617C73" w:rsidRPr="00F67CC4" w:rsidRDefault="001C6A3E" w:rsidP="00F74511">
      <w:pPr>
        <w:spacing w:line="360" w:lineRule="auto"/>
        <w:rPr>
          <w:rFonts w:cs="Calibri"/>
          <w:bCs/>
          <w:lang w:val="en-GB"/>
        </w:rPr>
      </w:pPr>
      <w:r w:rsidRPr="00F67CC4">
        <w:rPr>
          <w:rFonts w:cs="Calibri"/>
          <w:bCs/>
          <w:lang w:val="en-GB"/>
        </w:rPr>
        <w:t>The second equation is about the determination of the normal level of SG&amp;A</w:t>
      </w:r>
      <w:r w:rsidR="00737D20" w:rsidRPr="00F67CC4">
        <w:rPr>
          <w:rFonts w:cs="Calibri"/>
          <w:bCs/>
          <w:lang w:val="en-GB"/>
        </w:rPr>
        <w:t xml:space="preserve"> expenses</w:t>
      </w:r>
      <w:r w:rsidRPr="00F67CC4">
        <w:rPr>
          <w:rFonts w:cs="Calibri"/>
          <w:bCs/>
          <w:lang w:val="en-GB"/>
        </w:rPr>
        <w:t>. In the equation, t</w:t>
      </w:r>
      <w:r w:rsidR="00737D20" w:rsidRPr="00F67CC4">
        <w:rPr>
          <w:rFonts w:cs="Calibri"/>
          <w:bCs/>
          <w:lang w:val="en-GB"/>
        </w:rPr>
        <w:t>he same elements of the first equation of Gunny (2010)</w:t>
      </w:r>
      <w:r w:rsidRPr="00F67CC4">
        <w:rPr>
          <w:rFonts w:cs="Calibri"/>
          <w:bCs/>
          <w:lang w:val="en-GB"/>
        </w:rPr>
        <w:t xml:space="preserve"> are used plus controls for “sticky” cost behaviour</w:t>
      </w:r>
      <w:r w:rsidR="00617C73" w:rsidRPr="00F67CC4">
        <w:rPr>
          <w:rFonts w:cs="Calibri"/>
          <w:bCs/>
          <w:lang w:val="en-GB"/>
        </w:rPr>
        <w:t xml:space="preserve"> which </w:t>
      </w:r>
      <w:r w:rsidR="00BE4B9B">
        <w:rPr>
          <w:rFonts w:cs="Calibri"/>
          <w:bCs/>
          <w:lang w:val="en-GB"/>
        </w:rPr>
        <w:t>implies</w:t>
      </w:r>
      <w:r w:rsidR="00617C73" w:rsidRPr="00F67CC4">
        <w:rPr>
          <w:rFonts w:cs="Calibri"/>
          <w:bCs/>
          <w:lang w:val="en-GB"/>
        </w:rPr>
        <w:t xml:space="preserve"> that the magnitude of a cost increase</w:t>
      </w:r>
      <w:r w:rsidR="005401C0">
        <w:rPr>
          <w:rFonts w:cs="Calibri"/>
          <w:bCs/>
          <w:lang w:val="en-GB"/>
        </w:rPr>
        <w:t>s</w:t>
      </w:r>
      <w:r w:rsidR="00617C73" w:rsidRPr="00F67CC4">
        <w:rPr>
          <w:rFonts w:cs="Calibri"/>
          <w:bCs/>
          <w:lang w:val="en-GB"/>
        </w:rPr>
        <w:t xml:space="preserve"> by increased sales in greater than the magnitude of a cost decreas</w:t>
      </w:r>
      <w:r w:rsidR="007A3D33">
        <w:rPr>
          <w:rFonts w:cs="Calibri"/>
          <w:bCs/>
          <w:lang w:val="en-GB"/>
        </w:rPr>
        <w:t>e by an equal decrease in sales</w:t>
      </w:r>
      <w:r w:rsidR="00617C73" w:rsidRPr="00F67CC4">
        <w:rPr>
          <w:rFonts w:cs="Calibri"/>
          <w:bCs/>
          <w:lang w:val="en-GB"/>
        </w:rPr>
        <w:t xml:space="preserve"> (Gunny 2010, p</w:t>
      </w:r>
      <w:r w:rsidR="00BE4B9B">
        <w:rPr>
          <w:rFonts w:cs="Calibri"/>
          <w:bCs/>
          <w:lang w:val="en-GB"/>
        </w:rPr>
        <w:t xml:space="preserve"> </w:t>
      </w:r>
      <w:r w:rsidR="00617C73" w:rsidRPr="00F67CC4">
        <w:rPr>
          <w:rFonts w:cs="Calibri"/>
          <w:bCs/>
          <w:lang w:val="en-GB"/>
        </w:rPr>
        <w:t>864)</w:t>
      </w:r>
      <w:r w:rsidR="007A3D33">
        <w:rPr>
          <w:rFonts w:cs="Calibri"/>
          <w:bCs/>
          <w:lang w:val="en-GB"/>
        </w:rPr>
        <w:t>.</w:t>
      </w:r>
    </w:p>
    <w:p w:rsidR="001C6A3E" w:rsidRPr="00F67CC4" w:rsidRDefault="003F02F7" w:rsidP="00F74511">
      <w:pPr>
        <w:spacing w:line="360" w:lineRule="auto"/>
        <w:rPr>
          <w:rFonts w:cs="Calibri"/>
          <w:bCs/>
          <w:lang w:val="en-GB"/>
        </w:rPr>
      </w:pPr>
      <w:r w:rsidRPr="00F67CC4">
        <w:rPr>
          <w:rFonts w:cs="Calibri"/>
          <w:bCs/>
          <w:lang w:val="en-GB"/>
        </w:rPr>
        <w:t>Bartov (1993) and Herrman</w:t>
      </w:r>
      <w:r w:rsidR="005D2B32" w:rsidRPr="00F67CC4">
        <w:rPr>
          <w:rFonts w:cs="Calibri"/>
          <w:bCs/>
          <w:lang w:val="en-GB"/>
        </w:rPr>
        <w:t xml:space="preserve"> et al.</w:t>
      </w:r>
      <w:r w:rsidRPr="00F67CC4">
        <w:rPr>
          <w:rFonts w:cs="Calibri"/>
          <w:bCs/>
          <w:lang w:val="en-GB"/>
        </w:rPr>
        <w:t xml:space="preserve"> (2003) provide evidence for the relation between the sales of fixed assets and </w:t>
      </w:r>
      <w:r w:rsidR="00BE4B9B">
        <w:rPr>
          <w:rFonts w:cs="Calibri"/>
          <w:bCs/>
          <w:lang w:val="en-GB"/>
        </w:rPr>
        <w:t xml:space="preserve">the use of </w:t>
      </w:r>
      <w:r w:rsidRPr="00F67CC4">
        <w:rPr>
          <w:rFonts w:cs="Calibri"/>
          <w:bCs/>
          <w:lang w:val="en-GB"/>
        </w:rPr>
        <w:t>earnings management to avoid negative earnings growth</w:t>
      </w:r>
      <w:r w:rsidR="00BE4B9B">
        <w:rPr>
          <w:rFonts w:cs="Calibri"/>
          <w:bCs/>
          <w:lang w:val="en-GB"/>
        </w:rPr>
        <w:t>;</w:t>
      </w:r>
      <w:r w:rsidRPr="00F67CC4">
        <w:rPr>
          <w:rFonts w:cs="Calibri"/>
          <w:bCs/>
          <w:lang w:val="en-GB"/>
        </w:rPr>
        <w:t xml:space="preserve"> debt covenants violations and operating income. </w:t>
      </w:r>
      <w:r w:rsidR="00BE4B9B">
        <w:rPr>
          <w:rFonts w:cs="Calibri"/>
          <w:bCs/>
          <w:lang w:val="en-GB"/>
        </w:rPr>
        <w:t>Consequently</w:t>
      </w:r>
      <w:r w:rsidRPr="00F67CC4">
        <w:rPr>
          <w:rFonts w:cs="Calibri"/>
          <w:bCs/>
          <w:lang w:val="en-GB"/>
        </w:rPr>
        <w:t xml:space="preserve"> Gunny (2010) provides a model to estimate </w:t>
      </w:r>
      <w:r w:rsidR="001C6A3E" w:rsidRPr="00F67CC4">
        <w:rPr>
          <w:rFonts w:cs="Calibri"/>
          <w:bCs/>
          <w:lang w:val="en-GB"/>
        </w:rPr>
        <w:t>the normal level of gain on asset sales:</w:t>
      </w:r>
    </w:p>
    <w:p w:rsidR="001C6A3E" w:rsidRPr="00F67CC4" w:rsidRDefault="001C6A3E" w:rsidP="00F74511">
      <w:pPr>
        <w:spacing w:line="360" w:lineRule="auto"/>
        <w:rPr>
          <w:rFonts w:cs="Calibri"/>
          <w:b/>
          <w:bCs/>
          <w:sz w:val="28"/>
          <w:szCs w:val="28"/>
          <w:lang w:val="en-GB"/>
        </w:rPr>
      </w:pPr>
      <w:r w:rsidRPr="00F67CC4">
        <w:rPr>
          <w:rFonts w:cs="Calibri"/>
          <w:b/>
          <w:bCs/>
          <w:sz w:val="28"/>
          <w:szCs w:val="28"/>
          <w:lang w:val="en-GB"/>
        </w:rPr>
        <w:t>GainA</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α</w:t>
      </w:r>
      <w:r w:rsidRPr="00F67CC4">
        <w:rPr>
          <w:rFonts w:cs="Calibri"/>
          <w:b/>
          <w:bCs/>
          <w:sz w:val="28"/>
          <w:szCs w:val="28"/>
          <w:lang w:val="en-GB"/>
        </w:rPr>
        <w:t xml:space="preserve">0 + </w:t>
      </w:r>
      <w:r w:rsidRPr="00F67CC4">
        <w:rPr>
          <w:rFonts w:cs="Calibri"/>
          <w:b/>
          <w:sz w:val="28"/>
          <w:szCs w:val="28"/>
          <w:lang w:val="fr-FR"/>
        </w:rPr>
        <w:t>α</w:t>
      </w:r>
      <w:r w:rsidRPr="00F67CC4">
        <w:rPr>
          <w:rFonts w:cs="Calibri"/>
          <w:b/>
          <w:bCs/>
          <w:sz w:val="28"/>
          <w:szCs w:val="28"/>
          <w:lang w:val="en-GB"/>
        </w:rPr>
        <w:t>1*(1/A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1*MV</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2*Q</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3*(INT</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4* (ASales</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5*(ISales</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t-1</w:t>
      </w:r>
      <w:r w:rsidRPr="00F67CC4">
        <w:rPr>
          <w:rFonts w:cs="Calibri"/>
          <w:b/>
          <w:bCs/>
          <w:sz w:val="28"/>
          <w:szCs w:val="28"/>
          <w:lang w:val="en-GB"/>
        </w:rPr>
        <w:t>)</w:t>
      </w:r>
      <w:r w:rsidRPr="00F67CC4">
        <w:rPr>
          <w:rFonts w:cs="Calibri"/>
          <w:b/>
          <w:bCs/>
          <w:lang w:val="en-GB"/>
        </w:rPr>
        <w:t xml:space="preserve"> </w:t>
      </w:r>
      <w:r w:rsidRPr="00F67CC4">
        <w:rPr>
          <w:rFonts w:cs="Calibri"/>
          <w:b/>
          <w:bCs/>
          <w:sz w:val="28"/>
          <w:szCs w:val="28"/>
          <w:lang w:val="en-GB"/>
        </w:rPr>
        <w:t>+ e</w:t>
      </w:r>
      <w:r w:rsidRPr="00F67CC4">
        <w:rPr>
          <w:rFonts w:cs="Calibri"/>
          <w:b/>
          <w:bCs/>
          <w:sz w:val="20"/>
          <w:szCs w:val="20"/>
          <w:lang w:val="en-GB"/>
        </w:rPr>
        <w:t xml:space="preserve">Asset t </w:t>
      </w:r>
      <w:r w:rsidRPr="00F67CC4">
        <w:rPr>
          <w:rFonts w:cs="Calibri"/>
          <w:b/>
          <w:bCs/>
          <w:sz w:val="28"/>
          <w:szCs w:val="28"/>
          <w:lang w:val="en-GB"/>
        </w:rPr>
        <w:t>(3)</w:t>
      </w:r>
    </w:p>
    <w:p w:rsidR="00CF75BA" w:rsidRDefault="00281AF2" w:rsidP="00F74511">
      <w:pPr>
        <w:spacing w:line="360" w:lineRule="auto"/>
        <w:rPr>
          <w:rFonts w:cs="Calibri"/>
          <w:b/>
          <w:bCs/>
          <w:lang w:val="en-GB"/>
        </w:rPr>
      </w:pPr>
      <w:r w:rsidRPr="00F67CC4">
        <w:rPr>
          <w:rFonts w:cs="Calibri"/>
          <w:b/>
          <w:bCs/>
          <w:lang w:val="en-GB"/>
        </w:rPr>
        <w:t>GainA = income from asset sales</w:t>
      </w:r>
      <w:r w:rsidR="007F7B82">
        <w:rPr>
          <w:rFonts w:cs="Calibri"/>
          <w:b/>
          <w:bCs/>
          <w:lang w:val="en-GB"/>
        </w:rPr>
        <w:br/>
      </w:r>
      <w:r w:rsidR="00CF75BA">
        <w:rPr>
          <w:rFonts w:cs="Calibri"/>
          <w:b/>
          <w:bCs/>
          <w:lang w:val="en-GB"/>
        </w:rPr>
        <w:t>A = T</w:t>
      </w:r>
      <w:r w:rsidRPr="00F67CC4">
        <w:rPr>
          <w:rFonts w:cs="Calibri"/>
          <w:b/>
          <w:bCs/>
          <w:lang w:val="en-GB"/>
        </w:rPr>
        <w:t>otal assets</w:t>
      </w:r>
      <w:r w:rsidR="007F7B82">
        <w:rPr>
          <w:rFonts w:cs="Calibri"/>
          <w:b/>
          <w:bCs/>
          <w:lang w:val="en-GB"/>
        </w:rPr>
        <w:br/>
      </w:r>
      <w:r w:rsidR="00CF75BA">
        <w:rPr>
          <w:rFonts w:cs="Calibri"/>
          <w:b/>
          <w:bCs/>
          <w:lang w:val="en-GB"/>
        </w:rPr>
        <w:t>MV = T</w:t>
      </w:r>
      <w:r w:rsidR="001C6A3E" w:rsidRPr="00F67CC4">
        <w:rPr>
          <w:rFonts w:cs="Calibri"/>
          <w:b/>
          <w:bCs/>
          <w:lang w:val="en-GB"/>
        </w:rPr>
        <w:t>he na</w:t>
      </w:r>
      <w:r w:rsidRPr="00F67CC4">
        <w:rPr>
          <w:rFonts w:cs="Calibri"/>
          <w:b/>
          <w:bCs/>
          <w:lang w:val="en-GB"/>
        </w:rPr>
        <w:t>tural logarithm of market value</w:t>
      </w:r>
      <w:r w:rsidR="007F7B82">
        <w:rPr>
          <w:rFonts w:cs="Calibri"/>
          <w:b/>
          <w:bCs/>
          <w:lang w:val="en-GB"/>
        </w:rPr>
        <w:br/>
      </w:r>
      <w:r w:rsidRPr="00F67CC4">
        <w:rPr>
          <w:rFonts w:cs="Calibri"/>
          <w:b/>
          <w:bCs/>
          <w:lang w:val="en-GB"/>
        </w:rPr>
        <w:t>Q = Tobin’s Q</w:t>
      </w:r>
      <w:r w:rsidR="007F7B82">
        <w:rPr>
          <w:rFonts w:cs="Calibri"/>
          <w:b/>
          <w:bCs/>
          <w:lang w:val="en-GB"/>
        </w:rPr>
        <w:br/>
      </w:r>
      <w:r w:rsidRPr="00F67CC4">
        <w:rPr>
          <w:rFonts w:cs="Calibri"/>
          <w:b/>
          <w:bCs/>
          <w:lang w:val="en-GB"/>
        </w:rPr>
        <w:t xml:space="preserve">INT = </w:t>
      </w:r>
      <w:r w:rsidR="00CF75BA">
        <w:rPr>
          <w:rFonts w:cs="Calibri"/>
          <w:b/>
          <w:bCs/>
          <w:lang w:val="en-GB"/>
        </w:rPr>
        <w:t>I</w:t>
      </w:r>
      <w:r w:rsidRPr="00F67CC4">
        <w:rPr>
          <w:rFonts w:cs="Calibri"/>
          <w:b/>
          <w:bCs/>
          <w:lang w:val="en-GB"/>
        </w:rPr>
        <w:t>nternal funds</w:t>
      </w:r>
      <w:r w:rsidR="007F7B82">
        <w:rPr>
          <w:rFonts w:cs="Calibri"/>
          <w:b/>
          <w:bCs/>
          <w:lang w:val="en-GB"/>
        </w:rPr>
        <w:br/>
      </w:r>
      <w:r w:rsidR="001C6A3E" w:rsidRPr="00F67CC4">
        <w:rPr>
          <w:rFonts w:cs="Calibri"/>
          <w:b/>
          <w:bCs/>
          <w:lang w:val="en-GB"/>
        </w:rPr>
        <w:t>AS</w:t>
      </w:r>
      <w:r w:rsidRPr="00F67CC4">
        <w:rPr>
          <w:rFonts w:cs="Calibri"/>
          <w:b/>
          <w:bCs/>
          <w:lang w:val="en-GB"/>
        </w:rPr>
        <w:t xml:space="preserve">ales = </w:t>
      </w:r>
      <w:r w:rsidR="00CF75BA">
        <w:rPr>
          <w:rFonts w:cs="Calibri"/>
          <w:b/>
          <w:bCs/>
          <w:lang w:val="en-GB"/>
        </w:rPr>
        <w:t>L</w:t>
      </w:r>
      <w:r w:rsidRPr="00F67CC4">
        <w:rPr>
          <w:rFonts w:cs="Calibri"/>
          <w:b/>
          <w:bCs/>
          <w:lang w:val="en-GB"/>
        </w:rPr>
        <w:t xml:space="preserve">ong-lived assets sales </w:t>
      </w:r>
      <w:r w:rsidR="007F7B82">
        <w:rPr>
          <w:rFonts w:cs="Calibri"/>
          <w:b/>
          <w:bCs/>
          <w:lang w:val="en-GB"/>
        </w:rPr>
        <w:br/>
      </w:r>
      <w:r w:rsidR="001C6A3E" w:rsidRPr="00F67CC4">
        <w:rPr>
          <w:rFonts w:cs="Calibri"/>
          <w:b/>
          <w:bCs/>
          <w:lang w:val="en-GB"/>
        </w:rPr>
        <w:t>ISale</w:t>
      </w:r>
      <w:r w:rsidR="009F2C79" w:rsidRPr="00F67CC4">
        <w:rPr>
          <w:rFonts w:cs="Calibri"/>
          <w:b/>
          <w:bCs/>
          <w:lang w:val="en-GB"/>
        </w:rPr>
        <w:t xml:space="preserve">s = </w:t>
      </w:r>
      <w:r w:rsidR="00CF75BA">
        <w:rPr>
          <w:rFonts w:cs="Calibri"/>
          <w:b/>
          <w:bCs/>
          <w:lang w:val="en-GB"/>
        </w:rPr>
        <w:t>L</w:t>
      </w:r>
      <w:r w:rsidR="009F2C79" w:rsidRPr="00F67CC4">
        <w:rPr>
          <w:rFonts w:cs="Calibri"/>
          <w:b/>
          <w:bCs/>
          <w:lang w:val="en-GB"/>
        </w:rPr>
        <w:t>ong-lived investment sales</w:t>
      </w:r>
      <w:r w:rsidR="00CF75BA">
        <w:rPr>
          <w:rFonts w:cs="Calibri"/>
          <w:b/>
          <w:bCs/>
          <w:lang w:val="en-GB"/>
        </w:rPr>
        <w:br/>
      </w:r>
      <w:r w:rsidR="00CF75BA" w:rsidRPr="00BE4B9B">
        <w:rPr>
          <w:rFonts w:cs="Calibri"/>
          <w:b/>
          <w:sz w:val="24"/>
          <w:szCs w:val="24"/>
          <w:lang w:val="en-GB"/>
        </w:rPr>
        <w:t>ε</w:t>
      </w:r>
      <w:r w:rsidR="00CF75BA">
        <w:rPr>
          <w:rFonts w:cs="Calibri"/>
          <w:b/>
          <w:sz w:val="24"/>
          <w:szCs w:val="24"/>
          <w:lang w:val="en-GB"/>
        </w:rPr>
        <w:t xml:space="preserve"> </w:t>
      </w:r>
      <w:r w:rsidR="00CF75BA">
        <w:rPr>
          <w:rFonts w:cs="Calibri"/>
          <w:b/>
          <w:lang w:val="en-GB"/>
        </w:rPr>
        <w:t>assets</w:t>
      </w:r>
      <w:r w:rsidR="00CF75BA" w:rsidRPr="00893F97">
        <w:rPr>
          <w:rFonts w:cs="Calibri"/>
          <w:b/>
          <w:lang w:val="en-GB"/>
        </w:rPr>
        <w:t xml:space="preserve"> = </w:t>
      </w:r>
      <w:r w:rsidR="00CF75BA">
        <w:rPr>
          <w:rFonts w:cs="Calibri"/>
          <w:b/>
          <w:lang w:val="en-GB"/>
        </w:rPr>
        <w:t>E</w:t>
      </w:r>
      <w:r w:rsidR="00CF75BA" w:rsidRPr="00893F97">
        <w:rPr>
          <w:rFonts w:cs="Calibri"/>
          <w:b/>
          <w:lang w:val="en-GB"/>
        </w:rPr>
        <w:t>rror term</w:t>
      </w:r>
      <w:r w:rsidR="007F7B82">
        <w:rPr>
          <w:rFonts w:cs="Calibri"/>
          <w:b/>
          <w:bCs/>
          <w:lang w:val="en-GB"/>
        </w:rPr>
        <w:br/>
      </w:r>
      <w:r w:rsidR="009F2C79" w:rsidRPr="00F67CC4">
        <w:rPr>
          <w:rFonts w:cs="Calibri"/>
          <w:b/>
          <w:bCs/>
          <w:lang w:val="en-GB"/>
        </w:rPr>
        <w:t xml:space="preserve">t = </w:t>
      </w:r>
      <w:r w:rsidR="00CF75BA">
        <w:rPr>
          <w:rFonts w:cs="Calibri"/>
          <w:b/>
          <w:bCs/>
          <w:lang w:val="en-GB"/>
        </w:rPr>
        <w:t>Y</w:t>
      </w:r>
      <w:r w:rsidR="00C53A24">
        <w:rPr>
          <w:rFonts w:cs="Calibri"/>
          <w:b/>
          <w:bCs/>
          <w:lang w:val="en-GB"/>
        </w:rPr>
        <w:t>ear</w:t>
      </w:r>
      <w:r w:rsidR="009F2C79" w:rsidRPr="00F67CC4">
        <w:rPr>
          <w:rFonts w:cs="Calibri"/>
          <w:b/>
          <w:bCs/>
          <w:lang w:val="en-GB"/>
        </w:rPr>
        <w:t xml:space="preserve"> index</w:t>
      </w:r>
    </w:p>
    <w:p w:rsidR="00617C73" w:rsidRPr="00F67CC4" w:rsidRDefault="00281AF2" w:rsidP="00F74511">
      <w:pPr>
        <w:spacing w:line="360" w:lineRule="auto"/>
        <w:rPr>
          <w:rFonts w:cs="Calibri"/>
          <w:bCs/>
          <w:lang w:val="en-GB"/>
        </w:rPr>
      </w:pPr>
      <w:r w:rsidRPr="00F67CC4">
        <w:rPr>
          <w:rFonts w:cs="Calibri"/>
          <w:bCs/>
          <w:lang w:val="en-GB"/>
        </w:rPr>
        <w:t>Gunny (2010) based the</w:t>
      </w:r>
      <w:r w:rsidR="001C6A3E" w:rsidRPr="00F67CC4">
        <w:rPr>
          <w:rFonts w:cs="Calibri"/>
          <w:bCs/>
          <w:lang w:val="en-GB"/>
        </w:rPr>
        <w:t xml:space="preserve"> equation</w:t>
      </w:r>
      <w:r w:rsidRPr="00F67CC4">
        <w:rPr>
          <w:rFonts w:cs="Calibri"/>
          <w:bCs/>
          <w:lang w:val="en-GB"/>
        </w:rPr>
        <w:t xml:space="preserve"> </w:t>
      </w:r>
      <w:r w:rsidR="001C6A3E" w:rsidRPr="00F67CC4">
        <w:rPr>
          <w:rFonts w:cs="Calibri"/>
          <w:bCs/>
          <w:lang w:val="en-GB"/>
        </w:rPr>
        <w:t>on Bartov (1993) and Herr</w:t>
      </w:r>
      <w:r w:rsidRPr="00F67CC4">
        <w:rPr>
          <w:rFonts w:cs="Calibri"/>
          <w:bCs/>
          <w:lang w:val="en-GB"/>
        </w:rPr>
        <w:t xml:space="preserve">man et al. (2003) and presumes </w:t>
      </w:r>
      <w:r w:rsidR="001C6A3E" w:rsidRPr="00F67CC4">
        <w:rPr>
          <w:rFonts w:cs="Calibri"/>
          <w:bCs/>
          <w:lang w:val="en-GB"/>
        </w:rPr>
        <w:t xml:space="preserve">that there is a monotonic relation </w:t>
      </w:r>
      <w:r w:rsidR="00554F2C" w:rsidRPr="00F67CC4">
        <w:rPr>
          <w:rFonts w:cs="Calibri"/>
          <w:bCs/>
          <w:lang w:val="en-GB"/>
        </w:rPr>
        <w:t xml:space="preserve">between income from asset sales, asset sales </w:t>
      </w:r>
      <w:r w:rsidR="001C6A3E" w:rsidRPr="00F67CC4">
        <w:rPr>
          <w:rFonts w:cs="Calibri"/>
          <w:bCs/>
          <w:lang w:val="en-GB"/>
        </w:rPr>
        <w:t xml:space="preserve">and investment sales. </w:t>
      </w:r>
    </w:p>
    <w:p w:rsidR="003F02F7" w:rsidRDefault="003F02F7" w:rsidP="00F74511">
      <w:pPr>
        <w:spacing w:line="360" w:lineRule="auto"/>
        <w:rPr>
          <w:rFonts w:cs="Calibri"/>
          <w:bCs/>
          <w:lang w:val="en-GB"/>
        </w:rPr>
      </w:pPr>
      <w:r w:rsidRPr="00F67CC4">
        <w:rPr>
          <w:rFonts w:cs="Calibri"/>
          <w:bCs/>
          <w:lang w:val="en-GB"/>
        </w:rPr>
        <w:t xml:space="preserve">The last </w:t>
      </w:r>
      <w:r w:rsidR="00554F2C" w:rsidRPr="00F67CC4">
        <w:rPr>
          <w:rFonts w:cs="Calibri"/>
          <w:bCs/>
          <w:lang w:val="en-GB"/>
        </w:rPr>
        <w:t>proxy</w:t>
      </w:r>
      <w:r w:rsidRPr="00F67CC4">
        <w:rPr>
          <w:rFonts w:cs="Calibri"/>
          <w:bCs/>
          <w:lang w:val="en-GB"/>
        </w:rPr>
        <w:t xml:space="preserve"> </w:t>
      </w:r>
      <w:r w:rsidR="00C53A24">
        <w:rPr>
          <w:rFonts w:cs="Calibri"/>
          <w:bCs/>
          <w:lang w:val="en-GB"/>
        </w:rPr>
        <w:t xml:space="preserve">used by </w:t>
      </w:r>
      <w:r w:rsidRPr="00F67CC4">
        <w:rPr>
          <w:rFonts w:cs="Calibri"/>
          <w:bCs/>
          <w:lang w:val="en-GB"/>
        </w:rPr>
        <w:t xml:space="preserve">Gunny (2010) is the level of </w:t>
      </w:r>
      <w:r w:rsidR="00DC0B9F">
        <w:rPr>
          <w:rFonts w:cs="Calibri"/>
          <w:bCs/>
          <w:lang w:val="en-GB"/>
        </w:rPr>
        <w:t xml:space="preserve">the </w:t>
      </w:r>
      <w:r w:rsidRPr="00F67CC4">
        <w:rPr>
          <w:rFonts w:cs="Calibri"/>
          <w:bCs/>
          <w:lang w:val="en-GB"/>
        </w:rPr>
        <w:t xml:space="preserve">production costs. </w:t>
      </w:r>
      <w:r w:rsidR="00C53A24">
        <w:rPr>
          <w:rFonts w:cs="Calibri"/>
          <w:bCs/>
          <w:lang w:val="en-GB"/>
        </w:rPr>
        <w:t xml:space="preserve">According to Gunny (2010), </w:t>
      </w:r>
      <w:r w:rsidRPr="00F67CC4">
        <w:rPr>
          <w:rFonts w:cs="Calibri"/>
          <w:bCs/>
          <w:lang w:val="en-GB"/>
        </w:rPr>
        <w:t xml:space="preserve">a relation </w:t>
      </w:r>
      <w:r w:rsidR="00DC0B9F">
        <w:rPr>
          <w:rFonts w:cs="Calibri"/>
          <w:bCs/>
          <w:lang w:val="en-GB"/>
        </w:rPr>
        <w:t xml:space="preserve">exists </w:t>
      </w:r>
      <w:r w:rsidRPr="00F67CC4">
        <w:rPr>
          <w:rFonts w:cs="Calibri"/>
          <w:bCs/>
          <w:lang w:val="en-GB"/>
        </w:rPr>
        <w:t>between the level of sales and</w:t>
      </w:r>
      <w:r w:rsidR="00DC0B9F">
        <w:rPr>
          <w:rFonts w:cs="Calibri"/>
          <w:bCs/>
          <w:lang w:val="en-GB"/>
        </w:rPr>
        <w:t xml:space="preserve"> the</w:t>
      </w:r>
      <w:r w:rsidRPr="00F67CC4">
        <w:rPr>
          <w:rFonts w:cs="Calibri"/>
          <w:bCs/>
          <w:lang w:val="en-GB"/>
        </w:rPr>
        <w:t xml:space="preserve"> ‘normal’ production costs belonging to that. </w:t>
      </w:r>
      <w:r w:rsidR="00500025" w:rsidRPr="00F67CC4">
        <w:rPr>
          <w:rFonts w:cs="Calibri"/>
          <w:bCs/>
          <w:lang w:val="en-GB"/>
        </w:rPr>
        <w:t xml:space="preserve">When production costs are abnormally high for a given sales level, it can be an indication of </w:t>
      </w:r>
      <w:r w:rsidR="00DC0B9F">
        <w:rPr>
          <w:rFonts w:cs="Calibri"/>
          <w:bCs/>
          <w:lang w:val="en-GB"/>
        </w:rPr>
        <w:t xml:space="preserve">the use of </w:t>
      </w:r>
      <w:r w:rsidR="00500025" w:rsidRPr="00F67CC4">
        <w:rPr>
          <w:rFonts w:cs="Calibri"/>
          <w:bCs/>
          <w:lang w:val="en-GB"/>
        </w:rPr>
        <w:t>sales manip</w:t>
      </w:r>
      <w:r w:rsidR="005401C0">
        <w:rPr>
          <w:rFonts w:cs="Calibri"/>
          <w:bCs/>
          <w:lang w:val="en-GB"/>
        </w:rPr>
        <w:t>ulation due to price discount or</w:t>
      </w:r>
      <w:r w:rsidR="00500025" w:rsidRPr="00F67CC4">
        <w:rPr>
          <w:rFonts w:cs="Calibri"/>
          <w:bCs/>
          <w:lang w:val="en-GB"/>
        </w:rPr>
        <w:t xml:space="preserve"> COGS manipulation du</w:t>
      </w:r>
      <w:r w:rsidR="00CC51EC" w:rsidRPr="00F67CC4">
        <w:rPr>
          <w:rFonts w:cs="Calibri"/>
          <w:bCs/>
          <w:lang w:val="en-GB"/>
        </w:rPr>
        <w:t xml:space="preserve">e </w:t>
      </w:r>
      <w:r w:rsidR="00DC0B9F">
        <w:rPr>
          <w:rFonts w:cs="Calibri"/>
          <w:bCs/>
          <w:lang w:val="en-GB"/>
        </w:rPr>
        <w:t xml:space="preserve">to </w:t>
      </w:r>
      <w:r w:rsidR="00CC51EC" w:rsidRPr="00F67CC4">
        <w:rPr>
          <w:rFonts w:cs="Calibri"/>
          <w:bCs/>
          <w:lang w:val="en-GB"/>
        </w:rPr>
        <w:t>overproduction (Roychowdhury</w:t>
      </w:r>
      <w:r w:rsidR="00500025" w:rsidRPr="00F67CC4">
        <w:rPr>
          <w:rFonts w:cs="Calibri"/>
          <w:bCs/>
          <w:lang w:val="en-GB"/>
        </w:rPr>
        <w:t xml:space="preserve"> 2006</w:t>
      </w:r>
      <w:r w:rsidR="00CC51EC" w:rsidRPr="00F67CC4">
        <w:rPr>
          <w:rFonts w:cs="Calibri"/>
          <w:bCs/>
          <w:lang w:val="en-GB"/>
        </w:rPr>
        <w:t>, p340</w:t>
      </w:r>
      <w:r w:rsidR="00500025" w:rsidRPr="00F67CC4">
        <w:rPr>
          <w:rFonts w:cs="Calibri"/>
          <w:bCs/>
          <w:lang w:val="en-GB"/>
        </w:rPr>
        <w:t>)</w:t>
      </w:r>
      <w:r w:rsidR="00CC51EC" w:rsidRPr="00F67CC4">
        <w:rPr>
          <w:rFonts w:cs="Calibri"/>
          <w:bCs/>
          <w:lang w:val="en-GB"/>
        </w:rPr>
        <w:t>.</w:t>
      </w:r>
      <w:r w:rsidR="00500025" w:rsidRPr="00F67CC4">
        <w:rPr>
          <w:rFonts w:cs="Calibri"/>
          <w:bCs/>
          <w:lang w:val="en-GB"/>
        </w:rPr>
        <w:t xml:space="preserve"> In order to determine whether productio</w:t>
      </w:r>
      <w:r w:rsidR="00554F2C" w:rsidRPr="00F67CC4">
        <w:rPr>
          <w:rFonts w:cs="Calibri"/>
          <w:bCs/>
          <w:lang w:val="en-GB"/>
        </w:rPr>
        <w:t xml:space="preserve">n costs are abnormally high, </w:t>
      </w:r>
      <w:r w:rsidR="00500025" w:rsidRPr="00F67CC4">
        <w:rPr>
          <w:rFonts w:cs="Calibri"/>
          <w:bCs/>
          <w:lang w:val="en-GB"/>
        </w:rPr>
        <w:t>the normal level of product costs is determined:</w:t>
      </w:r>
    </w:p>
    <w:p w:rsidR="007F7B82" w:rsidRDefault="007F7B82" w:rsidP="00F74511">
      <w:pPr>
        <w:spacing w:line="360" w:lineRule="auto"/>
        <w:rPr>
          <w:rFonts w:cs="Calibri"/>
          <w:bCs/>
          <w:lang w:val="en-GB"/>
        </w:rPr>
      </w:pPr>
    </w:p>
    <w:p w:rsidR="001C6A3E" w:rsidRPr="00F67CC4" w:rsidRDefault="001C6A3E" w:rsidP="00F74511">
      <w:pPr>
        <w:spacing w:line="360" w:lineRule="auto"/>
        <w:rPr>
          <w:rFonts w:cs="Calibri"/>
          <w:b/>
          <w:bCs/>
          <w:sz w:val="28"/>
          <w:szCs w:val="28"/>
          <w:lang w:val="en-GB"/>
        </w:rPr>
      </w:pPr>
      <w:r w:rsidRPr="00F67CC4">
        <w:rPr>
          <w:rFonts w:cs="Calibri"/>
          <w:b/>
          <w:bCs/>
          <w:sz w:val="28"/>
          <w:szCs w:val="28"/>
          <w:lang w:val="en-GB"/>
        </w:rPr>
        <w:lastRenderedPageBreak/>
        <w:t>PROD</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α</w:t>
      </w:r>
      <w:r w:rsidRPr="00F67CC4">
        <w:rPr>
          <w:rFonts w:cs="Calibri"/>
          <w:b/>
          <w:bCs/>
          <w:sz w:val="28"/>
          <w:szCs w:val="28"/>
          <w:lang w:val="en-GB"/>
        </w:rPr>
        <w:t xml:space="preserve">0 + </w:t>
      </w:r>
      <w:r w:rsidRPr="00F67CC4">
        <w:rPr>
          <w:rFonts w:cs="Calibri"/>
          <w:b/>
          <w:sz w:val="28"/>
          <w:szCs w:val="28"/>
          <w:lang w:val="fr-FR"/>
        </w:rPr>
        <w:t>α</w:t>
      </w:r>
      <w:r w:rsidRPr="00F67CC4">
        <w:rPr>
          <w:rFonts w:cs="Calibri"/>
          <w:b/>
          <w:bCs/>
          <w:sz w:val="28"/>
          <w:szCs w:val="28"/>
          <w:lang w:val="en-GB"/>
        </w:rPr>
        <w:t>1*(1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1*MV</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2*Q</w:t>
      </w:r>
      <w:r w:rsidRPr="00F67CC4">
        <w:rPr>
          <w:rFonts w:cs="Calibri"/>
          <w:b/>
          <w:bCs/>
          <w:lang w:val="en-GB"/>
        </w:rPr>
        <w:t>t</w:t>
      </w:r>
      <w:r w:rsidRPr="00F67CC4">
        <w:rPr>
          <w:rFonts w:cs="Calibri"/>
          <w:b/>
          <w:bCs/>
          <w:sz w:val="28"/>
          <w:szCs w:val="28"/>
          <w:lang w:val="en-GB"/>
        </w:rPr>
        <w:t xml:space="preserve"> + </w:t>
      </w:r>
      <w:r w:rsidRPr="00F67CC4">
        <w:rPr>
          <w:rFonts w:cs="Calibri"/>
          <w:b/>
          <w:sz w:val="28"/>
          <w:szCs w:val="28"/>
          <w:lang w:val="fr-FR"/>
        </w:rPr>
        <w:t>β</w:t>
      </w:r>
      <w:r w:rsidRPr="00F67CC4">
        <w:rPr>
          <w:rFonts w:cs="Calibri"/>
          <w:b/>
          <w:bCs/>
          <w:sz w:val="28"/>
          <w:szCs w:val="28"/>
          <w:lang w:val="en-GB"/>
        </w:rPr>
        <w:t>3*(S</w:t>
      </w:r>
      <w:r w:rsidRPr="00F67CC4">
        <w:rPr>
          <w:rFonts w:cs="Calibri"/>
          <w:b/>
          <w:bCs/>
          <w:lang w:val="en-GB"/>
        </w:rPr>
        <w:t>t</w:t>
      </w:r>
      <w:r w:rsidRPr="00F67CC4">
        <w:rPr>
          <w:rFonts w:cs="Calibri"/>
          <w:b/>
          <w:bCs/>
          <w:sz w:val="28"/>
          <w:szCs w:val="28"/>
          <w:lang w:val="en-GB"/>
        </w:rPr>
        <w:t>/A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4*(ΔS</w:t>
      </w:r>
      <w:r w:rsidRPr="00F67CC4">
        <w:rPr>
          <w:rFonts w:cs="Calibri"/>
          <w:b/>
          <w:bCs/>
          <w:lang w:val="en-GB"/>
        </w:rPr>
        <w:t>t</w:t>
      </w:r>
      <w:r w:rsidRPr="00F67CC4">
        <w:rPr>
          <w:rFonts w:cs="Calibri"/>
          <w:b/>
          <w:bCs/>
          <w:sz w:val="28"/>
          <w:szCs w:val="28"/>
          <w:lang w:val="en-GB"/>
        </w:rPr>
        <w:t xml:space="preserve"> / A</w:t>
      </w:r>
      <w:r w:rsidRPr="00F67CC4">
        <w:rPr>
          <w:rFonts w:cs="Calibri"/>
          <w:b/>
          <w:bCs/>
          <w:lang w:val="en-GB"/>
        </w:rPr>
        <w:t xml:space="preserve">t-1) </w:t>
      </w:r>
      <w:r w:rsidRPr="00F67CC4">
        <w:rPr>
          <w:rFonts w:cs="Calibri"/>
          <w:b/>
          <w:bCs/>
          <w:sz w:val="28"/>
          <w:szCs w:val="28"/>
          <w:lang w:val="en-GB"/>
        </w:rPr>
        <w:t xml:space="preserve">+ </w:t>
      </w:r>
      <w:r w:rsidRPr="00F67CC4">
        <w:rPr>
          <w:rFonts w:cs="Calibri"/>
          <w:b/>
          <w:sz w:val="28"/>
          <w:szCs w:val="28"/>
          <w:lang w:val="fr-FR"/>
        </w:rPr>
        <w:t>β</w:t>
      </w:r>
      <w:r w:rsidRPr="00F67CC4">
        <w:rPr>
          <w:rFonts w:cs="Calibri"/>
          <w:b/>
          <w:bCs/>
          <w:sz w:val="28"/>
          <w:szCs w:val="28"/>
          <w:lang w:val="en-GB"/>
        </w:rPr>
        <w:t>5*(ΔS</w:t>
      </w:r>
      <w:r w:rsidRPr="00F67CC4">
        <w:rPr>
          <w:rFonts w:cs="Calibri"/>
          <w:b/>
          <w:bCs/>
          <w:lang w:val="en-GB"/>
        </w:rPr>
        <w:t xml:space="preserve">t-1 </w:t>
      </w:r>
      <w:r w:rsidRPr="00F67CC4">
        <w:rPr>
          <w:rFonts w:cs="Calibri"/>
          <w:b/>
          <w:bCs/>
          <w:sz w:val="28"/>
          <w:szCs w:val="28"/>
          <w:lang w:val="en-GB"/>
        </w:rPr>
        <w:t>/ A</w:t>
      </w:r>
      <w:r w:rsidRPr="00F67CC4">
        <w:rPr>
          <w:rFonts w:cs="Calibri"/>
          <w:b/>
          <w:bCs/>
          <w:lang w:val="en-GB"/>
        </w:rPr>
        <w:t xml:space="preserve">t-1) </w:t>
      </w:r>
      <w:r w:rsidRPr="00F67CC4">
        <w:rPr>
          <w:rFonts w:cs="Calibri"/>
          <w:b/>
          <w:bCs/>
          <w:sz w:val="28"/>
          <w:szCs w:val="28"/>
          <w:lang w:val="en-GB"/>
        </w:rPr>
        <w:t>+ eProduction</w:t>
      </w:r>
      <w:r w:rsidRPr="00F67CC4">
        <w:rPr>
          <w:rFonts w:cs="Calibri"/>
          <w:b/>
          <w:bCs/>
          <w:lang w:val="en-GB"/>
        </w:rPr>
        <w:t>t</w:t>
      </w:r>
      <w:r w:rsidRPr="00F67CC4">
        <w:rPr>
          <w:rFonts w:cs="Calibri"/>
          <w:b/>
          <w:bCs/>
          <w:sz w:val="28"/>
          <w:szCs w:val="28"/>
          <w:lang w:val="en-GB"/>
        </w:rPr>
        <w:t xml:space="preserve"> (4)</w:t>
      </w:r>
    </w:p>
    <w:p w:rsidR="00617C73" w:rsidRPr="00F67CC4" w:rsidRDefault="001C6A3E" w:rsidP="00F74511">
      <w:pPr>
        <w:spacing w:line="360" w:lineRule="auto"/>
        <w:rPr>
          <w:rFonts w:cs="Calibri"/>
          <w:bCs/>
          <w:lang w:val="en-GB"/>
        </w:rPr>
      </w:pPr>
      <w:r w:rsidRPr="00F67CC4">
        <w:rPr>
          <w:rFonts w:cs="Calibri"/>
          <w:b/>
          <w:bCs/>
          <w:lang w:val="en-GB"/>
        </w:rPr>
        <w:t xml:space="preserve">PROD </w:t>
      </w:r>
      <w:r w:rsidR="003F02F7" w:rsidRPr="00F67CC4">
        <w:rPr>
          <w:rFonts w:cs="Calibri"/>
          <w:b/>
          <w:bCs/>
          <w:lang w:val="en-GB"/>
        </w:rPr>
        <w:t>= C</w:t>
      </w:r>
      <w:r w:rsidR="00E652FA">
        <w:rPr>
          <w:rFonts w:cs="Calibri"/>
          <w:b/>
          <w:bCs/>
          <w:lang w:val="en-GB"/>
        </w:rPr>
        <w:t xml:space="preserve">osts of </w:t>
      </w:r>
      <w:r w:rsidR="003F02F7" w:rsidRPr="00F67CC4">
        <w:rPr>
          <w:rFonts w:cs="Calibri"/>
          <w:b/>
          <w:bCs/>
          <w:lang w:val="en-GB"/>
        </w:rPr>
        <w:t>G</w:t>
      </w:r>
      <w:r w:rsidR="00E652FA">
        <w:rPr>
          <w:rFonts w:cs="Calibri"/>
          <w:b/>
          <w:bCs/>
          <w:lang w:val="en-GB"/>
        </w:rPr>
        <w:t xml:space="preserve">oods </w:t>
      </w:r>
      <w:r w:rsidR="003F02F7" w:rsidRPr="00F67CC4">
        <w:rPr>
          <w:rFonts w:cs="Calibri"/>
          <w:b/>
          <w:bCs/>
          <w:lang w:val="en-GB"/>
        </w:rPr>
        <w:t>S</w:t>
      </w:r>
      <w:r w:rsidR="00E652FA">
        <w:rPr>
          <w:rFonts w:cs="Calibri"/>
          <w:b/>
          <w:bCs/>
          <w:lang w:val="en-GB"/>
        </w:rPr>
        <w:t>old</w:t>
      </w:r>
      <w:r w:rsidR="003F02F7" w:rsidRPr="00F67CC4">
        <w:rPr>
          <w:rFonts w:cs="Calibri"/>
          <w:b/>
          <w:bCs/>
          <w:lang w:val="en-GB"/>
        </w:rPr>
        <w:t xml:space="preserve"> plus change in inventory</w:t>
      </w:r>
      <w:r w:rsidR="007F7B82">
        <w:rPr>
          <w:rFonts w:cs="Calibri"/>
          <w:b/>
          <w:bCs/>
          <w:lang w:val="en-GB"/>
        </w:rPr>
        <w:br/>
      </w:r>
      <w:r w:rsidR="00CF75BA">
        <w:rPr>
          <w:rFonts w:cs="Calibri"/>
          <w:b/>
          <w:bCs/>
          <w:lang w:val="en-GB"/>
        </w:rPr>
        <w:t>A = T</w:t>
      </w:r>
      <w:r w:rsidR="00940091" w:rsidRPr="00F67CC4">
        <w:rPr>
          <w:rFonts w:cs="Calibri"/>
          <w:b/>
          <w:bCs/>
          <w:lang w:val="en-GB"/>
        </w:rPr>
        <w:t xml:space="preserve">otal assets </w:t>
      </w:r>
      <w:r w:rsidR="007F7B82">
        <w:rPr>
          <w:rFonts w:cs="Calibri"/>
          <w:b/>
          <w:bCs/>
          <w:lang w:val="en-GB"/>
        </w:rPr>
        <w:br/>
      </w:r>
      <w:r w:rsidRPr="00F67CC4">
        <w:rPr>
          <w:rFonts w:cs="Calibri"/>
          <w:b/>
          <w:bCs/>
          <w:lang w:val="en-GB"/>
        </w:rPr>
        <w:t xml:space="preserve">MV = </w:t>
      </w:r>
      <w:r w:rsidR="00CF75BA">
        <w:rPr>
          <w:rFonts w:cs="Calibri"/>
          <w:b/>
          <w:bCs/>
          <w:lang w:val="en-GB"/>
        </w:rPr>
        <w:t>T</w:t>
      </w:r>
      <w:r w:rsidR="00940091" w:rsidRPr="00F67CC4">
        <w:rPr>
          <w:rFonts w:cs="Calibri"/>
          <w:b/>
          <w:bCs/>
          <w:lang w:val="en-GB"/>
        </w:rPr>
        <w:t>he natural log of market value</w:t>
      </w:r>
      <w:r w:rsidR="007F7B82">
        <w:rPr>
          <w:rFonts w:cs="Calibri"/>
          <w:b/>
          <w:bCs/>
          <w:lang w:val="en-GB"/>
        </w:rPr>
        <w:br/>
      </w:r>
      <w:r w:rsidR="00940091" w:rsidRPr="00F67CC4">
        <w:rPr>
          <w:rFonts w:cs="Calibri"/>
          <w:b/>
          <w:bCs/>
          <w:lang w:val="en-GB"/>
        </w:rPr>
        <w:t>Q = Tobin’s Q</w:t>
      </w:r>
      <w:r w:rsidR="007F7B82">
        <w:rPr>
          <w:rFonts w:cs="Calibri"/>
          <w:b/>
          <w:bCs/>
          <w:lang w:val="en-GB"/>
        </w:rPr>
        <w:br/>
      </w:r>
      <w:r w:rsidR="00CF75BA">
        <w:rPr>
          <w:rFonts w:cs="Calibri"/>
          <w:b/>
          <w:bCs/>
          <w:lang w:val="en-GB"/>
        </w:rPr>
        <w:t>S = S</w:t>
      </w:r>
      <w:r w:rsidRPr="00F67CC4">
        <w:rPr>
          <w:rFonts w:cs="Calibri"/>
          <w:b/>
          <w:bCs/>
          <w:lang w:val="en-GB"/>
        </w:rPr>
        <w:t>ales</w:t>
      </w:r>
      <w:r w:rsidR="00CF75BA">
        <w:rPr>
          <w:rFonts w:cs="Calibri"/>
          <w:b/>
          <w:bCs/>
          <w:lang w:val="en-GB"/>
        </w:rPr>
        <w:br/>
      </w:r>
      <w:r w:rsidR="00CF75BA" w:rsidRPr="00BE4B9B">
        <w:rPr>
          <w:rFonts w:cs="Calibri"/>
          <w:b/>
          <w:sz w:val="24"/>
          <w:szCs w:val="24"/>
          <w:lang w:val="en-GB"/>
        </w:rPr>
        <w:t>ε</w:t>
      </w:r>
      <w:r w:rsidR="00CF75BA">
        <w:rPr>
          <w:rFonts w:cs="Calibri"/>
          <w:b/>
          <w:lang w:val="en-GB"/>
        </w:rPr>
        <w:t xml:space="preserve"> production</w:t>
      </w:r>
      <w:r w:rsidR="00CF75BA" w:rsidRPr="00893F97">
        <w:rPr>
          <w:rFonts w:cs="Calibri"/>
          <w:b/>
          <w:lang w:val="en-GB"/>
        </w:rPr>
        <w:t xml:space="preserve"> = </w:t>
      </w:r>
      <w:r w:rsidR="00CF75BA">
        <w:rPr>
          <w:rFonts w:cs="Calibri"/>
          <w:b/>
          <w:lang w:val="en-GB"/>
        </w:rPr>
        <w:t>E</w:t>
      </w:r>
      <w:r w:rsidR="00CF75BA" w:rsidRPr="00893F97">
        <w:rPr>
          <w:rFonts w:cs="Calibri"/>
          <w:b/>
          <w:lang w:val="en-GB"/>
        </w:rPr>
        <w:t>rror term</w:t>
      </w:r>
      <w:r w:rsidR="007F7B82">
        <w:rPr>
          <w:rFonts w:cs="Calibri"/>
          <w:b/>
          <w:bCs/>
          <w:lang w:val="en-GB"/>
        </w:rPr>
        <w:br/>
      </w:r>
      <w:r w:rsidR="009F2C79" w:rsidRPr="00F67CC4">
        <w:rPr>
          <w:rFonts w:cs="Calibri"/>
          <w:b/>
          <w:bCs/>
          <w:lang w:val="en-GB"/>
        </w:rPr>
        <w:t xml:space="preserve">t = </w:t>
      </w:r>
      <w:r w:rsidR="00CF75BA">
        <w:rPr>
          <w:rFonts w:cs="Calibri"/>
          <w:b/>
          <w:bCs/>
          <w:lang w:val="en-GB"/>
        </w:rPr>
        <w:t>Y</w:t>
      </w:r>
      <w:r w:rsidR="00C53A24">
        <w:rPr>
          <w:rFonts w:cs="Calibri"/>
          <w:b/>
          <w:bCs/>
          <w:lang w:val="en-GB"/>
        </w:rPr>
        <w:t>ear</w:t>
      </w:r>
      <w:r w:rsidR="009F2C79" w:rsidRPr="00F67CC4">
        <w:rPr>
          <w:rFonts w:cs="Calibri"/>
          <w:b/>
          <w:bCs/>
          <w:lang w:val="en-GB"/>
        </w:rPr>
        <w:t xml:space="preserve"> index</w:t>
      </w:r>
      <w:r w:rsidR="00BE4B9B">
        <w:rPr>
          <w:rFonts w:cs="Calibri"/>
          <w:b/>
          <w:bCs/>
          <w:lang w:val="en-GB"/>
        </w:rPr>
        <w:br/>
      </w:r>
      <w:r w:rsidR="00CF75BA">
        <w:rPr>
          <w:rFonts w:cs="Calibri"/>
          <w:bCs/>
          <w:lang w:val="en-GB"/>
        </w:rPr>
        <w:br/>
      </w:r>
      <w:r w:rsidRPr="00F67CC4">
        <w:rPr>
          <w:rFonts w:cs="Calibri"/>
          <w:bCs/>
          <w:lang w:val="en-GB"/>
        </w:rPr>
        <w:t>This model</w:t>
      </w:r>
      <w:r w:rsidR="00554F2C" w:rsidRPr="00F67CC4">
        <w:rPr>
          <w:rFonts w:cs="Calibri"/>
          <w:bCs/>
          <w:lang w:val="en-GB"/>
        </w:rPr>
        <w:t xml:space="preserve"> for</w:t>
      </w:r>
      <w:r w:rsidRPr="00F67CC4">
        <w:rPr>
          <w:rFonts w:cs="Calibri"/>
          <w:bCs/>
          <w:lang w:val="en-GB"/>
        </w:rPr>
        <w:t xml:space="preserve"> estimating the normal level of production is based on Dechow et al. (1998) and Roychowdhury (2006) </w:t>
      </w:r>
      <w:r w:rsidR="00500025" w:rsidRPr="00F67CC4">
        <w:rPr>
          <w:rFonts w:cs="Calibri"/>
          <w:bCs/>
          <w:lang w:val="en-GB"/>
        </w:rPr>
        <w:t>with the addition of the market value and Tobin’s Q</w:t>
      </w:r>
      <w:r w:rsidRPr="00F67CC4">
        <w:rPr>
          <w:rFonts w:cs="Calibri"/>
          <w:bCs/>
          <w:lang w:val="en-GB"/>
        </w:rPr>
        <w:t xml:space="preserve">. </w:t>
      </w:r>
    </w:p>
    <w:p w:rsidR="004D1491" w:rsidRDefault="00F61301" w:rsidP="00F74511">
      <w:pPr>
        <w:spacing w:line="360" w:lineRule="auto"/>
        <w:rPr>
          <w:rFonts w:cs="Calibri"/>
          <w:bCs/>
          <w:lang w:val="en-GB"/>
        </w:rPr>
      </w:pPr>
      <w:r w:rsidRPr="00F67CC4">
        <w:rPr>
          <w:rFonts w:cs="Calibri"/>
          <w:bCs/>
          <w:lang w:val="en-GB"/>
        </w:rPr>
        <w:t>A</w:t>
      </w:r>
      <w:r w:rsidR="001C6A3E" w:rsidRPr="00F67CC4">
        <w:rPr>
          <w:rFonts w:cs="Calibri"/>
          <w:bCs/>
          <w:lang w:val="en-GB"/>
        </w:rPr>
        <w:t>ll</w:t>
      </w:r>
      <w:r w:rsidRPr="00F67CC4">
        <w:rPr>
          <w:rFonts w:cs="Calibri"/>
          <w:bCs/>
          <w:lang w:val="en-GB"/>
        </w:rPr>
        <w:t xml:space="preserve"> these</w:t>
      </w:r>
      <w:r w:rsidR="001C6A3E" w:rsidRPr="00F67CC4">
        <w:rPr>
          <w:rFonts w:cs="Calibri"/>
          <w:bCs/>
          <w:lang w:val="en-GB"/>
        </w:rPr>
        <w:t xml:space="preserve"> models (1-4)</w:t>
      </w:r>
      <w:r w:rsidRPr="00F67CC4">
        <w:rPr>
          <w:rFonts w:cs="Calibri"/>
          <w:bCs/>
          <w:lang w:val="en-GB"/>
        </w:rPr>
        <w:t xml:space="preserve"> </w:t>
      </w:r>
      <w:r w:rsidR="00ED5F0E" w:rsidRPr="00F67CC4">
        <w:rPr>
          <w:rFonts w:cs="Calibri"/>
          <w:bCs/>
          <w:lang w:val="en-GB"/>
        </w:rPr>
        <w:t>express</w:t>
      </w:r>
      <w:r w:rsidR="00500025" w:rsidRPr="00F67CC4">
        <w:rPr>
          <w:rFonts w:cs="Calibri"/>
          <w:bCs/>
          <w:lang w:val="en-GB"/>
        </w:rPr>
        <w:t xml:space="preserve"> the ‘normal’ level of the different expenses and gains. Comparing the ‘normal’ levels with the actual levels can be </w:t>
      </w:r>
      <w:r w:rsidR="003D0CA0">
        <w:rPr>
          <w:rFonts w:cs="Calibri"/>
          <w:bCs/>
          <w:lang w:val="en-GB"/>
        </w:rPr>
        <w:t xml:space="preserve">detecting </w:t>
      </w:r>
      <w:r w:rsidR="00500025" w:rsidRPr="00F67CC4">
        <w:rPr>
          <w:rFonts w:cs="Calibri"/>
          <w:bCs/>
          <w:lang w:val="en-GB"/>
        </w:rPr>
        <w:t>an indication that real earnings management</w:t>
      </w:r>
      <w:r w:rsidR="003D0CA0">
        <w:rPr>
          <w:rFonts w:cs="Calibri"/>
          <w:bCs/>
          <w:lang w:val="en-GB"/>
        </w:rPr>
        <w:t xml:space="preserve"> by firms</w:t>
      </w:r>
      <w:r w:rsidR="00500025" w:rsidRPr="00F67CC4">
        <w:rPr>
          <w:rFonts w:cs="Calibri"/>
          <w:bCs/>
          <w:lang w:val="en-GB"/>
        </w:rPr>
        <w:t xml:space="preserve"> is used.</w:t>
      </w:r>
      <w:r w:rsidR="00617C73" w:rsidRPr="00F67CC4">
        <w:rPr>
          <w:rFonts w:cs="Calibri"/>
          <w:bCs/>
          <w:lang w:val="en-GB"/>
        </w:rPr>
        <w:t xml:space="preserve"> </w:t>
      </w:r>
    </w:p>
    <w:p w:rsidR="00265D35" w:rsidRDefault="00235F75" w:rsidP="00F74511">
      <w:pPr>
        <w:spacing w:line="360" w:lineRule="auto"/>
        <w:rPr>
          <w:rFonts w:cs="Calibri"/>
          <w:bCs/>
          <w:lang w:val="en-GB"/>
        </w:rPr>
      </w:pPr>
      <w:r>
        <w:rPr>
          <w:rFonts w:cs="Calibri"/>
          <w:bCs/>
          <w:lang w:val="en-GB"/>
        </w:rPr>
        <w:t>T</w:t>
      </w:r>
      <w:r w:rsidR="00893F97" w:rsidRPr="00F67CC4">
        <w:rPr>
          <w:rFonts w:cs="Calibri"/>
          <w:bCs/>
          <w:lang w:val="en-GB"/>
        </w:rPr>
        <w:t>he two models for</w:t>
      </w:r>
      <w:r w:rsidR="00A23D8A" w:rsidRPr="00F67CC4">
        <w:rPr>
          <w:rFonts w:cs="Calibri"/>
          <w:bCs/>
          <w:lang w:val="en-GB"/>
        </w:rPr>
        <w:t xml:space="preserve"> estimating </w:t>
      </w:r>
      <w:r w:rsidR="003D0CA0">
        <w:rPr>
          <w:rFonts w:cs="Calibri"/>
          <w:bCs/>
          <w:lang w:val="en-GB"/>
        </w:rPr>
        <w:t xml:space="preserve">the use of </w:t>
      </w:r>
      <w:r w:rsidR="00A23D8A" w:rsidRPr="00F67CC4">
        <w:rPr>
          <w:rFonts w:cs="Calibri"/>
          <w:bCs/>
          <w:lang w:val="en-GB"/>
        </w:rPr>
        <w:t>earnings management by real activities have b</w:t>
      </w:r>
      <w:r w:rsidR="003D0CA0">
        <w:rPr>
          <w:rFonts w:cs="Calibri"/>
          <w:bCs/>
          <w:lang w:val="en-GB"/>
        </w:rPr>
        <w:t>een commented</w:t>
      </w:r>
      <w:r>
        <w:rPr>
          <w:rFonts w:cs="Calibri"/>
          <w:bCs/>
          <w:lang w:val="en-GB"/>
        </w:rPr>
        <w:t>;</w:t>
      </w:r>
      <w:r w:rsidR="00A23D8A" w:rsidRPr="00F67CC4">
        <w:rPr>
          <w:rFonts w:cs="Calibri"/>
          <w:bCs/>
          <w:lang w:val="en-GB"/>
        </w:rPr>
        <w:t xml:space="preserve"> the model that will be used for thi</w:t>
      </w:r>
      <w:r w:rsidR="00893F97" w:rsidRPr="00F67CC4">
        <w:rPr>
          <w:rFonts w:cs="Calibri"/>
          <w:bCs/>
          <w:lang w:val="en-GB"/>
        </w:rPr>
        <w:t>s research will be determined</w:t>
      </w:r>
      <w:r w:rsidR="00A23D8A" w:rsidRPr="00F67CC4">
        <w:rPr>
          <w:rFonts w:cs="Calibri"/>
          <w:bCs/>
          <w:lang w:val="en-GB"/>
        </w:rPr>
        <w:t xml:space="preserve">. The models of Roychowdhury (2006) and Gunny (2010) are comparable; both models use some similar proxies. </w:t>
      </w:r>
      <w:r w:rsidR="006F7052" w:rsidRPr="00F67CC4">
        <w:rPr>
          <w:rFonts w:cs="Calibri"/>
          <w:bCs/>
          <w:lang w:val="en-GB"/>
        </w:rPr>
        <w:t>The use of similar proxies shows that Gunny (2010) used the model of R</w:t>
      </w:r>
      <w:r w:rsidR="00C53A24">
        <w:rPr>
          <w:rFonts w:cs="Calibri"/>
          <w:bCs/>
          <w:lang w:val="en-GB"/>
        </w:rPr>
        <w:t>oychowdhury (2006) as a</w:t>
      </w:r>
      <w:r w:rsidR="006F7052" w:rsidRPr="00F67CC4">
        <w:rPr>
          <w:rFonts w:cs="Calibri"/>
          <w:bCs/>
          <w:lang w:val="en-GB"/>
        </w:rPr>
        <w:t xml:space="preserve"> fundament</w:t>
      </w:r>
      <w:r w:rsidR="00C53A24">
        <w:rPr>
          <w:rFonts w:cs="Calibri"/>
          <w:bCs/>
          <w:lang w:val="en-GB"/>
        </w:rPr>
        <w:t xml:space="preserve"> together with other researches</w:t>
      </w:r>
      <w:r w:rsidR="006F7052" w:rsidRPr="00F67CC4">
        <w:rPr>
          <w:rFonts w:cs="Calibri"/>
          <w:bCs/>
          <w:lang w:val="en-GB"/>
        </w:rPr>
        <w:t xml:space="preserve"> in developing the estimation models.</w:t>
      </w:r>
      <w:r w:rsidR="00A23D8A" w:rsidRPr="00F67CC4">
        <w:rPr>
          <w:rFonts w:cs="Calibri"/>
          <w:bCs/>
          <w:lang w:val="en-GB"/>
        </w:rPr>
        <w:t xml:space="preserve"> Differences </w:t>
      </w:r>
      <w:r w:rsidR="006F7052" w:rsidRPr="00F67CC4">
        <w:rPr>
          <w:rFonts w:cs="Calibri"/>
          <w:bCs/>
          <w:lang w:val="en-GB"/>
        </w:rPr>
        <w:t xml:space="preserve">in the models </w:t>
      </w:r>
      <w:r w:rsidR="00A23D8A" w:rsidRPr="00F67CC4">
        <w:rPr>
          <w:rFonts w:cs="Calibri"/>
          <w:bCs/>
          <w:lang w:val="en-GB"/>
        </w:rPr>
        <w:t>are the use of CFO by Roychowdhury (2006) and the variable sales of</w:t>
      </w:r>
      <w:r w:rsidR="00EA2078" w:rsidRPr="00F67CC4">
        <w:rPr>
          <w:rFonts w:cs="Calibri"/>
          <w:bCs/>
          <w:lang w:val="en-GB"/>
        </w:rPr>
        <w:t xml:space="preserve"> fixed assets by Gunny (2010). </w:t>
      </w:r>
    </w:p>
    <w:p w:rsidR="00617C73" w:rsidRPr="00F67CC4" w:rsidRDefault="00EA2078" w:rsidP="00F74511">
      <w:pPr>
        <w:spacing w:line="360" w:lineRule="auto"/>
        <w:rPr>
          <w:rFonts w:cs="Calibri"/>
          <w:bCs/>
          <w:lang w:val="en-GB"/>
        </w:rPr>
      </w:pPr>
      <w:r w:rsidRPr="00F67CC4">
        <w:rPr>
          <w:rFonts w:cs="Calibri"/>
          <w:bCs/>
          <w:lang w:val="en-GB"/>
        </w:rPr>
        <w:t xml:space="preserve">In determining which model is most appropriate for this research, the validity </w:t>
      </w:r>
      <w:r w:rsidR="003C4767" w:rsidRPr="00F67CC4">
        <w:rPr>
          <w:rFonts w:cs="Calibri"/>
          <w:bCs/>
          <w:lang w:val="en-GB"/>
        </w:rPr>
        <w:t xml:space="preserve">of the models </w:t>
      </w:r>
      <w:r w:rsidR="00C53A24" w:rsidRPr="00F67CC4">
        <w:rPr>
          <w:rFonts w:cs="Calibri"/>
          <w:bCs/>
          <w:lang w:val="en-GB"/>
        </w:rPr>
        <w:t>can</w:t>
      </w:r>
      <w:r w:rsidR="00C53A24">
        <w:rPr>
          <w:rFonts w:cs="Calibri"/>
          <w:bCs/>
          <w:lang w:val="en-GB"/>
        </w:rPr>
        <w:t>not</w:t>
      </w:r>
      <w:r w:rsidR="003C4767" w:rsidRPr="00F67CC4">
        <w:rPr>
          <w:rFonts w:cs="Calibri"/>
          <w:bCs/>
          <w:lang w:val="en-GB"/>
        </w:rPr>
        <w:t xml:space="preserve"> be used because of lack of evidence</w:t>
      </w:r>
      <w:r w:rsidR="00265D35">
        <w:rPr>
          <w:rFonts w:cs="Calibri"/>
          <w:bCs/>
          <w:lang w:val="en-GB"/>
        </w:rPr>
        <w:t xml:space="preserve"> as discussed in transition from section 3.4.3.1 to 3.4.3.2</w:t>
      </w:r>
      <w:r w:rsidR="003C4767" w:rsidRPr="00F67CC4">
        <w:rPr>
          <w:rFonts w:cs="Calibri"/>
          <w:bCs/>
          <w:lang w:val="en-GB"/>
        </w:rPr>
        <w:t xml:space="preserve">. </w:t>
      </w:r>
      <w:r w:rsidR="00235F75">
        <w:rPr>
          <w:rFonts w:cs="Calibri"/>
          <w:bCs/>
          <w:lang w:val="en-GB"/>
        </w:rPr>
        <w:t xml:space="preserve">Based on </w:t>
      </w:r>
      <w:r w:rsidR="003C4767" w:rsidRPr="00F67CC4">
        <w:rPr>
          <w:rFonts w:cs="Calibri"/>
          <w:bCs/>
          <w:lang w:val="en-GB"/>
        </w:rPr>
        <w:t>previous researches (</w:t>
      </w:r>
      <w:r w:rsidR="003C4767" w:rsidRPr="003C4767">
        <w:rPr>
          <w:rFonts w:cs="Calibri"/>
          <w:bCs/>
          <w:lang w:val="en-GB"/>
        </w:rPr>
        <w:t>Cohen et al. 2008; Cohen and Zarowin 2010; Lippens 2010 and Zang 2012</w:t>
      </w:r>
      <w:r w:rsidR="003C4767">
        <w:rPr>
          <w:rFonts w:cs="Calibri"/>
          <w:bCs/>
          <w:lang w:val="en-GB"/>
        </w:rPr>
        <w:t xml:space="preserve">) the </w:t>
      </w:r>
      <w:r w:rsidR="00235F75">
        <w:rPr>
          <w:rFonts w:cs="Calibri"/>
          <w:bCs/>
          <w:lang w:val="en-GB"/>
        </w:rPr>
        <w:t>decision</w:t>
      </w:r>
      <w:r w:rsidR="003C4767">
        <w:rPr>
          <w:rFonts w:cs="Calibri"/>
          <w:bCs/>
          <w:lang w:val="en-GB"/>
        </w:rPr>
        <w:t xml:space="preserve"> is that the model of Roychowdhury (2006) </w:t>
      </w:r>
      <w:r w:rsidR="00C53A24">
        <w:rPr>
          <w:rFonts w:cs="Calibri"/>
          <w:bCs/>
          <w:lang w:val="en-GB"/>
        </w:rPr>
        <w:t xml:space="preserve">is most used and </w:t>
      </w:r>
      <w:r w:rsidR="003C4767">
        <w:rPr>
          <w:rFonts w:cs="Calibri"/>
          <w:bCs/>
          <w:lang w:val="en-GB"/>
        </w:rPr>
        <w:t xml:space="preserve">will </w:t>
      </w:r>
      <w:r w:rsidR="00235F75">
        <w:rPr>
          <w:rFonts w:cs="Calibri"/>
          <w:bCs/>
          <w:lang w:val="en-GB"/>
        </w:rPr>
        <w:t>consequently</w:t>
      </w:r>
      <w:r w:rsidR="00C53A24">
        <w:rPr>
          <w:rFonts w:cs="Calibri"/>
          <w:bCs/>
          <w:lang w:val="en-GB"/>
        </w:rPr>
        <w:t xml:space="preserve"> </w:t>
      </w:r>
      <w:r w:rsidR="003C4767">
        <w:rPr>
          <w:rFonts w:cs="Calibri"/>
          <w:bCs/>
          <w:lang w:val="en-GB"/>
        </w:rPr>
        <w:t xml:space="preserve">be used </w:t>
      </w:r>
      <w:r w:rsidR="00235F75">
        <w:rPr>
          <w:rFonts w:cs="Calibri"/>
          <w:bCs/>
          <w:lang w:val="en-GB"/>
        </w:rPr>
        <w:t>in</w:t>
      </w:r>
      <w:r w:rsidR="003C4767">
        <w:rPr>
          <w:rFonts w:cs="Calibri"/>
          <w:bCs/>
          <w:lang w:val="en-GB"/>
        </w:rPr>
        <w:t xml:space="preserve"> this research. </w:t>
      </w:r>
    </w:p>
    <w:p w:rsidR="008247B6" w:rsidRPr="00F67CC4" w:rsidRDefault="001C6A3E" w:rsidP="00F74511">
      <w:pPr>
        <w:spacing w:line="360" w:lineRule="auto"/>
        <w:rPr>
          <w:rFonts w:cs="Calibri"/>
          <w:bCs/>
          <w:lang w:val="en-GB"/>
        </w:rPr>
      </w:pPr>
      <w:r w:rsidRPr="00F67CC4">
        <w:rPr>
          <w:rFonts w:cs="Calibri"/>
          <w:b/>
          <w:bCs/>
          <w:lang w:val="en-GB"/>
        </w:rPr>
        <w:t xml:space="preserve">3.5 </w:t>
      </w:r>
      <w:r w:rsidR="00F76F0A">
        <w:rPr>
          <w:rFonts w:cs="Calibri"/>
          <w:b/>
          <w:bCs/>
          <w:lang w:val="en-GB"/>
        </w:rPr>
        <w:t>Summary</w:t>
      </w:r>
      <w:r w:rsidR="00393CB0" w:rsidRPr="00F67CC4">
        <w:rPr>
          <w:rFonts w:cs="Calibri"/>
          <w:b/>
          <w:bCs/>
          <w:lang w:val="en-GB"/>
        </w:rPr>
        <w:br/>
      </w:r>
      <w:r w:rsidR="00B01689" w:rsidRPr="00F67CC4">
        <w:rPr>
          <w:rFonts w:cs="Calibri"/>
          <w:bCs/>
          <w:lang w:val="en-GB"/>
        </w:rPr>
        <w:t>In this chapter the two main topics of this research,</w:t>
      </w:r>
      <w:r w:rsidR="00CC7533" w:rsidRPr="00F67CC4">
        <w:rPr>
          <w:rFonts w:cs="Calibri"/>
          <w:bCs/>
          <w:lang w:val="en-GB"/>
        </w:rPr>
        <w:t xml:space="preserve"> </w:t>
      </w:r>
      <w:r w:rsidR="00D43DF4" w:rsidRPr="00F67CC4">
        <w:rPr>
          <w:rFonts w:cs="Calibri"/>
          <w:bCs/>
          <w:lang w:val="en-GB"/>
        </w:rPr>
        <w:t xml:space="preserve">the introduction of IFRS and earnings management </w:t>
      </w:r>
      <w:r w:rsidR="00554F2C" w:rsidRPr="00F67CC4">
        <w:rPr>
          <w:rFonts w:cs="Calibri"/>
          <w:bCs/>
          <w:lang w:val="en-GB"/>
        </w:rPr>
        <w:t xml:space="preserve">have been </w:t>
      </w:r>
      <w:r w:rsidR="00167808">
        <w:rPr>
          <w:rFonts w:cs="Calibri"/>
          <w:bCs/>
          <w:lang w:val="en-GB"/>
        </w:rPr>
        <w:t>presented</w:t>
      </w:r>
      <w:r w:rsidR="00CC7533" w:rsidRPr="00F67CC4">
        <w:rPr>
          <w:rFonts w:cs="Calibri"/>
          <w:bCs/>
          <w:lang w:val="en-GB"/>
        </w:rPr>
        <w:t>. With the review of these</w:t>
      </w:r>
      <w:r w:rsidR="00B01689" w:rsidRPr="00F67CC4">
        <w:rPr>
          <w:rFonts w:cs="Calibri"/>
          <w:bCs/>
          <w:lang w:val="en-GB"/>
        </w:rPr>
        <w:t xml:space="preserve"> two topics, sub-questions </w:t>
      </w:r>
      <w:r w:rsidR="00394B8C" w:rsidRPr="00F67CC4">
        <w:rPr>
          <w:rFonts w:cs="Calibri"/>
          <w:bCs/>
          <w:lang w:val="en-GB"/>
        </w:rPr>
        <w:t xml:space="preserve">2 - </w:t>
      </w:r>
      <w:r w:rsidR="00B01689" w:rsidRPr="00F67CC4">
        <w:rPr>
          <w:rFonts w:cs="Calibri"/>
          <w:bCs/>
          <w:lang w:val="en-GB"/>
        </w:rPr>
        <w:t xml:space="preserve">5 </w:t>
      </w:r>
      <w:r w:rsidR="00167808">
        <w:rPr>
          <w:rFonts w:cs="Calibri"/>
          <w:bCs/>
          <w:lang w:val="en-GB"/>
        </w:rPr>
        <w:t>will be answered.</w:t>
      </w:r>
      <w:r w:rsidR="00CC7533" w:rsidRPr="00F67CC4">
        <w:rPr>
          <w:rFonts w:cs="Calibri"/>
          <w:bCs/>
          <w:lang w:val="en-GB"/>
        </w:rPr>
        <w:t xml:space="preserve"> </w:t>
      </w:r>
    </w:p>
    <w:p w:rsidR="001C6A3E" w:rsidRPr="00F67CC4" w:rsidRDefault="00554F2C" w:rsidP="00F74511">
      <w:pPr>
        <w:spacing w:line="360" w:lineRule="auto"/>
        <w:rPr>
          <w:rFonts w:cs="Calibri"/>
          <w:bCs/>
          <w:lang w:val="en-GB"/>
        </w:rPr>
      </w:pPr>
      <w:r w:rsidRPr="00F67CC4">
        <w:rPr>
          <w:rFonts w:cs="Calibri"/>
          <w:bCs/>
          <w:lang w:val="en-GB"/>
        </w:rPr>
        <w:lastRenderedPageBreak/>
        <w:t>The strength</w:t>
      </w:r>
      <w:r w:rsidR="00B01689" w:rsidRPr="00F67CC4">
        <w:rPr>
          <w:rFonts w:cs="Calibri"/>
          <w:bCs/>
          <w:lang w:val="en-GB"/>
        </w:rPr>
        <w:t xml:space="preserve"> of IFRS is the use of fair-value accounting as </w:t>
      </w:r>
      <w:r w:rsidR="00394B8C" w:rsidRPr="00F67CC4">
        <w:rPr>
          <w:rFonts w:cs="Calibri"/>
          <w:bCs/>
          <w:lang w:val="en-GB"/>
        </w:rPr>
        <w:t xml:space="preserve">an </w:t>
      </w:r>
      <w:r w:rsidR="002F63AD" w:rsidRPr="00F67CC4">
        <w:rPr>
          <w:rFonts w:cs="Calibri"/>
          <w:bCs/>
          <w:lang w:val="en-GB"/>
        </w:rPr>
        <w:t>instrument to incorporate more-timely information in the</w:t>
      </w:r>
      <w:r w:rsidR="00167808">
        <w:rPr>
          <w:rFonts w:cs="Calibri"/>
          <w:bCs/>
          <w:lang w:val="en-GB"/>
        </w:rPr>
        <w:t xml:space="preserve"> annual</w:t>
      </w:r>
      <w:r w:rsidR="002F63AD" w:rsidRPr="00F67CC4">
        <w:rPr>
          <w:rFonts w:cs="Calibri"/>
          <w:bCs/>
          <w:lang w:val="en-GB"/>
        </w:rPr>
        <w:t xml:space="preserve"> financial </w:t>
      </w:r>
      <w:r w:rsidR="00167808">
        <w:rPr>
          <w:rFonts w:cs="Calibri"/>
          <w:bCs/>
          <w:lang w:val="en-GB"/>
        </w:rPr>
        <w:t xml:space="preserve">consolidated </w:t>
      </w:r>
      <w:r w:rsidR="002F63AD" w:rsidRPr="00F67CC4">
        <w:rPr>
          <w:rFonts w:cs="Calibri"/>
          <w:bCs/>
          <w:lang w:val="en-GB"/>
        </w:rPr>
        <w:t xml:space="preserve">statements. </w:t>
      </w:r>
      <w:r w:rsidR="00393CB0" w:rsidRPr="00F67CC4">
        <w:rPr>
          <w:rFonts w:cs="Calibri"/>
          <w:bCs/>
          <w:lang w:val="en-GB"/>
        </w:rPr>
        <w:t>This instrument should create more transparency and comparability of fi</w:t>
      </w:r>
      <w:r w:rsidR="00167808">
        <w:rPr>
          <w:rFonts w:cs="Calibri"/>
          <w:bCs/>
          <w:lang w:val="en-GB"/>
        </w:rPr>
        <w:t>nancial statements of</w:t>
      </w:r>
      <w:r w:rsidR="00265D35">
        <w:rPr>
          <w:rFonts w:cs="Calibri"/>
          <w:bCs/>
          <w:lang w:val="en-GB"/>
        </w:rPr>
        <w:t xml:space="preserve"> European stock exchange quoted</w:t>
      </w:r>
      <w:r w:rsidR="00167808">
        <w:rPr>
          <w:rFonts w:cs="Calibri"/>
          <w:bCs/>
          <w:lang w:val="en-GB"/>
        </w:rPr>
        <w:t xml:space="preserve"> companies</w:t>
      </w:r>
      <w:r w:rsidR="00393CB0" w:rsidRPr="00F67CC4">
        <w:rPr>
          <w:rFonts w:cs="Calibri"/>
          <w:bCs/>
          <w:lang w:val="en-GB"/>
        </w:rPr>
        <w:t xml:space="preserve"> </w:t>
      </w:r>
      <w:r w:rsidRPr="00F67CC4">
        <w:rPr>
          <w:rFonts w:cs="Calibri"/>
          <w:bCs/>
          <w:lang w:val="en-GB"/>
        </w:rPr>
        <w:t>(EC No 1606/2002, p243/2)</w:t>
      </w:r>
      <w:r w:rsidR="00167808">
        <w:rPr>
          <w:rFonts w:cs="Calibri"/>
          <w:bCs/>
          <w:lang w:val="en-GB"/>
        </w:rPr>
        <w:t>.</w:t>
      </w:r>
      <w:r w:rsidRPr="00F67CC4">
        <w:rPr>
          <w:rFonts w:cs="Calibri"/>
          <w:bCs/>
          <w:lang w:val="en-GB"/>
        </w:rPr>
        <w:t xml:space="preserve"> </w:t>
      </w:r>
      <w:r w:rsidR="00393CB0" w:rsidRPr="00F67CC4">
        <w:rPr>
          <w:rFonts w:cs="Calibri"/>
          <w:bCs/>
          <w:lang w:val="en-GB"/>
        </w:rPr>
        <w:t>Beside</w:t>
      </w:r>
      <w:r w:rsidR="00167808">
        <w:rPr>
          <w:rFonts w:cs="Calibri"/>
          <w:bCs/>
          <w:lang w:val="en-GB"/>
        </w:rPr>
        <w:t>s</w:t>
      </w:r>
      <w:r w:rsidR="00393CB0" w:rsidRPr="00F67CC4">
        <w:rPr>
          <w:rFonts w:cs="Calibri"/>
          <w:bCs/>
          <w:lang w:val="en-GB"/>
        </w:rPr>
        <w:t xml:space="preserve"> these advantages, disadvantages </w:t>
      </w:r>
      <w:r w:rsidR="00167808">
        <w:rPr>
          <w:rFonts w:cs="Calibri"/>
          <w:bCs/>
          <w:lang w:val="en-GB"/>
        </w:rPr>
        <w:t xml:space="preserve">exist </w:t>
      </w:r>
      <w:r w:rsidR="00393CB0" w:rsidRPr="00F67CC4">
        <w:rPr>
          <w:rFonts w:cs="Calibri"/>
          <w:bCs/>
          <w:lang w:val="en-GB"/>
        </w:rPr>
        <w:t>like the subjectivity in determining the value of assets and</w:t>
      </w:r>
      <w:r w:rsidR="00167808">
        <w:rPr>
          <w:rFonts w:cs="Calibri"/>
          <w:bCs/>
          <w:lang w:val="en-GB"/>
        </w:rPr>
        <w:t xml:space="preserve"> the</w:t>
      </w:r>
      <w:r w:rsidR="00393CB0" w:rsidRPr="00F67CC4">
        <w:rPr>
          <w:rFonts w:cs="Calibri"/>
          <w:bCs/>
          <w:lang w:val="en-GB"/>
        </w:rPr>
        <w:t xml:space="preserve"> liabilities creates </w:t>
      </w:r>
      <w:r w:rsidR="00D43DF4" w:rsidRPr="00F67CC4">
        <w:rPr>
          <w:rFonts w:cs="Calibri"/>
          <w:bCs/>
          <w:lang w:val="en-GB"/>
        </w:rPr>
        <w:t>an</w:t>
      </w:r>
      <w:r w:rsidR="00393CB0" w:rsidRPr="00F67CC4">
        <w:rPr>
          <w:rFonts w:cs="Calibri"/>
          <w:bCs/>
          <w:lang w:val="en-GB"/>
        </w:rPr>
        <w:t xml:space="preserve"> incentive for management to determine the value best for </w:t>
      </w:r>
      <w:r w:rsidR="00394B8C" w:rsidRPr="00F67CC4">
        <w:rPr>
          <w:rFonts w:cs="Calibri"/>
          <w:bCs/>
          <w:lang w:val="en-GB"/>
        </w:rPr>
        <w:t xml:space="preserve">their </w:t>
      </w:r>
      <w:r w:rsidR="00393CB0" w:rsidRPr="00F67CC4">
        <w:rPr>
          <w:rFonts w:cs="Calibri"/>
          <w:bCs/>
          <w:lang w:val="en-GB"/>
        </w:rPr>
        <w:t>own interest. The question is whether the advantages</w:t>
      </w:r>
      <w:r w:rsidR="00394B8C" w:rsidRPr="00F67CC4">
        <w:rPr>
          <w:rFonts w:cs="Calibri"/>
          <w:bCs/>
          <w:lang w:val="en-GB"/>
        </w:rPr>
        <w:t xml:space="preserve"> of the new standards</w:t>
      </w:r>
      <w:r w:rsidR="00393CB0" w:rsidRPr="00F67CC4">
        <w:rPr>
          <w:rFonts w:cs="Calibri"/>
          <w:bCs/>
          <w:lang w:val="en-GB"/>
        </w:rPr>
        <w:t xml:space="preserve"> exceed the disadvantages</w:t>
      </w:r>
      <w:r w:rsidR="00265D35">
        <w:rPr>
          <w:rFonts w:cs="Calibri"/>
          <w:bCs/>
          <w:lang w:val="en-GB"/>
        </w:rPr>
        <w:t xml:space="preserve">. </w:t>
      </w:r>
      <w:r w:rsidR="00167808">
        <w:rPr>
          <w:rFonts w:cs="Calibri"/>
          <w:bCs/>
          <w:lang w:val="en-GB"/>
        </w:rPr>
        <w:t>The</w:t>
      </w:r>
      <w:r w:rsidR="00393CB0" w:rsidRPr="00F67CC4">
        <w:rPr>
          <w:rFonts w:cs="Calibri"/>
          <w:bCs/>
          <w:lang w:val="en-GB"/>
        </w:rPr>
        <w:t xml:space="preserve"> possible success</w:t>
      </w:r>
      <w:r w:rsidR="00167808">
        <w:rPr>
          <w:rFonts w:cs="Calibri"/>
          <w:bCs/>
          <w:lang w:val="en-GB"/>
        </w:rPr>
        <w:t xml:space="preserve"> of the implementation of IFRS</w:t>
      </w:r>
      <w:r w:rsidR="00500025" w:rsidRPr="00F67CC4">
        <w:rPr>
          <w:rFonts w:cs="Calibri"/>
          <w:bCs/>
          <w:lang w:val="en-GB"/>
        </w:rPr>
        <w:t>,</w:t>
      </w:r>
      <w:r w:rsidR="00393CB0" w:rsidRPr="00F67CC4">
        <w:rPr>
          <w:rFonts w:cs="Calibri"/>
          <w:bCs/>
          <w:lang w:val="en-GB"/>
        </w:rPr>
        <w:t xml:space="preserve"> according to Soderstrom and Sun (2007) </w:t>
      </w:r>
      <w:r w:rsidR="00C53A24">
        <w:rPr>
          <w:rFonts w:cs="Calibri"/>
          <w:bCs/>
          <w:lang w:val="en-GB"/>
        </w:rPr>
        <w:t xml:space="preserve">will </w:t>
      </w:r>
      <w:r w:rsidR="00393CB0" w:rsidRPr="00F67CC4">
        <w:rPr>
          <w:rFonts w:cs="Calibri"/>
          <w:bCs/>
          <w:lang w:val="en-GB"/>
        </w:rPr>
        <w:t xml:space="preserve">be determined by </w:t>
      </w:r>
      <w:r w:rsidR="00C53A24">
        <w:rPr>
          <w:rFonts w:cs="Calibri"/>
          <w:bCs/>
          <w:lang w:val="en-GB"/>
        </w:rPr>
        <w:t xml:space="preserve">(1) </w:t>
      </w:r>
      <w:r w:rsidR="00393CB0" w:rsidRPr="00F67CC4">
        <w:rPr>
          <w:rFonts w:cs="Calibri"/>
          <w:bCs/>
          <w:lang w:val="en-GB"/>
        </w:rPr>
        <w:t xml:space="preserve">the quality of the national standards, </w:t>
      </w:r>
      <w:r w:rsidR="00C53A24">
        <w:rPr>
          <w:rFonts w:cs="Calibri"/>
          <w:bCs/>
          <w:lang w:val="en-GB"/>
        </w:rPr>
        <w:t xml:space="preserve">(2) </w:t>
      </w:r>
      <w:r w:rsidR="00393CB0" w:rsidRPr="00F67CC4">
        <w:rPr>
          <w:rFonts w:cs="Calibri"/>
          <w:bCs/>
          <w:lang w:val="en-GB"/>
        </w:rPr>
        <w:t xml:space="preserve">the country’s legal and political system and </w:t>
      </w:r>
      <w:r w:rsidR="00C53A24">
        <w:rPr>
          <w:rFonts w:cs="Calibri"/>
          <w:bCs/>
          <w:lang w:val="en-GB"/>
        </w:rPr>
        <w:t xml:space="preserve">(3) </w:t>
      </w:r>
      <w:r w:rsidR="00393CB0" w:rsidRPr="00F67CC4">
        <w:rPr>
          <w:rFonts w:cs="Calibri"/>
          <w:bCs/>
          <w:lang w:val="en-GB"/>
        </w:rPr>
        <w:t>the financial reporting incentives</w:t>
      </w:r>
      <w:r w:rsidR="00D43DF4" w:rsidRPr="00F67CC4">
        <w:rPr>
          <w:rFonts w:cs="Calibri"/>
          <w:bCs/>
          <w:lang w:val="en-GB"/>
        </w:rPr>
        <w:t xml:space="preserve">. These factors for success will </w:t>
      </w:r>
      <w:r w:rsidR="00393CB0" w:rsidRPr="00F67CC4">
        <w:rPr>
          <w:rFonts w:cs="Calibri"/>
          <w:bCs/>
          <w:lang w:val="en-GB"/>
        </w:rPr>
        <w:t xml:space="preserve">be explained </w:t>
      </w:r>
      <w:r w:rsidRPr="00F67CC4">
        <w:rPr>
          <w:rFonts w:cs="Calibri"/>
          <w:bCs/>
          <w:lang w:val="en-GB"/>
        </w:rPr>
        <w:t xml:space="preserve">further </w:t>
      </w:r>
      <w:r w:rsidR="00393CB0" w:rsidRPr="00F67CC4">
        <w:rPr>
          <w:rFonts w:cs="Calibri"/>
          <w:bCs/>
          <w:lang w:val="en-GB"/>
        </w:rPr>
        <w:t xml:space="preserve">in </w:t>
      </w:r>
      <w:r w:rsidR="0001430D" w:rsidRPr="00F67CC4">
        <w:rPr>
          <w:rFonts w:cs="Calibri"/>
          <w:bCs/>
          <w:lang w:val="en-GB"/>
        </w:rPr>
        <w:t>section 4.3</w:t>
      </w:r>
      <w:r w:rsidR="00D43DF4" w:rsidRPr="00F67CC4">
        <w:rPr>
          <w:rFonts w:cs="Calibri"/>
          <w:bCs/>
          <w:lang w:val="en-GB"/>
        </w:rPr>
        <w:t xml:space="preserve">. </w:t>
      </w:r>
    </w:p>
    <w:p w:rsidR="00CB0BF7" w:rsidRPr="00F67CC4" w:rsidRDefault="00265D35" w:rsidP="00F74511">
      <w:pPr>
        <w:spacing w:line="360" w:lineRule="auto"/>
        <w:rPr>
          <w:rFonts w:cs="Calibri"/>
          <w:bCs/>
          <w:lang w:val="en-GB"/>
        </w:rPr>
      </w:pPr>
      <w:r>
        <w:rPr>
          <w:rFonts w:cs="Calibri"/>
          <w:bCs/>
          <w:lang w:val="en-GB"/>
        </w:rPr>
        <w:t xml:space="preserve">The main topics of this research are the introduction of IFRS in 2005 and the use of earnings management. </w:t>
      </w:r>
      <w:r w:rsidR="00183F81" w:rsidRPr="00F67CC4">
        <w:rPr>
          <w:rFonts w:cs="Calibri"/>
          <w:bCs/>
          <w:lang w:val="en-GB"/>
        </w:rPr>
        <w:t xml:space="preserve">Earnings management </w:t>
      </w:r>
      <w:r w:rsidR="00554F2C" w:rsidRPr="00F67CC4">
        <w:rPr>
          <w:rFonts w:cs="Calibri"/>
          <w:bCs/>
          <w:lang w:val="en-GB"/>
        </w:rPr>
        <w:t xml:space="preserve">is a broad topic </w:t>
      </w:r>
      <w:r w:rsidR="00E66FE8">
        <w:rPr>
          <w:rFonts w:cs="Calibri"/>
          <w:bCs/>
          <w:lang w:val="en-GB"/>
        </w:rPr>
        <w:t>consequently it is hard to define one total definition of it. Consequently</w:t>
      </w:r>
      <w:r w:rsidR="00554F2C" w:rsidRPr="00F67CC4">
        <w:rPr>
          <w:rFonts w:cs="Calibri"/>
          <w:bCs/>
          <w:lang w:val="en-GB"/>
        </w:rPr>
        <w:t>,</w:t>
      </w:r>
      <w:r w:rsidR="00CB0BF7" w:rsidRPr="00F67CC4">
        <w:rPr>
          <w:rFonts w:cs="Calibri"/>
          <w:bCs/>
          <w:lang w:val="en-GB"/>
        </w:rPr>
        <w:t xml:space="preserve"> Ronen and Yaari (2008) divided </w:t>
      </w:r>
      <w:r w:rsidR="00554F2C" w:rsidRPr="00F67CC4">
        <w:rPr>
          <w:rFonts w:cs="Calibri"/>
          <w:bCs/>
          <w:lang w:val="en-GB"/>
        </w:rPr>
        <w:t>earnings management</w:t>
      </w:r>
      <w:r w:rsidR="00CB0BF7" w:rsidRPr="00F67CC4">
        <w:rPr>
          <w:rFonts w:cs="Calibri"/>
          <w:bCs/>
          <w:lang w:val="en-GB"/>
        </w:rPr>
        <w:t xml:space="preserve"> in white, grey and black</w:t>
      </w:r>
      <w:r w:rsidR="004D1491">
        <w:rPr>
          <w:rFonts w:cs="Calibri"/>
          <w:bCs/>
          <w:lang w:val="en-GB"/>
        </w:rPr>
        <w:t xml:space="preserve"> </w:t>
      </w:r>
      <w:r w:rsidR="00E66FE8">
        <w:rPr>
          <w:rFonts w:cs="Calibri"/>
          <w:bCs/>
          <w:lang w:val="en-GB"/>
        </w:rPr>
        <w:t>in which</w:t>
      </w:r>
      <w:r w:rsidR="004D1491">
        <w:rPr>
          <w:rFonts w:cs="Calibri"/>
          <w:bCs/>
          <w:lang w:val="en-GB"/>
        </w:rPr>
        <w:t xml:space="preserve"> </w:t>
      </w:r>
      <w:r w:rsidR="00554F2C" w:rsidRPr="00F67CC4">
        <w:rPr>
          <w:rFonts w:cs="Calibri"/>
          <w:bCs/>
          <w:lang w:val="en-GB"/>
        </w:rPr>
        <w:t xml:space="preserve">the incentive </w:t>
      </w:r>
      <w:r w:rsidR="00E07CE2" w:rsidRPr="00F67CC4">
        <w:rPr>
          <w:rFonts w:cs="Calibri"/>
          <w:bCs/>
          <w:lang w:val="en-GB"/>
        </w:rPr>
        <w:t>of a manager is determinative on</w:t>
      </w:r>
      <w:r w:rsidR="00554F2C" w:rsidRPr="00F67CC4">
        <w:rPr>
          <w:rFonts w:cs="Calibri"/>
          <w:bCs/>
          <w:lang w:val="en-GB"/>
        </w:rPr>
        <w:t xml:space="preserve"> which type of earnings management is executed.</w:t>
      </w:r>
      <w:r w:rsidR="00CB0BF7" w:rsidRPr="00F67CC4">
        <w:rPr>
          <w:rFonts w:cs="Calibri"/>
          <w:bCs/>
          <w:lang w:val="en-GB"/>
        </w:rPr>
        <w:t xml:space="preserve"> </w:t>
      </w:r>
      <w:r w:rsidR="00E07CE2" w:rsidRPr="00F67CC4">
        <w:rPr>
          <w:rFonts w:cs="Calibri"/>
          <w:bCs/>
          <w:lang w:val="en-GB"/>
        </w:rPr>
        <w:t xml:space="preserve">Assumed is that the action of using earnings management by a manager is purposeful. </w:t>
      </w:r>
      <w:r w:rsidR="004D1491">
        <w:rPr>
          <w:rFonts w:cs="Calibri"/>
          <w:bCs/>
          <w:lang w:val="en-GB"/>
        </w:rPr>
        <w:t>The</w:t>
      </w:r>
      <w:r w:rsidR="00CB0BF7" w:rsidRPr="00F67CC4">
        <w:rPr>
          <w:rFonts w:cs="Calibri"/>
          <w:bCs/>
          <w:lang w:val="en-GB"/>
        </w:rPr>
        <w:t xml:space="preserve"> </w:t>
      </w:r>
      <w:r w:rsidR="00245D11" w:rsidRPr="00F67CC4">
        <w:rPr>
          <w:rFonts w:cs="Calibri"/>
          <w:bCs/>
          <w:lang w:val="en-GB"/>
        </w:rPr>
        <w:t>incentive</w:t>
      </w:r>
      <w:r w:rsidR="00E07CE2" w:rsidRPr="00F67CC4">
        <w:rPr>
          <w:rFonts w:cs="Calibri"/>
          <w:bCs/>
          <w:lang w:val="en-GB"/>
        </w:rPr>
        <w:t xml:space="preserve"> that is determinative in characterizing </w:t>
      </w:r>
      <w:r w:rsidR="00E66FE8">
        <w:rPr>
          <w:rFonts w:cs="Calibri"/>
          <w:bCs/>
          <w:lang w:val="en-GB"/>
        </w:rPr>
        <w:t xml:space="preserve">the use of </w:t>
      </w:r>
      <w:r w:rsidR="00E07CE2" w:rsidRPr="00F67CC4">
        <w:rPr>
          <w:rFonts w:cs="Calibri"/>
          <w:bCs/>
          <w:lang w:val="en-GB"/>
        </w:rPr>
        <w:t>earnings management</w:t>
      </w:r>
      <w:r w:rsidR="00245D11" w:rsidRPr="00F67CC4">
        <w:rPr>
          <w:rFonts w:cs="Calibri"/>
          <w:bCs/>
          <w:lang w:val="en-GB"/>
        </w:rPr>
        <w:t xml:space="preserve"> </w:t>
      </w:r>
      <w:r w:rsidR="00394B8C" w:rsidRPr="00F67CC4">
        <w:rPr>
          <w:rFonts w:cs="Calibri"/>
          <w:bCs/>
          <w:lang w:val="en-GB"/>
        </w:rPr>
        <w:t xml:space="preserve">can be </w:t>
      </w:r>
      <w:r w:rsidR="00C53A24">
        <w:rPr>
          <w:rFonts w:cs="Calibri"/>
          <w:bCs/>
          <w:lang w:val="en-GB"/>
        </w:rPr>
        <w:t xml:space="preserve">(1) a </w:t>
      </w:r>
      <w:r w:rsidR="00CB0BF7" w:rsidRPr="00F67CC4">
        <w:rPr>
          <w:rFonts w:cs="Calibri"/>
          <w:bCs/>
          <w:lang w:val="en-GB"/>
        </w:rPr>
        <w:t>capital market</w:t>
      </w:r>
      <w:r w:rsidR="00C53A24">
        <w:rPr>
          <w:rFonts w:cs="Calibri"/>
          <w:bCs/>
          <w:lang w:val="en-GB"/>
        </w:rPr>
        <w:t xml:space="preserve"> incentive</w:t>
      </w:r>
      <w:r w:rsidR="00CB0BF7" w:rsidRPr="00F67CC4">
        <w:rPr>
          <w:rFonts w:cs="Calibri"/>
          <w:bCs/>
          <w:lang w:val="en-GB"/>
        </w:rPr>
        <w:t xml:space="preserve">, </w:t>
      </w:r>
      <w:r w:rsidR="00C53A24">
        <w:rPr>
          <w:rFonts w:cs="Calibri"/>
          <w:bCs/>
          <w:lang w:val="en-GB"/>
        </w:rPr>
        <w:t xml:space="preserve">(2) a </w:t>
      </w:r>
      <w:r w:rsidR="00CB0BF7" w:rsidRPr="00F67CC4">
        <w:rPr>
          <w:rFonts w:cs="Calibri"/>
          <w:bCs/>
          <w:lang w:val="en-GB"/>
        </w:rPr>
        <w:t>contracting</w:t>
      </w:r>
      <w:r w:rsidR="00C53A24">
        <w:rPr>
          <w:rFonts w:cs="Calibri"/>
          <w:bCs/>
          <w:lang w:val="en-GB"/>
        </w:rPr>
        <w:t xml:space="preserve"> incentive</w:t>
      </w:r>
      <w:r w:rsidR="00CB0BF7" w:rsidRPr="00F67CC4">
        <w:rPr>
          <w:rFonts w:cs="Calibri"/>
          <w:bCs/>
          <w:lang w:val="en-GB"/>
        </w:rPr>
        <w:t xml:space="preserve"> or</w:t>
      </w:r>
      <w:r w:rsidR="00C53A24">
        <w:rPr>
          <w:rFonts w:cs="Calibri"/>
          <w:bCs/>
          <w:lang w:val="en-GB"/>
        </w:rPr>
        <w:t xml:space="preserve"> (3) a </w:t>
      </w:r>
      <w:r w:rsidR="00CB0BF7" w:rsidRPr="00F67CC4">
        <w:rPr>
          <w:rFonts w:cs="Calibri"/>
          <w:bCs/>
          <w:lang w:val="en-GB"/>
        </w:rPr>
        <w:t>regu</w:t>
      </w:r>
      <w:r w:rsidR="00394B8C" w:rsidRPr="00F67CC4">
        <w:rPr>
          <w:rFonts w:cs="Calibri"/>
          <w:bCs/>
          <w:lang w:val="en-GB"/>
        </w:rPr>
        <w:t xml:space="preserve">latory </w:t>
      </w:r>
      <w:r w:rsidR="00C53A24">
        <w:rPr>
          <w:rFonts w:cs="Calibri"/>
          <w:bCs/>
          <w:lang w:val="en-GB"/>
        </w:rPr>
        <w:t>incentive</w:t>
      </w:r>
      <w:r w:rsidR="00394B8C" w:rsidRPr="00F67CC4">
        <w:rPr>
          <w:rFonts w:cs="Calibri"/>
          <w:bCs/>
          <w:lang w:val="en-GB"/>
        </w:rPr>
        <w:t xml:space="preserve">. </w:t>
      </w:r>
      <w:r w:rsidR="00245D11" w:rsidRPr="00F67CC4">
        <w:rPr>
          <w:rFonts w:cs="Calibri"/>
          <w:bCs/>
          <w:lang w:val="en-GB"/>
        </w:rPr>
        <w:t xml:space="preserve">Depending on </w:t>
      </w:r>
      <w:r w:rsidR="00E66FE8">
        <w:rPr>
          <w:rFonts w:cs="Calibri"/>
          <w:bCs/>
          <w:lang w:val="en-GB"/>
        </w:rPr>
        <w:t>an incentive</w:t>
      </w:r>
      <w:r w:rsidR="00245D11" w:rsidRPr="00F67CC4">
        <w:rPr>
          <w:rFonts w:cs="Calibri"/>
          <w:bCs/>
          <w:lang w:val="en-GB"/>
        </w:rPr>
        <w:t>, the direction of earnings management will be determined</w:t>
      </w:r>
      <w:r w:rsidR="00394B8C" w:rsidRPr="00F67CC4">
        <w:rPr>
          <w:rFonts w:cs="Calibri"/>
          <w:bCs/>
          <w:lang w:val="en-GB"/>
        </w:rPr>
        <w:t xml:space="preserve"> by a manager</w:t>
      </w:r>
      <w:r w:rsidR="00245D11" w:rsidRPr="00F67CC4">
        <w:rPr>
          <w:rFonts w:cs="Calibri"/>
          <w:bCs/>
          <w:lang w:val="en-GB"/>
        </w:rPr>
        <w:t xml:space="preserve">. </w:t>
      </w:r>
      <w:r w:rsidR="00E66FE8">
        <w:rPr>
          <w:rFonts w:cs="Calibri"/>
          <w:bCs/>
          <w:lang w:val="en-GB"/>
        </w:rPr>
        <w:t>The direction of earnings management</w:t>
      </w:r>
      <w:r w:rsidR="00245D11" w:rsidRPr="00F67CC4">
        <w:rPr>
          <w:rFonts w:cs="Calibri"/>
          <w:bCs/>
          <w:lang w:val="en-GB"/>
        </w:rPr>
        <w:t xml:space="preserve"> will be </w:t>
      </w:r>
      <w:r w:rsidR="00E66FE8">
        <w:rPr>
          <w:rFonts w:cs="Calibri"/>
          <w:bCs/>
          <w:lang w:val="en-GB"/>
        </w:rPr>
        <w:t xml:space="preserve">chosen </w:t>
      </w:r>
      <w:r w:rsidR="00245D11" w:rsidRPr="00F67CC4">
        <w:rPr>
          <w:rFonts w:cs="Calibri"/>
          <w:bCs/>
          <w:lang w:val="en-GB"/>
        </w:rPr>
        <w:t xml:space="preserve">to create the best value for the managers and/or the company. </w:t>
      </w:r>
    </w:p>
    <w:p w:rsidR="00FA1AFF" w:rsidRDefault="00394B8C" w:rsidP="00F74511">
      <w:pPr>
        <w:spacing w:line="360" w:lineRule="auto"/>
        <w:rPr>
          <w:rFonts w:cs="Calibri"/>
          <w:bCs/>
          <w:lang w:val="en-GB"/>
        </w:rPr>
      </w:pPr>
      <w:r w:rsidRPr="00F67CC4">
        <w:rPr>
          <w:rFonts w:cs="Calibri"/>
          <w:bCs/>
          <w:lang w:val="en-GB"/>
        </w:rPr>
        <w:t>Th</w:t>
      </w:r>
      <w:r w:rsidR="00554F2C" w:rsidRPr="00F67CC4">
        <w:rPr>
          <w:rFonts w:cs="Calibri"/>
          <w:bCs/>
          <w:lang w:val="en-GB"/>
        </w:rPr>
        <w:t>is</w:t>
      </w:r>
      <w:r w:rsidRPr="00F67CC4">
        <w:rPr>
          <w:rFonts w:cs="Calibri"/>
          <w:bCs/>
          <w:lang w:val="en-GB"/>
        </w:rPr>
        <w:t xml:space="preserve"> management of earni</w:t>
      </w:r>
      <w:r w:rsidR="00554F2C" w:rsidRPr="00F67CC4">
        <w:rPr>
          <w:rFonts w:cs="Calibri"/>
          <w:bCs/>
          <w:lang w:val="en-GB"/>
        </w:rPr>
        <w:t xml:space="preserve">ngs can be </w:t>
      </w:r>
      <w:r w:rsidR="00E66FE8">
        <w:rPr>
          <w:rFonts w:cs="Calibri"/>
          <w:bCs/>
          <w:lang w:val="en-GB"/>
        </w:rPr>
        <w:t>realised</w:t>
      </w:r>
      <w:r w:rsidR="00554F2C" w:rsidRPr="00F67CC4">
        <w:rPr>
          <w:rFonts w:cs="Calibri"/>
          <w:bCs/>
          <w:lang w:val="en-GB"/>
        </w:rPr>
        <w:t xml:space="preserve"> by two general</w:t>
      </w:r>
      <w:r w:rsidRPr="00F67CC4">
        <w:rPr>
          <w:rFonts w:cs="Calibri"/>
          <w:bCs/>
          <w:lang w:val="en-GB"/>
        </w:rPr>
        <w:t xml:space="preserve"> methods; </w:t>
      </w:r>
      <w:r w:rsidR="00BD66D7">
        <w:rPr>
          <w:rFonts w:cs="Calibri"/>
          <w:bCs/>
          <w:lang w:val="en-GB"/>
        </w:rPr>
        <w:t xml:space="preserve">by </w:t>
      </w:r>
      <w:r w:rsidRPr="00F67CC4">
        <w:rPr>
          <w:rFonts w:cs="Calibri"/>
          <w:bCs/>
          <w:lang w:val="en-GB"/>
        </w:rPr>
        <w:t>accruals an</w:t>
      </w:r>
      <w:r w:rsidR="00DA1E08" w:rsidRPr="00F67CC4">
        <w:rPr>
          <w:rFonts w:cs="Calibri"/>
          <w:bCs/>
          <w:lang w:val="en-GB"/>
        </w:rPr>
        <w:t xml:space="preserve">d </w:t>
      </w:r>
      <w:r w:rsidR="00E66FE8">
        <w:rPr>
          <w:rFonts w:cs="Calibri"/>
          <w:bCs/>
          <w:lang w:val="en-GB"/>
        </w:rPr>
        <w:t xml:space="preserve">by </w:t>
      </w:r>
      <w:r w:rsidR="00DA1E08" w:rsidRPr="00F67CC4">
        <w:rPr>
          <w:rFonts w:cs="Calibri"/>
          <w:bCs/>
          <w:lang w:val="en-GB"/>
        </w:rPr>
        <w:t xml:space="preserve">real </w:t>
      </w:r>
      <w:r w:rsidR="00BD66D7">
        <w:rPr>
          <w:rFonts w:cs="Calibri"/>
          <w:bCs/>
          <w:lang w:val="en-GB"/>
        </w:rPr>
        <w:t>activities</w:t>
      </w:r>
      <w:r w:rsidR="00DA1E08" w:rsidRPr="00F67CC4">
        <w:rPr>
          <w:rFonts w:cs="Calibri"/>
          <w:bCs/>
          <w:lang w:val="en-GB"/>
        </w:rPr>
        <w:t xml:space="preserve">. </w:t>
      </w:r>
      <w:r w:rsidR="008935AE" w:rsidRPr="00F67CC4">
        <w:rPr>
          <w:rFonts w:cs="Calibri"/>
          <w:bCs/>
          <w:lang w:val="en-GB"/>
        </w:rPr>
        <w:t xml:space="preserve">In order to detect </w:t>
      </w:r>
      <w:r w:rsidR="0003068B">
        <w:rPr>
          <w:rFonts w:cs="Calibri"/>
          <w:bCs/>
          <w:lang w:val="en-GB"/>
        </w:rPr>
        <w:t>the use of earnings management by accruals</w:t>
      </w:r>
      <w:r w:rsidR="008935AE" w:rsidRPr="00F67CC4">
        <w:rPr>
          <w:rFonts w:cs="Calibri"/>
          <w:bCs/>
          <w:lang w:val="en-GB"/>
        </w:rPr>
        <w:t xml:space="preserve">, </w:t>
      </w:r>
      <w:r w:rsidR="006C20D4" w:rsidRPr="00F67CC4">
        <w:rPr>
          <w:rFonts w:cs="Calibri"/>
          <w:bCs/>
          <w:lang w:val="en-GB"/>
        </w:rPr>
        <w:t>several models have been developed.</w:t>
      </w:r>
      <w:r w:rsidR="0003068B">
        <w:rPr>
          <w:rFonts w:cs="Calibri"/>
          <w:bCs/>
          <w:lang w:val="en-GB"/>
        </w:rPr>
        <w:t xml:space="preserve"> To present an overview of the different models, section 3.4.1 contains </w:t>
      </w:r>
      <w:r w:rsidR="006C20D4" w:rsidRPr="00F67CC4">
        <w:rPr>
          <w:rFonts w:cs="Calibri"/>
          <w:bCs/>
          <w:lang w:val="en-GB"/>
        </w:rPr>
        <w:t xml:space="preserve">models of Healy (1985), DeAngelo (1986), Jones (1991), Modified Jones </w:t>
      </w:r>
      <w:r w:rsidR="0003068B">
        <w:rPr>
          <w:rFonts w:cs="Calibri"/>
          <w:bCs/>
          <w:lang w:val="en-GB"/>
        </w:rPr>
        <w:t>(1995) and Kothari et al. (2005).</w:t>
      </w:r>
      <w:r w:rsidR="006C20D4" w:rsidRPr="00F67CC4">
        <w:rPr>
          <w:rFonts w:cs="Calibri"/>
          <w:bCs/>
          <w:lang w:val="en-GB"/>
        </w:rPr>
        <w:t xml:space="preserve"> </w:t>
      </w:r>
      <w:r w:rsidR="007F36EC" w:rsidRPr="00F67CC4">
        <w:rPr>
          <w:rFonts w:cs="Calibri"/>
          <w:bCs/>
          <w:lang w:val="en-GB"/>
        </w:rPr>
        <w:t>After checking various related earlier researches (Heemskerk, van der Tas 2006; Cohen</w:t>
      </w:r>
      <w:r w:rsidR="00FA1AFF">
        <w:rPr>
          <w:rFonts w:cs="Calibri"/>
          <w:bCs/>
          <w:lang w:val="en-GB"/>
        </w:rPr>
        <w:t>, Dey, Lys 2008; Lippens 2010), is decided that the Modified Jones model in this research will be used for checking the use of accruals-based earnings management.</w:t>
      </w:r>
    </w:p>
    <w:p w:rsidR="00503DFC" w:rsidRDefault="005775D8" w:rsidP="00E53854">
      <w:pPr>
        <w:spacing w:line="360" w:lineRule="auto"/>
        <w:rPr>
          <w:rFonts w:cs="Calibri"/>
          <w:bCs/>
          <w:lang w:val="en-GB"/>
        </w:rPr>
      </w:pPr>
      <w:r w:rsidRPr="00F67CC4">
        <w:rPr>
          <w:rFonts w:cs="Calibri"/>
          <w:bCs/>
          <w:lang w:val="en-GB"/>
        </w:rPr>
        <w:t xml:space="preserve">Next to </w:t>
      </w:r>
      <w:r w:rsidR="00FA1AFF">
        <w:rPr>
          <w:rFonts w:cs="Calibri"/>
          <w:bCs/>
          <w:lang w:val="en-GB"/>
        </w:rPr>
        <w:t xml:space="preserve">the </w:t>
      </w:r>
      <w:r w:rsidRPr="00F67CC4">
        <w:rPr>
          <w:rFonts w:cs="Calibri"/>
          <w:bCs/>
          <w:lang w:val="en-GB"/>
        </w:rPr>
        <w:t>accruals-based</w:t>
      </w:r>
      <w:r w:rsidR="00FA1AFF">
        <w:rPr>
          <w:rFonts w:cs="Calibri"/>
          <w:bCs/>
          <w:lang w:val="en-GB"/>
        </w:rPr>
        <w:t xml:space="preserve"> method</w:t>
      </w:r>
      <w:r w:rsidRPr="00F67CC4">
        <w:rPr>
          <w:rFonts w:cs="Calibri"/>
          <w:bCs/>
          <w:lang w:val="en-GB"/>
        </w:rPr>
        <w:t xml:space="preserve">, </w:t>
      </w:r>
      <w:r w:rsidR="009409AD" w:rsidRPr="00F67CC4">
        <w:rPr>
          <w:rFonts w:cs="Calibri"/>
          <w:bCs/>
          <w:lang w:val="en-GB"/>
        </w:rPr>
        <w:t xml:space="preserve">real earnings management </w:t>
      </w:r>
      <w:r w:rsidRPr="00F67CC4">
        <w:rPr>
          <w:rFonts w:cs="Calibri"/>
          <w:bCs/>
          <w:lang w:val="en-GB"/>
        </w:rPr>
        <w:t xml:space="preserve">is </w:t>
      </w:r>
      <w:r w:rsidR="009409AD" w:rsidRPr="00F67CC4">
        <w:rPr>
          <w:rFonts w:cs="Calibri"/>
          <w:bCs/>
          <w:lang w:val="en-GB"/>
        </w:rPr>
        <w:t>used to adjust</w:t>
      </w:r>
      <w:r w:rsidR="00FA1AFF">
        <w:rPr>
          <w:rFonts w:cs="Calibri"/>
          <w:bCs/>
          <w:lang w:val="en-GB"/>
        </w:rPr>
        <w:t xml:space="preserve"> the</w:t>
      </w:r>
      <w:r w:rsidR="009409AD" w:rsidRPr="00F67CC4">
        <w:rPr>
          <w:rFonts w:cs="Calibri"/>
          <w:bCs/>
          <w:lang w:val="en-GB"/>
        </w:rPr>
        <w:t xml:space="preserve"> financial numbers and values. </w:t>
      </w:r>
      <w:r w:rsidR="00DD3A1D" w:rsidRPr="00F67CC4">
        <w:rPr>
          <w:rFonts w:cs="Calibri"/>
          <w:lang w:val="en-GB"/>
        </w:rPr>
        <w:t xml:space="preserve">The use of real earnings management can be measured by the use of the model developed by Roychowdhury (2006) and Gunny (2010). </w:t>
      </w:r>
      <w:r w:rsidR="00B01689" w:rsidRPr="00F67CC4">
        <w:rPr>
          <w:rFonts w:cs="Calibri"/>
          <w:lang w:val="en-GB"/>
        </w:rPr>
        <w:t>A big limitation of</w:t>
      </w:r>
      <w:r w:rsidR="00B7189B" w:rsidRPr="00F67CC4">
        <w:rPr>
          <w:rFonts w:cs="Calibri"/>
          <w:lang w:val="en-GB"/>
        </w:rPr>
        <w:t xml:space="preserve"> </w:t>
      </w:r>
      <w:r w:rsidR="00BD66D7">
        <w:rPr>
          <w:rFonts w:cs="Calibri"/>
          <w:lang w:val="en-GB"/>
        </w:rPr>
        <w:t>both</w:t>
      </w:r>
      <w:r w:rsidR="00B01689" w:rsidRPr="00F67CC4">
        <w:rPr>
          <w:rFonts w:cs="Calibri"/>
          <w:lang w:val="en-GB"/>
        </w:rPr>
        <w:t xml:space="preserve"> models </w:t>
      </w:r>
      <w:r w:rsidR="00B7189B" w:rsidRPr="00F67CC4">
        <w:rPr>
          <w:rFonts w:cs="Calibri"/>
          <w:lang w:val="en-GB"/>
        </w:rPr>
        <w:t>i</w:t>
      </w:r>
      <w:r w:rsidR="00B01689" w:rsidRPr="00F67CC4">
        <w:rPr>
          <w:rFonts w:cs="Calibri"/>
          <w:lang w:val="en-GB"/>
        </w:rPr>
        <w:t xml:space="preserve">s that no evidence </w:t>
      </w:r>
      <w:r w:rsidR="00503DFC">
        <w:rPr>
          <w:rFonts w:cs="Calibri"/>
          <w:lang w:val="en-GB"/>
        </w:rPr>
        <w:t xml:space="preserve">exists </w:t>
      </w:r>
      <w:r w:rsidR="00B01689" w:rsidRPr="00F67CC4">
        <w:rPr>
          <w:rFonts w:cs="Calibri"/>
          <w:lang w:val="en-GB"/>
        </w:rPr>
        <w:t xml:space="preserve">on the validity of </w:t>
      </w:r>
      <w:r w:rsidR="00BD66D7">
        <w:rPr>
          <w:rFonts w:cs="Calibri"/>
          <w:lang w:val="en-GB"/>
        </w:rPr>
        <w:t>the</w:t>
      </w:r>
      <w:r w:rsidR="00B01689" w:rsidRPr="00F67CC4">
        <w:rPr>
          <w:rFonts w:cs="Calibri"/>
          <w:lang w:val="en-GB"/>
        </w:rPr>
        <w:t xml:space="preserve"> models</w:t>
      </w:r>
      <w:r w:rsidR="009E281B" w:rsidRPr="00F67CC4">
        <w:rPr>
          <w:rFonts w:cs="Calibri"/>
          <w:lang w:val="en-GB"/>
        </w:rPr>
        <w:t xml:space="preserve">. </w:t>
      </w:r>
      <w:r w:rsidR="00503DFC">
        <w:rPr>
          <w:rFonts w:cs="Calibri"/>
          <w:lang w:val="en-GB"/>
        </w:rPr>
        <w:t xml:space="preserve">Tests have been performed </w:t>
      </w:r>
      <w:r w:rsidR="009E281B" w:rsidRPr="00F67CC4">
        <w:rPr>
          <w:rFonts w:cs="Calibri"/>
          <w:lang w:val="en-GB"/>
        </w:rPr>
        <w:t>on the</w:t>
      </w:r>
      <w:r w:rsidR="00B01689" w:rsidRPr="00F67CC4">
        <w:rPr>
          <w:rFonts w:cs="Calibri"/>
          <w:lang w:val="en-GB"/>
        </w:rPr>
        <w:t xml:space="preserve"> validity of the proxies</w:t>
      </w:r>
      <w:r w:rsidR="00B7189B" w:rsidRPr="00F67CC4">
        <w:rPr>
          <w:rFonts w:cs="Calibri"/>
          <w:lang w:val="en-GB"/>
        </w:rPr>
        <w:t xml:space="preserve"> </w:t>
      </w:r>
      <w:r w:rsidR="00B01689" w:rsidRPr="00F67CC4">
        <w:rPr>
          <w:rFonts w:cs="Calibri"/>
          <w:lang w:val="en-GB"/>
        </w:rPr>
        <w:t>in the model</w:t>
      </w:r>
      <w:r w:rsidR="009E281B" w:rsidRPr="00F67CC4">
        <w:rPr>
          <w:rFonts w:cs="Calibri"/>
          <w:lang w:val="en-GB"/>
        </w:rPr>
        <w:t>s</w:t>
      </w:r>
      <w:r w:rsidR="00B01689" w:rsidRPr="00F67CC4">
        <w:rPr>
          <w:rFonts w:cs="Calibri"/>
          <w:lang w:val="en-GB"/>
        </w:rPr>
        <w:t xml:space="preserve"> </w:t>
      </w:r>
      <w:r w:rsidR="00503DFC">
        <w:rPr>
          <w:rFonts w:cs="Calibri"/>
          <w:lang w:val="en-GB"/>
        </w:rPr>
        <w:t xml:space="preserve">used </w:t>
      </w:r>
      <w:r w:rsidR="00B01689" w:rsidRPr="00F67CC4">
        <w:rPr>
          <w:rFonts w:cs="Calibri"/>
          <w:bCs/>
          <w:lang w:val="en-GB"/>
        </w:rPr>
        <w:t>(Zang 2005, Gunny 2006)</w:t>
      </w:r>
      <w:r w:rsidR="00B01689" w:rsidRPr="00F67CC4">
        <w:rPr>
          <w:rFonts w:cs="Calibri"/>
          <w:b/>
          <w:bCs/>
          <w:lang w:val="en-GB"/>
        </w:rPr>
        <w:t xml:space="preserve"> </w:t>
      </w:r>
      <w:r w:rsidR="00B01689" w:rsidRPr="00F67CC4">
        <w:rPr>
          <w:rFonts w:cs="Calibri"/>
          <w:lang w:val="en-GB"/>
        </w:rPr>
        <w:t xml:space="preserve">but no evidence on the validity of </w:t>
      </w:r>
      <w:r w:rsidRPr="00F67CC4">
        <w:rPr>
          <w:rFonts w:cs="Calibri"/>
          <w:lang w:val="en-GB"/>
        </w:rPr>
        <w:t xml:space="preserve">the </w:t>
      </w:r>
      <w:r w:rsidR="00B01689" w:rsidRPr="00F67CC4">
        <w:rPr>
          <w:rFonts w:cs="Calibri"/>
          <w:lang w:val="en-GB"/>
        </w:rPr>
        <w:t xml:space="preserve">models </w:t>
      </w:r>
      <w:r w:rsidR="00503DFC">
        <w:rPr>
          <w:rFonts w:cs="Calibri"/>
          <w:lang w:val="en-GB"/>
        </w:rPr>
        <w:lastRenderedPageBreak/>
        <w:t xml:space="preserve">exists </w:t>
      </w:r>
      <w:r w:rsidR="00B01689" w:rsidRPr="00F67CC4">
        <w:rPr>
          <w:rFonts w:cs="Calibri"/>
          <w:lang w:val="en-GB"/>
        </w:rPr>
        <w:t xml:space="preserve">because </w:t>
      </w:r>
      <w:r w:rsidR="00B01689" w:rsidRPr="00F67CC4">
        <w:rPr>
          <w:rFonts w:cs="Calibri"/>
          <w:bCs/>
          <w:lang w:val="en-GB"/>
        </w:rPr>
        <w:t xml:space="preserve">no data </w:t>
      </w:r>
      <w:r w:rsidR="00503DFC">
        <w:rPr>
          <w:rFonts w:cs="Calibri"/>
          <w:bCs/>
          <w:lang w:val="en-GB"/>
        </w:rPr>
        <w:t xml:space="preserve">of </w:t>
      </w:r>
      <w:r w:rsidR="00B01689" w:rsidRPr="00F67CC4">
        <w:rPr>
          <w:rFonts w:cs="Calibri"/>
          <w:bCs/>
          <w:lang w:val="en-GB"/>
        </w:rPr>
        <w:t xml:space="preserve">companies </w:t>
      </w:r>
      <w:r w:rsidR="00503DFC">
        <w:rPr>
          <w:rFonts w:cs="Calibri"/>
          <w:bCs/>
          <w:lang w:val="en-GB"/>
        </w:rPr>
        <w:t xml:space="preserve">exists </w:t>
      </w:r>
      <w:r w:rsidR="00B01689" w:rsidRPr="00F67CC4">
        <w:rPr>
          <w:rFonts w:cs="Calibri"/>
          <w:bCs/>
          <w:lang w:val="en-GB"/>
        </w:rPr>
        <w:t xml:space="preserve">that </w:t>
      </w:r>
      <w:r w:rsidR="00503DFC">
        <w:rPr>
          <w:rFonts w:cs="Calibri"/>
          <w:bCs/>
          <w:lang w:val="en-GB"/>
        </w:rPr>
        <w:t xml:space="preserve">have </w:t>
      </w:r>
      <w:r w:rsidR="00A2600F">
        <w:rPr>
          <w:rFonts w:cs="Calibri"/>
          <w:bCs/>
          <w:lang w:val="en-GB"/>
        </w:rPr>
        <w:t xml:space="preserve">proven </w:t>
      </w:r>
      <w:r w:rsidRPr="00F67CC4">
        <w:rPr>
          <w:rFonts w:cs="Calibri"/>
          <w:bCs/>
          <w:lang w:val="en-GB"/>
        </w:rPr>
        <w:t xml:space="preserve">adjusted values by </w:t>
      </w:r>
      <w:r w:rsidR="00503DFC">
        <w:rPr>
          <w:rFonts w:cs="Calibri"/>
          <w:bCs/>
          <w:lang w:val="en-GB"/>
        </w:rPr>
        <w:t xml:space="preserve">the </w:t>
      </w:r>
      <w:r w:rsidRPr="00F67CC4">
        <w:rPr>
          <w:rFonts w:cs="Calibri"/>
          <w:bCs/>
          <w:lang w:val="en-GB"/>
        </w:rPr>
        <w:t xml:space="preserve">using </w:t>
      </w:r>
      <w:r w:rsidR="00503DFC">
        <w:rPr>
          <w:rFonts w:cs="Calibri"/>
          <w:bCs/>
          <w:lang w:val="en-GB"/>
        </w:rPr>
        <w:t xml:space="preserve">of real earnings management. Consequently </w:t>
      </w:r>
      <w:r w:rsidR="00B01689" w:rsidRPr="00F67CC4">
        <w:rPr>
          <w:rFonts w:cs="Calibri"/>
          <w:bCs/>
          <w:lang w:val="en-GB"/>
        </w:rPr>
        <w:t xml:space="preserve">the decision is based on previous real earnings management studies and their use of a model. This </w:t>
      </w:r>
      <w:r w:rsidR="00A2600F">
        <w:rPr>
          <w:rFonts w:cs="Calibri"/>
          <w:bCs/>
          <w:lang w:val="en-GB"/>
        </w:rPr>
        <w:t>fundament</w:t>
      </w:r>
      <w:r w:rsidR="00B01689" w:rsidRPr="00F67CC4">
        <w:rPr>
          <w:rFonts w:cs="Calibri"/>
          <w:bCs/>
          <w:lang w:val="en-GB"/>
        </w:rPr>
        <w:t xml:space="preserve"> of previous studies on</w:t>
      </w:r>
      <w:r w:rsidR="00265D35">
        <w:rPr>
          <w:rFonts w:cs="Calibri"/>
          <w:bCs/>
          <w:lang w:val="en-GB"/>
        </w:rPr>
        <w:t xml:space="preserve"> the use of</w:t>
      </w:r>
      <w:r w:rsidR="00B01689" w:rsidRPr="00F67CC4">
        <w:rPr>
          <w:rFonts w:cs="Calibri"/>
          <w:bCs/>
          <w:lang w:val="en-GB"/>
        </w:rPr>
        <w:t xml:space="preserve"> </w:t>
      </w:r>
      <w:r w:rsidRPr="00F67CC4">
        <w:rPr>
          <w:rFonts w:cs="Calibri"/>
          <w:bCs/>
          <w:lang w:val="en-GB"/>
        </w:rPr>
        <w:t xml:space="preserve">real </w:t>
      </w:r>
      <w:r w:rsidR="00B01689" w:rsidRPr="00F67CC4">
        <w:rPr>
          <w:rFonts w:cs="Calibri"/>
          <w:bCs/>
          <w:lang w:val="en-GB"/>
        </w:rPr>
        <w:t>earnings management</w:t>
      </w:r>
      <w:r w:rsidR="00B01689" w:rsidRPr="00F67CC4">
        <w:rPr>
          <w:rFonts w:cs="Calibri"/>
          <w:b/>
          <w:bCs/>
          <w:lang w:val="en-GB"/>
        </w:rPr>
        <w:t xml:space="preserve"> </w:t>
      </w:r>
      <w:r w:rsidR="00B01689" w:rsidRPr="00F67CC4">
        <w:rPr>
          <w:rFonts w:cs="Calibri"/>
          <w:bCs/>
          <w:lang w:val="en-GB"/>
        </w:rPr>
        <w:t xml:space="preserve">(Cohen et al. 2008; Cohen and Zarowin 2010; Lippens 2010 and Zang 2012) </w:t>
      </w:r>
      <w:r w:rsidR="00ED5F0E" w:rsidRPr="00F67CC4">
        <w:rPr>
          <w:rFonts w:cs="Calibri"/>
          <w:bCs/>
          <w:lang w:val="en-GB"/>
        </w:rPr>
        <w:t>reveals</w:t>
      </w:r>
      <w:r w:rsidR="00B01689" w:rsidRPr="00F67CC4">
        <w:rPr>
          <w:rFonts w:cs="Calibri"/>
          <w:bCs/>
          <w:lang w:val="en-GB"/>
        </w:rPr>
        <w:t xml:space="preserve"> that the model of Roychowdhury (2006) is most common used and </w:t>
      </w:r>
      <w:r w:rsidR="00503DFC">
        <w:rPr>
          <w:rFonts w:cs="Calibri"/>
          <w:bCs/>
          <w:lang w:val="en-GB"/>
        </w:rPr>
        <w:t xml:space="preserve">consequently in this research will be used for detecting the use of real earnings management. In which way this model will be used will be further explained in chapter 6 the research design. </w:t>
      </w:r>
    </w:p>
    <w:p w:rsidR="0081684A" w:rsidRPr="00F67CC4" w:rsidRDefault="00503DFC" w:rsidP="00A04D61">
      <w:pPr>
        <w:spacing w:line="360" w:lineRule="auto"/>
        <w:rPr>
          <w:rFonts w:cs="Calibri"/>
          <w:bCs/>
          <w:lang w:val="en-GB"/>
        </w:rPr>
      </w:pPr>
      <w:r>
        <w:rPr>
          <w:rFonts w:cs="Calibri"/>
          <w:bCs/>
          <w:lang w:val="en-GB"/>
        </w:rPr>
        <w:t>The next chapter concerns prior scientific economic research abou</w:t>
      </w:r>
      <w:r w:rsidR="00A04D61">
        <w:rPr>
          <w:rFonts w:cs="Calibri"/>
          <w:bCs/>
          <w:lang w:val="en-GB"/>
        </w:rPr>
        <w:t>t</w:t>
      </w:r>
      <w:r>
        <w:rPr>
          <w:rFonts w:cs="Calibri"/>
          <w:bCs/>
          <w:lang w:val="en-GB"/>
        </w:rPr>
        <w:t xml:space="preserve"> the</w:t>
      </w:r>
      <w:r w:rsidR="00A04D61">
        <w:rPr>
          <w:rFonts w:cs="Calibri"/>
          <w:bCs/>
          <w:lang w:val="en-GB"/>
        </w:rPr>
        <w:t xml:space="preserve"> thesis object based on that in chapter 5 the hypotheses for this research will be determined. </w:t>
      </w:r>
      <w:r>
        <w:rPr>
          <w:rFonts w:cs="Calibri"/>
          <w:bCs/>
          <w:lang w:val="en-GB"/>
        </w:rPr>
        <w:t xml:space="preserve"> </w:t>
      </w:r>
    </w:p>
    <w:p w:rsidR="005775D8" w:rsidRPr="00F67CC4" w:rsidRDefault="005775D8" w:rsidP="002F3CD3">
      <w:pPr>
        <w:spacing w:line="360" w:lineRule="auto"/>
        <w:rPr>
          <w:rFonts w:cs="Calibri"/>
          <w:bCs/>
          <w:lang w:val="en-GB"/>
        </w:rPr>
      </w:pPr>
    </w:p>
    <w:p w:rsidR="00C30690" w:rsidRPr="008C581E" w:rsidRDefault="001C6A3E" w:rsidP="002F3CD3">
      <w:pPr>
        <w:spacing w:line="360" w:lineRule="auto"/>
        <w:rPr>
          <w:rFonts w:cs="Calibri"/>
          <w:b/>
          <w:bCs/>
          <w:sz w:val="24"/>
          <w:szCs w:val="24"/>
          <w:lang w:val="en-GB"/>
        </w:rPr>
      </w:pPr>
      <w:r w:rsidRPr="00F67CC4">
        <w:rPr>
          <w:rFonts w:cs="Calibri"/>
          <w:bCs/>
          <w:lang w:val="en-GB"/>
        </w:rPr>
        <w:br w:type="page"/>
      </w:r>
      <w:r w:rsidR="002F3CD3" w:rsidRPr="008C581E">
        <w:rPr>
          <w:rFonts w:cs="Calibri"/>
          <w:b/>
          <w:bCs/>
          <w:sz w:val="24"/>
          <w:szCs w:val="24"/>
          <w:lang w:val="en-GB"/>
        </w:rPr>
        <w:lastRenderedPageBreak/>
        <w:t>4</w:t>
      </w:r>
      <w:r w:rsidRPr="008C581E">
        <w:rPr>
          <w:rFonts w:cs="Calibri"/>
          <w:b/>
          <w:bCs/>
          <w:sz w:val="24"/>
          <w:szCs w:val="24"/>
          <w:lang w:val="en-GB"/>
        </w:rPr>
        <w:t xml:space="preserve"> </w:t>
      </w:r>
      <w:r w:rsidR="005D7562" w:rsidRPr="008C581E">
        <w:rPr>
          <w:rFonts w:cs="Calibri"/>
          <w:b/>
          <w:bCs/>
          <w:sz w:val="24"/>
          <w:szCs w:val="24"/>
          <w:lang w:val="en-GB"/>
        </w:rPr>
        <w:t>Related</w:t>
      </w:r>
      <w:r w:rsidRPr="008C581E">
        <w:rPr>
          <w:rFonts w:cs="Calibri"/>
          <w:b/>
          <w:bCs/>
          <w:sz w:val="24"/>
          <w:szCs w:val="24"/>
          <w:lang w:val="en-GB"/>
        </w:rPr>
        <w:t xml:space="preserve"> researches</w:t>
      </w:r>
    </w:p>
    <w:p w:rsidR="00A55B35" w:rsidRDefault="00300B68" w:rsidP="002F3CD3">
      <w:pPr>
        <w:spacing w:line="360" w:lineRule="auto"/>
        <w:rPr>
          <w:rFonts w:cs="Calibri"/>
          <w:bCs/>
          <w:lang w:val="en-GB"/>
        </w:rPr>
      </w:pPr>
      <w:r w:rsidRPr="00F67CC4">
        <w:rPr>
          <w:rFonts w:cs="Calibri"/>
          <w:b/>
          <w:bCs/>
          <w:lang w:val="en-GB"/>
        </w:rPr>
        <w:t>4.1 Introduction</w:t>
      </w:r>
      <w:r w:rsidR="00C30690" w:rsidRPr="00F67CC4">
        <w:rPr>
          <w:rFonts w:cs="Calibri"/>
          <w:b/>
          <w:bCs/>
          <w:lang w:val="en-GB"/>
        </w:rPr>
        <w:br/>
      </w:r>
      <w:r w:rsidR="00C30690" w:rsidRPr="00F67CC4">
        <w:rPr>
          <w:rFonts w:cs="Calibri"/>
          <w:bCs/>
          <w:lang w:val="en-GB"/>
        </w:rPr>
        <w:t xml:space="preserve">In this </w:t>
      </w:r>
      <w:r w:rsidR="00A55B35">
        <w:rPr>
          <w:rFonts w:cs="Calibri"/>
          <w:bCs/>
          <w:lang w:val="en-GB"/>
        </w:rPr>
        <w:t>chapter</w:t>
      </w:r>
      <w:r w:rsidR="00C30690" w:rsidRPr="00F67CC4">
        <w:rPr>
          <w:rFonts w:cs="Calibri"/>
          <w:bCs/>
          <w:lang w:val="en-GB"/>
        </w:rPr>
        <w:t xml:space="preserve">, </w:t>
      </w:r>
      <w:r w:rsidR="00B26212">
        <w:rPr>
          <w:rFonts w:cs="Calibri"/>
          <w:bCs/>
          <w:lang w:val="en-GB"/>
        </w:rPr>
        <w:t>earlier conducted,</w:t>
      </w:r>
      <w:r w:rsidR="00E26F73">
        <w:rPr>
          <w:rFonts w:cs="Calibri"/>
          <w:bCs/>
          <w:lang w:val="en-GB"/>
        </w:rPr>
        <w:t xml:space="preserve"> similar</w:t>
      </w:r>
      <w:r w:rsidR="00C30690" w:rsidRPr="00F67CC4">
        <w:rPr>
          <w:rFonts w:cs="Calibri"/>
          <w:bCs/>
          <w:lang w:val="en-GB"/>
        </w:rPr>
        <w:t xml:space="preserve"> researches </w:t>
      </w:r>
      <w:r w:rsidR="00B26212">
        <w:rPr>
          <w:rFonts w:cs="Calibri"/>
          <w:bCs/>
          <w:lang w:val="en-GB"/>
        </w:rPr>
        <w:t>will be described by</w:t>
      </w:r>
      <w:r w:rsidR="00C30690" w:rsidRPr="00F67CC4">
        <w:rPr>
          <w:rFonts w:cs="Calibri"/>
          <w:bCs/>
          <w:lang w:val="en-GB"/>
        </w:rPr>
        <w:t xml:space="preserve"> what they investigated, </w:t>
      </w:r>
      <w:r w:rsidR="00A55B35">
        <w:rPr>
          <w:rFonts w:cs="Calibri"/>
          <w:bCs/>
          <w:lang w:val="en-GB"/>
        </w:rPr>
        <w:t>in which way</w:t>
      </w:r>
      <w:r w:rsidR="00C30690" w:rsidRPr="00F67CC4">
        <w:rPr>
          <w:rFonts w:cs="Calibri"/>
          <w:bCs/>
          <w:lang w:val="en-GB"/>
        </w:rPr>
        <w:t xml:space="preserve"> they executed their research and finally their </w:t>
      </w:r>
      <w:r w:rsidR="00A55B35">
        <w:rPr>
          <w:rFonts w:cs="Calibri"/>
          <w:bCs/>
          <w:lang w:val="en-GB"/>
        </w:rPr>
        <w:t>findings</w:t>
      </w:r>
      <w:r w:rsidR="00C30690" w:rsidRPr="00F67CC4">
        <w:rPr>
          <w:rFonts w:cs="Calibri"/>
          <w:bCs/>
          <w:lang w:val="en-GB"/>
        </w:rPr>
        <w:t xml:space="preserve">. With the use of these researches, their conclusions and the possible influence of the factors of </w:t>
      </w:r>
      <w:r w:rsidR="00A55B35">
        <w:rPr>
          <w:rFonts w:cs="Calibri"/>
          <w:bCs/>
          <w:lang w:val="en-GB"/>
        </w:rPr>
        <w:t xml:space="preserve">the </w:t>
      </w:r>
      <w:r w:rsidR="00412027" w:rsidRPr="00F67CC4">
        <w:rPr>
          <w:rFonts w:cs="Calibri"/>
          <w:bCs/>
          <w:lang w:val="en-GB"/>
        </w:rPr>
        <w:t>French Civil Law countries The Netherlands, Belgium and France</w:t>
      </w:r>
      <w:r w:rsidR="00C30690" w:rsidRPr="00F67CC4">
        <w:rPr>
          <w:rFonts w:cs="Calibri"/>
          <w:bCs/>
          <w:lang w:val="en-GB"/>
        </w:rPr>
        <w:t xml:space="preserve"> in section 4.3 </w:t>
      </w:r>
      <w:r w:rsidR="00A55B35">
        <w:rPr>
          <w:rFonts w:cs="Calibri"/>
          <w:bCs/>
          <w:lang w:val="en-GB"/>
        </w:rPr>
        <w:t>commented, will in chapter 5 the hypotheses be determined.</w:t>
      </w:r>
    </w:p>
    <w:p w:rsidR="002F3CD3" w:rsidRPr="00F67CC4" w:rsidRDefault="00300B68" w:rsidP="002F3CD3">
      <w:pPr>
        <w:spacing w:line="360" w:lineRule="auto"/>
        <w:rPr>
          <w:rFonts w:cs="Calibri"/>
          <w:bCs/>
          <w:lang w:val="en-GB"/>
        </w:rPr>
      </w:pPr>
      <w:r w:rsidRPr="00F67CC4">
        <w:rPr>
          <w:rFonts w:cs="Calibri"/>
          <w:b/>
          <w:bCs/>
          <w:lang w:val="en-GB"/>
        </w:rPr>
        <w:t xml:space="preserve">4.2 </w:t>
      </w:r>
      <w:r w:rsidR="00755856">
        <w:rPr>
          <w:rFonts w:cs="Calibri"/>
          <w:b/>
          <w:bCs/>
          <w:lang w:val="en-GB"/>
        </w:rPr>
        <w:t>Earlier conducted r</w:t>
      </w:r>
      <w:r w:rsidRPr="00F67CC4">
        <w:rPr>
          <w:rFonts w:cs="Calibri"/>
          <w:b/>
          <w:bCs/>
          <w:lang w:val="en-GB"/>
        </w:rPr>
        <w:t>esearches</w:t>
      </w:r>
      <w:r w:rsidR="002F3CD3" w:rsidRPr="00F67CC4">
        <w:rPr>
          <w:rFonts w:cs="Calibri"/>
          <w:b/>
          <w:bCs/>
          <w:lang w:val="en-GB"/>
        </w:rPr>
        <w:br/>
      </w:r>
      <w:r w:rsidR="002F3CD3" w:rsidRPr="00F67CC4">
        <w:rPr>
          <w:rFonts w:cs="Calibri"/>
          <w:bCs/>
          <w:lang w:val="en-GB"/>
        </w:rPr>
        <w:t xml:space="preserve">In this section, the researches of </w:t>
      </w:r>
      <w:r w:rsidR="00B26212">
        <w:rPr>
          <w:rFonts w:cs="Calibri"/>
          <w:bCs/>
          <w:lang w:val="en-GB"/>
        </w:rPr>
        <w:t>Tendeloo and Vanstraelen (2005); Ewert and Wagenhofer (2005);</w:t>
      </w:r>
      <w:r w:rsidR="00454E1B" w:rsidRPr="00F67CC4">
        <w:rPr>
          <w:rFonts w:cs="Calibri"/>
          <w:bCs/>
          <w:lang w:val="en-GB"/>
        </w:rPr>
        <w:t xml:space="preserve"> </w:t>
      </w:r>
      <w:r w:rsidR="002F3CD3" w:rsidRPr="00F67CC4">
        <w:rPr>
          <w:rFonts w:cs="Calibri"/>
          <w:bCs/>
          <w:lang w:val="en-GB"/>
        </w:rPr>
        <w:t>He</w:t>
      </w:r>
      <w:r w:rsidR="00B26212">
        <w:rPr>
          <w:rFonts w:cs="Calibri"/>
          <w:bCs/>
          <w:lang w:val="en-GB"/>
        </w:rPr>
        <w:t>emskerk and van der Tas (2006); Cohen, Dey, Lys (2008); Jeanjean and Stolowy (2008);</w:t>
      </w:r>
      <w:r w:rsidR="002F3CD3" w:rsidRPr="00F67CC4">
        <w:rPr>
          <w:rFonts w:cs="Calibri"/>
          <w:bCs/>
          <w:lang w:val="en-GB"/>
        </w:rPr>
        <w:t xml:space="preserve"> Lippens (2010) and Callao</w:t>
      </w:r>
      <w:r w:rsidR="004E0604">
        <w:rPr>
          <w:rFonts w:cs="Calibri"/>
          <w:bCs/>
          <w:lang w:val="en-GB"/>
        </w:rPr>
        <w:t xml:space="preserve"> and </w:t>
      </w:r>
      <w:r w:rsidR="00A55B35">
        <w:rPr>
          <w:rFonts w:cs="Calibri"/>
          <w:bCs/>
          <w:lang w:val="en-GB"/>
        </w:rPr>
        <w:t>Jarne (2010) will presented</w:t>
      </w:r>
      <w:r w:rsidR="0095662D" w:rsidRPr="00F67CC4">
        <w:rPr>
          <w:rFonts w:cs="Calibri"/>
          <w:bCs/>
          <w:lang w:val="en-GB"/>
        </w:rPr>
        <w:t>.</w:t>
      </w:r>
      <w:r w:rsidR="003D509D" w:rsidRPr="00F67CC4">
        <w:rPr>
          <w:rFonts w:cs="Calibri"/>
          <w:bCs/>
          <w:lang w:val="en-GB"/>
        </w:rPr>
        <w:t xml:space="preserve"> The</w:t>
      </w:r>
      <w:r w:rsidR="00363994" w:rsidRPr="00F67CC4">
        <w:rPr>
          <w:rFonts w:cs="Calibri"/>
          <w:bCs/>
          <w:lang w:val="en-GB"/>
        </w:rPr>
        <w:t>se</w:t>
      </w:r>
      <w:r w:rsidR="003D509D" w:rsidRPr="00F67CC4">
        <w:rPr>
          <w:rFonts w:cs="Calibri"/>
          <w:bCs/>
          <w:lang w:val="en-GB"/>
        </w:rPr>
        <w:t xml:space="preserve"> seven researches </w:t>
      </w:r>
      <w:r w:rsidR="00A55B35">
        <w:rPr>
          <w:rFonts w:cs="Calibri"/>
          <w:bCs/>
          <w:lang w:val="en-GB"/>
        </w:rPr>
        <w:t>will be presented</w:t>
      </w:r>
      <w:r w:rsidR="00F321C9">
        <w:rPr>
          <w:rFonts w:cs="Calibri"/>
          <w:bCs/>
          <w:lang w:val="en-GB"/>
        </w:rPr>
        <w:t xml:space="preserve"> in order of</w:t>
      </w:r>
      <w:r w:rsidR="003D509D" w:rsidRPr="00F67CC4">
        <w:rPr>
          <w:rFonts w:cs="Calibri"/>
          <w:bCs/>
          <w:lang w:val="en-GB"/>
        </w:rPr>
        <w:t xml:space="preserve"> </w:t>
      </w:r>
      <w:r w:rsidR="00A55B35">
        <w:rPr>
          <w:rFonts w:cs="Calibri"/>
          <w:bCs/>
          <w:lang w:val="en-GB"/>
        </w:rPr>
        <w:t xml:space="preserve">the </w:t>
      </w:r>
      <w:r w:rsidR="00F321C9">
        <w:rPr>
          <w:rFonts w:cs="Calibri"/>
          <w:bCs/>
          <w:lang w:val="en-GB"/>
        </w:rPr>
        <w:t>publication date.</w:t>
      </w:r>
      <w:r w:rsidR="003D509D" w:rsidRPr="00F67CC4">
        <w:rPr>
          <w:rFonts w:cs="Calibri"/>
          <w:bCs/>
          <w:lang w:val="en-GB"/>
        </w:rPr>
        <w:t xml:space="preserve"> </w:t>
      </w:r>
    </w:p>
    <w:p w:rsidR="00454E1B" w:rsidRPr="00F67CC4" w:rsidRDefault="00454E1B" w:rsidP="00454E1B">
      <w:pPr>
        <w:numPr>
          <w:ilvl w:val="0"/>
          <w:numId w:val="3"/>
        </w:numPr>
        <w:spacing w:line="360" w:lineRule="auto"/>
        <w:rPr>
          <w:rFonts w:cs="Calibri"/>
          <w:b/>
          <w:bCs/>
          <w:u w:val="single"/>
        </w:rPr>
      </w:pPr>
      <w:r w:rsidRPr="00F67CC4">
        <w:rPr>
          <w:rFonts w:cs="Calibri"/>
          <w:bCs/>
          <w:u w:val="single"/>
          <w:lang w:val="en-GB"/>
        </w:rPr>
        <w:t>Ten</w:t>
      </w:r>
      <w:r w:rsidRPr="00F67CC4">
        <w:rPr>
          <w:rFonts w:cs="Calibri"/>
          <w:bCs/>
          <w:u w:val="single"/>
        </w:rPr>
        <w:t>deloo and Vanstraelen (2005) – EM under German GAAP versus IFRS</w:t>
      </w:r>
    </w:p>
    <w:p w:rsidR="00454E1B" w:rsidRPr="00F67CC4" w:rsidRDefault="00F321C9" w:rsidP="00454E1B">
      <w:pPr>
        <w:spacing w:line="360" w:lineRule="auto"/>
        <w:rPr>
          <w:rFonts w:cs="Calibri"/>
          <w:bCs/>
          <w:lang w:val="en-GB"/>
        </w:rPr>
      </w:pPr>
      <w:r>
        <w:rPr>
          <w:rFonts w:cs="Calibri"/>
          <w:bCs/>
          <w:lang w:val="en-GB"/>
        </w:rPr>
        <w:t>The</w:t>
      </w:r>
      <w:r w:rsidR="00454E1B" w:rsidRPr="00F67CC4">
        <w:rPr>
          <w:rFonts w:cs="Calibri"/>
          <w:bCs/>
          <w:lang w:val="en-GB"/>
        </w:rPr>
        <w:t xml:space="preserve"> </w:t>
      </w:r>
      <w:r w:rsidR="0012210F">
        <w:rPr>
          <w:rFonts w:cs="Calibri"/>
          <w:bCs/>
          <w:lang w:val="en-GB"/>
        </w:rPr>
        <w:t>research</w:t>
      </w:r>
      <w:r>
        <w:rPr>
          <w:rFonts w:cs="Calibri"/>
          <w:bCs/>
          <w:lang w:val="en-GB"/>
        </w:rPr>
        <w:t xml:space="preserve"> of Tendeloo and Vanstraelen (2005)</w:t>
      </w:r>
      <w:r w:rsidR="00454E1B" w:rsidRPr="00F67CC4">
        <w:rPr>
          <w:rFonts w:cs="Calibri"/>
          <w:bCs/>
          <w:lang w:val="en-GB"/>
        </w:rPr>
        <w:t xml:space="preserve"> is about German companies that have</w:t>
      </w:r>
      <w:r w:rsidR="00AA1369">
        <w:rPr>
          <w:rFonts w:cs="Calibri"/>
          <w:bCs/>
          <w:lang w:val="en-GB"/>
        </w:rPr>
        <w:t xml:space="preserve"> early</w:t>
      </w:r>
      <w:r w:rsidR="00454E1B" w:rsidRPr="00F67CC4">
        <w:rPr>
          <w:rFonts w:cs="Calibri"/>
          <w:bCs/>
          <w:lang w:val="en-GB"/>
        </w:rPr>
        <w:t xml:space="preserve"> adopted IFRS </w:t>
      </w:r>
      <w:r>
        <w:rPr>
          <w:rFonts w:cs="Calibri"/>
          <w:bCs/>
          <w:lang w:val="en-GB"/>
        </w:rPr>
        <w:t xml:space="preserve">and whether they have </w:t>
      </w:r>
      <w:r w:rsidR="00454E1B" w:rsidRPr="00F67CC4">
        <w:rPr>
          <w:rFonts w:cs="Calibri"/>
          <w:bCs/>
          <w:lang w:val="en-GB"/>
        </w:rPr>
        <w:t>engage</w:t>
      </w:r>
      <w:r>
        <w:rPr>
          <w:rFonts w:cs="Calibri"/>
          <w:bCs/>
          <w:lang w:val="en-GB"/>
        </w:rPr>
        <w:t>d</w:t>
      </w:r>
      <w:r w:rsidR="00454E1B" w:rsidRPr="00F67CC4">
        <w:rPr>
          <w:rFonts w:cs="Calibri"/>
          <w:bCs/>
          <w:lang w:val="en-GB"/>
        </w:rPr>
        <w:t xml:space="preserve"> significantly less in earnings management compared to companies in German</w:t>
      </w:r>
      <w:r>
        <w:rPr>
          <w:rFonts w:cs="Calibri"/>
          <w:bCs/>
          <w:lang w:val="en-GB"/>
        </w:rPr>
        <w:t xml:space="preserve">y that report </w:t>
      </w:r>
      <w:r w:rsidR="00A55B35">
        <w:rPr>
          <w:rFonts w:cs="Calibri"/>
          <w:bCs/>
          <w:lang w:val="en-GB"/>
        </w:rPr>
        <w:t>based on</w:t>
      </w:r>
      <w:r>
        <w:rPr>
          <w:rFonts w:cs="Calibri"/>
          <w:bCs/>
          <w:lang w:val="en-GB"/>
        </w:rPr>
        <w:t xml:space="preserve"> German GAAP</w:t>
      </w:r>
      <w:r w:rsidR="00454E1B" w:rsidRPr="00F67CC4">
        <w:rPr>
          <w:rFonts w:cs="Calibri"/>
          <w:bCs/>
          <w:lang w:val="en-GB"/>
        </w:rPr>
        <w:t xml:space="preserve"> (Tendeloo and Vanstraelen, 2005, p</w:t>
      </w:r>
      <w:r w:rsidR="00A55B35">
        <w:rPr>
          <w:rFonts w:cs="Calibri"/>
          <w:bCs/>
          <w:lang w:val="en-GB"/>
        </w:rPr>
        <w:t xml:space="preserve"> </w:t>
      </w:r>
      <w:r w:rsidR="00454E1B" w:rsidRPr="00F67CC4">
        <w:rPr>
          <w:rFonts w:cs="Calibri"/>
          <w:bCs/>
          <w:lang w:val="en-GB"/>
        </w:rPr>
        <w:t>1)</w:t>
      </w:r>
      <w:r>
        <w:rPr>
          <w:rFonts w:cs="Calibri"/>
          <w:bCs/>
          <w:lang w:val="en-GB"/>
        </w:rPr>
        <w:t>.</w:t>
      </w:r>
      <w:r w:rsidR="00454E1B" w:rsidRPr="00F67CC4">
        <w:rPr>
          <w:rFonts w:cs="Calibri"/>
          <w:bCs/>
          <w:lang w:val="en-GB"/>
        </w:rPr>
        <w:t xml:space="preserve"> </w:t>
      </w:r>
    </w:p>
    <w:p w:rsidR="00454E1B" w:rsidRPr="00F67CC4" w:rsidRDefault="00454E1B" w:rsidP="00454E1B">
      <w:pPr>
        <w:spacing w:line="360" w:lineRule="auto"/>
        <w:rPr>
          <w:rFonts w:cs="Calibri"/>
          <w:bCs/>
          <w:lang w:val="en-GB"/>
        </w:rPr>
      </w:pPr>
      <w:r w:rsidRPr="00F67CC4">
        <w:rPr>
          <w:rFonts w:cs="Calibri"/>
          <w:bCs/>
          <w:lang w:val="en-GB"/>
        </w:rPr>
        <w:t>The sample</w:t>
      </w:r>
      <w:r w:rsidR="00193091">
        <w:rPr>
          <w:rFonts w:cs="Calibri"/>
          <w:bCs/>
          <w:lang w:val="en-GB"/>
        </w:rPr>
        <w:t xml:space="preserve"> of the research</w:t>
      </w:r>
      <w:r w:rsidRPr="00F67CC4">
        <w:rPr>
          <w:rFonts w:cs="Calibri"/>
          <w:bCs/>
          <w:lang w:val="en-GB"/>
        </w:rPr>
        <w:t xml:space="preserve"> consists </w:t>
      </w:r>
      <w:r w:rsidR="00A55B35">
        <w:rPr>
          <w:rFonts w:cs="Calibri"/>
          <w:bCs/>
          <w:lang w:val="en-GB"/>
        </w:rPr>
        <w:t xml:space="preserve">of </w:t>
      </w:r>
      <w:r w:rsidRPr="00F67CC4">
        <w:rPr>
          <w:rFonts w:cs="Calibri"/>
          <w:bCs/>
          <w:lang w:val="en-GB"/>
        </w:rPr>
        <w:t xml:space="preserve">German listed companies, containing 636 firm-year observations in the period of 1999 – 2001. Germany can be classified as a code-law country with </w:t>
      </w:r>
      <w:r w:rsidR="00193091">
        <w:rPr>
          <w:rFonts w:cs="Calibri"/>
          <w:bCs/>
          <w:lang w:val="en-GB"/>
        </w:rPr>
        <w:t>weak investor protection rights</w:t>
      </w:r>
      <w:r w:rsidRPr="00F67CC4">
        <w:rPr>
          <w:rFonts w:cs="Calibri"/>
          <w:bCs/>
          <w:lang w:val="en-GB"/>
        </w:rPr>
        <w:t xml:space="preserve"> (La Porta et al. 2000)</w:t>
      </w:r>
      <w:r w:rsidR="00193091">
        <w:rPr>
          <w:rFonts w:cs="Calibri"/>
          <w:bCs/>
          <w:lang w:val="en-GB"/>
        </w:rPr>
        <w:t>.</w:t>
      </w:r>
      <w:r w:rsidRPr="00F67CC4">
        <w:rPr>
          <w:rFonts w:cs="Calibri"/>
          <w:bCs/>
          <w:lang w:val="en-GB"/>
        </w:rPr>
        <w:t xml:space="preserve"> This can have its influence on the results </w:t>
      </w:r>
      <w:r w:rsidR="003A2351">
        <w:rPr>
          <w:rFonts w:cs="Calibri"/>
          <w:bCs/>
          <w:lang w:val="en-GB"/>
        </w:rPr>
        <w:t>of</w:t>
      </w:r>
      <w:r w:rsidRPr="00F67CC4">
        <w:rPr>
          <w:rFonts w:cs="Calibri"/>
          <w:bCs/>
          <w:lang w:val="en-GB"/>
        </w:rPr>
        <w:t xml:space="preserve"> the implementation of IFRS. The first hypothesis states </w:t>
      </w:r>
      <w:r w:rsidR="00A55B35">
        <w:rPr>
          <w:rFonts w:cs="Calibri"/>
          <w:bCs/>
          <w:lang w:val="en-GB"/>
        </w:rPr>
        <w:t xml:space="preserve">that compared to companies reporting based on German GAAP firms that have adopted IFRS will engage less in earnings management. </w:t>
      </w:r>
      <w:r w:rsidRPr="00F67CC4">
        <w:rPr>
          <w:rFonts w:cs="Calibri"/>
          <w:bCs/>
          <w:lang w:val="en-GB"/>
        </w:rPr>
        <w:t>The other two hypotheses contain the effect of audited by</w:t>
      </w:r>
      <w:r w:rsidR="003A2351">
        <w:rPr>
          <w:rFonts w:cs="Calibri"/>
          <w:bCs/>
          <w:lang w:val="en-GB"/>
        </w:rPr>
        <w:t xml:space="preserve"> a Big 4 audit fir</w:t>
      </w:r>
      <w:r w:rsidR="00AA1369">
        <w:rPr>
          <w:rFonts w:cs="Calibri"/>
          <w:bCs/>
          <w:lang w:val="en-GB"/>
        </w:rPr>
        <w:t>m</w:t>
      </w:r>
      <w:r w:rsidRPr="00F67CC4">
        <w:rPr>
          <w:rFonts w:cs="Calibri"/>
          <w:bCs/>
          <w:lang w:val="en-GB"/>
        </w:rPr>
        <w:t xml:space="preserve"> and cross-listed on well-developed international capital markets on the adoption of IFRS and the effect on</w:t>
      </w:r>
      <w:r w:rsidR="00A55B35">
        <w:rPr>
          <w:rFonts w:cs="Calibri"/>
          <w:bCs/>
          <w:lang w:val="en-GB"/>
        </w:rPr>
        <w:t xml:space="preserve"> the use of</w:t>
      </w:r>
      <w:r w:rsidRPr="00F67CC4">
        <w:rPr>
          <w:rFonts w:cs="Calibri"/>
          <w:bCs/>
          <w:lang w:val="en-GB"/>
        </w:rPr>
        <w:t xml:space="preserve"> earnings management. </w:t>
      </w:r>
      <w:r w:rsidR="00AA1369">
        <w:rPr>
          <w:rFonts w:cs="Calibri"/>
          <w:bCs/>
          <w:lang w:val="en-GB"/>
        </w:rPr>
        <w:t>The</w:t>
      </w:r>
      <w:r w:rsidR="00CE5EB2" w:rsidRPr="00F67CC4">
        <w:rPr>
          <w:rFonts w:cs="Calibri"/>
          <w:bCs/>
          <w:lang w:val="en-GB"/>
        </w:rPr>
        <w:t xml:space="preserve"> hypotheses are tested with the us</w:t>
      </w:r>
      <w:r w:rsidR="00DD5BCF">
        <w:rPr>
          <w:rFonts w:cs="Calibri"/>
          <w:bCs/>
          <w:lang w:val="en-GB"/>
        </w:rPr>
        <w:t>e of the cross-sectional version of the Jones model (Jones, 1991)</w:t>
      </w:r>
      <w:r w:rsidR="00CE5EB2" w:rsidRPr="00F67CC4">
        <w:rPr>
          <w:rFonts w:cs="Calibri"/>
          <w:bCs/>
          <w:lang w:val="en-GB"/>
        </w:rPr>
        <w:t xml:space="preserve">. </w:t>
      </w:r>
    </w:p>
    <w:p w:rsidR="00454E1B" w:rsidRPr="00F67CC4" w:rsidRDefault="00454E1B" w:rsidP="00454E1B">
      <w:pPr>
        <w:spacing w:line="360" w:lineRule="auto"/>
        <w:rPr>
          <w:rFonts w:cs="Calibri"/>
          <w:bCs/>
          <w:lang w:val="en-GB"/>
        </w:rPr>
      </w:pPr>
      <w:r w:rsidRPr="00F67CC4">
        <w:rPr>
          <w:rFonts w:cs="Calibri"/>
          <w:bCs/>
          <w:lang w:val="en-GB"/>
        </w:rPr>
        <w:t>The results</w:t>
      </w:r>
      <w:r w:rsidR="00363994" w:rsidRPr="00F67CC4">
        <w:rPr>
          <w:rFonts w:cs="Calibri"/>
          <w:bCs/>
          <w:lang w:val="en-GB"/>
        </w:rPr>
        <w:t xml:space="preserve"> of Tendeloo and Vanstraelen (2005)</w:t>
      </w:r>
      <w:r w:rsidRPr="00F67CC4">
        <w:rPr>
          <w:rFonts w:cs="Calibri"/>
          <w:bCs/>
          <w:lang w:val="en-GB"/>
        </w:rPr>
        <w:t xml:space="preserve"> suggest difference</w:t>
      </w:r>
      <w:r w:rsidR="00A55B35">
        <w:rPr>
          <w:rFonts w:cs="Calibri"/>
          <w:bCs/>
          <w:lang w:val="en-GB"/>
        </w:rPr>
        <w:t xml:space="preserve"> exists</w:t>
      </w:r>
      <w:r w:rsidRPr="00F67CC4">
        <w:rPr>
          <w:rFonts w:cs="Calibri"/>
          <w:bCs/>
          <w:lang w:val="en-GB"/>
        </w:rPr>
        <w:t xml:space="preserve"> in </w:t>
      </w:r>
      <w:r w:rsidR="00A55B35">
        <w:rPr>
          <w:rFonts w:cs="Calibri"/>
          <w:bCs/>
          <w:lang w:val="en-GB"/>
        </w:rPr>
        <w:t xml:space="preserve">the </w:t>
      </w:r>
      <w:r w:rsidRPr="00F67CC4">
        <w:rPr>
          <w:rFonts w:cs="Calibri"/>
          <w:bCs/>
          <w:lang w:val="en-GB"/>
        </w:rPr>
        <w:t xml:space="preserve">earnings management behaviour between early adopters of IFRS and the companies that reported </w:t>
      </w:r>
      <w:r w:rsidR="00A55B35">
        <w:rPr>
          <w:rFonts w:cs="Calibri"/>
          <w:bCs/>
          <w:lang w:val="en-GB"/>
        </w:rPr>
        <w:t xml:space="preserve">based on </w:t>
      </w:r>
      <w:r w:rsidRPr="00F67CC4">
        <w:rPr>
          <w:rFonts w:cs="Calibri"/>
          <w:bCs/>
          <w:lang w:val="en-GB"/>
        </w:rPr>
        <w:t xml:space="preserve">German GAAP. IFRS-adopters </w:t>
      </w:r>
      <w:r w:rsidR="003A2351">
        <w:rPr>
          <w:rFonts w:cs="Calibri"/>
          <w:bCs/>
          <w:lang w:val="en-GB"/>
        </w:rPr>
        <w:t>manage their earnings more with</w:t>
      </w:r>
      <w:r w:rsidRPr="00F67CC4">
        <w:rPr>
          <w:rFonts w:cs="Calibri"/>
          <w:bCs/>
          <w:lang w:val="en-GB"/>
        </w:rPr>
        <w:t xml:space="preserve"> discretionary compared to companies </w:t>
      </w:r>
      <w:r w:rsidR="003A2351">
        <w:rPr>
          <w:rFonts w:cs="Calibri"/>
          <w:bCs/>
          <w:lang w:val="en-GB"/>
        </w:rPr>
        <w:t>that</w:t>
      </w:r>
      <w:r w:rsidRPr="00F67CC4">
        <w:rPr>
          <w:rFonts w:cs="Calibri"/>
          <w:bCs/>
          <w:lang w:val="en-GB"/>
        </w:rPr>
        <w:t xml:space="preserve"> use German GAAP. The influence </w:t>
      </w:r>
      <w:r w:rsidR="00AA1369">
        <w:rPr>
          <w:rFonts w:cs="Calibri"/>
          <w:bCs/>
          <w:lang w:val="en-GB"/>
        </w:rPr>
        <w:t>of a Big 4 auditor is observable;</w:t>
      </w:r>
      <w:r w:rsidRPr="00F67CC4">
        <w:rPr>
          <w:rFonts w:cs="Calibri"/>
          <w:bCs/>
          <w:lang w:val="en-GB"/>
        </w:rPr>
        <w:t xml:space="preserve"> this variable reduces engaging in earnings smoothing. </w:t>
      </w:r>
      <w:r w:rsidRPr="00F67CC4">
        <w:rPr>
          <w:rFonts w:cs="Calibri"/>
          <w:lang w:val="en-GB"/>
        </w:rPr>
        <w:t>But no evidence in this research</w:t>
      </w:r>
      <w:r w:rsidR="00A55B35">
        <w:rPr>
          <w:rFonts w:cs="Calibri"/>
          <w:lang w:val="en-GB"/>
        </w:rPr>
        <w:t xml:space="preserve"> is found</w:t>
      </w:r>
      <w:r w:rsidRPr="00F67CC4">
        <w:rPr>
          <w:rFonts w:cs="Calibri"/>
          <w:lang w:val="en-GB"/>
        </w:rPr>
        <w:t xml:space="preserve"> that</w:t>
      </w:r>
      <w:r w:rsidR="003A2351">
        <w:rPr>
          <w:rFonts w:cs="Calibri"/>
          <w:lang w:val="en-GB"/>
        </w:rPr>
        <w:t xml:space="preserve"> the </w:t>
      </w:r>
      <w:r w:rsidR="003A2351">
        <w:rPr>
          <w:rFonts w:cs="Calibri"/>
          <w:lang w:val="en-GB"/>
        </w:rPr>
        <w:lastRenderedPageBreak/>
        <w:t>implementation of</w:t>
      </w:r>
      <w:r w:rsidRPr="00F67CC4">
        <w:rPr>
          <w:rFonts w:cs="Calibri"/>
          <w:lang w:val="en-GB"/>
        </w:rPr>
        <w:t xml:space="preserve"> IFRS in Germany is associated with</w:t>
      </w:r>
      <w:r w:rsidR="00A55B35">
        <w:rPr>
          <w:rFonts w:cs="Calibri"/>
          <w:lang w:val="en-GB"/>
        </w:rPr>
        <w:t xml:space="preserve"> a</w:t>
      </w:r>
      <w:r w:rsidRPr="00F67CC4">
        <w:rPr>
          <w:rFonts w:cs="Calibri"/>
          <w:lang w:val="en-GB"/>
        </w:rPr>
        <w:t xml:space="preserve"> lower </w:t>
      </w:r>
      <w:r w:rsidR="00A55B35">
        <w:rPr>
          <w:rFonts w:cs="Calibri"/>
          <w:lang w:val="en-GB"/>
        </w:rPr>
        <w:t xml:space="preserve">use of </w:t>
      </w:r>
      <w:r w:rsidRPr="00F67CC4">
        <w:rPr>
          <w:rFonts w:cs="Calibri"/>
          <w:lang w:val="en-GB"/>
        </w:rPr>
        <w:t>earnings management</w:t>
      </w:r>
      <w:r w:rsidRPr="00F67CC4">
        <w:rPr>
          <w:rFonts w:cs="Calibri"/>
          <w:bCs/>
          <w:lang w:val="en-GB"/>
        </w:rPr>
        <w:t xml:space="preserve"> </w:t>
      </w:r>
      <w:r w:rsidR="00FB1522">
        <w:rPr>
          <w:rFonts w:cs="Calibri"/>
          <w:bCs/>
          <w:lang w:val="en-GB"/>
        </w:rPr>
        <w:t>(Tendeloo and Vanstrae</w:t>
      </w:r>
      <w:r w:rsidR="00363994" w:rsidRPr="00F67CC4">
        <w:rPr>
          <w:rFonts w:cs="Calibri"/>
          <w:bCs/>
          <w:lang w:val="en-GB"/>
        </w:rPr>
        <w:t>len 2005, p</w:t>
      </w:r>
      <w:r w:rsidR="00A55B35">
        <w:rPr>
          <w:rFonts w:cs="Calibri"/>
          <w:bCs/>
          <w:lang w:val="en-GB"/>
        </w:rPr>
        <w:t xml:space="preserve"> </w:t>
      </w:r>
      <w:r w:rsidR="00363994" w:rsidRPr="00F67CC4">
        <w:rPr>
          <w:rFonts w:cs="Calibri"/>
          <w:bCs/>
          <w:lang w:val="en-GB"/>
        </w:rPr>
        <w:t>177)</w:t>
      </w:r>
      <w:r w:rsidR="003A2351">
        <w:rPr>
          <w:rFonts w:cs="Calibri"/>
          <w:bCs/>
          <w:lang w:val="en-GB"/>
        </w:rPr>
        <w:t>.</w:t>
      </w:r>
    </w:p>
    <w:p w:rsidR="00454E1B" w:rsidRPr="00F67CC4" w:rsidRDefault="00454E1B" w:rsidP="00454E1B">
      <w:pPr>
        <w:spacing w:line="360" w:lineRule="auto"/>
        <w:rPr>
          <w:rFonts w:cs="Calibri"/>
          <w:bCs/>
          <w:lang w:val="en-GB"/>
        </w:rPr>
      </w:pPr>
      <w:r w:rsidRPr="00F67CC4">
        <w:rPr>
          <w:rFonts w:cs="Calibri"/>
          <w:bCs/>
          <w:lang w:val="en-GB"/>
        </w:rPr>
        <w:t xml:space="preserve">Limitations of this research is that although there has been controlled for various earnings management incentives, other incentives </w:t>
      </w:r>
      <w:r w:rsidR="00A55B35">
        <w:rPr>
          <w:rFonts w:cs="Calibri"/>
          <w:bCs/>
          <w:lang w:val="en-GB"/>
        </w:rPr>
        <w:t xml:space="preserve">may exist </w:t>
      </w:r>
      <w:r w:rsidRPr="00F67CC4">
        <w:rPr>
          <w:rFonts w:cs="Calibri"/>
          <w:bCs/>
          <w:lang w:val="en-GB"/>
        </w:rPr>
        <w:t>that have not been contro</w:t>
      </w:r>
      <w:r w:rsidR="003A2351">
        <w:rPr>
          <w:rFonts w:cs="Calibri"/>
          <w:bCs/>
          <w:lang w:val="en-GB"/>
        </w:rPr>
        <w:t>lled for. Second is that, alth</w:t>
      </w:r>
      <w:r w:rsidR="00A55B35">
        <w:rPr>
          <w:rFonts w:cs="Calibri"/>
          <w:bCs/>
          <w:lang w:val="en-GB"/>
        </w:rPr>
        <w:t xml:space="preserve">ough there was controlled for much </w:t>
      </w:r>
      <w:r w:rsidR="003A2351">
        <w:rPr>
          <w:rFonts w:cs="Calibri"/>
          <w:bCs/>
          <w:lang w:val="en-GB"/>
        </w:rPr>
        <w:t>of hidden reserves</w:t>
      </w:r>
      <w:r w:rsidR="005E4152">
        <w:rPr>
          <w:rFonts w:cs="Calibri"/>
          <w:bCs/>
          <w:lang w:val="en-GB"/>
        </w:rPr>
        <w:t xml:space="preserve"> by including them in the accruals</w:t>
      </w:r>
      <w:r w:rsidR="003A2351">
        <w:rPr>
          <w:rFonts w:cs="Calibri"/>
          <w:bCs/>
          <w:lang w:val="en-GB"/>
        </w:rPr>
        <w:t>,  it was not</w:t>
      </w:r>
      <w:r w:rsidRPr="00F67CC4">
        <w:rPr>
          <w:rFonts w:cs="Calibri"/>
          <w:bCs/>
          <w:lang w:val="en-GB"/>
        </w:rPr>
        <w:t xml:space="preserve"> possible to check for</w:t>
      </w:r>
      <w:r w:rsidR="003A2351">
        <w:rPr>
          <w:rFonts w:cs="Calibri"/>
          <w:bCs/>
          <w:lang w:val="en-GB"/>
        </w:rPr>
        <w:t xml:space="preserve"> them</w:t>
      </w:r>
      <w:r w:rsidRPr="00F67CC4">
        <w:rPr>
          <w:rFonts w:cs="Calibri"/>
          <w:bCs/>
          <w:lang w:val="en-GB"/>
        </w:rPr>
        <w:t xml:space="preserve"> all</w:t>
      </w:r>
      <w:r w:rsidR="003A2351">
        <w:rPr>
          <w:rFonts w:cs="Calibri"/>
          <w:bCs/>
          <w:lang w:val="en-GB"/>
        </w:rPr>
        <w:t>.</w:t>
      </w:r>
      <w:r w:rsidRPr="00F67CC4">
        <w:rPr>
          <w:rFonts w:cs="Calibri"/>
          <w:bCs/>
          <w:lang w:val="en-GB"/>
        </w:rPr>
        <w:t xml:space="preserve"> </w:t>
      </w:r>
    </w:p>
    <w:p w:rsidR="006145EF" w:rsidRPr="00264418" w:rsidRDefault="006145EF" w:rsidP="006145EF">
      <w:pPr>
        <w:numPr>
          <w:ilvl w:val="0"/>
          <w:numId w:val="3"/>
        </w:numPr>
        <w:spacing w:line="360" w:lineRule="auto"/>
        <w:rPr>
          <w:rFonts w:cs="Calibri"/>
          <w:bCs/>
          <w:u w:val="single"/>
          <w:lang w:val="en-GB"/>
        </w:rPr>
      </w:pPr>
      <w:r w:rsidRPr="00264418">
        <w:rPr>
          <w:rFonts w:cs="Calibri"/>
          <w:bCs/>
          <w:u w:val="single"/>
          <w:lang w:val="en-GB"/>
        </w:rPr>
        <w:t>Ewert and Wagenhofer (2005) – Economic effects of tightening accounting standards to restrict earnings management</w:t>
      </w:r>
    </w:p>
    <w:p w:rsidR="006145EF" w:rsidRPr="00F67CC4" w:rsidRDefault="00F35623" w:rsidP="006145EF">
      <w:pPr>
        <w:spacing w:line="360" w:lineRule="auto"/>
        <w:rPr>
          <w:rFonts w:cs="Calibri"/>
          <w:bCs/>
          <w:lang w:val="en-GB"/>
        </w:rPr>
      </w:pPr>
      <w:r>
        <w:rPr>
          <w:rFonts w:cs="Calibri"/>
          <w:bCs/>
          <w:lang w:val="en-GB"/>
        </w:rPr>
        <w:t>In order to reduce the amount of managed earnings, t</w:t>
      </w:r>
      <w:r w:rsidR="00882324">
        <w:rPr>
          <w:rFonts w:cs="Calibri"/>
          <w:bCs/>
          <w:lang w:val="en-GB"/>
        </w:rPr>
        <w:t>he IFRS were</w:t>
      </w:r>
      <w:r w:rsidR="00825CFB" w:rsidRPr="00F67CC4">
        <w:rPr>
          <w:rFonts w:cs="Calibri"/>
          <w:bCs/>
          <w:lang w:val="en-GB"/>
        </w:rPr>
        <w:t xml:space="preserve"> introduced as stricter</w:t>
      </w:r>
      <w:r w:rsidR="006145EF" w:rsidRPr="00F67CC4">
        <w:rPr>
          <w:rFonts w:cs="Calibri"/>
          <w:bCs/>
          <w:lang w:val="en-GB"/>
        </w:rPr>
        <w:t xml:space="preserve"> accounting standards</w:t>
      </w:r>
      <w:r w:rsidR="00882324">
        <w:rPr>
          <w:rFonts w:cs="Calibri"/>
          <w:bCs/>
          <w:lang w:val="en-GB"/>
        </w:rPr>
        <w:t xml:space="preserve"> with the fair-v</w:t>
      </w:r>
      <w:r>
        <w:rPr>
          <w:rFonts w:cs="Calibri"/>
          <w:bCs/>
          <w:lang w:val="en-GB"/>
        </w:rPr>
        <w:t>alue as most important principle</w:t>
      </w:r>
      <w:r w:rsidR="00AA1369">
        <w:rPr>
          <w:rFonts w:cs="Calibri"/>
          <w:bCs/>
          <w:lang w:val="en-GB"/>
        </w:rPr>
        <w:t xml:space="preserve">. This strictness of the accounting standards </w:t>
      </w:r>
      <w:r w:rsidR="00825CFB" w:rsidRPr="00F67CC4">
        <w:rPr>
          <w:rFonts w:cs="Calibri"/>
          <w:bCs/>
          <w:lang w:val="en-GB"/>
        </w:rPr>
        <w:t>is investigated by Ewert and Wagenhofer (2005)</w:t>
      </w:r>
      <w:r w:rsidR="006145EF" w:rsidRPr="00F67CC4">
        <w:rPr>
          <w:rFonts w:cs="Calibri"/>
          <w:bCs/>
          <w:lang w:val="en-GB"/>
        </w:rPr>
        <w:t xml:space="preserve">. Several authors, like Schipper (2003), </w:t>
      </w:r>
      <w:r w:rsidR="00F804FE" w:rsidRPr="00F67CC4">
        <w:rPr>
          <w:rFonts w:cs="Calibri"/>
          <w:bCs/>
          <w:lang w:val="en-GB"/>
        </w:rPr>
        <w:t xml:space="preserve">state that </w:t>
      </w:r>
      <w:r w:rsidR="006145EF" w:rsidRPr="00F67CC4">
        <w:rPr>
          <w:rFonts w:cs="Calibri"/>
          <w:bCs/>
          <w:lang w:val="en-GB"/>
        </w:rPr>
        <w:t xml:space="preserve">tighter accounting standards may </w:t>
      </w:r>
      <w:r>
        <w:rPr>
          <w:rFonts w:cs="Calibri"/>
          <w:bCs/>
          <w:lang w:val="en-GB"/>
        </w:rPr>
        <w:t>create</w:t>
      </w:r>
      <w:r w:rsidR="006145EF" w:rsidRPr="00F67CC4">
        <w:rPr>
          <w:rFonts w:cs="Calibri"/>
          <w:bCs/>
          <w:lang w:val="en-GB"/>
        </w:rPr>
        <w:t xml:space="preserve"> a substitution effect of accrual</w:t>
      </w:r>
      <w:r w:rsidR="001661CD">
        <w:rPr>
          <w:rFonts w:cs="Calibri"/>
          <w:bCs/>
          <w:lang w:val="en-GB"/>
        </w:rPr>
        <w:t>s</w:t>
      </w:r>
      <w:r w:rsidR="006145EF" w:rsidRPr="00F67CC4">
        <w:rPr>
          <w:rFonts w:cs="Calibri"/>
          <w:bCs/>
          <w:lang w:val="en-GB"/>
        </w:rPr>
        <w:t xml:space="preserve">-based to real earnings management, which is counteracting </w:t>
      </w:r>
      <w:r>
        <w:rPr>
          <w:rFonts w:cs="Calibri"/>
          <w:bCs/>
          <w:lang w:val="en-GB"/>
        </w:rPr>
        <w:t xml:space="preserve">with </w:t>
      </w:r>
      <w:r w:rsidR="006145EF" w:rsidRPr="00F67CC4">
        <w:rPr>
          <w:rFonts w:cs="Calibri"/>
          <w:bCs/>
          <w:lang w:val="en-GB"/>
        </w:rPr>
        <w:t>t</w:t>
      </w:r>
      <w:r w:rsidR="00F804FE" w:rsidRPr="00F67CC4">
        <w:rPr>
          <w:rFonts w:cs="Calibri"/>
          <w:bCs/>
          <w:lang w:val="en-GB"/>
        </w:rPr>
        <w:t>he standard-setter</w:t>
      </w:r>
      <w:r w:rsidR="006145EF" w:rsidRPr="00F67CC4">
        <w:rPr>
          <w:rFonts w:cs="Calibri"/>
          <w:bCs/>
          <w:lang w:val="en-GB"/>
        </w:rPr>
        <w:t>s</w:t>
      </w:r>
      <w:r w:rsidR="00F804FE" w:rsidRPr="00F67CC4">
        <w:rPr>
          <w:rFonts w:cs="Calibri"/>
          <w:bCs/>
          <w:lang w:val="en-GB"/>
        </w:rPr>
        <w:t>’</w:t>
      </w:r>
      <w:r w:rsidR="006145EF" w:rsidRPr="00F67CC4">
        <w:rPr>
          <w:rFonts w:cs="Calibri"/>
          <w:bCs/>
          <w:lang w:val="en-GB"/>
        </w:rPr>
        <w:t xml:space="preserve"> inte</w:t>
      </w:r>
      <w:r w:rsidR="00882324">
        <w:rPr>
          <w:rFonts w:cs="Calibri"/>
          <w:bCs/>
          <w:lang w:val="en-GB"/>
        </w:rPr>
        <w:t>ntion</w:t>
      </w:r>
      <w:r w:rsidR="006145EF" w:rsidRPr="00F67CC4">
        <w:rPr>
          <w:rFonts w:cs="Calibri"/>
          <w:bCs/>
          <w:lang w:val="en-GB"/>
        </w:rPr>
        <w:t xml:space="preserve"> (Ewert and Wagenhofer 2005, p</w:t>
      </w:r>
      <w:r>
        <w:rPr>
          <w:rFonts w:cs="Calibri"/>
          <w:bCs/>
          <w:lang w:val="en-GB"/>
        </w:rPr>
        <w:t xml:space="preserve"> </w:t>
      </w:r>
      <w:r w:rsidR="006145EF" w:rsidRPr="00F67CC4">
        <w:rPr>
          <w:rFonts w:cs="Calibri"/>
          <w:bCs/>
          <w:lang w:val="en-GB"/>
        </w:rPr>
        <w:t>1102)</w:t>
      </w:r>
      <w:r w:rsidR="00882324">
        <w:rPr>
          <w:rFonts w:cs="Calibri"/>
          <w:bCs/>
          <w:lang w:val="en-GB"/>
        </w:rPr>
        <w:t>.</w:t>
      </w:r>
      <w:r w:rsidR="006145EF" w:rsidRPr="00F67CC4">
        <w:rPr>
          <w:rFonts w:cs="Calibri"/>
          <w:bCs/>
          <w:lang w:val="en-GB"/>
        </w:rPr>
        <w:t xml:space="preserve"> </w:t>
      </w:r>
    </w:p>
    <w:p w:rsidR="00F804FE" w:rsidRPr="00F67CC4" w:rsidRDefault="006145EF" w:rsidP="006145EF">
      <w:pPr>
        <w:spacing w:line="360" w:lineRule="auto"/>
        <w:rPr>
          <w:rFonts w:cs="Calibri"/>
          <w:bCs/>
          <w:lang w:val="en-GB"/>
        </w:rPr>
      </w:pPr>
      <w:r w:rsidRPr="00F67CC4">
        <w:rPr>
          <w:rFonts w:cs="Calibri"/>
          <w:bCs/>
          <w:lang w:val="en-GB"/>
        </w:rPr>
        <w:t>With the use of the model of Fischer and Verrecchia (2000)</w:t>
      </w:r>
      <w:r w:rsidR="00F72509">
        <w:rPr>
          <w:rFonts w:cs="Calibri"/>
          <w:bCs/>
          <w:lang w:val="en-GB"/>
        </w:rPr>
        <w:t xml:space="preserve"> </w:t>
      </w:r>
      <w:r w:rsidR="00F72509" w:rsidRPr="00370FDE">
        <w:rPr>
          <w:rFonts w:cs="Calibri"/>
          <w:bCs/>
          <w:lang w:val="en-GB"/>
        </w:rPr>
        <w:t xml:space="preserve">which is about </w:t>
      </w:r>
      <w:r w:rsidR="00370FDE" w:rsidRPr="00370FDE">
        <w:rPr>
          <w:rFonts w:cs="Calibri"/>
          <w:bCs/>
          <w:lang w:val="en-GB"/>
        </w:rPr>
        <w:t xml:space="preserve">the </w:t>
      </w:r>
      <w:r w:rsidR="00F72509" w:rsidRPr="00370FDE">
        <w:rPr>
          <w:rFonts w:cs="Calibri"/>
          <w:bCs/>
          <w:lang w:val="en-GB"/>
        </w:rPr>
        <w:t xml:space="preserve">managerial reporting bias in a uncertain capital market </w:t>
      </w:r>
      <w:r w:rsidR="00370FDE" w:rsidRPr="00370FDE">
        <w:rPr>
          <w:rFonts w:cs="Calibri"/>
          <w:bCs/>
          <w:lang w:val="en-GB"/>
        </w:rPr>
        <w:t>and</w:t>
      </w:r>
      <w:r w:rsidR="00F72509" w:rsidRPr="00370FDE">
        <w:rPr>
          <w:rFonts w:cs="Calibri"/>
          <w:bCs/>
          <w:lang w:val="en-GB"/>
        </w:rPr>
        <w:t xml:space="preserve"> the manager’s reporting objective</w:t>
      </w:r>
      <w:r w:rsidRPr="00370FDE">
        <w:rPr>
          <w:rFonts w:cs="Calibri"/>
          <w:bCs/>
          <w:lang w:val="en-GB"/>
        </w:rPr>
        <w:t>, Ewert</w:t>
      </w:r>
      <w:r w:rsidRPr="00F67CC4">
        <w:rPr>
          <w:rFonts w:cs="Calibri"/>
          <w:bCs/>
          <w:lang w:val="en-GB"/>
        </w:rPr>
        <w:t xml:space="preserve"> and Wagenhofer (2005)</w:t>
      </w:r>
      <w:r w:rsidR="00882324">
        <w:rPr>
          <w:rFonts w:cs="Calibri"/>
          <w:bCs/>
          <w:lang w:val="en-GB"/>
        </w:rPr>
        <w:t xml:space="preserve"> </w:t>
      </w:r>
      <w:r w:rsidR="00882324" w:rsidRPr="00F67CC4">
        <w:rPr>
          <w:rFonts w:cs="Calibri"/>
          <w:bCs/>
          <w:lang w:val="en-GB"/>
        </w:rPr>
        <w:t>analyse</w:t>
      </w:r>
      <w:r w:rsidRPr="00F67CC4">
        <w:rPr>
          <w:rFonts w:cs="Calibri"/>
          <w:bCs/>
          <w:lang w:val="en-GB"/>
        </w:rPr>
        <w:t xml:space="preserve"> </w:t>
      </w:r>
      <w:r w:rsidR="00F804FE" w:rsidRPr="00F67CC4">
        <w:rPr>
          <w:rFonts w:cs="Calibri"/>
          <w:bCs/>
          <w:lang w:val="en-GB"/>
        </w:rPr>
        <w:t>the</w:t>
      </w:r>
      <w:r w:rsidRPr="00F67CC4">
        <w:rPr>
          <w:rFonts w:cs="Calibri"/>
          <w:bCs/>
          <w:lang w:val="en-GB"/>
        </w:rPr>
        <w:t xml:space="preserve"> rational expectations equilibriums </w:t>
      </w:r>
      <w:r w:rsidR="00F804FE" w:rsidRPr="00F67CC4">
        <w:rPr>
          <w:rFonts w:cs="Calibri"/>
          <w:bCs/>
          <w:lang w:val="en-GB"/>
        </w:rPr>
        <w:t>of two strategic players and the use of</w:t>
      </w:r>
      <w:r w:rsidRPr="00F67CC4">
        <w:rPr>
          <w:rFonts w:cs="Calibri"/>
          <w:bCs/>
          <w:lang w:val="en-GB"/>
        </w:rPr>
        <w:t xml:space="preserve"> earnings management. </w:t>
      </w:r>
      <w:r w:rsidR="00882324">
        <w:rPr>
          <w:rFonts w:cs="Calibri"/>
          <w:bCs/>
          <w:lang w:val="en-GB"/>
        </w:rPr>
        <w:t>T</w:t>
      </w:r>
      <w:r w:rsidRPr="00F67CC4">
        <w:rPr>
          <w:rFonts w:cs="Calibri"/>
          <w:bCs/>
          <w:lang w:val="en-GB"/>
        </w:rPr>
        <w:t>wo strateg</w:t>
      </w:r>
      <w:r w:rsidR="00F804FE" w:rsidRPr="00F67CC4">
        <w:rPr>
          <w:rFonts w:cs="Calibri"/>
          <w:bCs/>
          <w:lang w:val="en-GB"/>
        </w:rPr>
        <w:t>ic players</w:t>
      </w:r>
      <w:r w:rsidR="00882324">
        <w:rPr>
          <w:rFonts w:cs="Calibri"/>
          <w:bCs/>
          <w:lang w:val="en-GB"/>
        </w:rPr>
        <w:t xml:space="preserve">, one risk-neutral manager </w:t>
      </w:r>
      <w:r w:rsidRPr="00F67CC4">
        <w:rPr>
          <w:rFonts w:cs="Calibri"/>
          <w:bCs/>
          <w:lang w:val="en-GB"/>
        </w:rPr>
        <w:t>and a competitive, risk-neutral capital market</w:t>
      </w:r>
      <w:r w:rsidR="00882324">
        <w:rPr>
          <w:rFonts w:cs="Calibri"/>
          <w:bCs/>
          <w:lang w:val="en-GB"/>
        </w:rPr>
        <w:t>, are used to check this ra</w:t>
      </w:r>
      <w:r w:rsidR="00DD5BCF">
        <w:rPr>
          <w:rFonts w:cs="Calibri"/>
          <w:bCs/>
          <w:lang w:val="en-GB"/>
        </w:rPr>
        <w:t>tional expectations equilibrium. Th</w:t>
      </w:r>
      <w:r w:rsidR="00830DEB">
        <w:rPr>
          <w:rFonts w:cs="Calibri"/>
          <w:bCs/>
          <w:lang w:val="en-GB"/>
        </w:rPr>
        <w:t>is equil</w:t>
      </w:r>
      <w:r w:rsidR="00830DEB" w:rsidRPr="00830DEB">
        <w:rPr>
          <w:rFonts w:cs="Calibri"/>
          <w:bCs/>
          <w:lang w:val="en-GB"/>
        </w:rPr>
        <w:t xml:space="preserve">ibrium is mathematically checked, therefore no sample is used in this research. </w:t>
      </w:r>
      <w:r w:rsidR="00882324">
        <w:rPr>
          <w:rFonts w:cs="Calibri"/>
          <w:bCs/>
          <w:lang w:val="en-GB"/>
        </w:rPr>
        <w:t>The reason of</w:t>
      </w:r>
      <w:r w:rsidR="00F804FE" w:rsidRPr="00F67CC4">
        <w:rPr>
          <w:rFonts w:cs="Calibri"/>
          <w:bCs/>
          <w:lang w:val="en-GB"/>
        </w:rPr>
        <w:t xml:space="preserve"> Ewert and Wagenhofer (2005)</w:t>
      </w:r>
      <w:r w:rsidR="00882324">
        <w:rPr>
          <w:rFonts w:cs="Calibri"/>
          <w:bCs/>
          <w:lang w:val="en-GB"/>
        </w:rPr>
        <w:t xml:space="preserve"> to choose for this type of research is </w:t>
      </w:r>
      <w:r w:rsidRPr="00F67CC4">
        <w:rPr>
          <w:rFonts w:cs="Calibri"/>
          <w:bCs/>
          <w:lang w:val="en-GB"/>
        </w:rPr>
        <w:t>b</w:t>
      </w:r>
      <w:r w:rsidR="00F804FE" w:rsidRPr="00F67CC4">
        <w:rPr>
          <w:rFonts w:cs="Calibri"/>
          <w:bCs/>
          <w:lang w:val="en-GB"/>
        </w:rPr>
        <w:t>ecause according to them, it is</w:t>
      </w:r>
      <w:r w:rsidRPr="00F67CC4">
        <w:rPr>
          <w:rFonts w:cs="Calibri"/>
          <w:bCs/>
          <w:lang w:val="en-GB"/>
        </w:rPr>
        <w:t xml:space="preserve"> about</w:t>
      </w:r>
      <w:r w:rsidR="00464C87">
        <w:rPr>
          <w:rFonts w:cs="Calibri"/>
          <w:bCs/>
          <w:lang w:val="en-GB"/>
        </w:rPr>
        <w:t xml:space="preserve"> the decision behind</w:t>
      </w:r>
      <w:r w:rsidRPr="00F67CC4">
        <w:rPr>
          <w:rFonts w:cs="Calibri"/>
          <w:bCs/>
          <w:lang w:val="en-GB"/>
        </w:rPr>
        <w:t xml:space="preserve"> t</w:t>
      </w:r>
      <w:r w:rsidR="00464C87">
        <w:rPr>
          <w:rFonts w:cs="Calibri"/>
          <w:bCs/>
          <w:lang w:val="en-GB"/>
        </w:rPr>
        <w:t>he</w:t>
      </w:r>
      <w:r w:rsidR="00F72509">
        <w:rPr>
          <w:rFonts w:cs="Calibri"/>
          <w:bCs/>
          <w:lang w:val="en-GB"/>
        </w:rPr>
        <w:t xml:space="preserve"> use of</w:t>
      </w:r>
      <w:r w:rsidR="00464C87">
        <w:rPr>
          <w:rFonts w:cs="Calibri"/>
          <w:bCs/>
          <w:lang w:val="en-GB"/>
        </w:rPr>
        <w:t xml:space="preserve"> earnings management</w:t>
      </w:r>
      <w:r w:rsidRPr="00F67CC4">
        <w:rPr>
          <w:rFonts w:cs="Calibri"/>
          <w:bCs/>
          <w:lang w:val="en-GB"/>
        </w:rPr>
        <w:t xml:space="preserve"> and not about the underlying process. An accounting system records transactions and event</w:t>
      </w:r>
      <w:r w:rsidR="00464C87">
        <w:rPr>
          <w:rFonts w:cs="Calibri"/>
          <w:bCs/>
          <w:lang w:val="en-GB"/>
        </w:rPr>
        <w:t>s</w:t>
      </w:r>
      <w:r w:rsidRPr="00F67CC4">
        <w:rPr>
          <w:rFonts w:cs="Calibri"/>
          <w:bCs/>
          <w:lang w:val="en-GB"/>
        </w:rPr>
        <w:t xml:space="preserve"> according to the accounting standards in force (Ewert and Wagenhofer 2005, p</w:t>
      </w:r>
      <w:r w:rsidR="00F72509">
        <w:rPr>
          <w:rFonts w:cs="Calibri"/>
          <w:bCs/>
          <w:lang w:val="en-GB"/>
        </w:rPr>
        <w:t xml:space="preserve"> </w:t>
      </w:r>
      <w:r w:rsidRPr="00F67CC4">
        <w:rPr>
          <w:rFonts w:cs="Calibri"/>
          <w:bCs/>
          <w:lang w:val="en-GB"/>
        </w:rPr>
        <w:t>1103-1104)</w:t>
      </w:r>
      <w:r w:rsidR="00464C87">
        <w:rPr>
          <w:rFonts w:cs="Calibri"/>
          <w:bCs/>
          <w:lang w:val="en-GB"/>
        </w:rPr>
        <w:t>.</w:t>
      </w:r>
      <w:r w:rsidRPr="00F67CC4">
        <w:rPr>
          <w:rFonts w:cs="Calibri"/>
          <w:bCs/>
          <w:lang w:val="en-GB"/>
        </w:rPr>
        <w:t xml:space="preserve"> </w:t>
      </w:r>
      <w:r w:rsidR="00F804FE" w:rsidRPr="00F67CC4">
        <w:rPr>
          <w:rFonts w:cs="Calibri"/>
          <w:bCs/>
          <w:lang w:val="en-GB"/>
        </w:rPr>
        <w:t>Next to the focus on both methods of earnings management, accruals- and real activities-based, is the intention behin</w:t>
      </w:r>
      <w:r w:rsidR="001661CD">
        <w:rPr>
          <w:rFonts w:cs="Calibri"/>
          <w:bCs/>
          <w:lang w:val="en-GB"/>
        </w:rPr>
        <w:t>d the management investigated. M</w:t>
      </w:r>
      <w:r w:rsidR="00F804FE" w:rsidRPr="00F67CC4">
        <w:rPr>
          <w:rFonts w:cs="Calibri"/>
          <w:bCs/>
          <w:lang w:val="en-GB"/>
        </w:rPr>
        <w:t>anager</w:t>
      </w:r>
      <w:r w:rsidRPr="00F67CC4">
        <w:rPr>
          <w:rFonts w:cs="Calibri"/>
          <w:bCs/>
          <w:lang w:val="en-GB"/>
        </w:rPr>
        <w:t>s</w:t>
      </w:r>
      <w:r w:rsidR="00F804FE" w:rsidRPr="00F67CC4">
        <w:rPr>
          <w:rFonts w:cs="Calibri"/>
          <w:bCs/>
          <w:lang w:val="en-GB"/>
        </w:rPr>
        <w:t>’</w:t>
      </w:r>
      <w:r w:rsidRPr="00F67CC4">
        <w:rPr>
          <w:rFonts w:cs="Calibri"/>
          <w:bCs/>
          <w:lang w:val="en-GB"/>
        </w:rPr>
        <w:t xml:space="preserve"> interest is driven by factors like accounting-based b</w:t>
      </w:r>
      <w:r w:rsidR="00464C87">
        <w:rPr>
          <w:rFonts w:cs="Calibri"/>
          <w:bCs/>
          <w:lang w:val="en-GB"/>
        </w:rPr>
        <w:t>onus program, debt covenant tied</w:t>
      </w:r>
      <w:r w:rsidRPr="00F67CC4">
        <w:rPr>
          <w:rFonts w:cs="Calibri"/>
          <w:bCs/>
          <w:lang w:val="en-GB"/>
        </w:rPr>
        <w:t xml:space="preserve"> to accounting numbers or upcoming tenure decisions. </w:t>
      </w:r>
    </w:p>
    <w:p w:rsidR="006145EF" w:rsidRPr="00F67CC4" w:rsidRDefault="00464C87" w:rsidP="006145EF">
      <w:pPr>
        <w:spacing w:line="360" w:lineRule="auto"/>
        <w:rPr>
          <w:rFonts w:cs="Calibri"/>
          <w:bCs/>
          <w:lang w:val="en-GB"/>
        </w:rPr>
      </w:pPr>
      <w:r>
        <w:rPr>
          <w:rFonts w:cs="Calibri"/>
          <w:bCs/>
          <w:lang w:val="en-GB"/>
        </w:rPr>
        <w:t>The manager</w:t>
      </w:r>
      <w:r w:rsidR="006145EF" w:rsidRPr="00F67CC4">
        <w:rPr>
          <w:rFonts w:cs="Calibri"/>
          <w:bCs/>
          <w:lang w:val="en-GB"/>
        </w:rPr>
        <w:t>s</w:t>
      </w:r>
      <w:r>
        <w:rPr>
          <w:rFonts w:cs="Calibri"/>
          <w:bCs/>
          <w:lang w:val="en-GB"/>
        </w:rPr>
        <w:t>’</w:t>
      </w:r>
      <w:r w:rsidR="006145EF" w:rsidRPr="00F67CC4">
        <w:rPr>
          <w:rFonts w:cs="Calibri"/>
          <w:bCs/>
          <w:lang w:val="en-GB"/>
        </w:rPr>
        <w:t xml:space="preserve"> decision </w:t>
      </w:r>
      <w:r w:rsidR="009A1567">
        <w:rPr>
          <w:rFonts w:cs="Calibri"/>
          <w:bCs/>
          <w:lang w:val="en-GB"/>
        </w:rPr>
        <w:t>in using</w:t>
      </w:r>
      <w:r w:rsidR="006145EF" w:rsidRPr="00F67CC4">
        <w:rPr>
          <w:rFonts w:cs="Calibri"/>
          <w:bCs/>
          <w:lang w:val="en-GB"/>
        </w:rPr>
        <w:t xml:space="preserve"> </w:t>
      </w:r>
      <w:r w:rsidR="009A1567">
        <w:rPr>
          <w:rFonts w:cs="Calibri"/>
          <w:bCs/>
          <w:lang w:val="en-GB"/>
        </w:rPr>
        <w:t xml:space="preserve">accruals-based </w:t>
      </w:r>
      <w:r w:rsidR="006145EF" w:rsidRPr="00F67CC4">
        <w:rPr>
          <w:rFonts w:cs="Calibri"/>
          <w:bCs/>
          <w:lang w:val="en-GB"/>
        </w:rPr>
        <w:t xml:space="preserve">earnings management </w:t>
      </w:r>
      <w:r w:rsidR="009A1567">
        <w:rPr>
          <w:rFonts w:cs="Calibri"/>
          <w:bCs/>
          <w:lang w:val="en-GB"/>
        </w:rPr>
        <w:t>is</w:t>
      </w:r>
      <w:r w:rsidR="006145EF" w:rsidRPr="00F67CC4">
        <w:rPr>
          <w:rFonts w:cs="Calibri"/>
          <w:bCs/>
          <w:lang w:val="en-GB"/>
        </w:rPr>
        <w:t xml:space="preserve"> investigated in combination </w:t>
      </w:r>
      <w:r w:rsidR="001661CD">
        <w:rPr>
          <w:rFonts w:cs="Calibri"/>
          <w:bCs/>
          <w:lang w:val="en-GB"/>
        </w:rPr>
        <w:t>with</w:t>
      </w:r>
      <w:r w:rsidR="006145EF" w:rsidRPr="00F67CC4">
        <w:rPr>
          <w:rFonts w:cs="Calibri"/>
          <w:bCs/>
          <w:lang w:val="en-GB"/>
        </w:rPr>
        <w:t xml:space="preserve"> the t</w:t>
      </w:r>
      <w:r w:rsidR="009A1567">
        <w:rPr>
          <w:rFonts w:cs="Calibri"/>
          <w:bCs/>
          <w:lang w:val="en-GB"/>
        </w:rPr>
        <w:t xml:space="preserve">ightness of </w:t>
      </w:r>
      <w:r w:rsidR="00F72509">
        <w:rPr>
          <w:rFonts w:cs="Calibri"/>
          <w:bCs/>
          <w:lang w:val="en-GB"/>
        </w:rPr>
        <w:t xml:space="preserve">the </w:t>
      </w:r>
      <w:r w:rsidR="009A1567">
        <w:rPr>
          <w:rFonts w:cs="Calibri"/>
          <w:bCs/>
          <w:lang w:val="en-GB"/>
        </w:rPr>
        <w:t>accounting standards. The tightness of the accounting standards makes it more costly for a manager to perform accruals-based earnings management</w:t>
      </w:r>
      <w:r w:rsidR="006145EF" w:rsidRPr="00F67CC4">
        <w:rPr>
          <w:rFonts w:cs="Calibri"/>
          <w:bCs/>
          <w:lang w:val="en-GB"/>
        </w:rPr>
        <w:t>.</w:t>
      </w:r>
      <w:r w:rsidR="009A1567">
        <w:rPr>
          <w:rFonts w:cs="Calibri"/>
          <w:bCs/>
          <w:lang w:val="en-GB"/>
        </w:rPr>
        <w:t xml:space="preserve"> </w:t>
      </w:r>
      <w:r w:rsidR="006145EF" w:rsidRPr="00F67CC4">
        <w:rPr>
          <w:rFonts w:cs="Calibri"/>
          <w:bCs/>
          <w:lang w:val="en-GB"/>
        </w:rPr>
        <w:t xml:space="preserve">The effect of tighter accounting standards on the choice of </w:t>
      </w:r>
      <w:r w:rsidR="009A1567">
        <w:rPr>
          <w:rFonts w:cs="Calibri"/>
          <w:bCs/>
          <w:lang w:val="en-GB"/>
        </w:rPr>
        <w:t>accruals-</w:t>
      </w:r>
      <w:r w:rsidR="006145EF" w:rsidRPr="00F67CC4">
        <w:rPr>
          <w:rFonts w:cs="Calibri"/>
          <w:bCs/>
          <w:lang w:val="en-GB"/>
        </w:rPr>
        <w:t xml:space="preserve"> and real earnings management, the quality of </w:t>
      </w:r>
      <w:r w:rsidR="006145EF" w:rsidRPr="00F67CC4">
        <w:rPr>
          <w:rFonts w:cs="Calibri"/>
          <w:bCs/>
          <w:lang w:val="en-GB"/>
        </w:rPr>
        <w:lastRenderedPageBreak/>
        <w:t xml:space="preserve">reported earnings, the level of </w:t>
      </w:r>
      <w:r w:rsidR="00F72509">
        <w:rPr>
          <w:rFonts w:cs="Calibri"/>
          <w:bCs/>
          <w:lang w:val="en-GB"/>
        </w:rPr>
        <w:t xml:space="preserve">the use of </w:t>
      </w:r>
      <w:r w:rsidR="006145EF" w:rsidRPr="00F67CC4">
        <w:rPr>
          <w:rFonts w:cs="Calibri"/>
          <w:bCs/>
          <w:lang w:val="en-GB"/>
        </w:rPr>
        <w:t>earnings management and the cost of earnings management</w:t>
      </w:r>
      <w:r w:rsidR="001661CD">
        <w:rPr>
          <w:rFonts w:cs="Calibri"/>
          <w:bCs/>
          <w:lang w:val="en-GB"/>
        </w:rPr>
        <w:t>; Ewert and Wagenhofer (2005) investigate it all.</w:t>
      </w:r>
      <w:r w:rsidR="006145EF" w:rsidRPr="00F67CC4">
        <w:rPr>
          <w:rFonts w:cs="Calibri"/>
          <w:bCs/>
          <w:lang w:val="en-GB"/>
        </w:rPr>
        <w:t xml:space="preserve"> </w:t>
      </w:r>
    </w:p>
    <w:p w:rsidR="006145EF" w:rsidRPr="00F67CC4" w:rsidRDefault="006145EF" w:rsidP="006145EF">
      <w:pPr>
        <w:spacing w:line="360" w:lineRule="auto"/>
        <w:rPr>
          <w:rFonts w:cs="Calibri"/>
          <w:bCs/>
          <w:lang w:val="en-GB"/>
        </w:rPr>
      </w:pPr>
      <w:r w:rsidRPr="00F67CC4">
        <w:rPr>
          <w:rFonts w:cs="Calibri"/>
          <w:bCs/>
          <w:lang w:val="en-GB"/>
        </w:rPr>
        <w:t xml:space="preserve">Ewert and Wagenhofer (2005) </w:t>
      </w:r>
      <w:r w:rsidR="00F72509">
        <w:rPr>
          <w:rFonts w:cs="Calibri"/>
          <w:bCs/>
          <w:lang w:val="en-GB"/>
        </w:rPr>
        <w:t>concluded</w:t>
      </w:r>
      <w:r w:rsidRPr="00F67CC4">
        <w:rPr>
          <w:rFonts w:cs="Calibri"/>
          <w:bCs/>
          <w:lang w:val="en-GB"/>
        </w:rPr>
        <w:t xml:space="preserve"> that</w:t>
      </w:r>
      <w:r w:rsidR="00F72509">
        <w:rPr>
          <w:rFonts w:cs="Calibri"/>
          <w:bCs/>
          <w:lang w:val="en-GB"/>
        </w:rPr>
        <w:t xml:space="preserve"> the</w:t>
      </w:r>
      <w:r w:rsidRPr="00F67CC4">
        <w:rPr>
          <w:rFonts w:cs="Calibri"/>
          <w:bCs/>
          <w:lang w:val="en-GB"/>
        </w:rPr>
        <w:t xml:space="preserve"> </w:t>
      </w:r>
      <w:r w:rsidRPr="00F67CC4">
        <w:rPr>
          <w:rFonts w:cs="Calibri"/>
          <w:lang w:val="en-GB"/>
        </w:rPr>
        <w:t>tighter accounting standards increase</w:t>
      </w:r>
      <w:r w:rsidR="009A1567">
        <w:rPr>
          <w:rFonts w:cs="Calibri"/>
          <w:lang w:val="en-GB"/>
        </w:rPr>
        <w:t xml:space="preserve">d the quality of </w:t>
      </w:r>
      <w:r w:rsidR="00F72509">
        <w:rPr>
          <w:rFonts w:cs="Calibri"/>
          <w:lang w:val="en-GB"/>
        </w:rPr>
        <w:t xml:space="preserve">the published </w:t>
      </w:r>
      <w:r w:rsidR="009A1567">
        <w:rPr>
          <w:rFonts w:cs="Calibri"/>
          <w:lang w:val="en-GB"/>
        </w:rPr>
        <w:t>earnings</w:t>
      </w:r>
      <w:r w:rsidR="00F72509">
        <w:rPr>
          <w:rFonts w:cs="Calibri"/>
          <w:lang w:val="en-GB"/>
        </w:rPr>
        <w:t>, but some consequences exist that</w:t>
      </w:r>
      <w:r w:rsidR="00C11F35" w:rsidRPr="00F67CC4">
        <w:rPr>
          <w:rFonts w:cs="Calibri"/>
          <w:lang w:val="en-GB"/>
        </w:rPr>
        <w:t xml:space="preserve"> </w:t>
      </w:r>
      <w:r w:rsidR="009A1567">
        <w:rPr>
          <w:rFonts w:cs="Calibri"/>
          <w:lang w:val="en-GB"/>
        </w:rPr>
        <w:t>may outweigh this</w:t>
      </w:r>
      <w:r w:rsidR="00C11F35" w:rsidRPr="00F67CC4">
        <w:rPr>
          <w:rFonts w:cs="Calibri"/>
          <w:lang w:val="en-GB"/>
        </w:rPr>
        <w:t xml:space="preserve"> benefit. The</w:t>
      </w:r>
      <w:r w:rsidR="001661CD">
        <w:rPr>
          <w:rFonts w:cs="Calibri"/>
          <w:lang w:val="en-GB"/>
        </w:rPr>
        <w:t>se</w:t>
      </w:r>
      <w:r w:rsidR="00C11F35" w:rsidRPr="00F67CC4">
        <w:rPr>
          <w:rFonts w:cs="Calibri"/>
          <w:lang w:val="en-GB"/>
        </w:rPr>
        <w:t xml:space="preserve"> consequences are that the total amount </w:t>
      </w:r>
      <w:r w:rsidR="009A1567">
        <w:rPr>
          <w:rFonts w:cs="Calibri"/>
          <w:lang w:val="en-GB"/>
        </w:rPr>
        <w:t xml:space="preserve">of managed earnings </w:t>
      </w:r>
      <w:r w:rsidR="00C11F35" w:rsidRPr="00F67CC4">
        <w:rPr>
          <w:rFonts w:cs="Calibri"/>
          <w:lang w:val="en-GB"/>
        </w:rPr>
        <w:t>and the use of real</w:t>
      </w:r>
      <w:r w:rsidR="009A1567">
        <w:rPr>
          <w:rFonts w:cs="Calibri"/>
          <w:lang w:val="en-GB"/>
        </w:rPr>
        <w:t xml:space="preserve"> </w:t>
      </w:r>
      <w:r w:rsidR="00C11F35" w:rsidRPr="00F67CC4">
        <w:rPr>
          <w:rFonts w:cs="Calibri"/>
          <w:lang w:val="en-GB"/>
        </w:rPr>
        <w:t>compared to accruals-based earnings management</w:t>
      </w:r>
      <w:r w:rsidR="001661CD">
        <w:rPr>
          <w:rFonts w:cs="Calibri"/>
          <w:lang w:val="en-GB"/>
        </w:rPr>
        <w:t xml:space="preserve"> has</w:t>
      </w:r>
      <w:r w:rsidR="00C11F35" w:rsidRPr="00F67CC4">
        <w:rPr>
          <w:rFonts w:cs="Calibri"/>
          <w:lang w:val="en-GB"/>
        </w:rPr>
        <w:t xml:space="preserve"> increased. </w:t>
      </w:r>
      <w:r w:rsidRPr="00F67CC4">
        <w:rPr>
          <w:rFonts w:cs="Calibri"/>
          <w:lang w:val="en-GB"/>
        </w:rPr>
        <w:t xml:space="preserve"> </w:t>
      </w:r>
    </w:p>
    <w:p w:rsidR="001C6A3E" w:rsidRPr="00F67CC4" w:rsidRDefault="001C6A3E" w:rsidP="00BE2C16">
      <w:pPr>
        <w:numPr>
          <w:ilvl w:val="0"/>
          <w:numId w:val="8"/>
        </w:numPr>
        <w:spacing w:line="360" w:lineRule="auto"/>
        <w:rPr>
          <w:rFonts w:cs="Calibri"/>
          <w:bCs/>
          <w:u w:val="single"/>
        </w:rPr>
      </w:pPr>
      <w:r w:rsidRPr="00F67CC4">
        <w:rPr>
          <w:rFonts w:cs="Calibri"/>
          <w:bCs/>
          <w:u w:val="single"/>
        </w:rPr>
        <w:t>Heemskerk and van der Tas (2006) – Veranderingen in resultaatsturing als gevolg van de invoering van IFRS</w:t>
      </w:r>
    </w:p>
    <w:p w:rsidR="001C6A3E" w:rsidRPr="00F67CC4" w:rsidRDefault="001C6A3E" w:rsidP="00F74511">
      <w:pPr>
        <w:spacing w:line="360" w:lineRule="auto"/>
        <w:rPr>
          <w:rFonts w:cs="Calibri"/>
          <w:bCs/>
          <w:lang w:val="en-GB"/>
        </w:rPr>
      </w:pPr>
      <w:r w:rsidRPr="00F67CC4">
        <w:rPr>
          <w:rFonts w:cs="Calibri"/>
          <w:bCs/>
          <w:lang w:val="en-GB"/>
        </w:rPr>
        <w:t xml:space="preserve">This research is about the influence of </w:t>
      </w:r>
      <w:r w:rsidR="000D662D">
        <w:rPr>
          <w:rFonts w:cs="Calibri"/>
          <w:bCs/>
          <w:lang w:val="en-GB"/>
        </w:rPr>
        <w:t xml:space="preserve">the use of </w:t>
      </w:r>
      <w:r w:rsidRPr="00F67CC4">
        <w:rPr>
          <w:rFonts w:cs="Calibri"/>
          <w:bCs/>
          <w:lang w:val="en-GB"/>
        </w:rPr>
        <w:t xml:space="preserve">IFRS on the extent of </w:t>
      </w:r>
      <w:r w:rsidR="00213B23" w:rsidRPr="00213B23">
        <w:rPr>
          <w:rFonts w:cs="Calibri"/>
          <w:bCs/>
          <w:lang w:val="en-GB"/>
        </w:rPr>
        <w:t>managing</w:t>
      </w:r>
      <w:r w:rsidR="00213B23">
        <w:rPr>
          <w:rFonts w:cs="Calibri"/>
          <w:b/>
          <w:bCs/>
          <w:lang w:val="en-GB"/>
        </w:rPr>
        <w:t xml:space="preserve"> </w:t>
      </w:r>
      <w:r w:rsidR="00213B23" w:rsidRPr="00213B23">
        <w:rPr>
          <w:rFonts w:cs="Calibri"/>
          <w:bCs/>
          <w:lang w:val="en-GB"/>
        </w:rPr>
        <w:t>results</w:t>
      </w:r>
      <w:r w:rsidR="00213B23">
        <w:rPr>
          <w:rFonts w:cs="Calibri"/>
          <w:b/>
          <w:bCs/>
          <w:lang w:val="en-GB"/>
        </w:rPr>
        <w:t xml:space="preserve"> </w:t>
      </w:r>
      <w:r w:rsidRPr="00F67CC4">
        <w:rPr>
          <w:rFonts w:cs="Calibri"/>
          <w:bCs/>
          <w:lang w:val="en-GB"/>
        </w:rPr>
        <w:t>by managers. IFRS uses strict criteria for the use of accounting methods wh</w:t>
      </w:r>
      <w:r w:rsidR="00D8219F" w:rsidRPr="00F67CC4">
        <w:rPr>
          <w:rFonts w:cs="Calibri"/>
          <w:bCs/>
          <w:lang w:val="en-GB"/>
        </w:rPr>
        <w:t xml:space="preserve">ich </w:t>
      </w:r>
      <w:r w:rsidR="000D662D">
        <w:rPr>
          <w:rFonts w:cs="Calibri"/>
          <w:bCs/>
          <w:lang w:val="en-GB"/>
        </w:rPr>
        <w:t>present</w:t>
      </w:r>
      <w:r w:rsidR="00D8219F" w:rsidRPr="00F67CC4">
        <w:rPr>
          <w:rFonts w:cs="Calibri"/>
          <w:bCs/>
          <w:lang w:val="en-GB"/>
        </w:rPr>
        <w:t xml:space="preserve"> the impression of fewer</w:t>
      </w:r>
      <w:r w:rsidR="006365B1">
        <w:rPr>
          <w:rFonts w:cs="Calibri"/>
          <w:bCs/>
          <w:lang w:val="en-GB"/>
        </w:rPr>
        <w:t xml:space="preserve"> possibilities for managing results</w:t>
      </w:r>
      <w:r w:rsidRPr="00F67CC4">
        <w:rPr>
          <w:rFonts w:cs="Calibri"/>
          <w:bCs/>
          <w:lang w:val="en-GB"/>
        </w:rPr>
        <w:t xml:space="preserve">. But Heemskerk and van der Tas (2006) </w:t>
      </w:r>
      <w:r w:rsidR="000D662D">
        <w:rPr>
          <w:rFonts w:cs="Calibri"/>
          <w:bCs/>
          <w:lang w:val="en-GB"/>
        </w:rPr>
        <w:t>in addition signal</w:t>
      </w:r>
      <w:r w:rsidRPr="00F67CC4">
        <w:rPr>
          <w:rFonts w:cs="Calibri"/>
          <w:bCs/>
          <w:lang w:val="en-GB"/>
        </w:rPr>
        <w:t xml:space="preserve"> the fact that IFRS next to stricter criteria </w:t>
      </w:r>
      <w:r w:rsidR="000D662D">
        <w:rPr>
          <w:rFonts w:cs="Calibri"/>
          <w:bCs/>
          <w:lang w:val="en-GB"/>
        </w:rPr>
        <w:t>in addition</w:t>
      </w:r>
      <w:r w:rsidRPr="00F67CC4">
        <w:rPr>
          <w:rFonts w:cs="Calibri"/>
          <w:bCs/>
          <w:lang w:val="en-GB"/>
        </w:rPr>
        <w:t xml:space="preserve"> has situations </w:t>
      </w:r>
      <w:r w:rsidR="00213B23">
        <w:rPr>
          <w:rFonts w:cs="Calibri"/>
          <w:bCs/>
          <w:lang w:val="en-GB"/>
        </w:rPr>
        <w:t>that mangers have to use s</w:t>
      </w:r>
      <w:r w:rsidR="003E4EF5">
        <w:rPr>
          <w:rFonts w:cs="Calibri"/>
          <w:bCs/>
          <w:lang w:val="en-GB"/>
        </w:rPr>
        <w:t>ubjective estimations</w:t>
      </w:r>
      <w:r w:rsidRPr="00F67CC4">
        <w:rPr>
          <w:rFonts w:cs="Calibri"/>
          <w:bCs/>
          <w:lang w:val="en-GB"/>
        </w:rPr>
        <w:t xml:space="preserve">. The question is whether IFRS is able to improve the transparency and so decrease managers’ </w:t>
      </w:r>
      <w:r w:rsidR="003266F3">
        <w:rPr>
          <w:rFonts w:cs="Calibri"/>
          <w:bCs/>
          <w:lang w:val="en-GB"/>
        </w:rPr>
        <w:t>influence</w:t>
      </w:r>
      <w:r w:rsidRPr="00F67CC4">
        <w:rPr>
          <w:rFonts w:cs="Calibri"/>
          <w:bCs/>
          <w:lang w:val="en-GB"/>
        </w:rPr>
        <w:t xml:space="preserve"> on results. The hypotheses that are used to test this are that less ‘discretionary accruals’ and ‘accruals’ </w:t>
      </w:r>
      <w:r w:rsidR="003E4EF5">
        <w:rPr>
          <w:rFonts w:cs="Calibri"/>
          <w:bCs/>
          <w:lang w:val="en-GB"/>
        </w:rPr>
        <w:t xml:space="preserve">are </w:t>
      </w:r>
      <w:r w:rsidRPr="00F67CC4">
        <w:rPr>
          <w:rFonts w:cs="Calibri"/>
          <w:bCs/>
          <w:lang w:val="en-GB"/>
        </w:rPr>
        <w:t>used for</w:t>
      </w:r>
      <w:r w:rsidR="003266F3">
        <w:rPr>
          <w:rFonts w:cs="Calibri"/>
          <w:bCs/>
          <w:lang w:val="en-GB"/>
        </w:rPr>
        <w:t xml:space="preserve"> managing</w:t>
      </w:r>
      <w:r w:rsidRPr="00F67CC4">
        <w:rPr>
          <w:rFonts w:cs="Calibri"/>
          <w:bCs/>
          <w:lang w:val="en-GB"/>
        </w:rPr>
        <w:t xml:space="preserve"> result and result equalisation. </w:t>
      </w:r>
    </w:p>
    <w:p w:rsidR="001C6A3E" w:rsidRPr="00F67CC4" w:rsidRDefault="001C6A3E" w:rsidP="00F74511">
      <w:pPr>
        <w:spacing w:line="360" w:lineRule="auto"/>
        <w:rPr>
          <w:rFonts w:cs="Calibri"/>
          <w:bCs/>
          <w:lang w:val="en-GB"/>
        </w:rPr>
      </w:pPr>
      <w:r w:rsidRPr="00F67CC4">
        <w:rPr>
          <w:rFonts w:cs="Calibri"/>
          <w:bCs/>
          <w:lang w:val="en-GB"/>
        </w:rPr>
        <w:t xml:space="preserve">The data that </w:t>
      </w:r>
      <w:r w:rsidR="00213B23">
        <w:rPr>
          <w:rFonts w:cs="Calibri"/>
          <w:bCs/>
          <w:lang w:val="en-GB"/>
        </w:rPr>
        <w:t>are</w:t>
      </w:r>
      <w:r w:rsidRPr="00F67CC4">
        <w:rPr>
          <w:rFonts w:cs="Calibri"/>
          <w:bCs/>
          <w:lang w:val="en-GB"/>
        </w:rPr>
        <w:t xml:space="preserve"> used for the research are data from companies that before the mandatory IFRS implementation</w:t>
      </w:r>
      <w:r w:rsidR="00213B23">
        <w:rPr>
          <w:rFonts w:cs="Calibri"/>
          <w:bCs/>
          <w:lang w:val="en-GB"/>
        </w:rPr>
        <w:t xml:space="preserve"> already</w:t>
      </w:r>
      <w:r w:rsidRPr="00F67CC4">
        <w:rPr>
          <w:rFonts w:cs="Calibri"/>
          <w:bCs/>
          <w:lang w:val="en-GB"/>
        </w:rPr>
        <w:t xml:space="preserve"> used IFRS. After eliminating t</w:t>
      </w:r>
      <w:r w:rsidR="003E4EF5">
        <w:rPr>
          <w:rFonts w:cs="Calibri"/>
          <w:bCs/>
          <w:lang w:val="en-GB"/>
        </w:rPr>
        <w:t>he company that did no</w:t>
      </w:r>
      <w:r w:rsidR="00D8219F" w:rsidRPr="00F67CC4">
        <w:rPr>
          <w:rFonts w:cs="Calibri"/>
          <w:bCs/>
          <w:lang w:val="en-GB"/>
        </w:rPr>
        <w:t>t comply with</w:t>
      </w:r>
      <w:r w:rsidR="003E4EF5">
        <w:rPr>
          <w:rFonts w:cs="Calibri"/>
          <w:bCs/>
          <w:lang w:val="en-GB"/>
        </w:rPr>
        <w:t xml:space="preserve"> the </w:t>
      </w:r>
      <w:r w:rsidRPr="00F67CC4">
        <w:rPr>
          <w:rFonts w:cs="Calibri"/>
          <w:bCs/>
          <w:lang w:val="en-GB"/>
        </w:rPr>
        <w:t xml:space="preserve">requirements, the sample contained 160 companies from Germany and Switzerland. With the use of the Modified </w:t>
      </w:r>
      <w:r w:rsidR="00213B23">
        <w:rPr>
          <w:rFonts w:cs="Calibri"/>
          <w:bCs/>
          <w:lang w:val="en-GB"/>
        </w:rPr>
        <w:t>J</w:t>
      </w:r>
      <w:r w:rsidRPr="00F67CC4">
        <w:rPr>
          <w:rFonts w:cs="Calibri"/>
          <w:bCs/>
          <w:lang w:val="en-GB"/>
        </w:rPr>
        <w:t xml:space="preserve">ones Model </w:t>
      </w:r>
      <w:r w:rsidR="00213B23">
        <w:rPr>
          <w:rFonts w:cs="Calibri"/>
          <w:bCs/>
          <w:lang w:val="en-GB"/>
        </w:rPr>
        <w:t xml:space="preserve">(1995) </w:t>
      </w:r>
      <w:r w:rsidR="00264418">
        <w:rPr>
          <w:rFonts w:cs="Calibri"/>
          <w:bCs/>
          <w:lang w:val="en-GB"/>
        </w:rPr>
        <w:t xml:space="preserve">the discretionary part of the accruals is determined. With this </w:t>
      </w:r>
      <w:r w:rsidR="00213B23">
        <w:rPr>
          <w:rFonts w:cs="Calibri"/>
          <w:bCs/>
          <w:lang w:val="en-GB"/>
        </w:rPr>
        <w:t xml:space="preserve">dependent </w:t>
      </w:r>
      <w:r w:rsidR="00264418">
        <w:rPr>
          <w:rFonts w:cs="Calibri"/>
          <w:bCs/>
          <w:lang w:val="en-GB"/>
        </w:rPr>
        <w:t xml:space="preserve">variable, the influence of </w:t>
      </w:r>
      <w:r w:rsidR="00213B23">
        <w:rPr>
          <w:rFonts w:cs="Calibri"/>
          <w:bCs/>
          <w:lang w:val="en-GB"/>
        </w:rPr>
        <w:t xml:space="preserve">the independent variables </w:t>
      </w:r>
      <w:r w:rsidR="00264418">
        <w:rPr>
          <w:rFonts w:cs="Calibri"/>
          <w:bCs/>
          <w:lang w:val="en-GB"/>
        </w:rPr>
        <w:t xml:space="preserve">accounting standards, country, industry and size </w:t>
      </w:r>
      <w:r w:rsidR="00213B23">
        <w:rPr>
          <w:rFonts w:cs="Calibri"/>
          <w:bCs/>
          <w:lang w:val="en-GB"/>
        </w:rPr>
        <w:t>on</w:t>
      </w:r>
      <w:r w:rsidR="000D662D">
        <w:rPr>
          <w:rFonts w:cs="Calibri"/>
          <w:bCs/>
          <w:lang w:val="en-GB"/>
        </w:rPr>
        <w:t xml:space="preserve"> the use of</w:t>
      </w:r>
      <w:r w:rsidR="00213B23">
        <w:rPr>
          <w:rFonts w:cs="Calibri"/>
          <w:bCs/>
          <w:lang w:val="en-GB"/>
        </w:rPr>
        <w:t xml:space="preserve"> earnings management </w:t>
      </w:r>
      <w:r w:rsidR="00264418">
        <w:rPr>
          <w:rFonts w:cs="Calibri"/>
          <w:bCs/>
          <w:lang w:val="en-GB"/>
        </w:rPr>
        <w:t xml:space="preserve">are tested. Only the variable standard had a significant, positive influence on the </w:t>
      </w:r>
      <w:r w:rsidR="007B3BA5">
        <w:rPr>
          <w:rFonts w:cs="Calibri"/>
          <w:bCs/>
          <w:lang w:val="en-GB"/>
        </w:rPr>
        <w:t>amount of</w:t>
      </w:r>
      <w:r w:rsidR="000D662D">
        <w:rPr>
          <w:rFonts w:cs="Calibri"/>
          <w:bCs/>
          <w:lang w:val="en-GB"/>
        </w:rPr>
        <w:t xml:space="preserve"> the</w:t>
      </w:r>
      <w:r w:rsidR="007B3BA5">
        <w:rPr>
          <w:rFonts w:cs="Calibri"/>
          <w:bCs/>
          <w:lang w:val="en-GB"/>
        </w:rPr>
        <w:t xml:space="preserve"> </w:t>
      </w:r>
      <w:r w:rsidR="00264418">
        <w:rPr>
          <w:rFonts w:cs="Calibri"/>
          <w:bCs/>
          <w:lang w:val="en-GB"/>
        </w:rPr>
        <w:t xml:space="preserve">discretionary accruals (Heemskerk and van der Tas 2006, p577). This positive influence of </w:t>
      </w:r>
      <w:r w:rsidR="000D662D">
        <w:rPr>
          <w:rFonts w:cs="Calibri"/>
          <w:bCs/>
          <w:lang w:val="en-GB"/>
        </w:rPr>
        <w:t xml:space="preserve">the use of </w:t>
      </w:r>
      <w:r w:rsidR="00264418">
        <w:rPr>
          <w:rFonts w:cs="Calibri"/>
          <w:bCs/>
          <w:lang w:val="en-GB"/>
        </w:rPr>
        <w:t xml:space="preserve">IFRS is indicative for </w:t>
      </w:r>
      <w:r w:rsidRPr="00F67CC4">
        <w:rPr>
          <w:rFonts w:cs="Calibri"/>
          <w:bCs/>
          <w:lang w:val="en-GB"/>
        </w:rPr>
        <w:t>Heemskerk and van der Tas (2006)</w:t>
      </w:r>
      <w:r w:rsidR="00264418">
        <w:rPr>
          <w:rFonts w:cs="Calibri"/>
          <w:bCs/>
          <w:lang w:val="en-GB"/>
        </w:rPr>
        <w:t xml:space="preserve"> to conclude </w:t>
      </w:r>
      <w:r w:rsidRPr="00F67CC4">
        <w:rPr>
          <w:rFonts w:cs="Calibri"/>
          <w:bCs/>
          <w:lang w:val="en-GB"/>
        </w:rPr>
        <w:t xml:space="preserve">that </w:t>
      </w:r>
      <w:r w:rsidRPr="00F67CC4">
        <w:rPr>
          <w:rFonts w:cs="Calibri"/>
          <w:lang w:val="en-GB"/>
        </w:rPr>
        <w:t xml:space="preserve">IFRS did not </w:t>
      </w:r>
      <w:r w:rsidR="000D662D">
        <w:rPr>
          <w:rFonts w:cs="Calibri"/>
          <w:lang w:val="en-GB"/>
        </w:rPr>
        <w:t xml:space="preserve">create </w:t>
      </w:r>
      <w:r w:rsidRPr="00F67CC4">
        <w:rPr>
          <w:rFonts w:cs="Calibri"/>
          <w:lang w:val="en-GB"/>
        </w:rPr>
        <w:t>a reduction in the use of discretionary accruals</w:t>
      </w:r>
      <w:r w:rsidR="000D662D">
        <w:rPr>
          <w:rFonts w:cs="Calibri"/>
          <w:bCs/>
          <w:lang w:val="en-GB"/>
        </w:rPr>
        <w:t xml:space="preserve">. This in addition is </w:t>
      </w:r>
      <w:r w:rsidRPr="00F67CC4">
        <w:rPr>
          <w:rFonts w:cs="Calibri"/>
          <w:bCs/>
          <w:lang w:val="en-GB"/>
        </w:rPr>
        <w:t xml:space="preserve">the case when the focus is on the use of accruals for result equalisation. </w:t>
      </w:r>
    </w:p>
    <w:p w:rsidR="001C6A3E" w:rsidRPr="00F67CC4" w:rsidRDefault="001C6A3E" w:rsidP="00F74511">
      <w:pPr>
        <w:spacing w:line="360" w:lineRule="auto"/>
        <w:rPr>
          <w:rFonts w:cs="Calibri"/>
          <w:bCs/>
          <w:lang w:val="en-GB"/>
        </w:rPr>
      </w:pPr>
      <w:r w:rsidRPr="00F67CC4">
        <w:rPr>
          <w:rFonts w:cs="Calibri"/>
          <w:bCs/>
          <w:lang w:val="en-GB"/>
        </w:rPr>
        <w:t xml:space="preserve">A limitation </w:t>
      </w:r>
      <w:r w:rsidR="004B1539" w:rsidRPr="00F67CC4">
        <w:rPr>
          <w:rFonts w:cs="Calibri"/>
          <w:bCs/>
          <w:lang w:val="en-GB"/>
        </w:rPr>
        <w:t>of</w:t>
      </w:r>
      <w:r w:rsidRPr="00F67CC4">
        <w:rPr>
          <w:rFonts w:cs="Calibri"/>
          <w:bCs/>
          <w:lang w:val="en-GB"/>
        </w:rPr>
        <w:t xml:space="preserve"> this research is </w:t>
      </w:r>
      <w:r w:rsidR="004B1539" w:rsidRPr="00F67CC4">
        <w:rPr>
          <w:rFonts w:cs="Calibri"/>
          <w:bCs/>
          <w:lang w:val="en-GB"/>
        </w:rPr>
        <w:t>the</w:t>
      </w:r>
      <w:r w:rsidRPr="00F67CC4">
        <w:rPr>
          <w:rFonts w:cs="Calibri"/>
          <w:bCs/>
          <w:lang w:val="en-GB"/>
        </w:rPr>
        <w:t xml:space="preserve"> focus on </w:t>
      </w:r>
      <w:r w:rsidR="004B1539" w:rsidRPr="00F67CC4">
        <w:rPr>
          <w:rFonts w:cs="Calibri"/>
          <w:bCs/>
          <w:lang w:val="en-GB"/>
        </w:rPr>
        <w:t>Germany and Switzerland, resulting that</w:t>
      </w:r>
      <w:r w:rsidR="000D662D">
        <w:rPr>
          <w:rFonts w:cs="Calibri"/>
          <w:bCs/>
          <w:lang w:val="en-GB"/>
        </w:rPr>
        <w:t xml:space="preserve"> the use of</w:t>
      </w:r>
      <w:r w:rsidR="004B1539" w:rsidRPr="00F67CC4">
        <w:rPr>
          <w:rFonts w:cs="Calibri"/>
          <w:bCs/>
          <w:lang w:val="en-GB"/>
        </w:rPr>
        <w:t xml:space="preserve"> </w:t>
      </w:r>
      <w:r w:rsidRPr="00F67CC4">
        <w:rPr>
          <w:rFonts w:cs="Calibri"/>
          <w:bCs/>
          <w:lang w:val="en-GB"/>
        </w:rPr>
        <w:t xml:space="preserve">IFRS can have </w:t>
      </w:r>
      <w:r w:rsidR="004B1539" w:rsidRPr="00F67CC4">
        <w:rPr>
          <w:rFonts w:cs="Calibri"/>
          <w:bCs/>
          <w:lang w:val="en-GB"/>
        </w:rPr>
        <w:t>a</w:t>
      </w:r>
      <w:r w:rsidRPr="00F67CC4">
        <w:rPr>
          <w:rFonts w:cs="Calibri"/>
          <w:bCs/>
          <w:lang w:val="en-GB"/>
        </w:rPr>
        <w:t xml:space="preserve"> </w:t>
      </w:r>
      <w:r w:rsidR="004B1539" w:rsidRPr="00F67CC4">
        <w:rPr>
          <w:rFonts w:cs="Calibri"/>
          <w:bCs/>
          <w:lang w:val="en-GB"/>
        </w:rPr>
        <w:t xml:space="preserve">different </w:t>
      </w:r>
      <w:r w:rsidRPr="00F67CC4">
        <w:rPr>
          <w:rFonts w:cs="Calibri"/>
          <w:bCs/>
          <w:lang w:val="en-GB"/>
        </w:rPr>
        <w:t xml:space="preserve">influence </w:t>
      </w:r>
      <w:r w:rsidR="007B3BA5">
        <w:rPr>
          <w:rFonts w:cs="Calibri"/>
          <w:bCs/>
          <w:lang w:val="en-GB"/>
        </w:rPr>
        <w:t>i</w:t>
      </w:r>
      <w:r w:rsidR="004B1539" w:rsidRPr="00F67CC4">
        <w:rPr>
          <w:rFonts w:cs="Calibri"/>
          <w:bCs/>
          <w:lang w:val="en-GB"/>
        </w:rPr>
        <w:t xml:space="preserve">n other countries because of country-specific </w:t>
      </w:r>
      <w:r w:rsidRPr="00F67CC4">
        <w:rPr>
          <w:rFonts w:cs="Calibri"/>
          <w:bCs/>
          <w:lang w:val="en-GB"/>
        </w:rPr>
        <w:t>regulations. Another limitation is the limited dataset; too few IFRS adopted companies</w:t>
      </w:r>
      <w:r w:rsidR="000D662D">
        <w:rPr>
          <w:rFonts w:cs="Calibri"/>
          <w:bCs/>
          <w:lang w:val="en-GB"/>
        </w:rPr>
        <w:t xml:space="preserve"> exist </w:t>
      </w:r>
      <w:r w:rsidRPr="00F67CC4">
        <w:rPr>
          <w:rFonts w:cs="Calibri"/>
          <w:bCs/>
          <w:lang w:val="en-GB"/>
        </w:rPr>
        <w:t xml:space="preserve">to </w:t>
      </w:r>
      <w:r w:rsidR="000D662D">
        <w:rPr>
          <w:rFonts w:cs="Calibri"/>
          <w:bCs/>
          <w:lang w:val="en-GB"/>
        </w:rPr>
        <w:t>present</w:t>
      </w:r>
      <w:r w:rsidRPr="00F67CC4">
        <w:rPr>
          <w:rFonts w:cs="Calibri"/>
          <w:bCs/>
          <w:lang w:val="en-GB"/>
        </w:rPr>
        <w:t xml:space="preserve"> a fair view on the influence of </w:t>
      </w:r>
      <w:r w:rsidR="000D662D">
        <w:rPr>
          <w:rFonts w:cs="Calibri"/>
          <w:bCs/>
          <w:lang w:val="en-GB"/>
        </w:rPr>
        <w:t xml:space="preserve">the use of </w:t>
      </w:r>
      <w:r w:rsidRPr="00F67CC4">
        <w:rPr>
          <w:rFonts w:cs="Calibri"/>
          <w:bCs/>
          <w:lang w:val="en-GB"/>
        </w:rPr>
        <w:t xml:space="preserve">IFRS on </w:t>
      </w:r>
      <w:r w:rsidR="003266F3">
        <w:rPr>
          <w:rFonts w:cs="Calibri"/>
          <w:bCs/>
          <w:lang w:val="en-GB"/>
        </w:rPr>
        <w:t xml:space="preserve">managing </w:t>
      </w:r>
      <w:r w:rsidRPr="00F67CC4">
        <w:rPr>
          <w:rFonts w:cs="Calibri"/>
          <w:bCs/>
          <w:lang w:val="en-GB"/>
        </w:rPr>
        <w:t xml:space="preserve">result and </w:t>
      </w:r>
      <w:r w:rsidR="000D662D">
        <w:rPr>
          <w:rFonts w:cs="Calibri"/>
          <w:bCs/>
          <w:lang w:val="en-GB"/>
        </w:rPr>
        <w:t xml:space="preserve">the </w:t>
      </w:r>
      <w:r w:rsidRPr="00F67CC4">
        <w:rPr>
          <w:rFonts w:cs="Calibri"/>
          <w:bCs/>
          <w:lang w:val="en-GB"/>
        </w:rPr>
        <w:t>equalization</w:t>
      </w:r>
      <w:r w:rsidR="003266F3">
        <w:rPr>
          <w:rFonts w:cs="Calibri"/>
          <w:bCs/>
          <w:lang w:val="en-GB"/>
        </w:rPr>
        <w:t xml:space="preserve"> of it</w:t>
      </w:r>
      <w:r w:rsidRPr="00F67CC4">
        <w:rPr>
          <w:rFonts w:cs="Calibri"/>
          <w:bCs/>
          <w:lang w:val="en-GB"/>
        </w:rPr>
        <w:t xml:space="preserve">.  </w:t>
      </w:r>
    </w:p>
    <w:p w:rsidR="001C6A3E" w:rsidRPr="00264418" w:rsidRDefault="001C6A3E" w:rsidP="00BE2C16">
      <w:pPr>
        <w:numPr>
          <w:ilvl w:val="0"/>
          <w:numId w:val="3"/>
        </w:numPr>
        <w:spacing w:line="360" w:lineRule="auto"/>
        <w:rPr>
          <w:rFonts w:cs="Calibri"/>
          <w:bCs/>
          <w:u w:val="single"/>
          <w:lang w:val="en-GB"/>
        </w:rPr>
      </w:pPr>
      <w:r w:rsidRPr="00264418">
        <w:rPr>
          <w:rFonts w:cs="Calibri"/>
          <w:bCs/>
          <w:u w:val="single"/>
          <w:lang w:val="en-GB"/>
        </w:rPr>
        <w:t>Cohen, Dey, Lys (2008) – Real and Accrual based EM in the pre and post SOX periods</w:t>
      </w:r>
    </w:p>
    <w:p w:rsidR="001C6A3E" w:rsidRPr="00F67CC4" w:rsidRDefault="001C6A3E" w:rsidP="00F74511">
      <w:pPr>
        <w:spacing w:line="360" w:lineRule="auto"/>
        <w:rPr>
          <w:rFonts w:cs="Calibri"/>
          <w:bCs/>
          <w:lang w:val="en-GB"/>
        </w:rPr>
      </w:pPr>
      <w:r w:rsidRPr="00F67CC4">
        <w:rPr>
          <w:rFonts w:cs="Calibri"/>
          <w:bCs/>
          <w:lang w:val="en-GB"/>
        </w:rPr>
        <w:lastRenderedPageBreak/>
        <w:t xml:space="preserve">In this research the influence of the introduction of </w:t>
      </w:r>
      <w:r w:rsidR="003E4EF5">
        <w:rPr>
          <w:rFonts w:cs="Calibri"/>
          <w:bCs/>
          <w:lang w:val="en-GB"/>
        </w:rPr>
        <w:t xml:space="preserve">the </w:t>
      </w:r>
      <w:r w:rsidRPr="00F67CC4">
        <w:rPr>
          <w:rFonts w:cs="Calibri"/>
          <w:bCs/>
          <w:lang w:val="en-GB"/>
        </w:rPr>
        <w:t xml:space="preserve">Sarbanes-Oxley Act (SOX) in 2002 on real and accrual-based earnings management has been investigated. </w:t>
      </w:r>
      <w:r w:rsidR="007B3BA5">
        <w:rPr>
          <w:rFonts w:cs="Calibri"/>
          <w:bCs/>
          <w:lang w:val="en-GB"/>
        </w:rPr>
        <w:t>Because this research is about the Sarbanes-Oxley act, the focus is on the possible substitution in</w:t>
      </w:r>
      <w:r w:rsidR="000D662D">
        <w:rPr>
          <w:rFonts w:cs="Calibri"/>
          <w:bCs/>
          <w:lang w:val="en-GB"/>
        </w:rPr>
        <w:t xml:space="preserve"> the</w:t>
      </w:r>
      <w:r w:rsidR="007B3BA5">
        <w:rPr>
          <w:rFonts w:cs="Calibri"/>
          <w:bCs/>
          <w:lang w:val="en-GB"/>
        </w:rPr>
        <w:t xml:space="preserve"> method of managing </w:t>
      </w:r>
      <w:r w:rsidR="000D662D">
        <w:rPr>
          <w:rFonts w:cs="Calibri"/>
          <w:bCs/>
          <w:lang w:val="en-GB"/>
        </w:rPr>
        <w:t xml:space="preserve">published </w:t>
      </w:r>
      <w:r w:rsidR="007B3BA5">
        <w:rPr>
          <w:rFonts w:cs="Calibri"/>
          <w:bCs/>
          <w:lang w:val="en-GB"/>
        </w:rPr>
        <w:t xml:space="preserve">earnings. </w:t>
      </w:r>
      <w:r w:rsidRPr="00F67CC4">
        <w:rPr>
          <w:rFonts w:cs="Calibri"/>
          <w:bCs/>
          <w:lang w:val="en-GB"/>
        </w:rPr>
        <w:t xml:space="preserve">With the research of Graham et al. (2005) about the </w:t>
      </w:r>
      <w:r w:rsidR="00C11F35" w:rsidRPr="00F67CC4">
        <w:rPr>
          <w:rFonts w:cs="Calibri"/>
          <w:bCs/>
          <w:lang w:val="en-GB"/>
        </w:rPr>
        <w:t>substitution</w:t>
      </w:r>
      <w:r w:rsidRPr="00F67CC4">
        <w:rPr>
          <w:rFonts w:cs="Calibri"/>
          <w:bCs/>
          <w:lang w:val="en-GB"/>
        </w:rPr>
        <w:t xml:space="preserve"> of accruals-based for real </w:t>
      </w:r>
      <w:r w:rsidR="00C11F35" w:rsidRPr="00F67CC4">
        <w:rPr>
          <w:rFonts w:cs="Calibri"/>
          <w:bCs/>
          <w:lang w:val="en-GB"/>
        </w:rPr>
        <w:t>earnings</w:t>
      </w:r>
      <w:r w:rsidRPr="00F67CC4">
        <w:rPr>
          <w:rFonts w:cs="Calibri"/>
          <w:bCs/>
          <w:lang w:val="en-GB"/>
        </w:rPr>
        <w:t xml:space="preserve"> management as </w:t>
      </w:r>
      <w:r w:rsidR="005A47D2">
        <w:rPr>
          <w:rFonts w:cs="Calibri"/>
          <w:bCs/>
          <w:lang w:val="en-GB"/>
        </w:rPr>
        <w:t>fundament</w:t>
      </w:r>
      <w:r w:rsidRPr="00F67CC4">
        <w:rPr>
          <w:rFonts w:cs="Calibri"/>
          <w:bCs/>
          <w:lang w:val="en-GB"/>
        </w:rPr>
        <w:t>, the hypothesis about earnings management is that the level of</w:t>
      </w:r>
      <w:r w:rsidR="000D662D">
        <w:rPr>
          <w:rFonts w:cs="Calibri"/>
          <w:bCs/>
          <w:lang w:val="en-GB"/>
        </w:rPr>
        <w:t xml:space="preserve"> the use of</w:t>
      </w:r>
      <w:r w:rsidRPr="00F67CC4">
        <w:rPr>
          <w:rFonts w:cs="Calibri"/>
          <w:bCs/>
          <w:lang w:val="en-GB"/>
        </w:rPr>
        <w:t xml:space="preserve"> real earnings management has increased </w:t>
      </w:r>
      <w:r w:rsidR="005A47D2">
        <w:rPr>
          <w:rFonts w:cs="Calibri"/>
          <w:bCs/>
          <w:lang w:val="en-GB"/>
        </w:rPr>
        <w:t xml:space="preserve">and the level of accruals-based earnings management </w:t>
      </w:r>
      <w:r w:rsidR="007B3BA5">
        <w:rPr>
          <w:rFonts w:cs="Calibri"/>
          <w:bCs/>
          <w:lang w:val="en-GB"/>
        </w:rPr>
        <w:t xml:space="preserve">has </w:t>
      </w:r>
      <w:r w:rsidR="005A47D2">
        <w:rPr>
          <w:rFonts w:cs="Calibri"/>
          <w:bCs/>
          <w:lang w:val="en-GB"/>
        </w:rPr>
        <w:t xml:space="preserve">decreased </w:t>
      </w:r>
      <w:r w:rsidRPr="00F67CC4">
        <w:rPr>
          <w:rFonts w:cs="Calibri"/>
          <w:bCs/>
          <w:lang w:val="en-GB"/>
        </w:rPr>
        <w:t>after the passage of SOX</w:t>
      </w:r>
      <w:r w:rsidR="005A47D2">
        <w:rPr>
          <w:rFonts w:cs="Calibri"/>
          <w:bCs/>
          <w:lang w:val="en-GB"/>
        </w:rPr>
        <w:t xml:space="preserve"> </w:t>
      </w:r>
      <w:r w:rsidRPr="00F67CC4">
        <w:rPr>
          <w:rFonts w:cs="Calibri"/>
          <w:bCs/>
          <w:lang w:val="en-GB"/>
        </w:rPr>
        <w:t>. The hypothesis</w:t>
      </w:r>
      <w:r w:rsidR="00C11F35" w:rsidRPr="00F67CC4">
        <w:rPr>
          <w:rFonts w:cs="Calibri"/>
          <w:bCs/>
          <w:lang w:val="en-GB"/>
        </w:rPr>
        <w:t xml:space="preserve"> stated</w:t>
      </w:r>
      <w:r w:rsidRPr="00F67CC4">
        <w:rPr>
          <w:rFonts w:cs="Calibri"/>
          <w:bCs/>
          <w:lang w:val="en-GB"/>
        </w:rPr>
        <w:t xml:space="preserve"> for this is that managers’ choices of accounting practices are influenced by the impact of these accounting methods on their compensation.</w:t>
      </w:r>
    </w:p>
    <w:p w:rsidR="001C6A3E" w:rsidRPr="00F67CC4" w:rsidRDefault="001C6A3E" w:rsidP="00F74511">
      <w:pPr>
        <w:spacing w:line="360" w:lineRule="auto"/>
        <w:rPr>
          <w:rFonts w:cs="Calibri"/>
          <w:bCs/>
          <w:lang w:val="en-GB"/>
        </w:rPr>
      </w:pPr>
      <w:r w:rsidRPr="00F67CC4">
        <w:rPr>
          <w:rFonts w:cs="Calibri"/>
          <w:bCs/>
          <w:lang w:val="en-GB"/>
        </w:rPr>
        <w:t xml:space="preserve">A sample period of 1987 – 2005 has been used to investigate the stated hypotheses. This period is divided in </w:t>
      </w:r>
      <w:r w:rsidR="00D6104A">
        <w:rPr>
          <w:rFonts w:cs="Calibri"/>
          <w:bCs/>
          <w:lang w:val="en-GB"/>
        </w:rPr>
        <w:t>the</w:t>
      </w:r>
      <w:r w:rsidRPr="00F67CC4">
        <w:rPr>
          <w:rFonts w:cs="Calibri"/>
          <w:bCs/>
          <w:lang w:val="en-GB"/>
        </w:rPr>
        <w:t xml:space="preserve"> period prior and after the introduction of SOX. Both periods were again divided in the period before the major corporate scandals (1987 – 1999) and the period immediately preceding the passage of SOX when the major scandals occurred (2000 –</w:t>
      </w:r>
      <w:r w:rsidR="007B3BA5">
        <w:rPr>
          <w:rFonts w:cs="Calibri"/>
          <w:bCs/>
          <w:lang w:val="en-GB"/>
        </w:rPr>
        <w:t xml:space="preserve"> 2001). The sample consisted </w:t>
      </w:r>
      <w:r w:rsidR="000D662D">
        <w:rPr>
          <w:rFonts w:cs="Calibri"/>
          <w:bCs/>
          <w:lang w:val="en-GB"/>
        </w:rPr>
        <w:t xml:space="preserve">of </w:t>
      </w:r>
      <w:r w:rsidRPr="00F67CC4">
        <w:rPr>
          <w:rFonts w:cs="Calibri"/>
          <w:bCs/>
          <w:lang w:val="en-GB"/>
        </w:rPr>
        <w:t xml:space="preserve">8,157 firms representing 87,217 firm-year observations for the substitution hypothesis. </w:t>
      </w:r>
      <w:r w:rsidR="000D662D">
        <w:rPr>
          <w:rFonts w:cs="Calibri"/>
          <w:bCs/>
          <w:lang w:val="en-GB"/>
        </w:rPr>
        <w:t>Because data was attainable for a smaller period (1992-2005), t</w:t>
      </w:r>
      <w:r w:rsidRPr="00F67CC4">
        <w:rPr>
          <w:rFonts w:cs="Calibri"/>
          <w:bCs/>
          <w:lang w:val="en-GB"/>
        </w:rPr>
        <w:t>he compensation hypothesis is tested with the use of 2,018 firms an</w:t>
      </w:r>
      <w:r w:rsidR="000D662D">
        <w:rPr>
          <w:rFonts w:cs="Calibri"/>
          <w:bCs/>
          <w:lang w:val="en-GB"/>
        </w:rPr>
        <w:t>d 31,668 firm-year observations.</w:t>
      </w:r>
    </w:p>
    <w:p w:rsidR="001C6A3E" w:rsidRPr="00F67CC4" w:rsidRDefault="001C6A3E" w:rsidP="00F74511">
      <w:pPr>
        <w:spacing w:line="360" w:lineRule="auto"/>
        <w:rPr>
          <w:rFonts w:cs="Calibri"/>
          <w:bCs/>
          <w:lang w:val="en-GB"/>
        </w:rPr>
      </w:pPr>
      <w:r w:rsidRPr="00F67CC4">
        <w:rPr>
          <w:rFonts w:cs="Calibri"/>
          <w:bCs/>
          <w:lang w:val="en-GB"/>
        </w:rPr>
        <w:t xml:space="preserve">In order to estimate the use of </w:t>
      </w:r>
      <w:r w:rsidR="00C30414" w:rsidRPr="00F67CC4">
        <w:rPr>
          <w:rFonts w:cs="Calibri"/>
          <w:bCs/>
          <w:lang w:val="en-GB"/>
        </w:rPr>
        <w:t xml:space="preserve">accruals-based </w:t>
      </w:r>
      <w:r w:rsidR="007B3BA5">
        <w:rPr>
          <w:rFonts w:cs="Calibri"/>
          <w:bCs/>
          <w:lang w:val="en-GB"/>
        </w:rPr>
        <w:t xml:space="preserve">earnings management, the </w:t>
      </w:r>
      <w:r w:rsidR="00830DEB">
        <w:rPr>
          <w:rFonts w:cs="Calibri"/>
          <w:bCs/>
          <w:lang w:val="en-GB"/>
        </w:rPr>
        <w:t xml:space="preserve">Cross-sectional version of the </w:t>
      </w:r>
      <w:r w:rsidR="007B3BA5">
        <w:rPr>
          <w:rFonts w:cs="Calibri"/>
          <w:bCs/>
          <w:lang w:val="en-GB"/>
        </w:rPr>
        <w:t>M</w:t>
      </w:r>
      <w:r w:rsidRPr="00F67CC4">
        <w:rPr>
          <w:rFonts w:cs="Calibri"/>
          <w:bCs/>
          <w:lang w:val="en-GB"/>
        </w:rPr>
        <w:t xml:space="preserve">odified </w:t>
      </w:r>
      <w:r w:rsidR="00C30414" w:rsidRPr="00F67CC4">
        <w:rPr>
          <w:rFonts w:cs="Calibri"/>
          <w:bCs/>
          <w:lang w:val="en-GB"/>
        </w:rPr>
        <w:t>Jones model (</w:t>
      </w:r>
      <w:r w:rsidRPr="00F67CC4">
        <w:rPr>
          <w:rFonts w:cs="Calibri"/>
          <w:bCs/>
          <w:lang w:val="en-GB"/>
        </w:rPr>
        <w:t xml:space="preserve">1991) was used. After calculating the Total Accruals (TA) and </w:t>
      </w:r>
      <w:r w:rsidR="000D662D">
        <w:rPr>
          <w:rFonts w:cs="Calibri"/>
          <w:bCs/>
          <w:lang w:val="en-GB"/>
        </w:rPr>
        <w:t xml:space="preserve">the </w:t>
      </w:r>
      <w:r w:rsidRPr="00F67CC4">
        <w:rPr>
          <w:rFonts w:cs="Calibri"/>
          <w:bCs/>
          <w:lang w:val="en-GB"/>
        </w:rPr>
        <w:t>Normal Accruals (NA), a robustness tests with performance-matched discretionary accruals was used, supported by the research of Kothari et al. (2005)</w:t>
      </w:r>
      <w:r w:rsidR="007B3BA5">
        <w:rPr>
          <w:rFonts w:cs="Calibri"/>
          <w:bCs/>
          <w:lang w:val="en-GB"/>
        </w:rPr>
        <w:t xml:space="preserve">. </w:t>
      </w:r>
      <w:r w:rsidRPr="00F67CC4">
        <w:rPr>
          <w:rFonts w:cs="Calibri"/>
          <w:bCs/>
          <w:lang w:val="en-GB"/>
        </w:rPr>
        <w:t xml:space="preserve">The proxies that are used for </w:t>
      </w:r>
      <w:r w:rsidR="000D662D">
        <w:rPr>
          <w:rFonts w:cs="Calibri"/>
          <w:bCs/>
          <w:lang w:val="en-GB"/>
        </w:rPr>
        <w:t xml:space="preserve">the use of </w:t>
      </w:r>
      <w:r w:rsidRPr="00F67CC4">
        <w:rPr>
          <w:rFonts w:cs="Calibri"/>
          <w:bCs/>
          <w:lang w:val="en-GB"/>
        </w:rPr>
        <w:t>real earnings management</w:t>
      </w:r>
      <w:r w:rsidR="00C30414" w:rsidRPr="00F67CC4">
        <w:rPr>
          <w:rFonts w:cs="Calibri"/>
          <w:bCs/>
          <w:lang w:val="en-GB"/>
        </w:rPr>
        <w:t xml:space="preserve"> are three manipulation methods: a</w:t>
      </w:r>
      <w:r w:rsidRPr="00F67CC4">
        <w:rPr>
          <w:rFonts w:cs="Calibri"/>
          <w:bCs/>
          <w:lang w:val="en-GB"/>
        </w:rPr>
        <w:t xml:space="preserve">cceleration of the timing of sales, increased production for lower COGS and decreases in discretionary expenses. To identify this </w:t>
      </w:r>
      <w:r w:rsidR="007B3BA5">
        <w:rPr>
          <w:rFonts w:cs="Calibri"/>
          <w:bCs/>
          <w:lang w:val="en-GB"/>
        </w:rPr>
        <w:t xml:space="preserve">possible </w:t>
      </w:r>
      <w:r w:rsidRPr="00F67CC4">
        <w:rPr>
          <w:rFonts w:cs="Calibri"/>
          <w:bCs/>
          <w:lang w:val="en-GB"/>
        </w:rPr>
        <w:t>manipulation</w:t>
      </w:r>
      <w:r w:rsidR="007B3BA5">
        <w:rPr>
          <w:rFonts w:cs="Calibri"/>
          <w:bCs/>
          <w:lang w:val="en-GB"/>
        </w:rPr>
        <w:t>,</w:t>
      </w:r>
      <w:r w:rsidRPr="00F67CC4">
        <w:rPr>
          <w:rFonts w:cs="Calibri"/>
          <w:bCs/>
          <w:lang w:val="en-GB"/>
        </w:rPr>
        <w:t xml:space="preserve"> the normal levels of CFO, discretionary expenses and production costs are </w:t>
      </w:r>
      <w:r w:rsidR="007B3BA5">
        <w:rPr>
          <w:rFonts w:cs="Calibri"/>
          <w:bCs/>
          <w:lang w:val="en-GB"/>
        </w:rPr>
        <w:t>determined</w:t>
      </w:r>
      <w:r w:rsidRPr="00F67CC4">
        <w:rPr>
          <w:rFonts w:cs="Calibri"/>
          <w:bCs/>
          <w:lang w:val="en-GB"/>
        </w:rPr>
        <w:t xml:space="preserve"> with the use of the model developed by Dechow et al. (1998).</w:t>
      </w:r>
      <w:r w:rsidR="004544B1">
        <w:rPr>
          <w:rFonts w:cs="Calibri"/>
          <w:bCs/>
          <w:lang w:val="en-GB"/>
        </w:rPr>
        <w:t xml:space="preserve"> Cohen, Dey and Lys (2008) use many control variables: audit firm, change in GDP, market value of equity, period, bonus compensation, (un)exercisable options and new options.</w:t>
      </w:r>
    </w:p>
    <w:p w:rsidR="001C6A3E" w:rsidRDefault="001C6A3E" w:rsidP="00F74511">
      <w:pPr>
        <w:spacing w:line="360" w:lineRule="auto"/>
        <w:rPr>
          <w:rFonts w:cs="Calibri"/>
          <w:lang w:val="en-GB"/>
        </w:rPr>
      </w:pPr>
      <w:r w:rsidRPr="00F67CC4">
        <w:rPr>
          <w:rFonts w:cs="Calibri"/>
          <w:lang w:val="en-GB"/>
        </w:rPr>
        <w:t xml:space="preserve">The </w:t>
      </w:r>
      <w:r w:rsidR="00E40CEA">
        <w:rPr>
          <w:rFonts w:cs="Calibri"/>
          <w:lang w:val="en-GB"/>
        </w:rPr>
        <w:t>findings</w:t>
      </w:r>
      <w:r w:rsidRPr="00F67CC4">
        <w:rPr>
          <w:rFonts w:cs="Calibri"/>
          <w:lang w:val="en-GB"/>
        </w:rPr>
        <w:t xml:space="preserve"> of the research by Cohen, Dey and Lys (2008) </w:t>
      </w:r>
      <w:r w:rsidR="00E40CEA">
        <w:rPr>
          <w:rFonts w:cs="Calibri"/>
          <w:lang w:val="en-GB"/>
        </w:rPr>
        <w:t>are</w:t>
      </w:r>
      <w:r w:rsidRPr="00F67CC4">
        <w:rPr>
          <w:rFonts w:cs="Calibri"/>
          <w:lang w:val="en-GB"/>
        </w:rPr>
        <w:t xml:space="preserve"> that </w:t>
      </w:r>
      <w:r w:rsidR="00E40CEA">
        <w:rPr>
          <w:rFonts w:cs="Calibri"/>
          <w:lang w:val="en-GB"/>
        </w:rPr>
        <w:t xml:space="preserve">the use of </w:t>
      </w:r>
      <w:r w:rsidRPr="00F67CC4">
        <w:rPr>
          <w:rFonts w:cs="Calibri"/>
          <w:lang w:val="en-GB"/>
        </w:rPr>
        <w:t>earnings management in general</w:t>
      </w:r>
      <w:r w:rsidR="00C30414" w:rsidRPr="00F67CC4">
        <w:rPr>
          <w:rFonts w:cs="Calibri"/>
          <w:lang w:val="en-GB"/>
        </w:rPr>
        <w:t xml:space="preserve"> steadily</w:t>
      </w:r>
      <w:r w:rsidRPr="00F67CC4">
        <w:rPr>
          <w:rFonts w:cs="Calibri"/>
          <w:lang w:val="en-GB"/>
        </w:rPr>
        <w:t xml:space="preserve"> increased</w:t>
      </w:r>
      <w:r w:rsidR="00C30414" w:rsidRPr="00F67CC4">
        <w:rPr>
          <w:rFonts w:cs="Calibri"/>
          <w:lang w:val="en-GB"/>
        </w:rPr>
        <w:t xml:space="preserve"> over the whole period and particularly after the passage of SOX. </w:t>
      </w:r>
      <w:r w:rsidRPr="00F67CC4">
        <w:rPr>
          <w:rFonts w:cs="Calibri"/>
          <w:lang w:val="en-GB"/>
        </w:rPr>
        <w:t xml:space="preserve">Next to the increase in </w:t>
      </w:r>
      <w:r w:rsidR="00E40CEA">
        <w:rPr>
          <w:rFonts w:cs="Calibri"/>
          <w:lang w:val="en-GB"/>
        </w:rPr>
        <w:t xml:space="preserve">the use of </w:t>
      </w:r>
      <w:r w:rsidRPr="00F67CC4">
        <w:rPr>
          <w:rFonts w:cs="Calibri"/>
          <w:lang w:val="en-GB"/>
        </w:rPr>
        <w:t xml:space="preserve">earnings management in general, the level of </w:t>
      </w:r>
      <w:r w:rsidR="00E40CEA">
        <w:rPr>
          <w:rFonts w:cs="Calibri"/>
          <w:lang w:val="en-GB"/>
        </w:rPr>
        <w:t xml:space="preserve">the use of </w:t>
      </w:r>
      <w:r w:rsidRPr="00F67CC4">
        <w:rPr>
          <w:rFonts w:cs="Calibri"/>
          <w:lang w:val="en-GB"/>
        </w:rPr>
        <w:t>accrual-based earnings managem</w:t>
      </w:r>
      <w:r w:rsidR="00D6104A">
        <w:rPr>
          <w:rFonts w:cs="Calibri"/>
          <w:lang w:val="en-GB"/>
        </w:rPr>
        <w:t>ent declined over</w:t>
      </w:r>
      <w:r w:rsidRPr="00F67CC4">
        <w:rPr>
          <w:rFonts w:cs="Calibri"/>
          <w:lang w:val="en-GB"/>
        </w:rPr>
        <w:t xml:space="preserve"> time, while the level of</w:t>
      </w:r>
      <w:r w:rsidR="00E40CEA">
        <w:rPr>
          <w:rFonts w:cs="Calibri"/>
          <w:lang w:val="en-GB"/>
        </w:rPr>
        <w:t xml:space="preserve"> the use of</w:t>
      </w:r>
      <w:r w:rsidRPr="00F67CC4">
        <w:rPr>
          <w:rFonts w:cs="Calibri"/>
          <w:lang w:val="en-GB"/>
        </w:rPr>
        <w:t xml:space="preserve"> real earnings management increased significantly after the passage of SOX. The results </w:t>
      </w:r>
      <w:r w:rsidR="00E40CEA">
        <w:rPr>
          <w:rFonts w:cs="Calibri"/>
          <w:lang w:val="en-GB"/>
        </w:rPr>
        <w:t>in addition</w:t>
      </w:r>
      <w:r w:rsidRPr="00F67CC4">
        <w:rPr>
          <w:rFonts w:cs="Calibri"/>
          <w:lang w:val="en-GB"/>
        </w:rPr>
        <w:t xml:space="preserve"> indicate that the increase in </w:t>
      </w:r>
      <w:r w:rsidRPr="00F67CC4">
        <w:rPr>
          <w:rFonts w:cs="Calibri"/>
          <w:lang w:val="en-GB"/>
        </w:rPr>
        <w:lastRenderedPageBreak/>
        <w:t xml:space="preserve">accrual-based earnings management prior to SOX was </w:t>
      </w:r>
      <w:r w:rsidR="00D6104A">
        <w:rPr>
          <w:rFonts w:cs="Calibri"/>
          <w:lang w:val="en-GB"/>
        </w:rPr>
        <w:t xml:space="preserve">simultaneous </w:t>
      </w:r>
      <w:r w:rsidRPr="00F67CC4">
        <w:rPr>
          <w:rFonts w:cs="Calibri"/>
          <w:lang w:val="en-GB"/>
        </w:rPr>
        <w:t xml:space="preserve">with a shift in the fraction of equity-based executive compensation. </w:t>
      </w:r>
    </w:p>
    <w:p w:rsidR="00E40CEA" w:rsidRPr="00F67CC4" w:rsidRDefault="00E40CEA" w:rsidP="00F74511">
      <w:pPr>
        <w:spacing w:line="360" w:lineRule="auto"/>
        <w:rPr>
          <w:rFonts w:cs="Calibri"/>
          <w:lang w:val="en-GB"/>
        </w:rPr>
      </w:pPr>
    </w:p>
    <w:p w:rsidR="001C6A3E" w:rsidRPr="004544B1" w:rsidRDefault="001C6A3E" w:rsidP="00BE2C16">
      <w:pPr>
        <w:numPr>
          <w:ilvl w:val="0"/>
          <w:numId w:val="3"/>
        </w:numPr>
        <w:spacing w:line="360" w:lineRule="auto"/>
        <w:rPr>
          <w:rFonts w:cs="Calibri"/>
          <w:bCs/>
          <w:u w:val="single"/>
          <w:lang w:val="en-GB"/>
        </w:rPr>
      </w:pPr>
      <w:r w:rsidRPr="004544B1">
        <w:rPr>
          <w:rFonts w:cs="Calibri"/>
          <w:bCs/>
          <w:u w:val="single"/>
          <w:lang w:val="en-GB"/>
        </w:rPr>
        <w:t>Jeanjean and Stolowy (2008) – Do accounting standards matter? An exploratory analysis of earnings management before and after IFRS adoption</w:t>
      </w:r>
    </w:p>
    <w:p w:rsidR="00BB7293" w:rsidRPr="00F67CC4" w:rsidRDefault="001C6A3E" w:rsidP="00F74511">
      <w:pPr>
        <w:spacing w:line="360" w:lineRule="auto"/>
        <w:rPr>
          <w:rFonts w:cs="Calibri"/>
          <w:bCs/>
          <w:lang w:val="en-GB"/>
        </w:rPr>
      </w:pPr>
      <w:r w:rsidRPr="00F67CC4">
        <w:rPr>
          <w:rFonts w:cs="Calibri"/>
          <w:bCs/>
          <w:lang w:val="en-GB"/>
        </w:rPr>
        <w:t>This research of Jeanjean and Stolowy (2008) contribute</w:t>
      </w:r>
      <w:r w:rsidR="007B3BA5">
        <w:rPr>
          <w:rFonts w:cs="Calibri"/>
          <w:bCs/>
          <w:lang w:val="en-GB"/>
        </w:rPr>
        <w:t>s</w:t>
      </w:r>
      <w:r w:rsidRPr="00F67CC4">
        <w:rPr>
          <w:rFonts w:cs="Calibri"/>
          <w:bCs/>
          <w:lang w:val="en-GB"/>
        </w:rPr>
        <w:t xml:space="preserve"> to the</w:t>
      </w:r>
      <w:r w:rsidR="00E40CEA">
        <w:rPr>
          <w:rFonts w:cs="Calibri"/>
          <w:bCs/>
          <w:lang w:val="en-GB"/>
        </w:rPr>
        <w:t xml:space="preserve"> scientific economic</w:t>
      </w:r>
      <w:r w:rsidRPr="00F67CC4">
        <w:rPr>
          <w:rFonts w:cs="Calibri"/>
          <w:bCs/>
          <w:lang w:val="en-GB"/>
        </w:rPr>
        <w:t xml:space="preserve"> literature with the concentration on firms in countries in which early adoption of IFRS was not p</w:t>
      </w:r>
      <w:r w:rsidR="00BB7293" w:rsidRPr="00F67CC4">
        <w:rPr>
          <w:rFonts w:cs="Calibri"/>
          <w:bCs/>
          <w:lang w:val="en-GB"/>
        </w:rPr>
        <w:t>ossible for the transition date</w:t>
      </w:r>
      <w:r w:rsidRPr="00F67CC4">
        <w:rPr>
          <w:rFonts w:cs="Calibri"/>
          <w:bCs/>
          <w:lang w:val="en-GB"/>
        </w:rPr>
        <w:t xml:space="preserve"> (Jeanjean and Stolowy 2008, p481)</w:t>
      </w:r>
      <w:r w:rsidR="00BB7293" w:rsidRPr="00F67CC4">
        <w:rPr>
          <w:rFonts w:cs="Calibri"/>
          <w:bCs/>
          <w:lang w:val="en-GB"/>
        </w:rPr>
        <w:t>. The</w:t>
      </w:r>
      <w:r w:rsidRPr="00F67CC4">
        <w:rPr>
          <w:rFonts w:cs="Calibri"/>
          <w:bCs/>
          <w:lang w:val="en-GB"/>
        </w:rPr>
        <w:t xml:space="preserve"> focus </w:t>
      </w:r>
      <w:r w:rsidR="00BB7293" w:rsidRPr="00F67CC4">
        <w:rPr>
          <w:rFonts w:cs="Calibri"/>
          <w:bCs/>
          <w:lang w:val="en-GB"/>
        </w:rPr>
        <w:t>is on firms from</w:t>
      </w:r>
      <w:r w:rsidRPr="00F67CC4">
        <w:rPr>
          <w:rFonts w:cs="Calibri"/>
          <w:bCs/>
          <w:lang w:val="en-GB"/>
        </w:rPr>
        <w:t xml:space="preserve"> Australia, </w:t>
      </w:r>
      <w:r w:rsidR="00BB7293" w:rsidRPr="00F67CC4">
        <w:rPr>
          <w:rFonts w:cs="Calibri"/>
          <w:bCs/>
          <w:lang w:val="en-GB"/>
        </w:rPr>
        <w:t>France, and the United Kingdom that changed compulsory to</w:t>
      </w:r>
      <w:r w:rsidR="00E40CEA">
        <w:rPr>
          <w:rFonts w:cs="Calibri"/>
          <w:bCs/>
          <w:lang w:val="en-GB"/>
        </w:rPr>
        <w:t xml:space="preserve"> the use of</w:t>
      </w:r>
      <w:r w:rsidR="00BB7293" w:rsidRPr="00F67CC4">
        <w:rPr>
          <w:rFonts w:cs="Calibri"/>
          <w:bCs/>
          <w:lang w:val="en-GB"/>
        </w:rPr>
        <w:t xml:space="preserve"> IFRS which </w:t>
      </w:r>
      <w:r w:rsidR="007B3BA5">
        <w:rPr>
          <w:rFonts w:cs="Calibri"/>
          <w:bCs/>
          <w:lang w:val="en-GB"/>
        </w:rPr>
        <w:t>eliminates</w:t>
      </w:r>
      <w:r w:rsidR="00BB7293" w:rsidRPr="00F67CC4">
        <w:rPr>
          <w:rFonts w:cs="Calibri"/>
          <w:bCs/>
          <w:lang w:val="en-GB"/>
        </w:rPr>
        <w:t xml:space="preserve"> sample selection bias. </w:t>
      </w:r>
    </w:p>
    <w:p w:rsidR="001C6A3E" w:rsidRPr="00F67CC4" w:rsidRDefault="001C6A3E" w:rsidP="00F74511">
      <w:pPr>
        <w:spacing w:line="360" w:lineRule="auto"/>
        <w:rPr>
          <w:rFonts w:cs="Calibri"/>
          <w:bCs/>
          <w:lang w:val="en-GB"/>
        </w:rPr>
      </w:pPr>
      <w:r w:rsidRPr="00F67CC4">
        <w:rPr>
          <w:rFonts w:cs="Calibri"/>
          <w:bCs/>
          <w:lang w:val="en-GB"/>
        </w:rPr>
        <w:t>Jeanjean and Stolowy (2008) analyse</w:t>
      </w:r>
      <w:r w:rsidR="00BB7293" w:rsidRPr="00F67CC4">
        <w:rPr>
          <w:rFonts w:cs="Calibri"/>
          <w:bCs/>
          <w:lang w:val="en-GB"/>
        </w:rPr>
        <w:t>d</w:t>
      </w:r>
      <w:r w:rsidRPr="00F67CC4">
        <w:rPr>
          <w:rFonts w:cs="Calibri"/>
          <w:bCs/>
          <w:lang w:val="en-GB"/>
        </w:rPr>
        <w:t xml:space="preserve"> the distribution of earnings to check whether companies have managed their earnings to avoid losses any less after the implementation of IFRS than before</w:t>
      </w:r>
      <w:r w:rsidR="00BB7293" w:rsidRPr="00F67CC4">
        <w:rPr>
          <w:rFonts w:cs="Calibri"/>
          <w:bCs/>
          <w:lang w:val="en-GB"/>
        </w:rPr>
        <w:t xml:space="preserve"> the compulsory implementation of IFRS in</w:t>
      </w:r>
      <w:r w:rsidRPr="00F67CC4">
        <w:rPr>
          <w:rFonts w:cs="Calibri"/>
          <w:bCs/>
          <w:lang w:val="en-GB"/>
        </w:rPr>
        <w:t xml:space="preserve"> 2005. Earnings management is </w:t>
      </w:r>
      <w:r w:rsidR="007B3BA5">
        <w:rPr>
          <w:rFonts w:cs="Calibri"/>
          <w:bCs/>
          <w:lang w:val="en-GB"/>
        </w:rPr>
        <w:t xml:space="preserve">identified with the use of statistical properties of earnings to identify thresholds. </w:t>
      </w:r>
      <w:r w:rsidR="00901B3D">
        <w:rPr>
          <w:rFonts w:cs="Calibri"/>
          <w:bCs/>
          <w:lang w:val="en-GB"/>
        </w:rPr>
        <w:t xml:space="preserve">With the ratio of small reported profits to small reported losses, discontinuities in distributions is measured. </w:t>
      </w:r>
      <w:r w:rsidR="007B3BA5">
        <w:rPr>
          <w:rFonts w:cs="Calibri"/>
          <w:bCs/>
          <w:lang w:val="en-GB"/>
        </w:rPr>
        <w:t xml:space="preserve">With this, the distribution of earnings is analysed and checked whether earnings are managed to avoid losses any less after the implementation of IFRS. </w:t>
      </w:r>
      <w:r w:rsidR="00A8355D">
        <w:rPr>
          <w:rFonts w:cs="Calibri"/>
          <w:bCs/>
          <w:lang w:val="en-GB"/>
        </w:rPr>
        <w:t>A</w:t>
      </w:r>
      <w:r w:rsidRPr="00F67CC4">
        <w:rPr>
          <w:rFonts w:cs="Calibri"/>
          <w:bCs/>
          <w:lang w:val="en-GB"/>
        </w:rPr>
        <w:t xml:space="preserve"> basic sample of 1146 firms w</w:t>
      </w:r>
      <w:r w:rsidR="00A8355D">
        <w:rPr>
          <w:rFonts w:cs="Calibri"/>
          <w:bCs/>
          <w:lang w:val="en-GB"/>
        </w:rPr>
        <w:t>ith 5051 firm-year observations is used to test whether this was the case.</w:t>
      </w:r>
    </w:p>
    <w:p w:rsidR="001C6A3E" w:rsidRPr="00F67CC4" w:rsidRDefault="001C6A3E" w:rsidP="00F74511">
      <w:pPr>
        <w:spacing w:line="360" w:lineRule="auto"/>
        <w:rPr>
          <w:rFonts w:cs="Calibri"/>
          <w:bCs/>
          <w:lang w:val="en-GB"/>
        </w:rPr>
      </w:pPr>
      <w:r w:rsidRPr="00F67CC4">
        <w:rPr>
          <w:rFonts w:cs="Calibri"/>
          <w:lang w:val="en-GB"/>
        </w:rPr>
        <w:t xml:space="preserve">Jeanjean and Stolowy (2008) </w:t>
      </w:r>
      <w:r w:rsidR="00E40CEA">
        <w:rPr>
          <w:rFonts w:cs="Calibri"/>
          <w:lang w:val="en-GB"/>
        </w:rPr>
        <w:t>concluded</w:t>
      </w:r>
      <w:r w:rsidRPr="00F67CC4">
        <w:rPr>
          <w:rFonts w:cs="Calibri"/>
          <w:lang w:val="en-GB"/>
        </w:rPr>
        <w:t xml:space="preserve"> that the pervasiveness of </w:t>
      </w:r>
      <w:r w:rsidR="00E40CEA">
        <w:rPr>
          <w:rFonts w:cs="Calibri"/>
          <w:lang w:val="en-GB"/>
        </w:rPr>
        <w:t xml:space="preserve">the use of </w:t>
      </w:r>
      <w:r w:rsidRPr="00F67CC4">
        <w:rPr>
          <w:rFonts w:cs="Calibri"/>
          <w:lang w:val="en-GB"/>
        </w:rPr>
        <w:t>earnings management did not decline after the introduction of IFRS, and even increased in France.</w:t>
      </w:r>
      <w:r w:rsidRPr="00F67CC4">
        <w:rPr>
          <w:rFonts w:cs="Calibri"/>
          <w:bCs/>
          <w:lang w:val="en-GB"/>
        </w:rPr>
        <w:t xml:space="preserve"> Sharing rules was not sufficient in itself to cr</w:t>
      </w:r>
      <w:r w:rsidR="00A8355D">
        <w:rPr>
          <w:rFonts w:cs="Calibri"/>
          <w:bCs/>
          <w:lang w:val="en-GB"/>
        </w:rPr>
        <w:t>eate a common business language</w:t>
      </w:r>
      <w:r w:rsidR="00D66D93" w:rsidRPr="00F67CC4">
        <w:rPr>
          <w:rFonts w:cs="Calibri"/>
          <w:bCs/>
          <w:lang w:val="en-GB"/>
        </w:rPr>
        <w:t xml:space="preserve"> (Jeanjean and Stolowy 2008, p</w:t>
      </w:r>
      <w:r w:rsidR="00E40CEA">
        <w:rPr>
          <w:rFonts w:cs="Calibri"/>
          <w:bCs/>
          <w:lang w:val="en-GB"/>
        </w:rPr>
        <w:t xml:space="preserve"> </w:t>
      </w:r>
      <w:r w:rsidR="00D66D93" w:rsidRPr="00F67CC4">
        <w:rPr>
          <w:rFonts w:cs="Calibri"/>
          <w:bCs/>
          <w:lang w:val="en-GB"/>
        </w:rPr>
        <w:t>493)</w:t>
      </w:r>
      <w:r w:rsidR="00A8355D">
        <w:rPr>
          <w:rFonts w:cs="Calibri"/>
          <w:bCs/>
          <w:lang w:val="en-GB"/>
        </w:rPr>
        <w:t>.</w:t>
      </w:r>
    </w:p>
    <w:p w:rsidR="001C6A3E" w:rsidRPr="004E0604" w:rsidRDefault="001C6A3E" w:rsidP="00BE2C16">
      <w:pPr>
        <w:numPr>
          <w:ilvl w:val="0"/>
          <w:numId w:val="2"/>
        </w:numPr>
        <w:spacing w:line="360" w:lineRule="auto"/>
        <w:rPr>
          <w:rFonts w:cs="Calibri"/>
          <w:bCs/>
          <w:u w:val="single"/>
          <w:lang w:val="en-GB"/>
        </w:rPr>
      </w:pPr>
      <w:r w:rsidRPr="004E0604">
        <w:rPr>
          <w:rFonts w:cs="Calibri"/>
          <w:bCs/>
          <w:u w:val="single"/>
          <w:lang w:val="en-GB"/>
        </w:rPr>
        <w:t>Lippens (2010) – The mandatory introduction of IFRS as a single accounting standard in the Eu and the effect on EM</w:t>
      </w:r>
    </w:p>
    <w:p w:rsidR="001C6A3E" w:rsidRPr="00F67CC4" w:rsidRDefault="00A8355D" w:rsidP="00F74511">
      <w:pPr>
        <w:spacing w:line="360" w:lineRule="auto"/>
        <w:rPr>
          <w:rFonts w:cs="Calibri"/>
          <w:bCs/>
          <w:lang w:val="en-GB"/>
        </w:rPr>
      </w:pPr>
      <w:r>
        <w:rPr>
          <w:rFonts w:cs="Calibri"/>
          <w:bCs/>
          <w:lang w:val="en-GB"/>
        </w:rPr>
        <w:t>The</w:t>
      </w:r>
      <w:r w:rsidR="001C6A3E" w:rsidRPr="00F67CC4">
        <w:rPr>
          <w:rFonts w:cs="Calibri"/>
          <w:bCs/>
          <w:lang w:val="en-GB"/>
        </w:rPr>
        <w:t xml:space="preserve"> research of Lippens (2010) investigated the influence of the adoption of IFRS on the level of earnings management in the European Union. Lippens (2010) uses the hypotheses of a substitution effect of accrual-based and </w:t>
      </w:r>
      <w:r w:rsidR="00E40CEA">
        <w:rPr>
          <w:rFonts w:cs="Calibri"/>
          <w:bCs/>
          <w:lang w:val="en-GB"/>
        </w:rPr>
        <w:t xml:space="preserve">the use of </w:t>
      </w:r>
      <w:r w:rsidR="001C6A3E" w:rsidRPr="00F67CC4">
        <w:rPr>
          <w:rFonts w:cs="Calibri"/>
          <w:bCs/>
          <w:lang w:val="en-GB"/>
        </w:rPr>
        <w:t>real earnings management and a different effect for</w:t>
      </w:r>
      <w:r w:rsidR="00E40CEA">
        <w:rPr>
          <w:rFonts w:cs="Calibri"/>
          <w:bCs/>
          <w:lang w:val="en-GB"/>
        </w:rPr>
        <w:t xml:space="preserve"> each country. With the use of the</w:t>
      </w:r>
      <w:r w:rsidR="001C6A3E" w:rsidRPr="00F67CC4">
        <w:rPr>
          <w:rFonts w:cs="Calibri"/>
          <w:bCs/>
          <w:lang w:val="en-GB"/>
        </w:rPr>
        <w:t xml:space="preserve"> </w:t>
      </w:r>
      <w:r w:rsidR="00C74966" w:rsidRPr="00F67CC4">
        <w:rPr>
          <w:rFonts w:cs="Calibri"/>
          <w:bCs/>
          <w:lang w:val="en-GB"/>
        </w:rPr>
        <w:t>adjusted</w:t>
      </w:r>
      <w:r w:rsidR="001C6A3E" w:rsidRPr="00F67CC4">
        <w:rPr>
          <w:rFonts w:cs="Calibri"/>
          <w:bCs/>
          <w:lang w:val="en-GB"/>
        </w:rPr>
        <w:t xml:space="preserve"> Modified Jones model</w:t>
      </w:r>
      <w:r>
        <w:rPr>
          <w:rFonts w:cs="Calibri"/>
          <w:bCs/>
          <w:lang w:val="en-GB"/>
        </w:rPr>
        <w:t xml:space="preserve"> (1995)</w:t>
      </w:r>
      <w:r w:rsidR="001C6A3E" w:rsidRPr="00F67CC4">
        <w:rPr>
          <w:rFonts w:cs="Calibri"/>
          <w:bCs/>
          <w:lang w:val="en-GB"/>
        </w:rPr>
        <w:t xml:space="preserve"> the discretionary accruals are measured. For the estimation of real earnings management, Lippens (2010) uses </w:t>
      </w:r>
      <w:r w:rsidR="009F079C">
        <w:rPr>
          <w:rFonts w:cs="Calibri"/>
          <w:bCs/>
          <w:lang w:val="en-GB"/>
        </w:rPr>
        <w:t xml:space="preserve">proxies of Roychowdhury (2006); </w:t>
      </w:r>
      <w:r w:rsidR="001C6A3E" w:rsidRPr="00F67CC4">
        <w:rPr>
          <w:rFonts w:cs="Calibri"/>
          <w:bCs/>
          <w:lang w:val="en-GB"/>
        </w:rPr>
        <w:t xml:space="preserve">the abnormal level of cash flow from operations and the abnormal level of production costs. </w:t>
      </w:r>
    </w:p>
    <w:p w:rsidR="001C6A3E" w:rsidRPr="00F67CC4" w:rsidRDefault="001C6A3E" w:rsidP="00F74511">
      <w:pPr>
        <w:spacing w:line="360" w:lineRule="auto"/>
        <w:rPr>
          <w:rFonts w:cs="Calibri"/>
          <w:bCs/>
          <w:lang w:val="en-GB"/>
        </w:rPr>
      </w:pPr>
      <w:r w:rsidRPr="00F67CC4">
        <w:rPr>
          <w:rFonts w:cs="Calibri"/>
          <w:bCs/>
          <w:lang w:val="en-GB"/>
        </w:rPr>
        <w:lastRenderedPageBreak/>
        <w:t xml:space="preserve">These models are used on a sample of the listed companies from Belgium, Denmark, Finland, Italy, The Netherlands and Sweden. Financial institutions, utility companies, </w:t>
      </w:r>
      <w:r w:rsidR="007B3BA5">
        <w:rPr>
          <w:rFonts w:cs="Calibri"/>
          <w:bCs/>
          <w:lang w:val="en-GB"/>
        </w:rPr>
        <w:t xml:space="preserve">companies with </w:t>
      </w:r>
      <w:r w:rsidRPr="00F67CC4">
        <w:rPr>
          <w:rFonts w:cs="Calibri"/>
          <w:bCs/>
          <w:lang w:val="en-GB"/>
        </w:rPr>
        <w:t xml:space="preserve">negative equity, total or discretionary accruals above 100% of lagged total assets and companies with not all available data are excluded from the sample. </w:t>
      </w:r>
      <w:r w:rsidR="00A24546">
        <w:rPr>
          <w:rFonts w:cs="Calibri"/>
          <w:bCs/>
          <w:lang w:val="en-GB"/>
        </w:rPr>
        <w:t xml:space="preserve">This sample, which is not specified in the sample description, </w:t>
      </w:r>
      <w:r w:rsidRPr="00F67CC4">
        <w:rPr>
          <w:rFonts w:cs="Calibri"/>
          <w:bCs/>
          <w:lang w:val="en-GB"/>
        </w:rPr>
        <w:t>are used for a regression analysis with the pre-IFRS (2000-2004) and post-IFRS period (2005-2006).</w:t>
      </w:r>
      <w:r w:rsidR="007B3BA5">
        <w:rPr>
          <w:rFonts w:cs="Calibri"/>
          <w:bCs/>
          <w:lang w:val="en-GB"/>
        </w:rPr>
        <w:t xml:space="preserve"> The study of Lippens controlled</w:t>
      </w:r>
      <w:r w:rsidR="004544B1">
        <w:rPr>
          <w:rFonts w:cs="Calibri"/>
          <w:bCs/>
          <w:lang w:val="en-GB"/>
        </w:rPr>
        <w:t xml:space="preserve"> for the following variables: year, IFRS, ROA, </w:t>
      </w:r>
      <w:r w:rsidR="00901B3D">
        <w:rPr>
          <w:rFonts w:cs="Calibri"/>
          <w:bCs/>
          <w:lang w:val="en-GB"/>
        </w:rPr>
        <w:t xml:space="preserve">and </w:t>
      </w:r>
      <w:r w:rsidR="004544B1">
        <w:rPr>
          <w:rFonts w:cs="Calibri"/>
          <w:bCs/>
          <w:lang w:val="en-GB"/>
        </w:rPr>
        <w:t xml:space="preserve">CFO, employees, leverage, industry and country. </w:t>
      </w:r>
    </w:p>
    <w:p w:rsidR="001C6A3E" w:rsidRPr="00F67CC4" w:rsidRDefault="001C6A3E" w:rsidP="00F74511">
      <w:pPr>
        <w:spacing w:line="360" w:lineRule="auto"/>
        <w:rPr>
          <w:rFonts w:cs="Calibri"/>
          <w:bCs/>
          <w:lang w:val="en-GB"/>
        </w:rPr>
      </w:pPr>
      <w:r w:rsidRPr="00F67CC4">
        <w:rPr>
          <w:rFonts w:cs="Calibri"/>
          <w:lang w:val="en-GB"/>
        </w:rPr>
        <w:t>The rese</w:t>
      </w:r>
      <w:r w:rsidR="002F3763">
        <w:rPr>
          <w:rFonts w:cs="Calibri"/>
          <w:lang w:val="en-GB"/>
        </w:rPr>
        <w:t>arch of Lippens (2010) indicates</w:t>
      </w:r>
      <w:r w:rsidRPr="00F67CC4">
        <w:rPr>
          <w:rFonts w:cs="Calibri"/>
          <w:lang w:val="en-GB"/>
        </w:rPr>
        <w:t xml:space="preserve"> that </w:t>
      </w:r>
      <w:r w:rsidR="00901B3D">
        <w:rPr>
          <w:rFonts w:cs="Calibri"/>
          <w:lang w:val="en-GB"/>
        </w:rPr>
        <w:t xml:space="preserve">the adoption of </w:t>
      </w:r>
      <w:r w:rsidRPr="00F67CC4">
        <w:rPr>
          <w:rFonts w:cs="Calibri"/>
          <w:lang w:val="en-GB"/>
        </w:rPr>
        <w:t xml:space="preserve">IFRS has increased the use of accruals-based earnings management. Next to the accruals-based, </w:t>
      </w:r>
      <w:r w:rsidR="00901B3D">
        <w:rPr>
          <w:rFonts w:cs="Calibri"/>
          <w:lang w:val="en-GB"/>
        </w:rPr>
        <w:t>in addition</w:t>
      </w:r>
      <w:r w:rsidRPr="00F67CC4">
        <w:rPr>
          <w:rFonts w:cs="Calibri"/>
          <w:lang w:val="en-GB"/>
        </w:rPr>
        <w:t xml:space="preserve"> the use of real earnings management has strictly increased. Although both methods o</w:t>
      </w:r>
      <w:r w:rsidR="002F3763">
        <w:rPr>
          <w:rFonts w:cs="Calibri"/>
          <w:lang w:val="en-GB"/>
        </w:rPr>
        <w:t xml:space="preserve">f earnings management increased according to Lippens (2010), </w:t>
      </w:r>
      <w:r w:rsidR="00901B3D">
        <w:rPr>
          <w:rFonts w:cs="Calibri"/>
          <w:lang w:val="en-GB"/>
        </w:rPr>
        <w:t xml:space="preserve">the adoption of </w:t>
      </w:r>
      <w:r w:rsidR="002F3763">
        <w:rPr>
          <w:rFonts w:cs="Calibri"/>
          <w:lang w:val="en-GB"/>
        </w:rPr>
        <w:t xml:space="preserve">IFRS </w:t>
      </w:r>
      <w:r w:rsidR="00901B3D">
        <w:rPr>
          <w:rFonts w:cs="Calibri"/>
          <w:lang w:val="en-GB"/>
        </w:rPr>
        <w:t>creates</w:t>
      </w:r>
      <w:r w:rsidR="002F3763">
        <w:rPr>
          <w:rFonts w:cs="Calibri"/>
          <w:lang w:val="en-GB"/>
        </w:rPr>
        <w:t xml:space="preserve"> the substitution of accruals-based to real earnings management</w:t>
      </w:r>
      <w:r w:rsidRPr="00F67CC4">
        <w:rPr>
          <w:rFonts w:cs="Calibri"/>
          <w:lang w:val="en-GB"/>
        </w:rPr>
        <w:t>.</w:t>
      </w:r>
      <w:r w:rsidRPr="00F67CC4">
        <w:rPr>
          <w:rFonts w:cs="Calibri"/>
          <w:bCs/>
          <w:lang w:val="en-GB"/>
        </w:rPr>
        <w:t xml:space="preserve"> </w:t>
      </w:r>
      <w:r w:rsidR="002F3763">
        <w:rPr>
          <w:rFonts w:cs="Calibri"/>
          <w:bCs/>
          <w:lang w:val="en-GB"/>
        </w:rPr>
        <w:t xml:space="preserve">Because </w:t>
      </w:r>
      <w:r w:rsidRPr="00F67CC4">
        <w:rPr>
          <w:rFonts w:cs="Calibri"/>
          <w:bCs/>
          <w:lang w:val="en-GB"/>
        </w:rPr>
        <w:t xml:space="preserve">different countries have been investigated, a </w:t>
      </w:r>
      <w:r w:rsidR="002F3763">
        <w:rPr>
          <w:rFonts w:cs="Calibri"/>
          <w:bCs/>
          <w:lang w:val="en-GB"/>
        </w:rPr>
        <w:t xml:space="preserve">general </w:t>
      </w:r>
      <w:r w:rsidRPr="00F67CC4">
        <w:rPr>
          <w:rFonts w:cs="Calibri"/>
          <w:bCs/>
          <w:lang w:val="en-GB"/>
        </w:rPr>
        <w:t>conclusion</w:t>
      </w:r>
      <w:r w:rsidR="002F3763">
        <w:rPr>
          <w:rFonts w:cs="Calibri"/>
          <w:bCs/>
          <w:lang w:val="en-GB"/>
        </w:rPr>
        <w:t xml:space="preserve"> for all countries</w:t>
      </w:r>
      <w:r w:rsidRPr="00F67CC4">
        <w:rPr>
          <w:rFonts w:cs="Calibri"/>
          <w:bCs/>
          <w:lang w:val="en-GB"/>
        </w:rPr>
        <w:t xml:space="preserve"> is hard to dr</w:t>
      </w:r>
      <w:r w:rsidRPr="002F3763">
        <w:rPr>
          <w:rFonts w:cs="Calibri"/>
          <w:bCs/>
          <w:lang w:val="en-GB"/>
        </w:rPr>
        <w:t>aw.</w:t>
      </w:r>
      <w:r w:rsidR="00901B3D">
        <w:rPr>
          <w:rFonts w:cs="Calibri"/>
          <w:bCs/>
          <w:lang w:val="en-GB"/>
        </w:rPr>
        <w:t xml:space="preserve"> The adoption of</w:t>
      </w:r>
      <w:r w:rsidRPr="002F3763">
        <w:rPr>
          <w:rFonts w:cs="Calibri"/>
          <w:bCs/>
          <w:lang w:val="en-GB"/>
        </w:rPr>
        <w:t xml:space="preserve"> </w:t>
      </w:r>
      <w:r w:rsidR="002F3763" w:rsidRPr="002F3763">
        <w:rPr>
          <w:rFonts w:cs="Calibri"/>
          <w:bCs/>
          <w:lang w:val="en-GB"/>
        </w:rPr>
        <w:t>IFRS did not</w:t>
      </w:r>
      <w:r w:rsidRPr="002F3763">
        <w:rPr>
          <w:rFonts w:cs="Calibri"/>
          <w:bCs/>
          <w:lang w:val="en-GB"/>
        </w:rPr>
        <w:t xml:space="preserve"> have a significant influence on the level of</w:t>
      </w:r>
      <w:r w:rsidR="00901B3D">
        <w:rPr>
          <w:rFonts w:cs="Calibri"/>
          <w:bCs/>
          <w:lang w:val="en-GB"/>
        </w:rPr>
        <w:t xml:space="preserve"> the use of</w:t>
      </w:r>
      <w:r w:rsidRPr="002F3763">
        <w:rPr>
          <w:rFonts w:cs="Calibri"/>
          <w:bCs/>
          <w:lang w:val="en-GB"/>
        </w:rPr>
        <w:t xml:space="preserve"> earnings management. This can be explained as IFRS having the same effect on the relative levels of earnings management in various countries or as that IFRS </w:t>
      </w:r>
      <w:r w:rsidR="002F3763" w:rsidRPr="002F3763">
        <w:rPr>
          <w:rFonts w:cs="Calibri"/>
          <w:bCs/>
          <w:lang w:val="en-GB"/>
        </w:rPr>
        <w:t>are</w:t>
      </w:r>
      <w:r w:rsidRPr="002F3763">
        <w:rPr>
          <w:rFonts w:cs="Calibri"/>
          <w:bCs/>
          <w:lang w:val="en-GB"/>
        </w:rPr>
        <w:t xml:space="preserve"> being ineffective in restricting earnings management all together (Lippens 2010, p</w:t>
      </w:r>
      <w:r w:rsidR="00901B3D">
        <w:rPr>
          <w:rFonts w:cs="Calibri"/>
          <w:bCs/>
          <w:lang w:val="en-GB"/>
        </w:rPr>
        <w:t xml:space="preserve"> </w:t>
      </w:r>
      <w:r w:rsidRPr="002F3763">
        <w:rPr>
          <w:rFonts w:cs="Calibri"/>
          <w:bCs/>
          <w:lang w:val="en-GB"/>
        </w:rPr>
        <w:t>97)</w:t>
      </w:r>
      <w:r w:rsidR="004E0604">
        <w:rPr>
          <w:rFonts w:cs="Calibri"/>
          <w:bCs/>
          <w:lang w:val="en-GB"/>
        </w:rPr>
        <w:t>.</w:t>
      </w:r>
    </w:p>
    <w:p w:rsidR="00266C35" w:rsidRPr="004E0604" w:rsidRDefault="004E0604" w:rsidP="00BE2C16">
      <w:pPr>
        <w:numPr>
          <w:ilvl w:val="0"/>
          <w:numId w:val="7"/>
        </w:numPr>
        <w:spacing w:line="360" w:lineRule="auto"/>
        <w:rPr>
          <w:rFonts w:cs="Calibri"/>
          <w:bCs/>
          <w:u w:val="single"/>
          <w:lang w:val="en-GB"/>
        </w:rPr>
      </w:pPr>
      <w:r w:rsidRPr="004E0604">
        <w:rPr>
          <w:rFonts w:cs="Calibri"/>
          <w:bCs/>
          <w:u w:val="single"/>
          <w:lang w:val="en-GB"/>
        </w:rPr>
        <w:t xml:space="preserve">Callao and </w:t>
      </w:r>
      <w:r w:rsidR="00266C35" w:rsidRPr="004E0604">
        <w:rPr>
          <w:rFonts w:cs="Calibri"/>
          <w:bCs/>
          <w:u w:val="single"/>
          <w:lang w:val="en-GB"/>
        </w:rPr>
        <w:t>Jarne (2010)</w:t>
      </w:r>
      <w:r w:rsidR="00240D54" w:rsidRPr="004E0604">
        <w:rPr>
          <w:rFonts w:cs="Calibri"/>
          <w:bCs/>
          <w:u w:val="single"/>
          <w:lang w:val="en-GB"/>
        </w:rPr>
        <w:t xml:space="preserve"> </w:t>
      </w:r>
      <w:r w:rsidR="00266C35" w:rsidRPr="004E0604">
        <w:rPr>
          <w:rFonts w:cs="Calibri"/>
          <w:bCs/>
          <w:u w:val="single"/>
          <w:lang w:val="en-GB"/>
        </w:rPr>
        <w:t>Have IFRS affected Earnings Management in the European Union?</w:t>
      </w:r>
    </w:p>
    <w:p w:rsidR="00516B3D" w:rsidRPr="00F67CC4" w:rsidRDefault="00516B3D" w:rsidP="002F359C">
      <w:pPr>
        <w:spacing w:line="360" w:lineRule="auto"/>
        <w:rPr>
          <w:rFonts w:cs="Calibri"/>
          <w:bCs/>
          <w:lang w:val="en-GB"/>
        </w:rPr>
      </w:pPr>
      <w:r w:rsidRPr="00F67CC4">
        <w:rPr>
          <w:rFonts w:cs="Calibri"/>
          <w:bCs/>
          <w:lang w:val="en-GB"/>
        </w:rPr>
        <w:t>Callao and</w:t>
      </w:r>
      <w:r w:rsidR="002F359C" w:rsidRPr="00F67CC4">
        <w:rPr>
          <w:rFonts w:cs="Calibri"/>
          <w:bCs/>
          <w:lang w:val="en-GB"/>
        </w:rPr>
        <w:t xml:space="preserve"> Jarne (2010) have </w:t>
      </w:r>
      <w:r w:rsidR="00901B3D">
        <w:rPr>
          <w:rFonts w:cs="Calibri"/>
          <w:bCs/>
          <w:lang w:val="en-GB"/>
        </w:rPr>
        <w:t>performed</w:t>
      </w:r>
      <w:r w:rsidR="002F359C" w:rsidRPr="00F67CC4">
        <w:rPr>
          <w:rFonts w:cs="Calibri"/>
          <w:bCs/>
          <w:lang w:val="en-GB"/>
        </w:rPr>
        <w:t xml:space="preserve"> research on the use of discretionary accounting practices in the European Union and the influence of the adoption of IFRS on </w:t>
      </w:r>
      <w:r w:rsidRPr="00F67CC4">
        <w:rPr>
          <w:rFonts w:cs="Calibri"/>
          <w:bCs/>
          <w:lang w:val="en-GB"/>
        </w:rPr>
        <w:t>this</w:t>
      </w:r>
      <w:r w:rsidR="002F359C" w:rsidRPr="00F67CC4">
        <w:rPr>
          <w:rFonts w:cs="Calibri"/>
          <w:bCs/>
          <w:lang w:val="en-GB"/>
        </w:rPr>
        <w:t>.</w:t>
      </w:r>
      <w:r w:rsidR="00E26BFF">
        <w:rPr>
          <w:rFonts w:cs="Calibri"/>
          <w:bCs/>
          <w:lang w:val="en-GB"/>
        </w:rPr>
        <w:t xml:space="preserve"> Combined with this, </w:t>
      </w:r>
      <w:r w:rsidRPr="00F67CC4">
        <w:rPr>
          <w:rFonts w:cs="Calibri"/>
          <w:bCs/>
          <w:lang w:val="en-GB"/>
        </w:rPr>
        <w:t>country</w:t>
      </w:r>
      <w:r w:rsidR="00E26BFF">
        <w:rPr>
          <w:rFonts w:cs="Calibri"/>
          <w:bCs/>
          <w:lang w:val="en-GB"/>
        </w:rPr>
        <w:t>-specific</w:t>
      </w:r>
      <w:r w:rsidRPr="00F67CC4">
        <w:rPr>
          <w:rFonts w:cs="Calibri"/>
          <w:bCs/>
          <w:lang w:val="en-GB"/>
        </w:rPr>
        <w:t xml:space="preserve"> factors and firm features</w:t>
      </w:r>
      <w:r w:rsidR="00E26BFF">
        <w:rPr>
          <w:rFonts w:cs="Calibri"/>
          <w:bCs/>
          <w:lang w:val="en-GB"/>
        </w:rPr>
        <w:t xml:space="preserve"> were</w:t>
      </w:r>
      <w:r w:rsidRPr="00F67CC4">
        <w:rPr>
          <w:rFonts w:cs="Calibri"/>
          <w:bCs/>
          <w:lang w:val="en-GB"/>
        </w:rPr>
        <w:t xml:space="preserve"> investigated on whether they have significant influence on the results.</w:t>
      </w:r>
    </w:p>
    <w:p w:rsidR="002F359C" w:rsidRPr="00F67CC4" w:rsidRDefault="002F359C" w:rsidP="002F359C">
      <w:pPr>
        <w:spacing w:line="360" w:lineRule="auto"/>
        <w:rPr>
          <w:rFonts w:cs="Calibri"/>
          <w:bCs/>
          <w:lang w:val="en-GB"/>
        </w:rPr>
      </w:pPr>
      <w:r w:rsidRPr="00F67CC4">
        <w:rPr>
          <w:rFonts w:cs="Calibri"/>
          <w:bCs/>
          <w:lang w:val="en-GB"/>
        </w:rPr>
        <w:t xml:space="preserve">The sample </w:t>
      </w:r>
      <w:r w:rsidR="00516B3D" w:rsidRPr="00F67CC4">
        <w:rPr>
          <w:rFonts w:cs="Calibri"/>
          <w:bCs/>
          <w:lang w:val="en-GB"/>
        </w:rPr>
        <w:t>of this</w:t>
      </w:r>
      <w:r w:rsidRPr="00F67CC4">
        <w:rPr>
          <w:rFonts w:cs="Calibri"/>
          <w:bCs/>
          <w:lang w:val="en-GB"/>
        </w:rPr>
        <w:t xml:space="preserve"> research contains 1408 non-financial firms listed in 11 EU member states</w:t>
      </w:r>
      <w:r w:rsidR="00516B3D" w:rsidRPr="00F67CC4">
        <w:rPr>
          <w:rFonts w:cs="Calibri"/>
          <w:bCs/>
          <w:lang w:val="en-GB"/>
        </w:rPr>
        <w:t xml:space="preserve"> accounting for</w:t>
      </w:r>
      <w:r w:rsidRPr="00F67CC4">
        <w:rPr>
          <w:rFonts w:cs="Calibri"/>
          <w:bCs/>
          <w:lang w:val="en-GB"/>
        </w:rPr>
        <w:t xml:space="preserve"> 5632 observations. The analysis is </w:t>
      </w:r>
      <w:r w:rsidR="00901B3D">
        <w:rPr>
          <w:rFonts w:cs="Calibri"/>
          <w:bCs/>
          <w:lang w:val="en-GB"/>
        </w:rPr>
        <w:t>performing for</w:t>
      </w:r>
      <w:r w:rsidRPr="00F67CC4">
        <w:rPr>
          <w:rFonts w:cs="Calibri"/>
          <w:bCs/>
          <w:lang w:val="en-GB"/>
        </w:rPr>
        <w:t xml:space="preserve"> the period of 2003-2006 which is split in two sub-periods with the introduction of IFRS on the 1</w:t>
      </w:r>
      <w:r w:rsidRPr="00F67CC4">
        <w:rPr>
          <w:rFonts w:cs="Calibri"/>
          <w:bCs/>
          <w:vertAlign w:val="superscript"/>
          <w:lang w:val="en-GB"/>
        </w:rPr>
        <w:t>st</w:t>
      </w:r>
      <w:r w:rsidRPr="00F67CC4">
        <w:rPr>
          <w:rFonts w:cs="Calibri"/>
          <w:bCs/>
          <w:lang w:val="en-GB"/>
        </w:rPr>
        <w:t xml:space="preserve"> of January</w:t>
      </w:r>
      <w:r w:rsidR="00E26BFF">
        <w:rPr>
          <w:rFonts w:cs="Calibri"/>
          <w:bCs/>
          <w:lang w:val="en-GB"/>
        </w:rPr>
        <w:t xml:space="preserve"> 2005 as division-</w:t>
      </w:r>
      <w:r w:rsidRPr="00F67CC4">
        <w:rPr>
          <w:rFonts w:cs="Calibri"/>
          <w:bCs/>
          <w:lang w:val="en-GB"/>
        </w:rPr>
        <w:t xml:space="preserve">moment. </w:t>
      </w:r>
    </w:p>
    <w:p w:rsidR="002F359C" w:rsidRPr="00F67CC4" w:rsidRDefault="00E26BFF" w:rsidP="002F359C">
      <w:pPr>
        <w:spacing w:line="360" w:lineRule="auto"/>
        <w:rPr>
          <w:rFonts w:cs="Calibri"/>
          <w:bCs/>
          <w:lang w:val="en-GB"/>
        </w:rPr>
      </w:pPr>
      <w:r>
        <w:rPr>
          <w:rFonts w:cs="Calibri"/>
          <w:bCs/>
          <w:lang w:val="en-GB"/>
        </w:rPr>
        <w:t>T</w:t>
      </w:r>
      <w:r w:rsidR="003207F0" w:rsidRPr="00F67CC4">
        <w:rPr>
          <w:rFonts w:cs="Calibri"/>
          <w:bCs/>
          <w:lang w:val="en-GB"/>
        </w:rPr>
        <w:t>he model of Larcker and Richardson (2004)</w:t>
      </w:r>
      <w:r>
        <w:rPr>
          <w:rFonts w:cs="Calibri"/>
          <w:bCs/>
          <w:lang w:val="en-GB"/>
        </w:rPr>
        <w:t xml:space="preserve"> is used</w:t>
      </w:r>
      <w:r w:rsidR="003207F0" w:rsidRPr="00F67CC4">
        <w:rPr>
          <w:rFonts w:cs="Calibri"/>
          <w:bCs/>
          <w:lang w:val="en-GB"/>
        </w:rPr>
        <w:t xml:space="preserve"> to determine the use of accruals-based earnings management. The model of Larcker and Richardson (2004) is an extended version of the </w:t>
      </w:r>
      <w:r w:rsidR="006F10F2">
        <w:rPr>
          <w:rFonts w:cs="Calibri"/>
          <w:bCs/>
          <w:lang w:val="en-GB"/>
        </w:rPr>
        <w:t>M</w:t>
      </w:r>
      <w:r w:rsidR="003207F0" w:rsidRPr="00F67CC4">
        <w:rPr>
          <w:rFonts w:cs="Calibri"/>
          <w:bCs/>
          <w:lang w:val="en-GB"/>
        </w:rPr>
        <w:t xml:space="preserve">odified Jones model (1991) proposed by Dechow et al. (1995). Larcker and Richardson (2004) extended the Modified Jones model (1995) by including </w:t>
      </w:r>
      <w:r>
        <w:rPr>
          <w:rFonts w:cs="Calibri"/>
          <w:bCs/>
          <w:lang w:val="en-GB"/>
        </w:rPr>
        <w:t xml:space="preserve">the variables </w:t>
      </w:r>
      <w:r w:rsidR="003207F0" w:rsidRPr="00F67CC4">
        <w:rPr>
          <w:rFonts w:cs="Calibri"/>
          <w:bCs/>
          <w:lang w:val="en-GB"/>
        </w:rPr>
        <w:t>B</w:t>
      </w:r>
      <w:r w:rsidR="00516B3D" w:rsidRPr="00F67CC4">
        <w:rPr>
          <w:rFonts w:cs="Calibri"/>
          <w:bCs/>
          <w:lang w:val="en-GB"/>
        </w:rPr>
        <w:t>ook-to-</w:t>
      </w:r>
      <w:r w:rsidR="003207F0" w:rsidRPr="00F67CC4">
        <w:rPr>
          <w:rFonts w:cs="Calibri"/>
          <w:bCs/>
          <w:lang w:val="en-GB"/>
        </w:rPr>
        <w:t>M</w:t>
      </w:r>
      <w:r w:rsidR="00516B3D" w:rsidRPr="00F67CC4">
        <w:rPr>
          <w:rFonts w:cs="Calibri"/>
          <w:bCs/>
          <w:lang w:val="en-GB"/>
        </w:rPr>
        <w:t>arket</w:t>
      </w:r>
      <w:r w:rsidR="003207F0" w:rsidRPr="00F67CC4">
        <w:rPr>
          <w:rFonts w:cs="Calibri"/>
          <w:bCs/>
          <w:lang w:val="en-GB"/>
        </w:rPr>
        <w:t xml:space="preserve"> </w:t>
      </w:r>
      <w:r>
        <w:rPr>
          <w:rFonts w:cs="Calibri"/>
          <w:bCs/>
          <w:lang w:val="en-GB"/>
        </w:rPr>
        <w:t xml:space="preserve">(BM) </w:t>
      </w:r>
      <w:r w:rsidR="00901B3D">
        <w:rPr>
          <w:rFonts w:cs="Calibri"/>
          <w:bCs/>
          <w:lang w:val="en-GB"/>
        </w:rPr>
        <w:t xml:space="preserve">value </w:t>
      </w:r>
      <w:r w:rsidR="003207F0" w:rsidRPr="00F67CC4">
        <w:rPr>
          <w:rFonts w:cs="Calibri"/>
          <w:bCs/>
          <w:lang w:val="en-GB"/>
        </w:rPr>
        <w:t xml:space="preserve">and </w:t>
      </w:r>
      <w:r w:rsidR="00901B3D">
        <w:rPr>
          <w:rFonts w:cs="Calibri"/>
          <w:bCs/>
          <w:lang w:val="en-GB"/>
        </w:rPr>
        <w:t xml:space="preserve">the </w:t>
      </w:r>
      <w:r w:rsidR="003207F0" w:rsidRPr="00F67CC4">
        <w:rPr>
          <w:rFonts w:cs="Calibri"/>
          <w:bCs/>
          <w:lang w:val="en-GB"/>
        </w:rPr>
        <w:t>C</w:t>
      </w:r>
      <w:r w:rsidR="00516B3D" w:rsidRPr="00F67CC4">
        <w:rPr>
          <w:rFonts w:cs="Calibri"/>
          <w:bCs/>
          <w:lang w:val="en-GB"/>
        </w:rPr>
        <w:t xml:space="preserve">ash </w:t>
      </w:r>
      <w:r w:rsidR="003207F0" w:rsidRPr="00F67CC4">
        <w:rPr>
          <w:rFonts w:cs="Calibri"/>
          <w:bCs/>
          <w:lang w:val="en-GB"/>
        </w:rPr>
        <w:t>F</w:t>
      </w:r>
      <w:r w:rsidR="00516B3D" w:rsidRPr="00F67CC4">
        <w:rPr>
          <w:rFonts w:cs="Calibri"/>
          <w:bCs/>
          <w:lang w:val="en-GB"/>
        </w:rPr>
        <w:t xml:space="preserve">low of </w:t>
      </w:r>
      <w:r w:rsidR="003207F0" w:rsidRPr="00F67CC4">
        <w:rPr>
          <w:rFonts w:cs="Calibri"/>
          <w:bCs/>
          <w:lang w:val="en-GB"/>
        </w:rPr>
        <w:t>O</w:t>
      </w:r>
      <w:r w:rsidR="00516B3D" w:rsidRPr="00F67CC4">
        <w:rPr>
          <w:rFonts w:cs="Calibri"/>
          <w:bCs/>
          <w:lang w:val="en-GB"/>
        </w:rPr>
        <w:t>perations (CFO)</w:t>
      </w:r>
      <w:r w:rsidR="00901B3D">
        <w:rPr>
          <w:rFonts w:cs="Calibri"/>
          <w:bCs/>
          <w:lang w:val="en-GB"/>
        </w:rPr>
        <w:t xml:space="preserve"> in</w:t>
      </w:r>
      <w:r w:rsidR="003207F0" w:rsidRPr="00F67CC4">
        <w:rPr>
          <w:rFonts w:cs="Calibri"/>
          <w:bCs/>
          <w:lang w:val="en-GB"/>
        </w:rPr>
        <w:t xml:space="preserve">to the model. The reason Larcker and Richardson (2004) included these variables in their tests is that the incentives to manage earnings vary in response to growth opportunities (BM) and current operating performance (CFO). </w:t>
      </w:r>
    </w:p>
    <w:p w:rsidR="004E4684" w:rsidRPr="00F67CC4" w:rsidRDefault="004E4684" w:rsidP="002F359C">
      <w:pPr>
        <w:spacing w:line="360" w:lineRule="auto"/>
        <w:rPr>
          <w:rFonts w:cs="Calibri"/>
          <w:bCs/>
          <w:lang w:val="en-GB"/>
        </w:rPr>
      </w:pPr>
      <w:r w:rsidRPr="00F67CC4">
        <w:rPr>
          <w:rFonts w:cs="Calibri"/>
          <w:bCs/>
          <w:lang w:val="en-GB"/>
        </w:rPr>
        <w:lastRenderedPageBreak/>
        <w:t>The resu</w:t>
      </w:r>
      <w:r w:rsidR="00516B3D" w:rsidRPr="00F67CC4">
        <w:rPr>
          <w:rFonts w:cs="Calibri"/>
          <w:bCs/>
          <w:lang w:val="en-GB"/>
        </w:rPr>
        <w:t>lts of Callao and Jarne</w:t>
      </w:r>
      <w:r w:rsidRPr="00F67CC4">
        <w:rPr>
          <w:rFonts w:cs="Calibri"/>
          <w:bCs/>
          <w:lang w:val="en-GB"/>
        </w:rPr>
        <w:t xml:space="preserve"> (2010) show that in the period after the adoption of IFRS in Europe, </w:t>
      </w:r>
      <w:r w:rsidR="00901B3D">
        <w:rPr>
          <w:rFonts w:cs="Calibri"/>
          <w:bCs/>
          <w:lang w:val="en-GB"/>
        </w:rPr>
        <w:t xml:space="preserve">the use of </w:t>
      </w:r>
      <w:r w:rsidRPr="00F67CC4">
        <w:rPr>
          <w:rFonts w:cs="Calibri"/>
          <w:bCs/>
          <w:lang w:val="en-GB"/>
        </w:rPr>
        <w:t xml:space="preserve">earnings management </w:t>
      </w:r>
      <w:r w:rsidR="00E26BFF">
        <w:rPr>
          <w:rFonts w:cs="Calibri"/>
          <w:bCs/>
          <w:lang w:val="en-GB"/>
        </w:rPr>
        <w:t>measured</w:t>
      </w:r>
      <w:r w:rsidRPr="00F67CC4">
        <w:rPr>
          <w:rFonts w:cs="Calibri"/>
          <w:bCs/>
          <w:lang w:val="en-GB"/>
        </w:rPr>
        <w:t xml:space="preserve"> by discretionary accruals has intensified.</w:t>
      </w:r>
      <w:r w:rsidR="004E0604" w:rsidRPr="004E0604">
        <w:rPr>
          <w:rFonts w:cs="Calibri"/>
          <w:bCs/>
          <w:lang w:val="en-GB"/>
        </w:rPr>
        <w:t xml:space="preserve"> </w:t>
      </w:r>
      <w:r w:rsidR="004E0604">
        <w:rPr>
          <w:rFonts w:cs="Calibri"/>
          <w:bCs/>
          <w:lang w:val="en-GB"/>
        </w:rPr>
        <w:t>The</w:t>
      </w:r>
      <w:r w:rsidR="004E0604" w:rsidRPr="00F67CC4">
        <w:rPr>
          <w:rFonts w:cs="Calibri"/>
          <w:bCs/>
          <w:lang w:val="en-GB"/>
        </w:rPr>
        <w:t xml:space="preserve"> results suggest that the increase in</w:t>
      </w:r>
      <w:r w:rsidR="00901B3D">
        <w:rPr>
          <w:rFonts w:cs="Calibri"/>
          <w:bCs/>
          <w:lang w:val="en-GB"/>
        </w:rPr>
        <w:t xml:space="preserve"> the use of</w:t>
      </w:r>
      <w:r w:rsidR="004E0604" w:rsidRPr="00F67CC4">
        <w:rPr>
          <w:rFonts w:cs="Calibri"/>
          <w:bCs/>
          <w:lang w:val="en-GB"/>
        </w:rPr>
        <w:t xml:space="preserve"> earnings management after</w:t>
      </w:r>
      <w:r w:rsidR="00901B3D">
        <w:rPr>
          <w:rFonts w:cs="Calibri"/>
          <w:bCs/>
          <w:lang w:val="en-GB"/>
        </w:rPr>
        <w:t xml:space="preserve"> the adoption of</w:t>
      </w:r>
      <w:r w:rsidR="004E0604" w:rsidRPr="00F67CC4">
        <w:rPr>
          <w:rFonts w:cs="Calibri"/>
          <w:bCs/>
          <w:lang w:val="en-GB"/>
        </w:rPr>
        <w:t xml:space="preserve"> IFRS might be caused by some room for manipulation</w:t>
      </w:r>
      <w:r w:rsidR="00901B3D">
        <w:rPr>
          <w:rFonts w:cs="Calibri"/>
          <w:bCs/>
          <w:lang w:val="en-GB"/>
        </w:rPr>
        <w:t xml:space="preserve"> based on the</w:t>
      </w:r>
      <w:r w:rsidR="004E0604" w:rsidRPr="00F67CC4">
        <w:rPr>
          <w:rFonts w:cs="Calibri"/>
          <w:bCs/>
          <w:lang w:val="en-GB"/>
        </w:rPr>
        <w:t xml:space="preserve"> international standards compared to the local standards.</w:t>
      </w:r>
      <w:r w:rsidRPr="00F67CC4">
        <w:rPr>
          <w:rFonts w:cs="Calibri"/>
          <w:bCs/>
          <w:lang w:val="en-GB"/>
        </w:rPr>
        <w:t xml:space="preserve"> </w:t>
      </w:r>
      <w:r w:rsidR="00E26BFF">
        <w:rPr>
          <w:rFonts w:cs="Calibri"/>
          <w:bCs/>
          <w:lang w:val="en-GB"/>
        </w:rPr>
        <w:t xml:space="preserve">Some country- and firm specific factors for explaining this accounting discretion </w:t>
      </w:r>
      <w:r w:rsidR="00541796">
        <w:rPr>
          <w:rFonts w:cs="Calibri"/>
          <w:bCs/>
          <w:lang w:val="en-GB"/>
        </w:rPr>
        <w:t xml:space="preserve">are tested: </w:t>
      </w:r>
      <w:r w:rsidRPr="00F67CC4">
        <w:rPr>
          <w:rFonts w:cs="Calibri"/>
          <w:bCs/>
          <w:lang w:val="en-GB"/>
        </w:rPr>
        <w:t>business size, leverage, investor protect</w:t>
      </w:r>
      <w:r w:rsidR="00541796">
        <w:rPr>
          <w:rFonts w:cs="Calibri"/>
          <w:bCs/>
          <w:lang w:val="en-GB"/>
        </w:rPr>
        <w:t xml:space="preserve">ion and legal enforcement. </w:t>
      </w:r>
      <w:r w:rsidR="004E0604">
        <w:rPr>
          <w:rFonts w:cs="Calibri"/>
          <w:bCs/>
          <w:lang w:val="en-GB"/>
        </w:rPr>
        <w:t>Business size and leverage appeared to have a significant relationship with the</w:t>
      </w:r>
      <w:r w:rsidR="00901B3D">
        <w:rPr>
          <w:rFonts w:cs="Calibri"/>
          <w:bCs/>
          <w:lang w:val="en-GB"/>
        </w:rPr>
        <w:t xml:space="preserve"> use of</w:t>
      </w:r>
      <w:r w:rsidR="004E0604">
        <w:rPr>
          <w:rFonts w:cs="Calibri"/>
          <w:bCs/>
          <w:lang w:val="en-GB"/>
        </w:rPr>
        <w:t xml:space="preserve"> discretionary accruals. </w:t>
      </w:r>
    </w:p>
    <w:p w:rsidR="006F10F2" w:rsidRDefault="006F10F2" w:rsidP="002F359C">
      <w:pPr>
        <w:spacing w:line="360" w:lineRule="auto"/>
        <w:rPr>
          <w:rFonts w:cs="Calibri"/>
          <w:bCs/>
          <w:lang w:val="en-GB"/>
        </w:rPr>
      </w:pPr>
    </w:p>
    <w:p w:rsidR="00901B3D" w:rsidRDefault="00901B3D" w:rsidP="002F359C">
      <w:pPr>
        <w:spacing w:line="360" w:lineRule="auto"/>
        <w:rPr>
          <w:rFonts w:cs="Calibri"/>
          <w:bCs/>
          <w:lang w:val="en-GB"/>
        </w:rPr>
      </w:pPr>
      <w:r>
        <w:rPr>
          <w:rFonts w:cs="Calibri"/>
          <w:bCs/>
          <w:lang w:val="en-GB"/>
        </w:rPr>
        <w:t>Before several scientific economic research that earlier have been conducted have been present, next the influence of these researches on this research will be presented. The findings in these researches about the influence of the adoption of IFRS on the total amount of the use of earnings management and method of executing this will be used in defining in chapter 5 concerning the hypotheses in this research. All the before presented researches, did research on the amount of the use of earnings management executed by accruals and/or real activities changed by the introduction of IFRS. Focussing on the total level of the use of earnings management, the findings in the previous researches is that no evidence exists for a decline in the use of earnings management (Tendeloo and Vanderstraelen 2005; Heemskerk and van der Tas 2006; Jeanjean and Stolowy 2008) and that e</w:t>
      </w:r>
      <w:r w:rsidR="00050866">
        <w:rPr>
          <w:rFonts w:cs="Calibri"/>
          <w:bCs/>
          <w:lang w:val="en-GB"/>
        </w:rPr>
        <w:t xml:space="preserve">vidence exists for an increase of the use of earnings management after the introduction of IFRS (Ewert and Wagenhofer 2005; Cohen, Dey and Lys 2008; Lippens 2010; Callao and Jarne 2010). </w:t>
      </w:r>
    </w:p>
    <w:p w:rsidR="000C5C3B" w:rsidRDefault="00050866" w:rsidP="002F359C">
      <w:pPr>
        <w:spacing w:line="360" w:lineRule="auto"/>
        <w:rPr>
          <w:rFonts w:cs="Calibri"/>
          <w:bCs/>
          <w:lang w:val="en-GB"/>
        </w:rPr>
      </w:pPr>
      <w:r>
        <w:rPr>
          <w:rFonts w:cs="Calibri"/>
          <w:bCs/>
          <w:lang w:val="en-GB"/>
        </w:rPr>
        <w:t xml:space="preserve">Concerning </w:t>
      </w:r>
      <w:r w:rsidR="00A42762" w:rsidRPr="00F67CC4">
        <w:rPr>
          <w:rFonts w:cs="Calibri"/>
          <w:bCs/>
          <w:lang w:val="en-GB"/>
        </w:rPr>
        <w:t xml:space="preserve">the use of the two methods in executing </w:t>
      </w:r>
      <w:r>
        <w:rPr>
          <w:rFonts w:cs="Calibri"/>
          <w:bCs/>
          <w:lang w:val="en-GB"/>
        </w:rPr>
        <w:t xml:space="preserve">the use of earnings management, </w:t>
      </w:r>
      <w:r w:rsidR="000F4B88" w:rsidRPr="00F67CC4">
        <w:rPr>
          <w:rFonts w:cs="Calibri"/>
          <w:bCs/>
          <w:lang w:val="en-GB"/>
        </w:rPr>
        <w:t xml:space="preserve">just </w:t>
      </w:r>
      <w:r w:rsidR="00A42762" w:rsidRPr="00F67CC4">
        <w:rPr>
          <w:rFonts w:cs="Calibri"/>
          <w:bCs/>
          <w:lang w:val="en-GB"/>
        </w:rPr>
        <w:t>two</w:t>
      </w:r>
      <w:r w:rsidR="000F4B88" w:rsidRPr="00F67CC4">
        <w:rPr>
          <w:rFonts w:cs="Calibri"/>
          <w:bCs/>
          <w:lang w:val="en-GB"/>
        </w:rPr>
        <w:t xml:space="preserve"> </w:t>
      </w:r>
      <w:r w:rsidR="00A42762" w:rsidRPr="00F67CC4">
        <w:rPr>
          <w:rFonts w:cs="Calibri"/>
          <w:bCs/>
          <w:lang w:val="en-GB"/>
        </w:rPr>
        <w:t>studies</w:t>
      </w:r>
      <w:r w:rsidR="000F4B88" w:rsidRPr="00F67CC4">
        <w:rPr>
          <w:rFonts w:cs="Calibri"/>
          <w:bCs/>
          <w:lang w:val="en-GB"/>
        </w:rPr>
        <w:t xml:space="preserve"> (Cohen, Dey, Lys 2008; Lippens 2010)</w:t>
      </w:r>
      <w:r w:rsidR="00A42762" w:rsidRPr="00F67CC4">
        <w:rPr>
          <w:rFonts w:cs="Calibri"/>
          <w:bCs/>
          <w:lang w:val="en-GB"/>
        </w:rPr>
        <w:t xml:space="preserve"> </w:t>
      </w:r>
      <w:r>
        <w:rPr>
          <w:rFonts w:cs="Calibri"/>
          <w:bCs/>
          <w:lang w:val="en-GB"/>
        </w:rPr>
        <w:t>commented</w:t>
      </w:r>
      <w:r w:rsidR="00541796">
        <w:rPr>
          <w:rFonts w:cs="Calibri"/>
          <w:bCs/>
          <w:lang w:val="en-GB"/>
        </w:rPr>
        <w:t xml:space="preserve"> </w:t>
      </w:r>
      <w:r w:rsidR="00A42762" w:rsidRPr="00F67CC4">
        <w:rPr>
          <w:rFonts w:cs="Calibri"/>
          <w:bCs/>
          <w:lang w:val="en-GB"/>
        </w:rPr>
        <w:t>that check for a possible subst</w:t>
      </w:r>
      <w:r w:rsidR="000F4B88" w:rsidRPr="00F67CC4">
        <w:rPr>
          <w:rFonts w:cs="Calibri"/>
          <w:bCs/>
          <w:lang w:val="en-GB"/>
        </w:rPr>
        <w:t>itu</w:t>
      </w:r>
      <w:r w:rsidR="00A42762" w:rsidRPr="00F67CC4">
        <w:rPr>
          <w:rFonts w:cs="Calibri"/>
          <w:bCs/>
          <w:lang w:val="en-GB"/>
        </w:rPr>
        <w:t xml:space="preserve">tion effect of the methods. Both </w:t>
      </w:r>
      <w:r w:rsidR="000F4B88" w:rsidRPr="00F67CC4">
        <w:rPr>
          <w:rFonts w:cs="Calibri"/>
          <w:bCs/>
          <w:lang w:val="en-GB"/>
        </w:rPr>
        <w:t>studies</w:t>
      </w:r>
      <w:r w:rsidR="00A42762" w:rsidRPr="00F67CC4">
        <w:rPr>
          <w:rFonts w:cs="Calibri"/>
          <w:bCs/>
          <w:lang w:val="en-GB"/>
        </w:rPr>
        <w:t xml:space="preserve"> assume a substitution </w:t>
      </w:r>
      <w:r w:rsidR="00541796" w:rsidRPr="00F67CC4">
        <w:rPr>
          <w:rFonts w:cs="Calibri"/>
          <w:bCs/>
          <w:lang w:val="en-GB"/>
        </w:rPr>
        <w:t>effect of</w:t>
      </w:r>
      <w:r w:rsidR="00A42762" w:rsidRPr="00F67CC4">
        <w:rPr>
          <w:rFonts w:cs="Calibri"/>
          <w:bCs/>
          <w:lang w:val="en-GB"/>
        </w:rPr>
        <w:t xml:space="preserve"> </w:t>
      </w:r>
      <w:r>
        <w:rPr>
          <w:rFonts w:cs="Calibri"/>
          <w:bCs/>
          <w:lang w:val="en-GB"/>
        </w:rPr>
        <w:t xml:space="preserve">the use of </w:t>
      </w:r>
      <w:r w:rsidR="00A42762" w:rsidRPr="00F67CC4">
        <w:rPr>
          <w:rFonts w:cs="Calibri"/>
          <w:bCs/>
          <w:lang w:val="en-GB"/>
        </w:rPr>
        <w:t>accruals-based earnings management to</w:t>
      </w:r>
      <w:r>
        <w:rPr>
          <w:rFonts w:cs="Calibri"/>
          <w:bCs/>
          <w:lang w:val="en-GB"/>
        </w:rPr>
        <w:t xml:space="preserve"> the use of</w:t>
      </w:r>
      <w:r w:rsidR="00A42762" w:rsidRPr="00F67CC4">
        <w:rPr>
          <w:rFonts w:cs="Calibri"/>
          <w:bCs/>
          <w:lang w:val="en-GB"/>
        </w:rPr>
        <w:t xml:space="preserve"> real earnings management. </w:t>
      </w:r>
      <w:r w:rsidR="000F4B88" w:rsidRPr="00F67CC4">
        <w:rPr>
          <w:rFonts w:cs="Calibri"/>
          <w:bCs/>
          <w:lang w:val="en-GB"/>
        </w:rPr>
        <w:t>The conclusion of both studies is that</w:t>
      </w:r>
      <w:r w:rsidR="00D53B54">
        <w:rPr>
          <w:rFonts w:cs="Calibri"/>
          <w:bCs/>
          <w:lang w:val="en-GB"/>
        </w:rPr>
        <w:t xml:space="preserve"> this assumption is valid;</w:t>
      </w:r>
      <w:r w:rsidR="000F4B88" w:rsidRPr="00F67CC4">
        <w:rPr>
          <w:rFonts w:cs="Calibri"/>
          <w:bCs/>
          <w:lang w:val="en-GB"/>
        </w:rPr>
        <w:t xml:space="preserve"> the introduction of </w:t>
      </w:r>
      <w:r>
        <w:rPr>
          <w:rFonts w:cs="Calibri"/>
          <w:bCs/>
          <w:lang w:val="en-GB"/>
        </w:rPr>
        <w:t>IFRS creates</w:t>
      </w:r>
      <w:r w:rsidR="000F4B88" w:rsidRPr="00F67CC4">
        <w:rPr>
          <w:rFonts w:cs="Calibri"/>
          <w:bCs/>
          <w:lang w:val="en-GB"/>
        </w:rPr>
        <w:t xml:space="preserve"> a substitution effect of </w:t>
      </w:r>
      <w:r>
        <w:rPr>
          <w:rFonts w:cs="Calibri"/>
          <w:bCs/>
          <w:lang w:val="en-GB"/>
        </w:rPr>
        <w:t xml:space="preserve">the </w:t>
      </w:r>
      <w:r w:rsidR="000F4B88" w:rsidRPr="00F67CC4">
        <w:rPr>
          <w:rFonts w:cs="Calibri"/>
          <w:bCs/>
          <w:lang w:val="en-GB"/>
        </w:rPr>
        <w:t xml:space="preserve">accruals-based to </w:t>
      </w:r>
      <w:r>
        <w:rPr>
          <w:rFonts w:cs="Calibri"/>
          <w:bCs/>
          <w:lang w:val="en-GB"/>
        </w:rPr>
        <w:t xml:space="preserve">the </w:t>
      </w:r>
      <w:r w:rsidR="000F4B88" w:rsidRPr="00F67CC4">
        <w:rPr>
          <w:rFonts w:cs="Calibri"/>
          <w:bCs/>
          <w:lang w:val="en-GB"/>
        </w:rPr>
        <w:t xml:space="preserve">real earnings management. </w:t>
      </w:r>
    </w:p>
    <w:p w:rsidR="008D135D" w:rsidRPr="00F67CC4" w:rsidRDefault="008D135D" w:rsidP="002F359C">
      <w:pPr>
        <w:spacing w:line="360" w:lineRule="auto"/>
        <w:rPr>
          <w:rFonts w:cs="Calibri"/>
          <w:bCs/>
          <w:lang w:val="en-GB"/>
        </w:rPr>
      </w:pPr>
      <w:r>
        <w:rPr>
          <w:rFonts w:cs="Calibri"/>
          <w:bCs/>
          <w:lang w:val="en-GB"/>
        </w:rPr>
        <w:t>Because of their connection with this research, these findings are indicative for this research. However, the different circumstances the researches have been performed in have their influence on the outcome. No research that has been presented before is similar to this research, because of factors like investor protection by which French Civil Law differ from other types of law countries which will create differences in the outcomes. These factors will be commented in the next section.</w:t>
      </w:r>
    </w:p>
    <w:p w:rsidR="00FB09BB" w:rsidRPr="00F67CC4" w:rsidRDefault="00F84015" w:rsidP="002F359C">
      <w:pPr>
        <w:spacing w:line="360" w:lineRule="auto"/>
        <w:rPr>
          <w:rFonts w:cs="Calibri"/>
          <w:bCs/>
          <w:lang w:val="en-GB"/>
        </w:rPr>
      </w:pPr>
      <w:r>
        <w:rPr>
          <w:rFonts w:cs="Calibri"/>
          <w:b/>
          <w:bCs/>
          <w:lang w:val="en-GB"/>
        </w:rPr>
        <w:lastRenderedPageBreak/>
        <w:t>4.3 French Civil Law factors</w:t>
      </w:r>
      <w:r w:rsidR="00FB09BB" w:rsidRPr="00F67CC4">
        <w:rPr>
          <w:rFonts w:cs="Calibri"/>
          <w:bCs/>
          <w:lang w:val="en-GB"/>
        </w:rPr>
        <w:br/>
      </w:r>
      <w:r w:rsidR="008D135D">
        <w:rPr>
          <w:rFonts w:cs="Calibri"/>
          <w:lang w:val="en-GB"/>
        </w:rPr>
        <w:t xml:space="preserve">Before </w:t>
      </w:r>
      <w:r w:rsidR="00FB09BB" w:rsidRPr="00FB09BB">
        <w:rPr>
          <w:rFonts w:cs="Calibri"/>
          <w:lang w:val="en-US"/>
        </w:rPr>
        <w:t xml:space="preserve">researches about the influence of the introduction of IFRS on the use of earnings management have been </w:t>
      </w:r>
      <w:r w:rsidR="008D135D">
        <w:rPr>
          <w:rFonts w:cs="Calibri"/>
          <w:lang w:val="en-US"/>
        </w:rPr>
        <w:t>commented</w:t>
      </w:r>
      <w:r w:rsidR="00FB09BB" w:rsidRPr="00FB09BB">
        <w:rPr>
          <w:rFonts w:cs="Calibri"/>
          <w:lang w:val="en-US"/>
        </w:rPr>
        <w:t>,</w:t>
      </w:r>
      <w:r w:rsidR="008D135D">
        <w:rPr>
          <w:rFonts w:cs="Calibri"/>
          <w:lang w:val="en-US"/>
        </w:rPr>
        <w:t xml:space="preserve"> next</w:t>
      </w:r>
      <w:r w:rsidR="00FB09BB" w:rsidRPr="00FB09BB">
        <w:rPr>
          <w:rFonts w:cs="Calibri"/>
          <w:lang w:val="en-US"/>
        </w:rPr>
        <w:t xml:space="preserve"> the focus will be on the distinction of this research compared to these earlier</w:t>
      </w:r>
      <w:r w:rsidR="006719EC">
        <w:rPr>
          <w:rFonts w:cs="Calibri"/>
          <w:lang w:val="en-US"/>
        </w:rPr>
        <w:t xml:space="preserve"> conducted</w:t>
      </w:r>
      <w:r w:rsidR="00FB09BB" w:rsidRPr="00FB09BB">
        <w:rPr>
          <w:rFonts w:cs="Calibri"/>
          <w:lang w:val="en-US"/>
        </w:rPr>
        <w:t xml:space="preserve"> studies. </w:t>
      </w:r>
      <w:r w:rsidR="00FB09BB" w:rsidRPr="00F67CC4">
        <w:rPr>
          <w:rFonts w:cs="Calibri"/>
          <w:bCs/>
          <w:lang w:val="en-GB"/>
        </w:rPr>
        <w:t>The results of a research may be influenced by a country-specific factor or a common factor of more than one country. In this research, the focus is on countries with the French Civil Law</w:t>
      </w:r>
      <w:r w:rsidR="006719EC">
        <w:rPr>
          <w:rFonts w:cs="Calibri"/>
          <w:bCs/>
          <w:lang w:val="en-GB"/>
        </w:rPr>
        <w:t>;</w:t>
      </w:r>
      <w:r w:rsidR="00FB09BB" w:rsidRPr="00F67CC4">
        <w:rPr>
          <w:rFonts w:cs="Calibri"/>
          <w:bCs/>
          <w:lang w:val="en-GB"/>
        </w:rPr>
        <w:t xml:space="preserve"> this type of law has its own characteristics but </w:t>
      </w:r>
      <w:r w:rsidR="008D135D">
        <w:rPr>
          <w:rFonts w:cs="Calibri"/>
          <w:bCs/>
          <w:lang w:val="en-GB"/>
        </w:rPr>
        <w:t>in addition</w:t>
      </w:r>
      <w:r w:rsidR="00FB09BB" w:rsidRPr="00F67CC4">
        <w:rPr>
          <w:rFonts w:cs="Calibri"/>
          <w:bCs/>
          <w:lang w:val="en-GB"/>
        </w:rPr>
        <w:t xml:space="preserve"> the countries that are labelled as French Civil Law differ from each other. In order to understand the characteristics of French Civil Law countries, the general characteristics will be </w:t>
      </w:r>
      <w:r w:rsidR="008D135D">
        <w:rPr>
          <w:rFonts w:cs="Calibri"/>
          <w:bCs/>
          <w:lang w:val="en-GB"/>
        </w:rPr>
        <w:t>presented</w:t>
      </w:r>
      <w:r w:rsidR="00FB09BB" w:rsidRPr="00F67CC4">
        <w:rPr>
          <w:rFonts w:cs="Calibri"/>
          <w:bCs/>
          <w:lang w:val="en-GB"/>
        </w:rPr>
        <w:t xml:space="preserve">, but </w:t>
      </w:r>
      <w:r w:rsidR="008D135D">
        <w:rPr>
          <w:rFonts w:cs="Calibri"/>
          <w:bCs/>
          <w:lang w:val="en-GB"/>
        </w:rPr>
        <w:t>in addition</w:t>
      </w:r>
      <w:r w:rsidR="00FB09BB" w:rsidRPr="00F67CC4">
        <w:rPr>
          <w:rFonts w:cs="Calibri"/>
          <w:bCs/>
          <w:lang w:val="en-GB"/>
        </w:rPr>
        <w:t xml:space="preserve"> the countries will be </w:t>
      </w:r>
      <w:r w:rsidR="008D135D">
        <w:rPr>
          <w:rFonts w:cs="Calibri"/>
          <w:bCs/>
          <w:lang w:val="en-GB"/>
        </w:rPr>
        <w:t>commented</w:t>
      </w:r>
      <w:r w:rsidR="00FB09BB" w:rsidRPr="00F67CC4">
        <w:rPr>
          <w:rFonts w:cs="Calibri"/>
          <w:bCs/>
          <w:lang w:val="en-GB"/>
        </w:rPr>
        <w:t xml:space="preserve"> </w:t>
      </w:r>
      <w:r w:rsidR="006719EC">
        <w:rPr>
          <w:rFonts w:cs="Calibri"/>
          <w:bCs/>
          <w:lang w:val="en-GB"/>
        </w:rPr>
        <w:t xml:space="preserve">separately </w:t>
      </w:r>
      <w:r w:rsidR="00FB09BB" w:rsidRPr="00F67CC4">
        <w:rPr>
          <w:rFonts w:cs="Calibri"/>
          <w:bCs/>
          <w:lang w:val="en-GB"/>
        </w:rPr>
        <w:t>when they do not comply with the</w:t>
      </w:r>
      <w:r w:rsidR="006719EC">
        <w:rPr>
          <w:rFonts w:cs="Calibri"/>
          <w:bCs/>
          <w:lang w:val="en-GB"/>
        </w:rPr>
        <w:t xml:space="preserve"> general</w:t>
      </w:r>
      <w:r w:rsidR="00FB09BB" w:rsidRPr="00F67CC4">
        <w:rPr>
          <w:rFonts w:cs="Calibri"/>
          <w:bCs/>
          <w:lang w:val="en-GB"/>
        </w:rPr>
        <w:t xml:space="preserve"> characteristic. </w:t>
      </w:r>
    </w:p>
    <w:p w:rsidR="003F508F" w:rsidRDefault="00FB09BB" w:rsidP="002F359C">
      <w:pPr>
        <w:spacing w:line="360" w:lineRule="auto"/>
        <w:rPr>
          <w:rFonts w:cs="Calibri"/>
          <w:bCs/>
          <w:lang w:val="en-GB"/>
        </w:rPr>
      </w:pPr>
      <w:r w:rsidRPr="00F67CC4">
        <w:rPr>
          <w:rFonts w:cs="Calibri"/>
          <w:bCs/>
          <w:lang w:val="en-GB"/>
        </w:rPr>
        <w:t xml:space="preserve">First </w:t>
      </w:r>
      <w:r w:rsidR="008D135D">
        <w:rPr>
          <w:rFonts w:cs="Calibri"/>
          <w:bCs/>
          <w:lang w:val="en-GB"/>
        </w:rPr>
        <w:t xml:space="preserve">the </w:t>
      </w:r>
      <w:r w:rsidRPr="00F67CC4">
        <w:rPr>
          <w:rFonts w:cs="Calibri"/>
          <w:bCs/>
          <w:lang w:val="en-GB"/>
        </w:rPr>
        <w:t xml:space="preserve">distinction between </w:t>
      </w:r>
      <w:r w:rsidR="008D135D">
        <w:rPr>
          <w:rFonts w:cs="Calibri"/>
          <w:bCs/>
          <w:lang w:val="en-GB"/>
        </w:rPr>
        <w:t xml:space="preserve">the </w:t>
      </w:r>
      <w:r w:rsidRPr="00F67CC4">
        <w:rPr>
          <w:rFonts w:cs="Calibri"/>
          <w:bCs/>
          <w:lang w:val="en-GB"/>
        </w:rPr>
        <w:t xml:space="preserve">civil and </w:t>
      </w:r>
      <w:r w:rsidR="008D135D">
        <w:rPr>
          <w:rFonts w:cs="Calibri"/>
          <w:bCs/>
          <w:lang w:val="en-GB"/>
        </w:rPr>
        <w:t xml:space="preserve">the </w:t>
      </w:r>
      <w:r w:rsidRPr="00F67CC4">
        <w:rPr>
          <w:rFonts w:cs="Calibri"/>
          <w:bCs/>
          <w:lang w:val="en-GB"/>
        </w:rPr>
        <w:t xml:space="preserve">common law. </w:t>
      </w:r>
      <w:r w:rsidR="00E06FD3" w:rsidRPr="00F67CC4">
        <w:rPr>
          <w:rFonts w:cs="Calibri"/>
          <w:bCs/>
          <w:lang w:val="en-GB"/>
        </w:rPr>
        <w:t>The civil law uses statutes and comprehensive codes to order legal material. Currently three common families of law within the civil-law</w:t>
      </w:r>
      <w:r w:rsidR="009060FF">
        <w:rPr>
          <w:rFonts w:cs="Calibri"/>
          <w:bCs/>
          <w:lang w:val="en-GB"/>
        </w:rPr>
        <w:t xml:space="preserve"> exist</w:t>
      </w:r>
      <w:r w:rsidR="00E06FD3" w:rsidRPr="00F67CC4">
        <w:rPr>
          <w:rFonts w:cs="Calibri"/>
          <w:bCs/>
          <w:lang w:val="en-GB"/>
        </w:rPr>
        <w:t xml:space="preserve">: </w:t>
      </w:r>
      <w:r w:rsidR="008B45C6">
        <w:rPr>
          <w:rFonts w:cs="Calibri"/>
          <w:bCs/>
          <w:lang w:val="en-GB"/>
        </w:rPr>
        <w:t>French, German and Scandinavian</w:t>
      </w:r>
      <w:r w:rsidR="00E06FD3" w:rsidRPr="00F67CC4">
        <w:rPr>
          <w:rFonts w:cs="Calibri"/>
          <w:bCs/>
          <w:lang w:val="en-GB"/>
        </w:rPr>
        <w:t xml:space="preserve"> (La Porta et al. 1998, p</w:t>
      </w:r>
      <w:r w:rsidR="009060FF">
        <w:rPr>
          <w:rFonts w:cs="Calibri"/>
          <w:bCs/>
          <w:lang w:val="en-GB"/>
        </w:rPr>
        <w:t xml:space="preserve"> </w:t>
      </w:r>
      <w:r w:rsidR="00E06FD3" w:rsidRPr="00F67CC4">
        <w:rPr>
          <w:rFonts w:cs="Calibri"/>
          <w:bCs/>
          <w:lang w:val="en-GB"/>
        </w:rPr>
        <w:t>1118)</w:t>
      </w:r>
      <w:r w:rsidR="008B45C6">
        <w:rPr>
          <w:rFonts w:cs="Calibri"/>
          <w:bCs/>
          <w:lang w:val="en-GB"/>
        </w:rPr>
        <w:t>.</w:t>
      </w:r>
      <w:r w:rsidR="009060FF">
        <w:rPr>
          <w:rFonts w:cs="Calibri"/>
          <w:bCs/>
          <w:lang w:val="en-GB"/>
        </w:rPr>
        <w:t xml:space="preserve"> This</w:t>
      </w:r>
      <w:r w:rsidR="00E06FD3" w:rsidRPr="00F67CC4">
        <w:rPr>
          <w:rFonts w:cs="Calibri"/>
          <w:bCs/>
          <w:lang w:val="en-GB"/>
        </w:rPr>
        <w:t xml:space="preserve"> research focus</w:t>
      </w:r>
      <w:r w:rsidR="009060FF">
        <w:rPr>
          <w:rFonts w:cs="Calibri"/>
          <w:bCs/>
          <w:lang w:val="en-GB"/>
        </w:rPr>
        <w:t>ses</w:t>
      </w:r>
      <w:r w:rsidR="00E06FD3" w:rsidRPr="00F67CC4">
        <w:rPr>
          <w:rFonts w:cs="Calibri"/>
          <w:bCs/>
          <w:lang w:val="en-GB"/>
        </w:rPr>
        <w:t xml:space="preserve"> on the French Civil Law family including the countries The Netherlands, Belgium and France. The common law does not use the contributions of scholars to shape the law, but used judges to resolve disputes. Examples of countries</w:t>
      </w:r>
      <w:r w:rsidR="008B45C6">
        <w:rPr>
          <w:rFonts w:cs="Calibri"/>
          <w:bCs/>
          <w:lang w:val="en-GB"/>
        </w:rPr>
        <w:t xml:space="preserve"> that use this type of law are T</w:t>
      </w:r>
      <w:r w:rsidR="00E06FD3" w:rsidRPr="00F67CC4">
        <w:rPr>
          <w:rFonts w:cs="Calibri"/>
          <w:bCs/>
          <w:lang w:val="en-GB"/>
        </w:rPr>
        <w:t>he United States</w:t>
      </w:r>
      <w:r w:rsidR="008B45C6">
        <w:rPr>
          <w:rFonts w:cs="Calibri"/>
          <w:bCs/>
          <w:lang w:val="en-GB"/>
        </w:rPr>
        <w:t xml:space="preserve"> of America</w:t>
      </w:r>
      <w:r w:rsidR="00E06FD3" w:rsidRPr="00F67CC4">
        <w:rPr>
          <w:rFonts w:cs="Calibri"/>
          <w:bCs/>
          <w:lang w:val="en-GB"/>
        </w:rPr>
        <w:t xml:space="preserve">, Canada, Australia and India. </w:t>
      </w:r>
    </w:p>
    <w:p w:rsidR="00FB393D" w:rsidRDefault="009060FF" w:rsidP="002F359C">
      <w:pPr>
        <w:spacing w:line="360" w:lineRule="auto"/>
        <w:rPr>
          <w:rFonts w:cs="Calibri"/>
          <w:bCs/>
          <w:lang w:val="en-GB"/>
        </w:rPr>
      </w:pPr>
      <w:r>
        <w:rPr>
          <w:rFonts w:cs="Calibri"/>
          <w:bCs/>
          <w:lang w:val="en-GB"/>
        </w:rPr>
        <w:t xml:space="preserve">When </w:t>
      </w:r>
      <w:r w:rsidR="003F508F">
        <w:rPr>
          <w:rFonts w:cs="Calibri"/>
          <w:bCs/>
          <w:lang w:val="en-GB"/>
        </w:rPr>
        <w:t>compar</w:t>
      </w:r>
      <w:r>
        <w:rPr>
          <w:rFonts w:cs="Calibri"/>
          <w:bCs/>
          <w:lang w:val="en-GB"/>
        </w:rPr>
        <w:t>ing</w:t>
      </w:r>
      <w:r w:rsidR="003F508F">
        <w:rPr>
          <w:rFonts w:cs="Calibri"/>
          <w:bCs/>
          <w:lang w:val="en-GB"/>
        </w:rPr>
        <w:t xml:space="preserve"> these families, the Scandinavian and German law </w:t>
      </w:r>
      <w:r>
        <w:rPr>
          <w:rFonts w:cs="Calibri"/>
          <w:bCs/>
          <w:lang w:val="en-GB"/>
        </w:rPr>
        <w:t>create</w:t>
      </w:r>
      <w:r w:rsidR="003F508F">
        <w:rPr>
          <w:rFonts w:cs="Calibri"/>
          <w:bCs/>
          <w:lang w:val="en-GB"/>
        </w:rPr>
        <w:t xml:space="preserve"> average shareholders and creditors’ protection </w:t>
      </w:r>
      <w:r>
        <w:rPr>
          <w:rFonts w:cs="Calibri"/>
          <w:bCs/>
          <w:lang w:val="en-GB"/>
        </w:rPr>
        <w:t>in which</w:t>
      </w:r>
      <w:r w:rsidR="003F508F">
        <w:rPr>
          <w:rFonts w:cs="Calibri"/>
          <w:bCs/>
          <w:lang w:val="en-GB"/>
        </w:rPr>
        <w:t xml:space="preserve"> the French civil law provides the weakest protection. </w:t>
      </w:r>
      <w:r w:rsidR="00FB393D">
        <w:rPr>
          <w:rFonts w:cs="Calibri"/>
          <w:bCs/>
          <w:lang w:val="en-GB"/>
        </w:rPr>
        <w:t>Before</w:t>
      </w:r>
      <w:r w:rsidR="003F508F">
        <w:rPr>
          <w:rFonts w:cs="Calibri"/>
          <w:bCs/>
          <w:lang w:val="en-GB"/>
        </w:rPr>
        <w:t xml:space="preserve"> some differences between the different civil law countries have been described, </w:t>
      </w:r>
      <w:r w:rsidR="00FB393D">
        <w:rPr>
          <w:rFonts w:cs="Calibri"/>
          <w:bCs/>
          <w:lang w:val="en-GB"/>
        </w:rPr>
        <w:t>because of the use of this type of countries in this research, next the characteristics of the French civil law will be further explained.</w:t>
      </w:r>
    </w:p>
    <w:p w:rsidR="00D561D2" w:rsidRDefault="00FB393D" w:rsidP="00D561D2">
      <w:pPr>
        <w:pStyle w:val="Heading1"/>
        <w:spacing w:line="360" w:lineRule="auto"/>
        <w:rPr>
          <w:rFonts w:ascii="Calibri" w:hAnsi="Calibri" w:cs="Calibri"/>
          <w:b w:val="0"/>
          <w:sz w:val="22"/>
          <w:szCs w:val="22"/>
          <w:lang w:val="en-GB"/>
        </w:rPr>
      </w:pPr>
      <w:bookmarkStart w:id="1" w:name="_Toc335305157"/>
      <w:r>
        <w:rPr>
          <w:rFonts w:ascii="Calibri" w:hAnsi="Calibri" w:cs="Calibri"/>
          <w:b w:val="0"/>
          <w:sz w:val="22"/>
          <w:szCs w:val="22"/>
          <w:lang w:val="en-GB"/>
        </w:rPr>
        <w:t>For a successful implementation of IFRS and what type of earnings management by managers is used, c</w:t>
      </w:r>
      <w:r w:rsidR="00FB09BB" w:rsidRPr="00FB09BB">
        <w:rPr>
          <w:rFonts w:ascii="Calibri" w:hAnsi="Calibri" w:cs="Calibri"/>
          <w:b w:val="0"/>
          <w:sz w:val="22"/>
          <w:szCs w:val="22"/>
          <w:lang w:val="en-GB"/>
        </w:rPr>
        <w:t xml:space="preserve">ertain factors </w:t>
      </w:r>
      <w:r>
        <w:rPr>
          <w:rFonts w:ascii="Calibri" w:hAnsi="Calibri" w:cs="Calibri"/>
          <w:b w:val="0"/>
          <w:sz w:val="22"/>
          <w:szCs w:val="22"/>
          <w:lang w:val="en-GB"/>
        </w:rPr>
        <w:t xml:space="preserve">are essential. </w:t>
      </w:r>
      <w:r w:rsidR="00FB09BB" w:rsidRPr="00FB09BB">
        <w:rPr>
          <w:rFonts w:ascii="Calibri" w:hAnsi="Calibri" w:cs="Calibri"/>
          <w:b w:val="0"/>
          <w:sz w:val="22"/>
          <w:szCs w:val="22"/>
          <w:lang w:val="en-GB"/>
        </w:rPr>
        <w:t>Are the local GAAP of a country already in line with the new international standards and what protection for investors is already</w:t>
      </w:r>
      <w:r>
        <w:rPr>
          <w:rFonts w:ascii="Calibri" w:hAnsi="Calibri" w:cs="Calibri"/>
          <w:b w:val="0"/>
          <w:sz w:val="22"/>
          <w:szCs w:val="22"/>
          <w:lang w:val="en-GB"/>
        </w:rPr>
        <w:t xml:space="preserve"> provided by the legal system? As already mentioned in </w:t>
      </w:r>
      <w:r w:rsidRPr="00FB393D">
        <w:rPr>
          <w:rFonts w:ascii="Calibri" w:hAnsi="Calibri" w:cs="Calibri"/>
          <w:b w:val="0"/>
          <w:sz w:val="22"/>
          <w:szCs w:val="22"/>
          <w:lang w:val="en-GB"/>
        </w:rPr>
        <w:t>section 3.3 t</w:t>
      </w:r>
      <w:r w:rsidR="00FB09BB" w:rsidRPr="00FB393D">
        <w:rPr>
          <w:rFonts w:ascii="Calibri" w:hAnsi="Calibri" w:cs="Calibri"/>
          <w:b w:val="0"/>
          <w:sz w:val="22"/>
          <w:szCs w:val="22"/>
          <w:lang w:val="en-GB"/>
        </w:rPr>
        <w:t>he</w:t>
      </w:r>
      <w:r w:rsidR="00FB09BB" w:rsidRPr="00FB09BB">
        <w:rPr>
          <w:rFonts w:ascii="Calibri" w:hAnsi="Calibri" w:cs="Calibri"/>
          <w:b w:val="0"/>
          <w:sz w:val="22"/>
          <w:szCs w:val="22"/>
          <w:lang w:val="en-GB"/>
        </w:rPr>
        <w:t xml:space="preserve"> three main factors that influence a successful implementation of IFRS are (1) the quality of the standards that were used before IFRS, (2) the country’s legal and political system and (3) the financial reporting incentives of companies in that country. (Soderstrom and Sun 2007, p</w:t>
      </w:r>
      <w:r>
        <w:rPr>
          <w:rFonts w:ascii="Calibri" w:hAnsi="Calibri" w:cs="Calibri"/>
          <w:b w:val="0"/>
          <w:sz w:val="22"/>
          <w:szCs w:val="22"/>
          <w:lang w:val="en-GB"/>
        </w:rPr>
        <w:t xml:space="preserve"> </w:t>
      </w:r>
      <w:r w:rsidR="00FB09BB" w:rsidRPr="00FB09BB">
        <w:rPr>
          <w:rFonts w:ascii="Calibri" w:hAnsi="Calibri" w:cs="Calibri"/>
          <w:b w:val="0"/>
          <w:sz w:val="22"/>
          <w:szCs w:val="22"/>
          <w:lang w:val="en-GB"/>
        </w:rPr>
        <w:t>695)</w:t>
      </w:r>
      <w:bookmarkEnd w:id="1"/>
    </w:p>
    <w:p w:rsidR="00042182" w:rsidRDefault="008B45C6" w:rsidP="00636693">
      <w:pPr>
        <w:spacing w:line="360" w:lineRule="auto"/>
        <w:rPr>
          <w:lang w:val="en-GB"/>
        </w:rPr>
      </w:pPr>
      <w:r>
        <w:rPr>
          <w:lang w:val="en-GB"/>
        </w:rPr>
        <w:t xml:space="preserve">The first factor </w:t>
      </w:r>
      <w:r w:rsidR="00D561D2" w:rsidRPr="00D561D2">
        <w:rPr>
          <w:lang w:val="en-GB"/>
        </w:rPr>
        <w:t>of influence is</w:t>
      </w:r>
      <w:r w:rsidR="00C81FCC" w:rsidRPr="00D561D2">
        <w:rPr>
          <w:lang w:val="en-GB"/>
        </w:rPr>
        <w:t xml:space="preserve"> the quality of the </w:t>
      </w:r>
      <w:r w:rsidR="00D561D2" w:rsidRPr="00D561D2">
        <w:rPr>
          <w:lang w:val="en-GB"/>
        </w:rPr>
        <w:t>local GAAP</w:t>
      </w:r>
      <w:r w:rsidR="00C81FCC" w:rsidRPr="00D561D2">
        <w:rPr>
          <w:lang w:val="en-GB"/>
        </w:rPr>
        <w:t xml:space="preserve"> in The Netherlands, </w:t>
      </w:r>
      <w:r w:rsidR="00FB393D">
        <w:rPr>
          <w:lang w:val="en-GB"/>
        </w:rPr>
        <w:t xml:space="preserve">in </w:t>
      </w:r>
      <w:r w:rsidR="00C81FCC" w:rsidRPr="00D561D2">
        <w:rPr>
          <w:lang w:val="en-GB"/>
        </w:rPr>
        <w:t xml:space="preserve">Belgium and </w:t>
      </w:r>
      <w:r w:rsidR="00FB393D">
        <w:rPr>
          <w:lang w:val="en-GB"/>
        </w:rPr>
        <w:t xml:space="preserve">in </w:t>
      </w:r>
      <w:r w:rsidR="00C81FCC" w:rsidRPr="00D561D2">
        <w:rPr>
          <w:lang w:val="en-GB"/>
        </w:rPr>
        <w:t>France</w:t>
      </w:r>
      <w:r w:rsidR="00D561D2" w:rsidRPr="00D561D2">
        <w:rPr>
          <w:lang w:val="en-GB"/>
        </w:rPr>
        <w:t xml:space="preserve"> that was used before the introduction of IFRS. </w:t>
      </w:r>
      <w:r w:rsidRPr="008B45C6">
        <w:rPr>
          <w:i/>
          <w:lang w:val="en-GB"/>
        </w:rPr>
        <w:t>“</w:t>
      </w:r>
      <w:r w:rsidR="00D561D2" w:rsidRPr="008B45C6">
        <w:rPr>
          <w:i/>
          <w:lang w:val="en-GB"/>
        </w:rPr>
        <w:t xml:space="preserve">The UK, Ireland and the Netherlands are the European countries of which the national accounting approaches comply </w:t>
      </w:r>
      <w:r w:rsidR="009D1520" w:rsidRPr="008B45C6">
        <w:rPr>
          <w:i/>
          <w:lang w:val="en-GB"/>
        </w:rPr>
        <w:t xml:space="preserve">the </w:t>
      </w:r>
      <w:r w:rsidR="00FB393D">
        <w:rPr>
          <w:i/>
          <w:lang w:val="en-GB"/>
        </w:rPr>
        <w:t>most with IAS</w:t>
      </w:r>
      <w:r w:rsidRPr="008B45C6">
        <w:rPr>
          <w:i/>
          <w:lang w:val="en-GB"/>
        </w:rPr>
        <w:t>”</w:t>
      </w:r>
      <w:r w:rsidR="00D561D2" w:rsidRPr="008B45C6">
        <w:rPr>
          <w:i/>
          <w:lang w:val="en-GB"/>
        </w:rPr>
        <w:t xml:space="preserve"> </w:t>
      </w:r>
      <w:r w:rsidR="00D561D2" w:rsidRPr="00D561D2">
        <w:rPr>
          <w:lang w:val="en-GB"/>
        </w:rPr>
        <w:t>(Haller</w:t>
      </w:r>
      <w:r w:rsidR="00D561D2" w:rsidRPr="00D561D2">
        <w:rPr>
          <w:lang w:val="en-US"/>
        </w:rPr>
        <w:t xml:space="preserve"> </w:t>
      </w:r>
      <w:r w:rsidR="00D561D2" w:rsidRPr="00D561D2">
        <w:rPr>
          <w:lang w:val="en-GB"/>
        </w:rPr>
        <w:lastRenderedPageBreak/>
        <w:t>2002, p</w:t>
      </w:r>
      <w:r w:rsidR="00FB393D">
        <w:rPr>
          <w:lang w:val="en-GB"/>
        </w:rPr>
        <w:t xml:space="preserve"> </w:t>
      </w:r>
      <w:r w:rsidR="00D561D2" w:rsidRPr="00D561D2">
        <w:rPr>
          <w:lang w:val="en-GB"/>
        </w:rPr>
        <w:t xml:space="preserve">170) Haller (2002) states that the standards used in The Netherlands already are in </w:t>
      </w:r>
      <w:r w:rsidR="00FB393D">
        <w:rPr>
          <w:lang w:val="en-GB"/>
        </w:rPr>
        <w:t>conformity</w:t>
      </w:r>
      <w:r w:rsidR="00D561D2" w:rsidRPr="00D561D2">
        <w:rPr>
          <w:lang w:val="en-GB"/>
        </w:rPr>
        <w:t xml:space="preserve"> with IAS, which creates the expectation of no significant difference in the management of </w:t>
      </w:r>
      <w:r w:rsidR="00415D73">
        <w:rPr>
          <w:lang w:val="en-GB"/>
        </w:rPr>
        <w:t xml:space="preserve">the published </w:t>
      </w:r>
      <w:r w:rsidR="00D561D2" w:rsidRPr="00D561D2">
        <w:rPr>
          <w:lang w:val="en-GB"/>
        </w:rPr>
        <w:t xml:space="preserve">earnings between </w:t>
      </w:r>
      <w:r w:rsidR="00415D73">
        <w:rPr>
          <w:lang w:val="en-GB"/>
        </w:rPr>
        <w:t xml:space="preserve">the </w:t>
      </w:r>
      <w:r w:rsidR="00D561D2" w:rsidRPr="00D561D2">
        <w:rPr>
          <w:lang w:val="en-GB"/>
        </w:rPr>
        <w:t xml:space="preserve">financial reports </w:t>
      </w:r>
      <w:r w:rsidR="00415D73">
        <w:rPr>
          <w:lang w:val="en-GB"/>
        </w:rPr>
        <w:t>based on</w:t>
      </w:r>
      <w:r>
        <w:rPr>
          <w:lang w:val="en-GB"/>
        </w:rPr>
        <w:t xml:space="preserve"> Dutch GAAP and</w:t>
      </w:r>
      <w:r w:rsidR="00415D73">
        <w:rPr>
          <w:lang w:val="en-GB"/>
        </w:rPr>
        <w:t xml:space="preserve"> on</w:t>
      </w:r>
      <w:r>
        <w:rPr>
          <w:lang w:val="en-GB"/>
        </w:rPr>
        <w:t xml:space="preserve"> IFRS</w:t>
      </w:r>
      <w:r w:rsidR="00D561D2" w:rsidRPr="00D561D2">
        <w:rPr>
          <w:lang w:val="en-GB"/>
        </w:rPr>
        <w:t xml:space="preserve"> (Haller 2002, p</w:t>
      </w:r>
      <w:r w:rsidR="00415D73">
        <w:rPr>
          <w:lang w:val="en-GB"/>
        </w:rPr>
        <w:t xml:space="preserve"> </w:t>
      </w:r>
      <w:r w:rsidR="00D561D2" w:rsidRPr="00D561D2">
        <w:rPr>
          <w:lang w:val="en-GB"/>
        </w:rPr>
        <w:t>171)</w:t>
      </w:r>
      <w:r>
        <w:rPr>
          <w:lang w:val="en-GB"/>
        </w:rPr>
        <w:t>.</w:t>
      </w:r>
      <w:r w:rsidR="005B436F">
        <w:rPr>
          <w:lang w:val="en-GB"/>
        </w:rPr>
        <w:t xml:space="preserve"> According to Haller (2002), Belgium and France, together with</w:t>
      </w:r>
      <w:r w:rsidR="00415D73">
        <w:rPr>
          <w:lang w:val="en-GB"/>
        </w:rPr>
        <w:t xml:space="preserve"> the</w:t>
      </w:r>
      <w:r w:rsidR="005B436F">
        <w:rPr>
          <w:lang w:val="en-GB"/>
        </w:rPr>
        <w:t xml:space="preserve"> other European </w:t>
      </w:r>
      <w:r w:rsidR="00415D73">
        <w:rPr>
          <w:lang w:val="en-GB"/>
        </w:rPr>
        <w:t xml:space="preserve">Union </w:t>
      </w:r>
      <w:r w:rsidR="005B436F">
        <w:rPr>
          <w:lang w:val="en-GB"/>
        </w:rPr>
        <w:t xml:space="preserve">countries, changed their national laws that companies may base their </w:t>
      </w:r>
      <w:r w:rsidR="00415D73">
        <w:rPr>
          <w:lang w:val="en-GB"/>
        </w:rPr>
        <w:t xml:space="preserve">consolidated </w:t>
      </w:r>
      <w:r w:rsidR="005B436F">
        <w:rPr>
          <w:lang w:val="en-GB"/>
        </w:rPr>
        <w:t xml:space="preserve">financial </w:t>
      </w:r>
      <w:r w:rsidR="00415D73">
        <w:rPr>
          <w:lang w:val="en-GB"/>
        </w:rPr>
        <w:t xml:space="preserve">annual </w:t>
      </w:r>
      <w:r w:rsidR="005B436F">
        <w:rPr>
          <w:lang w:val="en-GB"/>
        </w:rPr>
        <w:t xml:space="preserve">statements </w:t>
      </w:r>
      <w:r w:rsidR="00415D73">
        <w:rPr>
          <w:lang w:val="en-GB"/>
        </w:rPr>
        <w:t xml:space="preserve">based </w:t>
      </w:r>
      <w:r w:rsidR="005B436F">
        <w:rPr>
          <w:lang w:val="en-GB"/>
        </w:rPr>
        <w:t>on IAS or</w:t>
      </w:r>
      <w:r w:rsidR="00415D73">
        <w:rPr>
          <w:lang w:val="en-GB"/>
        </w:rPr>
        <w:t xml:space="preserve"> on</w:t>
      </w:r>
      <w:r w:rsidR="005B436F">
        <w:rPr>
          <w:lang w:val="en-GB"/>
        </w:rPr>
        <w:t xml:space="preserve"> US GAAP </w:t>
      </w:r>
      <w:r>
        <w:rPr>
          <w:lang w:val="en-GB"/>
        </w:rPr>
        <w:t>instead of their domestic rules</w:t>
      </w:r>
      <w:r w:rsidR="005B436F">
        <w:rPr>
          <w:lang w:val="en-GB"/>
        </w:rPr>
        <w:t xml:space="preserve"> (Haller 2002, p</w:t>
      </w:r>
      <w:r w:rsidR="00415D73">
        <w:rPr>
          <w:lang w:val="en-GB"/>
        </w:rPr>
        <w:t xml:space="preserve"> </w:t>
      </w:r>
      <w:r w:rsidR="005B436F">
        <w:rPr>
          <w:lang w:val="en-GB"/>
        </w:rPr>
        <w:t>169)</w:t>
      </w:r>
      <w:r>
        <w:rPr>
          <w:lang w:val="en-GB"/>
        </w:rPr>
        <w:t>.</w:t>
      </w:r>
      <w:r w:rsidR="005B436F">
        <w:rPr>
          <w:lang w:val="en-GB"/>
        </w:rPr>
        <w:t xml:space="preserve"> This </w:t>
      </w:r>
      <w:r w:rsidR="00636693">
        <w:rPr>
          <w:lang w:val="en-GB"/>
        </w:rPr>
        <w:t>statement shows that</w:t>
      </w:r>
      <w:r w:rsidR="00415D73">
        <w:rPr>
          <w:lang w:val="en-GB"/>
        </w:rPr>
        <w:t xml:space="preserve"> for companies</w:t>
      </w:r>
      <w:r w:rsidR="00636693">
        <w:rPr>
          <w:lang w:val="en-GB"/>
        </w:rPr>
        <w:t xml:space="preserve"> it was possible to apply already with the standards that a</w:t>
      </w:r>
      <w:r>
        <w:rPr>
          <w:lang w:val="en-GB"/>
        </w:rPr>
        <w:t xml:space="preserve">re in </w:t>
      </w:r>
      <w:r w:rsidR="00415D73">
        <w:rPr>
          <w:lang w:val="en-GB"/>
        </w:rPr>
        <w:t>conformity</w:t>
      </w:r>
      <w:r>
        <w:rPr>
          <w:lang w:val="en-GB"/>
        </w:rPr>
        <w:t xml:space="preserve"> with IFRS before these </w:t>
      </w:r>
      <w:r w:rsidR="00415D73">
        <w:rPr>
          <w:lang w:val="en-GB"/>
        </w:rPr>
        <w:t xml:space="preserve">in 2005 </w:t>
      </w:r>
      <w:r>
        <w:rPr>
          <w:lang w:val="en-GB"/>
        </w:rPr>
        <w:t>were</w:t>
      </w:r>
      <w:r w:rsidR="00636693">
        <w:rPr>
          <w:lang w:val="en-GB"/>
        </w:rPr>
        <w:t xml:space="preserve"> </w:t>
      </w:r>
      <w:r w:rsidR="00415D73">
        <w:rPr>
          <w:lang w:val="en-GB"/>
        </w:rPr>
        <w:t>o</w:t>
      </w:r>
      <w:r w:rsidR="0027284D">
        <w:rPr>
          <w:lang w:val="en-GB"/>
        </w:rPr>
        <w:t xml:space="preserve">bligatory </w:t>
      </w:r>
      <w:r w:rsidR="00415D73">
        <w:rPr>
          <w:lang w:val="en-GB"/>
        </w:rPr>
        <w:t>introduced</w:t>
      </w:r>
      <w:r w:rsidR="0027284D">
        <w:rPr>
          <w:lang w:val="en-GB"/>
        </w:rPr>
        <w:t xml:space="preserve">. Because </w:t>
      </w:r>
      <w:r w:rsidR="00415D73">
        <w:rPr>
          <w:lang w:val="en-GB"/>
        </w:rPr>
        <w:t>this was</w:t>
      </w:r>
      <w:r w:rsidR="00636693">
        <w:rPr>
          <w:lang w:val="en-GB"/>
        </w:rPr>
        <w:t xml:space="preserve"> a possibility, </w:t>
      </w:r>
      <w:r w:rsidR="00415D73">
        <w:rPr>
          <w:lang w:val="en-GB"/>
        </w:rPr>
        <w:t>this</w:t>
      </w:r>
      <w:r w:rsidR="00636693">
        <w:rPr>
          <w:lang w:val="en-GB"/>
        </w:rPr>
        <w:t xml:space="preserve"> does not </w:t>
      </w:r>
      <w:r w:rsidR="00415D73">
        <w:rPr>
          <w:lang w:val="en-GB"/>
        </w:rPr>
        <w:t>imply</w:t>
      </w:r>
      <w:r w:rsidR="00636693">
        <w:rPr>
          <w:lang w:val="en-GB"/>
        </w:rPr>
        <w:t xml:space="preserve"> that companies indeed apply to this. </w:t>
      </w:r>
      <w:r w:rsidR="00042182">
        <w:rPr>
          <w:lang w:val="en-GB"/>
        </w:rPr>
        <w:t xml:space="preserve">But the companies that used US GAAP before 2005 are excluded from the </w:t>
      </w:r>
      <w:r w:rsidR="0027284D">
        <w:rPr>
          <w:lang w:val="en-GB"/>
        </w:rPr>
        <w:t xml:space="preserve">sample and </w:t>
      </w:r>
      <w:r w:rsidR="00415D73">
        <w:rPr>
          <w:lang w:val="en-GB"/>
        </w:rPr>
        <w:t>consequently is</w:t>
      </w:r>
      <w:r w:rsidR="00042182">
        <w:rPr>
          <w:lang w:val="en-GB"/>
        </w:rPr>
        <w:t xml:space="preserve"> assume</w:t>
      </w:r>
      <w:r w:rsidR="00415D73">
        <w:rPr>
          <w:lang w:val="en-GB"/>
        </w:rPr>
        <w:t>d</w:t>
      </w:r>
      <w:r w:rsidR="00042182">
        <w:rPr>
          <w:lang w:val="en-GB"/>
        </w:rPr>
        <w:t xml:space="preserve"> that the accountin</w:t>
      </w:r>
      <w:r w:rsidR="00415D73">
        <w:rPr>
          <w:lang w:val="en-GB"/>
        </w:rPr>
        <w:t>g standards used before 2005, are already in conformity</w:t>
      </w:r>
      <w:r w:rsidR="00042182">
        <w:rPr>
          <w:lang w:val="en-GB"/>
        </w:rPr>
        <w:t xml:space="preserve"> with IFRS which </w:t>
      </w:r>
      <w:r w:rsidR="00415D73">
        <w:rPr>
          <w:lang w:val="en-GB"/>
        </w:rPr>
        <w:t xml:space="preserve">creates that </w:t>
      </w:r>
      <w:r w:rsidR="00042182">
        <w:rPr>
          <w:lang w:val="en-GB"/>
        </w:rPr>
        <w:t>the transition</w:t>
      </w:r>
      <w:r w:rsidR="0027284D">
        <w:rPr>
          <w:lang w:val="en-GB"/>
        </w:rPr>
        <w:t xml:space="preserve"> to IFRS</w:t>
      </w:r>
      <w:r w:rsidR="00042182">
        <w:rPr>
          <w:lang w:val="en-GB"/>
        </w:rPr>
        <w:t xml:space="preserve"> more easily.</w:t>
      </w:r>
    </w:p>
    <w:p w:rsidR="00D561D2" w:rsidRDefault="00636693" w:rsidP="00636693">
      <w:pPr>
        <w:spacing w:line="360" w:lineRule="auto"/>
        <w:rPr>
          <w:rFonts w:cs="Calibri"/>
          <w:lang w:val="en-GB"/>
        </w:rPr>
      </w:pPr>
      <w:r w:rsidRPr="00636693">
        <w:rPr>
          <w:rFonts w:cs="Calibri"/>
          <w:lang w:val="en-GB"/>
        </w:rPr>
        <w:t>The second factor of influence described by Soderstrom and Sun (2007) is the country’s legal and political system, which is checked by the level of investor protection.</w:t>
      </w:r>
      <w:r>
        <w:rPr>
          <w:rFonts w:cs="Calibri"/>
          <w:lang w:val="en-GB"/>
        </w:rPr>
        <w:t xml:space="preserve"> According to La Porta et al. (1998), common-law protect</w:t>
      </w:r>
      <w:r w:rsidR="0027284D">
        <w:rPr>
          <w:rFonts w:cs="Calibri"/>
          <w:lang w:val="en-GB"/>
        </w:rPr>
        <w:t>s</w:t>
      </w:r>
      <w:r>
        <w:rPr>
          <w:rFonts w:cs="Calibri"/>
          <w:lang w:val="en-GB"/>
        </w:rPr>
        <w:t xml:space="preserve"> investors the most and Frenc</w:t>
      </w:r>
      <w:r w:rsidR="0027284D">
        <w:rPr>
          <w:rFonts w:cs="Calibri"/>
          <w:lang w:val="en-GB"/>
        </w:rPr>
        <w:t>h Civil Law countries the least</w:t>
      </w:r>
      <w:r>
        <w:rPr>
          <w:rFonts w:cs="Calibri"/>
          <w:lang w:val="en-GB"/>
        </w:rPr>
        <w:t xml:space="preserve"> (La Porta et al. 1998, p1139)</w:t>
      </w:r>
      <w:r w:rsidR="0027284D">
        <w:rPr>
          <w:rFonts w:cs="Calibri"/>
          <w:lang w:val="en-GB"/>
        </w:rPr>
        <w:t>.</w:t>
      </w:r>
      <w:r w:rsidR="009D7E90" w:rsidRPr="00F67CC4">
        <w:rPr>
          <w:rFonts w:cs="Calibri"/>
          <w:b/>
          <w:lang w:val="en-GB"/>
        </w:rPr>
        <w:t xml:space="preserve"> </w:t>
      </w:r>
      <w:r w:rsidR="009D7E90" w:rsidRPr="009D7E90">
        <w:rPr>
          <w:rFonts w:cs="Calibri"/>
          <w:lang w:val="en-GB"/>
        </w:rPr>
        <w:t xml:space="preserve">This low level of protection is expressed in the low level of information that is </w:t>
      </w:r>
      <w:r w:rsidR="00415D73">
        <w:rPr>
          <w:rFonts w:cs="Calibri"/>
          <w:lang w:val="en-GB"/>
        </w:rPr>
        <w:t>communicated</w:t>
      </w:r>
      <w:r w:rsidR="009D7E90" w:rsidRPr="009D7E90">
        <w:rPr>
          <w:rFonts w:cs="Calibri"/>
          <w:lang w:val="en-GB"/>
        </w:rPr>
        <w:t xml:space="preserve"> to investors.</w:t>
      </w:r>
    </w:p>
    <w:p w:rsidR="001F54B3" w:rsidRDefault="009D7E90" w:rsidP="00636693">
      <w:pPr>
        <w:spacing w:line="360" w:lineRule="auto"/>
        <w:rPr>
          <w:rFonts w:cs="Calibri"/>
          <w:lang w:val="en-GB"/>
        </w:rPr>
      </w:pPr>
      <w:r w:rsidRPr="009D7E90">
        <w:rPr>
          <w:rFonts w:cs="Calibri"/>
          <w:lang w:val="en-GB"/>
        </w:rPr>
        <w:t>Another aspect of the country’s legal and political system is the legal enforcement strength.</w:t>
      </w:r>
      <w:r>
        <w:rPr>
          <w:rFonts w:cs="Calibri"/>
          <w:lang w:val="en-GB"/>
        </w:rPr>
        <w:t xml:space="preserve"> The legal enforcement strength is measured by the efficiency of</w:t>
      </w:r>
      <w:r w:rsidR="001F54B3">
        <w:rPr>
          <w:rFonts w:cs="Calibri"/>
          <w:lang w:val="en-GB"/>
        </w:rPr>
        <w:t xml:space="preserve"> the</w:t>
      </w:r>
      <w:r>
        <w:rPr>
          <w:rFonts w:cs="Calibri"/>
          <w:lang w:val="en-GB"/>
        </w:rPr>
        <w:t xml:space="preserve"> judicial system, </w:t>
      </w:r>
      <w:r w:rsidR="001F54B3">
        <w:rPr>
          <w:rFonts w:cs="Calibri"/>
          <w:lang w:val="en-GB"/>
        </w:rPr>
        <w:t xml:space="preserve">the </w:t>
      </w:r>
      <w:r>
        <w:rPr>
          <w:rFonts w:cs="Calibri"/>
          <w:lang w:val="en-GB"/>
        </w:rPr>
        <w:t xml:space="preserve">corruption and </w:t>
      </w:r>
      <w:r w:rsidR="001F54B3">
        <w:rPr>
          <w:rFonts w:cs="Calibri"/>
          <w:lang w:val="en-GB"/>
        </w:rPr>
        <w:t xml:space="preserve">the </w:t>
      </w:r>
      <w:r>
        <w:rPr>
          <w:rFonts w:cs="Calibri"/>
          <w:lang w:val="en-GB"/>
        </w:rPr>
        <w:t xml:space="preserve">accounting standards. When </w:t>
      </w:r>
      <w:r w:rsidR="001F54B3">
        <w:rPr>
          <w:rFonts w:cs="Calibri"/>
          <w:lang w:val="en-GB"/>
        </w:rPr>
        <w:t>checking</w:t>
      </w:r>
      <w:r>
        <w:rPr>
          <w:rFonts w:cs="Calibri"/>
          <w:lang w:val="en-GB"/>
        </w:rPr>
        <w:t xml:space="preserve"> for French Civil Law countries compared to other types of civil law countries and common law countries, the French Civil Law countries have the lowest scores on all three aspects. </w:t>
      </w:r>
      <w:r w:rsidR="00111277">
        <w:rPr>
          <w:rFonts w:cs="Calibri"/>
          <w:lang w:val="en-GB"/>
        </w:rPr>
        <w:t xml:space="preserve">This </w:t>
      </w:r>
      <w:r w:rsidR="001F54B3">
        <w:rPr>
          <w:rFonts w:cs="Calibri"/>
          <w:lang w:val="en-GB"/>
        </w:rPr>
        <w:t>implies</w:t>
      </w:r>
      <w:r w:rsidR="00111277">
        <w:rPr>
          <w:rFonts w:cs="Calibri"/>
          <w:lang w:val="en-GB"/>
        </w:rPr>
        <w:t xml:space="preserve"> that </w:t>
      </w:r>
      <w:r w:rsidR="001F54B3">
        <w:rPr>
          <w:rFonts w:cs="Calibri"/>
          <w:lang w:val="en-GB"/>
        </w:rPr>
        <w:t xml:space="preserve">the </w:t>
      </w:r>
      <w:r w:rsidR="00111277">
        <w:rPr>
          <w:rFonts w:cs="Calibri"/>
          <w:lang w:val="en-GB"/>
        </w:rPr>
        <w:t>French Civil Law countries have the lowest score on meeting conditions of the judicial system, have the highest corruption level in their governments and report the lowest amount of financial information (La Porta et al. 2000, p</w:t>
      </w:r>
      <w:r w:rsidR="001F54B3">
        <w:rPr>
          <w:rFonts w:cs="Calibri"/>
          <w:lang w:val="en-GB"/>
        </w:rPr>
        <w:t xml:space="preserve"> </w:t>
      </w:r>
      <w:r w:rsidR="00111277">
        <w:rPr>
          <w:rFonts w:cs="Calibri"/>
          <w:lang w:val="en-GB"/>
        </w:rPr>
        <w:t xml:space="preserve">10). </w:t>
      </w:r>
      <w:r w:rsidR="001F54B3">
        <w:rPr>
          <w:rFonts w:cs="Calibri"/>
          <w:lang w:val="en-GB"/>
        </w:rPr>
        <w:t>However, based on</w:t>
      </w:r>
      <w:r w:rsidR="00111277">
        <w:rPr>
          <w:rFonts w:cs="Calibri"/>
          <w:lang w:val="en-GB"/>
        </w:rPr>
        <w:t xml:space="preserve"> Burgstahler et al. (2006), </w:t>
      </w:r>
      <w:r w:rsidR="001F54B3">
        <w:rPr>
          <w:rFonts w:cs="Calibri"/>
          <w:lang w:val="en-GB"/>
        </w:rPr>
        <w:t xml:space="preserve">for both The Netherlands and Belgium a high level of legal enforcement strength exists. However, France does not score well on legal enforcement strength, in this situation it is hard to express an opinion on the legal enforcement strength of the sample used in this research. </w:t>
      </w:r>
    </w:p>
    <w:p w:rsidR="00457F22" w:rsidRPr="00B86BC8" w:rsidRDefault="00457F22" w:rsidP="00457F22">
      <w:pPr>
        <w:spacing w:line="360" w:lineRule="auto"/>
        <w:rPr>
          <w:rFonts w:cs="Calibri"/>
          <w:lang w:val="en-GB"/>
        </w:rPr>
      </w:pPr>
      <w:r w:rsidRPr="00B86BC8">
        <w:rPr>
          <w:rFonts w:cs="Calibri"/>
          <w:lang w:val="en-GB"/>
        </w:rPr>
        <w:t>The last country-specific factor</w:t>
      </w:r>
      <w:r w:rsidR="006F19F6" w:rsidRPr="00B86BC8">
        <w:rPr>
          <w:rFonts w:cs="Calibri"/>
          <w:lang w:val="en-GB"/>
        </w:rPr>
        <w:t xml:space="preserve"> </w:t>
      </w:r>
      <w:r w:rsidR="00FD57D0">
        <w:rPr>
          <w:rFonts w:cs="Calibri"/>
          <w:lang w:val="en-GB"/>
        </w:rPr>
        <w:t>commented</w:t>
      </w:r>
      <w:r w:rsidRPr="00B86BC8">
        <w:rPr>
          <w:rFonts w:cs="Calibri"/>
          <w:lang w:val="en-GB"/>
        </w:rPr>
        <w:t xml:space="preserve"> </w:t>
      </w:r>
      <w:r w:rsidR="006F19F6" w:rsidRPr="00B86BC8">
        <w:rPr>
          <w:rFonts w:cs="Calibri"/>
          <w:lang w:val="en-GB"/>
        </w:rPr>
        <w:t>is</w:t>
      </w:r>
      <w:r w:rsidRPr="00B86BC8">
        <w:rPr>
          <w:rFonts w:cs="Calibri"/>
          <w:lang w:val="en-GB"/>
        </w:rPr>
        <w:t xml:space="preserve"> the financial reporting incentives of companies in The Netherlands, Belgium and France. Financial reporting is </w:t>
      </w:r>
      <w:r w:rsidR="001F54B3">
        <w:rPr>
          <w:rFonts w:cs="Calibri"/>
          <w:lang w:val="en-GB"/>
        </w:rPr>
        <w:t>about finding an equilibrium of the costs for</w:t>
      </w:r>
      <w:r w:rsidRPr="00B86BC8">
        <w:rPr>
          <w:rFonts w:cs="Calibri"/>
          <w:lang w:val="en-GB"/>
        </w:rPr>
        <w:t xml:space="preserve"> disclosing financial information and the benefit of meeting contracting parties’ demand for information (Soderstrom and Sun 2007, p</w:t>
      </w:r>
      <w:r w:rsidR="001F54B3">
        <w:rPr>
          <w:rFonts w:cs="Calibri"/>
          <w:lang w:val="en-GB"/>
        </w:rPr>
        <w:t xml:space="preserve"> </w:t>
      </w:r>
      <w:r w:rsidRPr="00B86BC8">
        <w:rPr>
          <w:rFonts w:cs="Calibri"/>
          <w:lang w:val="en-GB"/>
        </w:rPr>
        <w:t xml:space="preserve">691). The amount of disclosed and requested depends on </w:t>
      </w:r>
      <w:r w:rsidRPr="00B86BC8">
        <w:rPr>
          <w:rFonts w:cs="Calibri"/>
          <w:lang w:val="en-GB"/>
        </w:rPr>
        <w:lastRenderedPageBreak/>
        <w:t>four factors: (1) financial market development, (2) capital structure, (3) ownership structure and (4) tax system (Soderstrom and Sun 2008, p</w:t>
      </w:r>
      <w:r w:rsidR="001F54B3">
        <w:rPr>
          <w:rFonts w:cs="Calibri"/>
          <w:lang w:val="en-GB"/>
        </w:rPr>
        <w:t xml:space="preserve"> </w:t>
      </w:r>
      <w:r w:rsidRPr="00B86BC8">
        <w:rPr>
          <w:rFonts w:cs="Calibri"/>
          <w:lang w:val="en-GB"/>
        </w:rPr>
        <w:t xml:space="preserve">691-695). </w:t>
      </w:r>
    </w:p>
    <w:p w:rsidR="009B2015" w:rsidRPr="00F67CC4" w:rsidRDefault="00F96475" w:rsidP="00BD4294">
      <w:pPr>
        <w:spacing w:line="360" w:lineRule="auto"/>
        <w:rPr>
          <w:rFonts w:cs="Calibri"/>
          <w:lang w:val="en-GB"/>
        </w:rPr>
      </w:pPr>
      <w:r w:rsidRPr="00F67CC4">
        <w:rPr>
          <w:rFonts w:cs="Calibri"/>
          <w:lang w:val="en-GB"/>
        </w:rPr>
        <w:t xml:space="preserve">The development on the financial market is about the demand for information to reduce </w:t>
      </w:r>
      <w:r w:rsidR="001F54B3">
        <w:rPr>
          <w:rFonts w:cs="Calibri"/>
          <w:lang w:val="en-GB"/>
        </w:rPr>
        <w:t xml:space="preserve">the </w:t>
      </w:r>
      <w:r w:rsidRPr="00F67CC4">
        <w:rPr>
          <w:rFonts w:cs="Calibri"/>
          <w:lang w:val="en-GB"/>
        </w:rPr>
        <w:t>info</w:t>
      </w:r>
      <w:r w:rsidR="001F54B3">
        <w:rPr>
          <w:rFonts w:cs="Calibri"/>
          <w:lang w:val="en-GB"/>
        </w:rPr>
        <w:t>rmation asymmetry. When an</w:t>
      </w:r>
      <w:r w:rsidRPr="00F67CC4">
        <w:rPr>
          <w:rFonts w:cs="Calibri"/>
          <w:lang w:val="en-GB"/>
        </w:rPr>
        <w:t xml:space="preserve"> information asymmetry</w:t>
      </w:r>
      <w:r w:rsidR="001F54B3">
        <w:rPr>
          <w:rFonts w:cs="Calibri"/>
          <w:lang w:val="en-GB"/>
        </w:rPr>
        <w:t xml:space="preserve"> exists</w:t>
      </w:r>
      <w:r w:rsidRPr="00F67CC4">
        <w:rPr>
          <w:rFonts w:cs="Calibri"/>
          <w:lang w:val="en-GB"/>
        </w:rPr>
        <w:t>, adverse selection may rise due to hard differentiating between good and bad firms (Soderstrom and Sun 2008, p</w:t>
      </w:r>
      <w:r w:rsidR="001F54B3">
        <w:rPr>
          <w:rFonts w:cs="Calibri"/>
          <w:lang w:val="en-GB"/>
        </w:rPr>
        <w:t xml:space="preserve"> </w:t>
      </w:r>
      <w:r w:rsidRPr="00F67CC4">
        <w:rPr>
          <w:rFonts w:cs="Calibri"/>
          <w:lang w:val="en-GB"/>
        </w:rPr>
        <w:t xml:space="preserve">691). </w:t>
      </w:r>
      <w:r w:rsidR="00303782" w:rsidRPr="00F67CC4">
        <w:rPr>
          <w:rFonts w:cs="Calibri"/>
          <w:lang w:val="en-GB"/>
        </w:rPr>
        <w:t>Burgstahler et al. (2006) conclude that public firms in contrast to private firms in countries with large and highly developed equity market engage less</w:t>
      </w:r>
      <w:r w:rsidR="001F54B3">
        <w:rPr>
          <w:rFonts w:cs="Calibri"/>
          <w:lang w:val="en-GB"/>
        </w:rPr>
        <w:t xml:space="preserve"> in the use of</w:t>
      </w:r>
      <w:r w:rsidR="00303782" w:rsidRPr="00F67CC4">
        <w:rPr>
          <w:rFonts w:cs="Calibri"/>
          <w:lang w:val="en-GB"/>
        </w:rPr>
        <w:t xml:space="preserve"> earnings management (Burgstahler et al. 2006, p</w:t>
      </w:r>
      <w:r w:rsidR="001F54B3">
        <w:rPr>
          <w:rFonts w:cs="Calibri"/>
          <w:lang w:val="en-GB"/>
        </w:rPr>
        <w:t xml:space="preserve"> </w:t>
      </w:r>
      <w:r w:rsidR="00303782" w:rsidRPr="00F67CC4">
        <w:rPr>
          <w:rFonts w:cs="Calibri"/>
          <w:lang w:val="en-GB"/>
        </w:rPr>
        <w:t>36)</w:t>
      </w:r>
      <w:r w:rsidR="0027284D">
        <w:rPr>
          <w:rFonts w:cs="Calibri"/>
          <w:lang w:val="en-GB"/>
        </w:rPr>
        <w:t>.</w:t>
      </w:r>
      <w:r w:rsidR="00303782" w:rsidRPr="00F67CC4">
        <w:rPr>
          <w:rFonts w:cs="Calibri"/>
          <w:lang w:val="en-GB"/>
        </w:rPr>
        <w:t xml:space="preserve"> </w:t>
      </w:r>
    </w:p>
    <w:p w:rsidR="0039691E" w:rsidRPr="00D53B54" w:rsidRDefault="009B2015" w:rsidP="0039691E">
      <w:pPr>
        <w:spacing w:line="360" w:lineRule="auto"/>
        <w:rPr>
          <w:rFonts w:cs="Calibri"/>
          <w:lang w:val="en-GB"/>
        </w:rPr>
      </w:pPr>
      <w:r w:rsidRPr="00F67CC4">
        <w:rPr>
          <w:rFonts w:cs="Calibri"/>
          <w:lang w:val="en-GB"/>
        </w:rPr>
        <w:t xml:space="preserve">The structure of ownership </w:t>
      </w:r>
      <w:r w:rsidR="001F54B3">
        <w:rPr>
          <w:rFonts w:cs="Calibri"/>
          <w:lang w:val="en-GB"/>
        </w:rPr>
        <w:t xml:space="preserve">in addition </w:t>
      </w:r>
      <w:r w:rsidRPr="00F67CC4">
        <w:rPr>
          <w:rFonts w:cs="Calibri"/>
          <w:lang w:val="en-GB"/>
        </w:rPr>
        <w:t>is a motive of financial reporting; w</w:t>
      </w:r>
      <w:r w:rsidR="0027284D">
        <w:rPr>
          <w:rFonts w:cs="Calibri"/>
          <w:lang w:val="en-GB"/>
        </w:rPr>
        <w:t>hen a</w:t>
      </w:r>
      <w:r w:rsidR="00443B8B" w:rsidRPr="00F67CC4">
        <w:rPr>
          <w:rFonts w:cs="Calibri"/>
          <w:lang w:val="en-GB"/>
        </w:rPr>
        <w:t xml:space="preserve"> firm is owned by a small amount of people</w:t>
      </w:r>
      <w:r w:rsidR="0039691E" w:rsidRPr="00F67CC4">
        <w:rPr>
          <w:rFonts w:cs="Calibri"/>
          <w:lang w:val="en-GB"/>
        </w:rPr>
        <w:t xml:space="preserve">, low incentives </w:t>
      </w:r>
      <w:r w:rsidR="001F54B3">
        <w:rPr>
          <w:rFonts w:cs="Calibri"/>
          <w:lang w:val="en-GB"/>
        </w:rPr>
        <w:t xml:space="preserve">exist </w:t>
      </w:r>
      <w:r w:rsidR="0039691E" w:rsidRPr="00F67CC4">
        <w:rPr>
          <w:rFonts w:cs="Calibri"/>
          <w:lang w:val="en-GB"/>
        </w:rPr>
        <w:t>for financial reporting</w:t>
      </w:r>
      <w:r w:rsidRPr="00F67CC4">
        <w:rPr>
          <w:rFonts w:cs="Calibri"/>
          <w:lang w:val="en-GB"/>
        </w:rPr>
        <w:t>. When the same people both execute and control the activities, fina</w:t>
      </w:r>
      <w:r w:rsidR="0027284D">
        <w:rPr>
          <w:rFonts w:cs="Calibri"/>
          <w:lang w:val="en-GB"/>
        </w:rPr>
        <w:t>ncial reporting to outsiders is no</w:t>
      </w:r>
      <w:r w:rsidRPr="00F67CC4">
        <w:rPr>
          <w:rFonts w:cs="Calibri"/>
          <w:lang w:val="en-GB"/>
        </w:rPr>
        <w:t xml:space="preserve">t necessary. </w:t>
      </w:r>
      <w:r w:rsidR="0039691E" w:rsidRPr="00F67CC4">
        <w:rPr>
          <w:rFonts w:cs="Calibri"/>
          <w:lang w:val="en-GB"/>
        </w:rPr>
        <w:t xml:space="preserve">When foreign investors </w:t>
      </w:r>
      <w:r w:rsidR="001F54B3">
        <w:rPr>
          <w:rFonts w:cs="Calibri"/>
          <w:lang w:val="en-GB"/>
        </w:rPr>
        <w:t xml:space="preserve">in the financing </w:t>
      </w:r>
      <w:r w:rsidR="0039691E" w:rsidRPr="00F67CC4">
        <w:rPr>
          <w:rFonts w:cs="Calibri"/>
          <w:lang w:val="en-GB"/>
        </w:rPr>
        <w:t xml:space="preserve">are </w:t>
      </w:r>
      <w:r w:rsidR="001F54B3">
        <w:rPr>
          <w:rFonts w:cs="Calibri"/>
          <w:lang w:val="en-GB"/>
        </w:rPr>
        <w:t>included</w:t>
      </w:r>
      <w:r w:rsidR="0039691E" w:rsidRPr="00F67CC4">
        <w:rPr>
          <w:rFonts w:cs="Calibri"/>
          <w:lang w:val="en-GB"/>
        </w:rPr>
        <w:t>,</w:t>
      </w:r>
      <w:r w:rsidR="001F54B3">
        <w:rPr>
          <w:rFonts w:cs="Calibri"/>
          <w:lang w:val="en-GB"/>
        </w:rPr>
        <w:t xml:space="preserve"> due to a lack of knowledge</w:t>
      </w:r>
      <w:r w:rsidR="0039691E" w:rsidRPr="00F67CC4">
        <w:rPr>
          <w:rFonts w:cs="Calibri"/>
          <w:lang w:val="en-GB"/>
        </w:rPr>
        <w:t xml:space="preserve"> the demand for information will be higher. </w:t>
      </w:r>
      <w:r w:rsidR="002B3411" w:rsidRPr="00F67CC4">
        <w:rPr>
          <w:rFonts w:cs="Calibri"/>
          <w:lang w:val="en-GB"/>
        </w:rPr>
        <w:t>O</w:t>
      </w:r>
      <w:r w:rsidR="0039691E" w:rsidRPr="00F67CC4">
        <w:rPr>
          <w:rFonts w:cs="Calibri"/>
          <w:lang w:val="en-GB"/>
        </w:rPr>
        <w:t xml:space="preserve">wnership concentration is a substitute for legal protection. This is because: (1) shareholders need more control to avoid being expropriated by managers, (2) small investors are </w:t>
      </w:r>
      <w:r w:rsidR="0039691E" w:rsidRPr="00D53B54">
        <w:rPr>
          <w:rFonts w:cs="Calibri"/>
          <w:lang w:val="en-GB"/>
        </w:rPr>
        <w:t>not interested in purchasing stocks</w:t>
      </w:r>
      <w:r w:rsidR="0027284D">
        <w:rPr>
          <w:rFonts w:cs="Calibri"/>
          <w:lang w:val="en-GB"/>
        </w:rPr>
        <w:t xml:space="preserve"> due to less protection</w:t>
      </w:r>
      <w:r w:rsidR="0039691E" w:rsidRPr="00D53B54">
        <w:rPr>
          <w:rFonts w:cs="Calibri"/>
          <w:lang w:val="en-GB"/>
        </w:rPr>
        <w:t xml:space="preserve"> (Soderstrom and Sun 2008</w:t>
      </w:r>
      <w:r w:rsidR="002A4A0A" w:rsidRPr="00D53B54">
        <w:rPr>
          <w:rFonts w:cs="Calibri"/>
          <w:lang w:val="en-GB"/>
        </w:rPr>
        <w:t>,</w:t>
      </w:r>
      <w:r w:rsidR="0039691E" w:rsidRPr="00D53B54">
        <w:rPr>
          <w:rFonts w:cs="Calibri"/>
          <w:lang w:val="en-GB"/>
        </w:rPr>
        <w:t xml:space="preserve"> p</w:t>
      </w:r>
      <w:r w:rsidR="001F54B3">
        <w:rPr>
          <w:rFonts w:cs="Calibri"/>
          <w:lang w:val="en-GB"/>
        </w:rPr>
        <w:t xml:space="preserve"> </w:t>
      </w:r>
      <w:r w:rsidR="0039691E" w:rsidRPr="00D53B54">
        <w:rPr>
          <w:rFonts w:cs="Calibri"/>
          <w:lang w:val="en-GB"/>
        </w:rPr>
        <w:t>694)</w:t>
      </w:r>
      <w:r w:rsidR="0027284D">
        <w:rPr>
          <w:rFonts w:cs="Calibri"/>
          <w:lang w:val="en-GB"/>
        </w:rPr>
        <w:t>.</w:t>
      </w:r>
    </w:p>
    <w:p w:rsidR="0039691E" w:rsidRPr="00D53B54" w:rsidRDefault="0039691E" w:rsidP="0039691E">
      <w:pPr>
        <w:spacing w:line="360" w:lineRule="auto"/>
        <w:rPr>
          <w:rFonts w:cs="Calibri"/>
          <w:lang w:val="en-GB"/>
        </w:rPr>
      </w:pPr>
      <w:r w:rsidRPr="00D53B54">
        <w:rPr>
          <w:rFonts w:cs="Calibri"/>
          <w:lang w:val="en-GB"/>
        </w:rPr>
        <w:t>T</w:t>
      </w:r>
      <w:r w:rsidR="00C94A56" w:rsidRPr="00D53B54">
        <w:rPr>
          <w:rFonts w:cs="Calibri"/>
          <w:lang w:val="en-GB"/>
        </w:rPr>
        <w:t xml:space="preserve">he last factor of influence </w:t>
      </w:r>
      <w:r w:rsidR="002B3411" w:rsidRPr="00D53B54">
        <w:rPr>
          <w:rFonts w:cs="Calibri"/>
          <w:lang w:val="en-GB"/>
        </w:rPr>
        <w:t xml:space="preserve">on the incentive for financial reporting </w:t>
      </w:r>
      <w:r w:rsidR="00C94A56" w:rsidRPr="00D53B54">
        <w:rPr>
          <w:rFonts w:cs="Calibri"/>
          <w:lang w:val="en-GB"/>
        </w:rPr>
        <w:t xml:space="preserve">is the tax system in a country. </w:t>
      </w:r>
      <w:r w:rsidR="001F54B3">
        <w:rPr>
          <w:rFonts w:cs="Calibri"/>
          <w:lang w:val="en-GB"/>
        </w:rPr>
        <w:t>Several</w:t>
      </w:r>
      <w:r w:rsidR="00C94A56" w:rsidRPr="00D53B54">
        <w:rPr>
          <w:rFonts w:cs="Calibri"/>
          <w:lang w:val="en-GB"/>
        </w:rPr>
        <w:t xml:space="preserve"> ways </w:t>
      </w:r>
      <w:r w:rsidR="001F54B3">
        <w:rPr>
          <w:rFonts w:cs="Calibri"/>
          <w:lang w:val="en-GB"/>
        </w:rPr>
        <w:t xml:space="preserve">exist </w:t>
      </w:r>
      <w:r w:rsidR="00C94A56" w:rsidRPr="00D53B54">
        <w:rPr>
          <w:rFonts w:cs="Calibri"/>
          <w:lang w:val="en-GB"/>
        </w:rPr>
        <w:t xml:space="preserve">a tax system can affect the quality of earnings: (1) earnings are less likely to reflect </w:t>
      </w:r>
      <w:r w:rsidR="001F54B3">
        <w:rPr>
          <w:rFonts w:cs="Calibri"/>
          <w:lang w:val="en-GB"/>
        </w:rPr>
        <w:t xml:space="preserve">the </w:t>
      </w:r>
      <w:r w:rsidR="00C94A56" w:rsidRPr="00D53B54">
        <w:rPr>
          <w:rFonts w:cs="Calibri"/>
          <w:lang w:val="en-GB"/>
        </w:rPr>
        <w:t xml:space="preserve">underlying business in a country with a close linkage between financial accounting income and </w:t>
      </w:r>
      <w:r w:rsidR="001F54B3">
        <w:rPr>
          <w:rFonts w:cs="Calibri"/>
          <w:lang w:val="en-GB"/>
        </w:rPr>
        <w:t xml:space="preserve">the </w:t>
      </w:r>
      <w:r w:rsidR="00C94A56" w:rsidRPr="00D53B54">
        <w:rPr>
          <w:rFonts w:cs="Calibri"/>
          <w:lang w:val="en-GB"/>
        </w:rPr>
        <w:t>taxable income (Guenther and Young, 2000) (2) A high tax rate will increase the incentive to reduce taxable income. (3) A country’s tax authority has statutory power in verifying a company’s profits.</w:t>
      </w:r>
    </w:p>
    <w:p w:rsidR="00F848DC" w:rsidRDefault="008D459E" w:rsidP="0039691E">
      <w:pPr>
        <w:spacing w:line="360" w:lineRule="auto"/>
        <w:rPr>
          <w:rFonts w:cs="Calibri"/>
          <w:lang w:val="en-GB"/>
        </w:rPr>
      </w:pPr>
      <w:r>
        <w:rPr>
          <w:rFonts w:cs="Calibri"/>
          <w:lang w:val="en-GB"/>
        </w:rPr>
        <w:t xml:space="preserve">When checking </w:t>
      </w:r>
      <w:r w:rsidR="007659D3" w:rsidRPr="00D53B54">
        <w:rPr>
          <w:rFonts w:cs="Calibri"/>
          <w:lang w:val="en-GB"/>
        </w:rPr>
        <w:t xml:space="preserve">for these financial reporting incentive factors with </w:t>
      </w:r>
      <w:r w:rsidR="00904764">
        <w:rPr>
          <w:rFonts w:cs="Calibri"/>
          <w:lang w:val="en-GB"/>
        </w:rPr>
        <w:t>the</w:t>
      </w:r>
      <w:r>
        <w:rPr>
          <w:rFonts w:cs="Calibri"/>
          <w:lang w:val="en-GB"/>
        </w:rPr>
        <w:t xml:space="preserve"> research, </w:t>
      </w:r>
      <w:r w:rsidR="007659D3" w:rsidRPr="00D53B54">
        <w:rPr>
          <w:rFonts w:cs="Calibri"/>
          <w:lang w:val="en-GB"/>
        </w:rPr>
        <w:t xml:space="preserve">no information asymmetry </w:t>
      </w:r>
      <w:r>
        <w:rPr>
          <w:rFonts w:cs="Calibri"/>
          <w:lang w:val="en-GB"/>
        </w:rPr>
        <w:t xml:space="preserve">exists </w:t>
      </w:r>
      <w:r w:rsidR="0027284D">
        <w:rPr>
          <w:rFonts w:cs="Calibri"/>
          <w:lang w:val="en-GB"/>
        </w:rPr>
        <w:t>because all companies are listed an</w:t>
      </w:r>
      <w:r>
        <w:rPr>
          <w:rFonts w:cs="Calibri"/>
          <w:lang w:val="en-GB"/>
        </w:rPr>
        <w:t>d</w:t>
      </w:r>
      <w:r w:rsidR="0027284D">
        <w:rPr>
          <w:rFonts w:cs="Calibri"/>
          <w:lang w:val="en-GB"/>
        </w:rPr>
        <w:t xml:space="preserve"> have many external funders. </w:t>
      </w:r>
      <w:r w:rsidR="007659D3" w:rsidRPr="00D53B54">
        <w:rPr>
          <w:rFonts w:cs="Calibri"/>
          <w:lang w:val="en-GB"/>
        </w:rPr>
        <w:t xml:space="preserve">Concerning the tax system, </w:t>
      </w:r>
      <w:r w:rsidR="00904764">
        <w:rPr>
          <w:rFonts w:cs="Calibri"/>
          <w:lang w:val="en-GB"/>
        </w:rPr>
        <w:t xml:space="preserve">because of the lack of information about the tax system of The Netherlands, Belgium and France and its influence on financial reporting and the use of earnings management, </w:t>
      </w:r>
      <w:r w:rsidR="007659D3" w:rsidRPr="00D53B54">
        <w:rPr>
          <w:rFonts w:cs="Calibri"/>
          <w:lang w:val="en-GB"/>
        </w:rPr>
        <w:t>it is h</w:t>
      </w:r>
      <w:r>
        <w:rPr>
          <w:rFonts w:cs="Calibri"/>
          <w:lang w:val="en-GB"/>
        </w:rPr>
        <w:t>ard to draw a conclusion</w:t>
      </w:r>
      <w:r w:rsidR="007659D3" w:rsidRPr="00D53B54">
        <w:rPr>
          <w:rFonts w:cs="Calibri"/>
          <w:lang w:val="en-GB"/>
        </w:rPr>
        <w:t xml:space="preserve">. </w:t>
      </w:r>
      <w:r w:rsidR="00F848DC">
        <w:rPr>
          <w:rFonts w:cs="Calibri"/>
          <w:lang w:val="en-GB"/>
        </w:rPr>
        <w:t xml:space="preserve">Concerning the factors information asymmetry and </w:t>
      </w:r>
      <w:r w:rsidR="00904764">
        <w:rPr>
          <w:rFonts w:cs="Calibri"/>
          <w:lang w:val="en-GB"/>
        </w:rPr>
        <w:t xml:space="preserve">the </w:t>
      </w:r>
      <w:r w:rsidR="00F848DC">
        <w:rPr>
          <w:rFonts w:cs="Calibri"/>
          <w:lang w:val="en-GB"/>
        </w:rPr>
        <w:t>structure of ownership, all companies in the</w:t>
      </w:r>
      <w:r w:rsidR="00904764">
        <w:rPr>
          <w:rFonts w:cs="Calibri"/>
          <w:lang w:val="en-GB"/>
        </w:rPr>
        <w:t xml:space="preserve"> intended</w:t>
      </w:r>
      <w:r w:rsidR="00F848DC">
        <w:rPr>
          <w:rFonts w:cs="Calibri"/>
          <w:lang w:val="en-GB"/>
        </w:rPr>
        <w:t xml:space="preserve"> sample are listed and </w:t>
      </w:r>
      <w:r w:rsidR="00904764">
        <w:rPr>
          <w:rFonts w:cs="Calibri"/>
          <w:lang w:val="en-GB"/>
        </w:rPr>
        <w:t xml:space="preserve">consequently </w:t>
      </w:r>
      <w:r w:rsidR="00F848DC">
        <w:rPr>
          <w:rFonts w:cs="Calibri"/>
          <w:lang w:val="en-GB"/>
        </w:rPr>
        <w:t>obliged to publicly report their financial information.</w:t>
      </w:r>
      <w:r w:rsidR="005C123F">
        <w:rPr>
          <w:rFonts w:cs="Calibri"/>
          <w:lang w:val="en-GB"/>
        </w:rPr>
        <w:t xml:space="preserve"> This is in line with the structure o</w:t>
      </w:r>
      <w:r w:rsidR="00904764">
        <w:rPr>
          <w:rFonts w:cs="Calibri"/>
          <w:lang w:val="en-GB"/>
        </w:rPr>
        <w:t>f the</w:t>
      </w:r>
      <w:r w:rsidR="005C123F">
        <w:rPr>
          <w:rFonts w:cs="Calibri"/>
          <w:lang w:val="en-GB"/>
        </w:rPr>
        <w:t xml:space="preserve"> ownership of the companies; many shareholders creates a high incentive for financial reporting. </w:t>
      </w:r>
    </w:p>
    <w:p w:rsidR="005C123F" w:rsidRDefault="009C55EC" w:rsidP="00D430C2">
      <w:pPr>
        <w:spacing w:line="360" w:lineRule="auto"/>
        <w:rPr>
          <w:rFonts w:cs="Calibri"/>
          <w:bCs/>
          <w:lang w:val="en-GB"/>
        </w:rPr>
      </w:pPr>
      <w:r w:rsidRPr="00755856">
        <w:rPr>
          <w:rFonts w:cs="Calibri"/>
          <w:b/>
          <w:bCs/>
          <w:lang w:val="en-GB"/>
        </w:rPr>
        <w:t xml:space="preserve">4.4 </w:t>
      </w:r>
      <w:r w:rsidR="00D430C2" w:rsidRPr="00755856">
        <w:rPr>
          <w:rFonts w:cs="Calibri"/>
          <w:b/>
          <w:bCs/>
          <w:lang w:val="en-GB"/>
        </w:rPr>
        <w:t>Summary</w:t>
      </w:r>
      <w:r w:rsidR="00D430C2" w:rsidRPr="00D53B54">
        <w:rPr>
          <w:rFonts w:cs="Calibri"/>
          <w:bCs/>
          <w:lang w:val="en-GB"/>
        </w:rPr>
        <w:br/>
        <w:t xml:space="preserve">In </w:t>
      </w:r>
      <w:r w:rsidR="00904764">
        <w:rPr>
          <w:rFonts w:cs="Calibri"/>
          <w:bCs/>
          <w:lang w:val="en-GB"/>
        </w:rPr>
        <w:t>this chapter</w:t>
      </w:r>
      <w:r w:rsidR="00D430C2" w:rsidRPr="00D53B54">
        <w:rPr>
          <w:rFonts w:cs="Calibri"/>
          <w:bCs/>
          <w:lang w:val="en-GB"/>
        </w:rPr>
        <w:t xml:space="preserve"> some </w:t>
      </w:r>
      <w:r w:rsidR="005C123F">
        <w:rPr>
          <w:rFonts w:cs="Calibri"/>
          <w:bCs/>
          <w:lang w:val="en-GB"/>
        </w:rPr>
        <w:t>earlier conducted, related</w:t>
      </w:r>
      <w:r w:rsidR="00D430C2" w:rsidRPr="00D53B54">
        <w:rPr>
          <w:rFonts w:cs="Calibri"/>
          <w:bCs/>
          <w:lang w:val="en-GB"/>
        </w:rPr>
        <w:t xml:space="preserve"> researches are </w:t>
      </w:r>
      <w:r w:rsidR="00FD57D0">
        <w:rPr>
          <w:rFonts w:cs="Calibri"/>
          <w:bCs/>
          <w:lang w:val="en-GB"/>
        </w:rPr>
        <w:t>commented</w:t>
      </w:r>
      <w:r w:rsidR="00D430C2" w:rsidRPr="00D53B54">
        <w:rPr>
          <w:rFonts w:cs="Calibri"/>
          <w:bCs/>
          <w:lang w:val="en-GB"/>
        </w:rPr>
        <w:t xml:space="preserve"> to </w:t>
      </w:r>
      <w:r w:rsidR="00904764">
        <w:rPr>
          <w:rFonts w:cs="Calibri"/>
          <w:bCs/>
          <w:lang w:val="en-GB"/>
        </w:rPr>
        <w:t>realise</w:t>
      </w:r>
      <w:r w:rsidR="00D430C2" w:rsidRPr="00D53B54">
        <w:rPr>
          <w:rFonts w:cs="Calibri"/>
          <w:bCs/>
          <w:lang w:val="en-GB"/>
        </w:rPr>
        <w:t xml:space="preserve"> a view on how </w:t>
      </w:r>
      <w:r w:rsidR="00D430C2" w:rsidRPr="00D53B54">
        <w:rPr>
          <w:rFonts w:cs="Calibri"/>
          <w:bCs/>
          <w:lang w:val="en-GB"/>
        </w:rPr>
        <w:lastRenderedPageBreak/>
        <w:t>similar</w:t>
      </w:r>
      <w:r w:rsidR="0027284D">
        <w:rPr>
          <w:rFonts w:cs="Calibri"/>
          <w:bCs/>
          <w:lang w:val="en-GB"/>
        </w:rPr>
        <w:t>, related</w:t>
      </w:r>
      <w:r w:rsidR="00D430C2" w:rsidRPr="00D53B54">
        <w:rPr>
          <w:rFonts w:cs="Calibri"/>
          <w:bCs/>
          <w:lang w:val="en-GB"/>
        </w:rPr>
        <w:t xml:space="preserve"> research</w:t>
      </w:r>
      <w:r w:rsidR="0027284D">
        <w:rPr>
          <w:rFonts w:cs="Calibri"/>
          <w:bCs/>
          <w:lang w:val="en-GB"/>
        </w:rPr>
        <w:t>es</w:t>
      </w:r>
      <w:r w:rsidR="00D430C2" w:rsidRPr="00D53B54">
        <w:rPr>
          <w:rFonts w:cs="Calibri"/>
          <w:bCs/>
          <w:lang w:val="en-GB"/>
        </w:rPr>
        <w:t xml:space="preserve"> have been executed and what the </w:t>
      </w:r>
      <w:r w:rsidR="00904764">
        <w:rPr>
          <w:rFonts w:cs="Calibri"/>
          <w:bCs/>
          <w:lang w:val="en-GB"/>
        </w:rPr>
        <w:t>findings</w:t>
      </w:r>
      <w:r w:rsidR="00D430C2" w:rsidRPr="00D53B54">
        <w:rPr>
          <w:rFonts w:cs="Calibri"/>
          <w:bCs/>
          <w:lang w:val="en-GB"/>
        </w:rPr>
        <w:t xml:space="preserve"> </w:t>
      </w:r>
      <w:r w:rsidR="00904764">
        <w:rPr>
          <w:rFonts w:cs="Calibri"/>
          <w:bCs/>
          <w:lang w:val="en-GB"/>
        </w:rPr>
        <w:t xml:space="preserve">are </w:t>
      </w:r>
      <w:r w:rsidR="00D430C2" w:rsidRPr="00D53B54">
        <w:rPr>
          <w:rFonts w:cs="Calibri"/>
          <w:bCs/>
          <w:lang w:val="en-GB"/>
        </w:rPr>
        <w:t xml:space="preserve">of these researches. These researches </w:t>
      </w:r>
      <w:r w:rsidR="004C5FCD" w:rsidRPr="00D53B54">
        <w:rPr>
          <w:rFonts w:cs="Calibri"/>
          <w:bCs/>
          <w:lang w:val="en-GB"/>
        </w:rPr>
        <w:t xml:space="preserve">have been </w:t>
      </w:r>
      <w:r w:rsidR="00FD57D0">
        <w:rPr>
          <w:rFonts w:cs="Calibri"/>
          <w:bCs/>
          <w:lang w:val="en-GB"/>
        </w:rPr>
        <w:t>commented</w:t>
      </w:r>
      <w:r w:rsidR="004C5FCD" w:rsidRPr="00D53B54">
        <w:rPr>
          <w:rFonts w:cs="Calibri"/>
          <w:bCs/>
          <w:lang w:val="en-GB"/>
        </w:rPr>
        <w:t xml:space="preserve"> shortly</w:t>
      </w:r>
      <w:r w:rsidR="00972A9C" w:rsidRPr="00D53B54">
        <w:rPr>
          <w:rFonts w:cs="Calibri"/>
          <w:bCs/>
          <w:lang w:val="en-GB"/>
        </w:rPr>
        <w:t xml:space="preserve"> before the </w:t>
      </w:r>
      <w:r w:rsidR="00412027" w:rsidRPr="00D53B54">
        <w:rPr>
          <w:rFonts w:cs="Calibri"/>
          <w:bCs/>
          <w:lang w:val="en-GB"/>
        </w:rPr>
        <w:t xml:space="preserve">factors of influence on the transition to IFRS have been </w:t>
      </w:r>
      <w:r w:rsidR="00FD57D0">
        <w:rPr>
          <w:rFonts w:cs="Calibri"/>
          <w:bCs/>
          <w:lang w:val="en-GB"/>
        </w:rPr>
        <w:t>commented</w:t>
      </w:r>
      <w:r w:rsidR="00412027" w:rsidRPr="00D53B54">
        <w:rPr>
          <w:rFonts w:cs="Calibri"/>
          <w:bCs/>
          <w:lang w:val="en-GB"/>
        </w:rPr>
        <w:t xml:space="preserve"> related to The Netherlands, Belgium and France. </w:t>
      </w:r>
      <w:r w:rsidR="00972A9C" w:rsidRPr="00D53B54">
        <w:rPr>
          <w:rFonts w:cs="Calibri"/>
          <w:bCs/>
          <w:lang w:val="en-GB"/>
        </w:rPr>
        <w:t xml:space="preserve">With this </w:t>
      </w:r>
      <w:r w:rsidR="00904764">
        <w:rPr>
          <w:rFonts w:cs="Calibri"/>
          <w:bCs/>
          <w:lang w:val="en-GB"/>
        </w:rPr>
        <w:t>context</w:t>
      </w:r>
      <w:r w:rsidR="00224F94" w:rsidRPr="00D53B54">
        <w:rPr>
          <w:rFonts w:cs="Calibri"/>
          <w:bCs/>
          <w:lang w:val="en-GB"/>
        </w:rPr>
        <w:t>, the sub-questions 6 and 7</w:t>
      </w:r>
      <w:r w:rsidR="00395158" w:rsidRPr="00D53B54">
        <w:rPr>
          <w:rFonts w:cs="Calibri"/>
          <w:bCs/>
          <w:lang w:val="en-GB"/>
        </w:rPr>
        <w:t xml:space="preserve"> about prior literature and researches an</w:t>
      </w:r>
      <w:r w:rsidR="00457F22" w:rsidRPr="00D53B54">
        <w:rPr>
          <w:rFonts w:cs="Calibri"/>
          <w:bCs/>
          <w:lang w:val="en-GB"/>
        </w:rPr>
        <w:t xml:space="preserve">d </w:t>
      </w:r>
      <w:r w:rsidR="00B5354A">
        <w:rPr>
          <w:rFonts w:cs="Calibri"/>
          <w:bCs/>
          <w:lang w:val="en-GB"/>
        </w:rPr>
        <w:t xml:space="preserve">the </w:t>
      </w:r>
      <w:r w:rsidR="005C123F">
        <w:rPr>
          <w:rFonts w:cs="Calibri"/>
          <w:bCs/>
          <w:lang w:val="en-GB"/>
        </w:rPr>
        <w:t xml:space="preserve">French Civil Law specific </w:t>
      </w:r>
      <w:r w:rsidR="00457F22" w:rsidRPr="00D53B54">
        <w:rPr>
          <w:rFonts w:cs="Calibri"/>
          <w:bCs/>
          <w:lang w:val="en-GB"/>
        </w:rPr>
        <w:t xml:space="preserve">factors </w:t>
      </w:r>
      <w:r w:rsidR="00B5354A">
        <w:rPr>
          <w:rFonts w:cs="Calibri"/>
          <w:bCs/>
          <w:lang w:val="en-GB"/>
        </w:rPr>
        <w:t>have been</w:t>
      </w:r>
      <w:r w:rsidR="005C123F">
        <w:rPr>
          <w:rFonts w:cs="Calibri"/>
          <w:bCs/>
          <w:lang w:val="en-GB"/>
        </w:rPr>
        <w:t xml:space="preserve"> </w:t>
      </w:r>
      <w:r w:rsidR="00395158" w:rsidRPr="00D53B54">
        <w:rPr>
          <w:rFonts w:cs="Calibri"/>
          <w:bCs/>
          <w:lang w:val="en-GB"/>
        </w:rPr>
        <w:t xml:space="preserve">answered. </w:t>
      </w:r>
      <w:r w:rsidR="005C123F">
        <w:rPr>
          <w:rFonts w:cs="Calibri"/>
          <w:bCs/>
          <w:lang w:val="en-GB"/>
        </w:rPr>
        <w:t xml:space="preserve">This information will be used for the determination of the hypotheses in chapter 5. </w:t>
      </w:r>
    </w:p>
    <w:p w:rsidR="00D87E1F" w:rsidRPr="00D53B54" w:rsidRDefault="00D87E1F" w:rsidP="00D430C2">
      <w:pPr>
        <w:spacing w:line="360" w:lineRule="auto"/>
        <w:rPr>
          <w:rFonts w:cs="Calibri"/>
          <w:bCs/>
          <w:lang w:val="en-GB"/>
        </w:rPr>
      </w:pPr>
      <w:r w:rsidRPr="00D53B54">
        <w:rPr>
          <w:rFonts w:cs="Calibri"/>
          <w:bCs/>
          <w:lang w:val="en-GB"/>
        </w:rPr>
        <w:t xml:space="preserve">All </w:t>
      </w:r>
      <w:r w:rsidR="00B5354A">
        <w:rPr>
          <w:rFonts w:cs="Calibri"/>
          <w:bCs/>
          <w:lang w:val="en-GB"/>
        </w:rPr>
        <w:t xml:space="preserve">the </w:t>
      </w:r>
      <w:r w:rsidRPr="00D53B54">
        <w:rPr>
          <w:rFonts w:cs="Calibri"/>
          <w:bCs/>
          <w:lang w:val="en-GB"/>
        </w:rPr>
        <w:t>research</w:t>
      </w:r>
      <w:r w:rsidR="00457F22" w:rsidRPr="00D53B54">
        <w:rPr>
          <w:rFonts w:cs="Calibri"/>
          <w:bCs/>
          <w:lang w:val="en-GB"/>
        </w:rPr>
        <w:t>es</w:t>
      </w:r>
      <w:r w:rsidRPr="00D53B54">
        <w:rPr>
          <w:rFonts w:cs="Calibri"/>
          <w:bCs/>
          <w:lang w:val="en-GB"/>
        </w:rPr>
        <w:t xml:space="preserve"> </w:t>
      </w:r>
      <w:r w:rsidR="00FD57D0">
        <w:rPr>
          <w:rFonts w:cs="Calibri"/>
          <w:bCs/>
          <w:lang w:val="en-GB"/>
        </w:rPr>
        <w:t>commented</w:t>
      </w:r>
      <w:r w:rsidRPr="00D53B54">
        <w:rPr>
          <w:rFonts w:cs="Calibri"/>
          <w:bCs/>
          <w:lang w:val="en-GB"/>
        </w:rPr>
        <w:t xml:space="preserve"> in section 4.2</w:t>
      </w:r>
      <w:r w:rsidR="00B5354A">
        <w:rPr>
          <w:rFonts w:cs="Calibri"/>
          <w:bCs/>
          <w:lang w:val="en-GB"/>
        </w:rPr>
        <w:t>,</w:t>
      </w:r>
      <w:r w:rsidRPr="00D53B54">
        <w:rPr>
          <w:rFonts w:cs="Calibri"/>
          <w:bCs/>
          <w:lang w:val="en-GB"/>
        </w:rPr>
        <w:t xml:space="preserve"> </w:t>
      </w:r>
      <w:r w:rsidR="00B5354A">
        <w:rPr>
          <w:rFonts w:cs="Calibri"/>
          <w:bCs/>
          <w:lang w:val="en-GB"/>
        </w:rPr>
        <w:t>concern</w:t>
      </w:r>
      <w:r w:rsidRPr="00D53B54">
        <w:rPr>
          <w:rFonts w:cs="Calibri"/>
          <w:bCs/>
          <w:lang w:val="en-GB"/>
        </w:rPr>
        <w:t xml:space="preserve"> the influence of </w:t>
      </w:r>
      <w:r w:rsidR="00B5354A">
        <w:rPr>
          <w:rFonts w:cs="Calibri"/>
          <w:bCs/>
          <w:lang w:val="en-GB"/>
        </w:rPr>
        <w:t xml:space="preserve">the </w:t>
      </w:r>
      <w:r w:rsidRPr="00D53B54">
        <w:rPr>
          <w:rFonts w:cs="Calibri"/>
          <w:bCs/>
          <w:lang w:val="en-GB"/>
        </w:rPr>
        <w:t xml:space="preserve">new </w:t>
      </w:r>
      <w:r w:rsidR="005C123F">
        <w:rPr>
          <w:rFonts w:cs="Calibri"/>
          <w:bCs/>
          <w:lang w:val="en-GB"/>
        </w:rPr>
        <w:t xml:space="preserve">accounting </w:t>
      </w:r>
      <w:r w:rsidRPr="00D53B54">
        <w:rPr>
          <w:rFonts w:cs="Calibri"/>
          <w:bCs/>
          <w:lang w:val="en-GB"/>
        </w:rPr>
        <w:t xml:space="preserve">standards on the use of earnings management. </w:t>
      </w:r>
      <w:r w:rsidR="00FA42F2">
        <w:rPr>
          <w:rFonts w:cs="Calibri"/>
          <w:bCs/>
          <w:lang w:val="en-GB"/>
        </w:rPr>
        <w:t xml:space="preserve">When checking the findings of </w:t>
      </w:r>
      <w:r w:rsidRPr="00D53B54">
        <w:rPr>
          <w:rFonts w:cs="Calibri"/>
          <w:bCs/>
          <w:lang w:val="en-GB"/>
        </w:rPr>
        <w:t>these re</w:t>
      </w:r>
      <w:r w:rsidR="00B5354A">
        <w:rPr>
          <w:rFonts w:cs="Calibri"/>
          <w:bCs/>
          <w:lang w:val="en-GB"/>
        </w:rPr>
        <w:t>searches about the change in the</w:t>
      </w:r>
      <w:r w:rsidRPr="00D53B54">
        <w:rPr>
          <w:rFonts w:cs="Calibri"/>
          <w:bCs/>
          <w:lang w:val="en-GB"/>
        </w:rPr>
        <w:t xml:space="preserve"> total amount of </w:t>
      </w:r>
      <w:r w:rsidR="00B5354A">
        <w:rPr>
          <w:rFonts w:cs="Calibri"/>
          <w:bCs/>
          <w:lang w:val="en-GB"/>
        </w:rPr>
        <w:t xml:space="preserve">the use of </w:t>
      </w:r>
      <w:r w:rsidRPr="00D53B54">
        <w:rPr>
          <w:rFonts w:cs="Calibri"/>
          <w:bCs/>
          <w:lang w:val="en-GB"/>
        </w:rPr>
        <w:t xml:space="preserve">earnings management </w:t>
      </w:r>
      <w:r w:rsidR="00B5354A">
        <w:rPr>
          <w:rFonts w:cs="Calibri"/>
          <w:bCs/>
          <w:lang w:val="en-GB"/>
        </w:rPr>
        <w:t>based on</w:t>
      </w:r>
      <w:r w:rsidRPr="00D53B54">
        <w:rPr>
          <w:rFonts w:cs="Calibri"/>
          <w:bCs/>
          <w:lang w:val="en-GB"/>
        </w:rPr>
        <w:t xml:space="preserve"> the new </w:t>
      </w:r>
      <w:r w:rsidR="00FA42F2">
        <w:rPr>
          <w:rFonts w:cs="Calibri"/>
          <w:bCs/>
          <w:lang w:val="en-GB"/>
        </w:rPr>
        <w:t xml:space="preserve">accounting </w:t>
      </w:r>
      <w:r w:rsidRPr="00D53B54">
        <w:rPr>
          <w:rFonts w:cs="Calibri"/>
          <w:bCs/>
          <w:lang w:val="en-GB"/>
        </w:rPr>
        <w:t>standards</w:t>
      </w:r>
      <w:r w:rsidR="00437502" w:rsidRPr="00D53B54">
        <w:rPr>
          <w:rFonts w:cs="Calibri"/>
          <w:bCs/>
          <w:lang w:val="en-GB"/>
        </w:rPr>
        <w:t>,</w:t>
      </w:r>
      <w:r w:rsidR="00B5354A">
        <w:rPr>
          <w:rFonts w:cs="Calibri"/>
          <w:bCs/>
          <w:lang w:val="en-GB"/>
        </w:rPr>
        <w:t xml:space="preserve"> the use of</w:t>
      </w:r>
      <w:r w:rsidR="00437502" w:rsidRPr="00D53B54">
        <w:rPr>
          <w:rFonts w:cs="Calibri"/>
          <w:bCs/>
          <w:lang w:val="en-GB"/>
        </w:rPr>
        <w:t xml:space="preserve"> earnings management did not decline (Tendeloo and Vanderstraelen 2005; Heemskerk and van der Tas 2006; Jeanjean and Stolowy 2008) or even an increase in the use of earnings management</w:t>
      </w:r>
      <w:r w:rsidR="00B5354A">
        <w:rPr>
          <w:rFonts w:cs="Calibri"/>
          <w:bCs/>
          <w:lang w:val="en-GB"/>
        </w:rPr>
        <w:t xml:space="preserve"> exists</w:t>
      </w:r>
      <w:r w:rsidR="00437502" w:rsidRPr="00D53B54">
        <w:rPr>
          <w:rFonts w:cs="Calibri"/>
          <w:bCs/>
          <w:lang w:val="en-GB"/>
        </w:rPr>
        <w:t xml:space="preserve"> (Ewert and Wagenhofer 2005; Cohen, Dey and Lys 2008; Lippens 2010; Ca</w:t>
      </w:r>
      <w:r w:rsidR="004E0604">
        <w:rPr>
          <w:rFonts w:cs="Calibri"/>
          <w:bCs/>
          <w:lang w:val="en-GB"/>
        </w:rPr>
        <w:t>llao and</w:t>
      </w:r>
      <w:r w:rsidR="00437502" w:rsidRPr="00D53B54">
        <w:rPr>
          <w:rFonts w:cs="Calibri"/>
          <w:bCs/>
          <w:lang w:val="en-GB"/>
        </w:rPr>
        <w:t xml:space="preserve"> Jarne 2010). </w:t>
      </w:r>
    </w:p>
    <w:p w:rsidR="002922C0" w:rsidRPr="00D53B54" w:rsidRDefault="00B5354A" w:rsidP="00D430C2">
      <w:pPr>
        <w:spacing w:line="360" w:lineRule="auto"/>
        <w:rPr>
          <w:rFonts w:cs="Calibri"/>
          <w:bCs/>
          <w:lang w:val="en-GB"/>
        </w:rPr>
      </w:pPr>
      <w:r>
        <w:rPr>
          <w:rFonts w:cs="Calibri"/>
          <w:bCs/>
          <w:lang w:val="en-GB"/>
        </w:rPr>
        <w:t>Concerning</w:t>
      </w:r>
      <w:r w:rsidR="002922C0" w:rsidRPr="00D53B54">
        <w:rPr>
          <w:rFonts w:cs="Calibri"/>
          <w:bCs/>
          <w:lang w:val="en-GB"/>
        </w:rPr>
        <w:t xml:space="preserve"> the determination of a substitution </w:t>
      </w:r>
      <w:r w:rsidR="00FA42F2">
        <w:rPr>
          <w:rFonts w:cs="Calibri"/>
          <w:bCs/>
          <w:lang w:val="en-GB"/>
        </w:rPr>
        <w:t xml:space="preserve">in the use </w:t>
      </w:r>
      <w:r w:rsidR="002922C0" w:rsidRPr="00D53B54">
        <w:rPr>
          <w:rFonts w:cs="Calibri"/>
          <w:bCs/>
          <w:lang w:val="en-GB"/>
        </w:rPr>
        <w:t xml:space="preserve">of earnings management methods has occurred, just two studies (Cohen, Dey, Lys 2008; Lippens 2010) are usable. Both studies investigate the total amount of </w:t>
      </w:r>
      <w:r w:rsidR="00FA42F2">
        <w:rPr>
          <w:rFonts w:cs="Calibri"/>
          <w:bCs/>
          <w:lang w:val="en-GB"/>
        </w:rPr>
        <w:t xml:space="preserve">the use of </w:t>
      </w:r>
      <w:r w:rsidR="002922C0" w:rsidRPr="00D53B54">
        <w:rPr>
          <w:rFonts w:cs="Calibri"/>
          <w:bCs/>
          <w:lang w:val="en-GB"/>
        </w:rPr>
        <w:t xml:space="preserve">earnings management and a possible substitution effect in the methods </w:t>
      </w:r>
      <w:r>
        <w:rPr>
          <w:rFonts w:cs="Calibri"/>
          <w:bCs/>
          <w:lang w:val="en-GB"/>
        </w:rPr>
        <w:t>concerning the use of</w:t>
      </w:r>
      <w:r w:rsidR="002922C0" w:rsidRPr="00D53B54">
        <w:rPr>
          <w:rFonts w:cs="Calibri"/>
          <w:bCs/>
          <w:lang w:val="en-GB"/>
        </w:rPr>
        <w:t xml:space="preserve"> earnings management. Both studies assume th</w:t>
      </w:r>
      <w:r w:rsidR="0027284D">
        <w:rPr>
          <w:rFonts w:cs="Calibri"/>
          <w:bCs/>
          <w:lang w:val="en-GB"/>
        </w:rPr>
        <w:t xml:space="preserve">at the introduction of </w:t>
      </w:r>
      <w:r w:rsidR="00FA42F2">
        <w:rPr>
          <w:rFonts w:cs="Calibri"/>
          <w:bCs/>
          <w:lang w:val="en-GB"/>
        </w:rPr>
        <w:t>the new accounting standard</w:t>
      </w:r>
      <w:r w:rsidR="0027284D">
        <w:rPr>
          <w:rFonts w:cs="Calibri"/>
          <w:bCs/>
          <w:lang w:val="en-GB"/>
        </w:rPr>
        <w:t xml:space="preserve"> has</w:t>
      </w:r>
      <w:r w:rsidR="002922C0" w:rsidRPr="00D53B54">
        <w:rPr>
          <w:rFonts w:cs="Calibri"/>
          <w:bCs/>
          <w:lang w:val="en-GB"/>
        </w:rPr>
        <w:t xml:space="preserve"> </w:t>
      </w:r>
      <w:r>
        <w:rPr>
          <w:rFonts w:cs="Calibri"/>
          <w:bCs/>
          <w:lang w:val="en-GB"/>
        </w:rPr>
        <w:t>created</w:t>
      </w:r>
      <w:r w:rsidR="002922C0" w:rsidRPr="00D53B54">
        <w:rPr>
          <w:rFonts w:cs="Calibri"/>
          <w:bCs/>
          <w:lang w:val="en-GB"/>
        </w:rPr>
        <w:t xml:space="preserve"> a substitution effect of </w:t>
      </w:r>
      <w:r>
        <w:rPr>
          <w:rFonts w:cs="Calibri"/>
          <w:bCs/>
          <w:lang w:val="en-GB"/>
        </w:rPr>
        <w:t xml:space="preserve">the use of </w:t>
      </w:r>
      <w:r w:rsidR="002922C0" w:rsidRPr="00D53B54">
        <w:rPr>
          <w:rFonts w:cs="Calibri"/>
          <w:bCs/>
          <w:lang w:val="en-GB"/>
        </w:rPr>
        <w:t>accruals-based to</w:t>
      </w:r>
      <w:r>
        <w:rPr>
          <w:rFonts w:cs="Calibri"/>
          <w:bCs/>
          <w:lang w:val="en-GB"/>
        </w:rPr>
        <w:t xml:space="preserve"> the use of </w:t>
      </w:r>
      <w:r w:rsidR="002922C0" w:rsidRPr="00D53B54">
        <w:rPr>
          <w:rFonts w:cs="Calibri"/>
          <w:bCs/>
          <w:lang w:val="en-GB"/>
        </w:rPr>
        <w:t xml:space="preserve">real earnings management. The </w:t>
      </w:r>
      <w:r>
        <w:rPr>
          <w:rFonts w:cs="Calibri"/>
          <w:bCs/>
          <w:lang w:val="en-GB"/>
        </w:rPr>
        <w:t>findings</w:t>
      </w:r>
      <w:r w:rsidR="002922C0" w:rsidRPr="00D53B54">
        <w:rPr>
          <w:rFonts w:cs="Calibri"/>
          <w:bCs/>
          <w:lang w:val="en-GB"/>
        </w:rPr>
        <w:t xml:space="preserve"> of the studies are unanimous; a substitution</w:t>
      </w:r>
      <w:r w:rsidR="00FA42F2">
        <w:rPr>
          <w:rFonts w:cs="Calibri"/>
          <w:bCs/>
          <w:lang w:val="en-GB"/>
        </w:rPr>
        <w:t xml:space="preserve"> effect </w:t>
      </w:r>
      <w:r>
        <w:rPr>
          <w:rFonts w:cs="Calibri"/>
          <w:bCs/>
          <w:lang w:val="en-GB"/>
        </w:rPr>
        <w:t xml:space="preserve">exists </w:t>
      </w:r>
      <w:r w:rsidR="00FA42F2">
        <w:rPr>
          <w:rFonts w:cs="Calibri"/>
          <w:bCs/>
          <w:lang w:val="en-GB"/>
        </w:rPr>
        <w:t xml:space="preserve">in the use of </w:t>
      </w:r>
      <w:r w:rsidR="002922C0" w:rsidRPr="00D53B54">
        <w:rPr>
          <w:rFonts w:cs="Calibri"/>
          <w:bCs/>
          <w:lang w:val="en-GB"/>
        </w:rPr>
        <w:t>accruals-based to</w:t>
      </w:r>
      <w:r>
        <w:rPr>
          <w:rFonts w:cs="Calibri"/>
          <w:bCs/>
          <w:lang w:val="en-GB"/>
        </w:rPr>
        <w:t xml:space="preserve"> the use of</w:t>
      </w:r>
      <w:r w:rsidR="002922C0" w:rsidRPr="00D53B54">
        <w:rPr>
          <w:rFonts w:cs="Calibri"/>
          <w:bCs/>
          <w:lang w:val="en-GB"/>
        </w:rPr>
        <w:t xml:space="preserve"> real earnings management. </w:t>
      </w:r>
    </w:p>
    <w:p w:rsidR="009D1520" w:rsidRPr="00D53B54" w:rsidRDefault="00FA42F2" w:rsidP="00D430C2">
      <w:pPr>
        <w:spacing w:line="360" w:lineRule="auto"/>
        <w:rPr>
          <w:rFonts w:cs="Calibri"/>
          <w:bCs/>
          <w:lang w:val="en-GB"/>
        </w:rPr>
      </w:pPr>
      <w:r>
        <w:rPr>
          <w:rFonts w:cs="Calibri"/>
          <w:bCs/>
          <w:lang w:val="en-GB"/>
        </w:rPr>
        <w:t xml:space="preserve">This research distinguishes from these researches by checking the use of both accruals-based and </w:t>
      </w:r>
      <w:r w:rsidR="00B5354A">
        <w:rPr>
          <w:rFonts w:cs="Calibri"/>
          <w:bCs/>
          <w:lang w:val="en-GB"/>
        </w:rPr>
        <w:t xml:space="preserve">the use of </w:t>
      </w:r>
      <w:r>
        <w:rPr>
          <w:rFonts w:cs="Calibri"/>
          <w:bCs/>
          <w:lang w:val="en-GB"/>
        </w:rPr>
        <w:t xml:space="preserve">real earnings management and the focus on French Civil law countries. </w:t>
      </w:r>
      <w:r w:rsidR="004C4F70">
        <w:rPr>
          <w:rFonts w:cs="Calibri"/>
          <w:bCs/>
          <w:lang w:val="en-GB"/>
        </w:rPr>
        <w:t xml:space="preserve">The influence of the factor French Civil law is checked by three factors that have influence on a successful transition from local GAAP to IFRS according to Soderstrom and Sun (2007): </w:t>
      </w:r>
      <w:r w:rsidR="001E1C80" w:rsidRPr="00D53B54">
        <w:rPr>
          <w:rFonts w:cs="Calibri"/>
          <w:bCs/>
          <w:lang w:val="en-GB"/>
        </w:rPr>
        <w:t>(1) the quality of the standards that were used before IFRS, (2) the country’s legal and political system, and (3) the financial reporting incentive</w:t>
      </w:r>
      <w:r w:rsidR="005B773D" w:rsidRPr="00D53B54">
        <w:rPr>
          <w:rFonts w:cs="Calibri"/>
          <w:bCs/>
          <w:lang w:val="en-GB"/>
        </w:rPr>
        <w:t xml:space="preserve">s of companies in that country. </w:t>
      </w:r>
    </w:p>
    <w:p w:rsidR="004C4F70" w:rsidRDefault="009D1520" w:rsidP="00D430C2">
      <w:pPr>
        <w:spacing w:line="360" w:lineRule="auto"/>
        <w:rPr>
          <w:rFonts w:cs="Calibri"/>
          <w:bCs/>
          <w:lang w:val="en-GB"/>
        </w:rPr>
      </w:pPr>
      <w:r w:rsidRPr="00F67CC4">
        <w:rPr>
          <w:rFonts w:cs="Calibri"/>
          <w:bCs/>
          <w:lang w:val="en-GB"/>
        </w:rPr>
        <w:t xml:space="preserve">Analysing whether local GAAP was already in </w:t>
      </w:r>
      <w:r w:rsidR="00B068F9">
        <w:rPr>
          <w:rFonts w:cs="Calibri"/>
          <w:bCs/>
          <w:lang w:val="en-GB"/>
        </w:rPr>
        <w:t>conformity</w:t>
      </w:r>
      <w:r w:rsidRPr="00F67CC4">
        <w:rPr>
          <w:rFonts w:cs="Calibri"/>
          <w:bCs/>
          <w:lang w:val="en-GB"/>
        </w:rPr>
        <w:t xml:space="preserve"> with IFRS, the </w:t>
      </w:r>
      <w:r w:rsidR="004C4F70">
        <w:rPr>
          <w:rFonts w:cs="Calibri"/>
          <w:bCs/>
          <w:lang w:val="en-GB"/>
        </w:rPr>
        <w:t>findings suggest</w:t>
      </w:r>
      <w:r w:rsidRPr="00F67CC4">
        <w:rPr>
          <w:rFonts w:cs="Calibri"/>
          <w:bCs/>
          <w:lang w:val="en-GB"/>
        </w:rPr>
        <w:t xml:space="preserve"> that</w:t>
      </w:r>
      <w:r w:rsidR="004C4F70">
        <w:rPr>
          <w:rFonts w:cs="Calibri"/>
          <w:bCs/>
          <w:lang w:val="en-GB"/>
        </w:rPr>
        <w:t xml:space="preserve"> the GAAP in </w:t>
      </w:r>
      <w:r w:rsidRPr="00F67CC4">
        <w:rPr>
          <w:rFonts w:cs="Calibri"/>
          <w:bCs/>
          <w:lang w:val="en-GB"/>
        </w:rPr>
        <w:t xml:space="preserve">The Netherlands already </w:t>
      </w:r>
      <w:r w:rsidR="00B068F9">
        <w:rPr>
          <w:rFonts w:cs="Calibri"/>
          <w:bCs/>
          <w:lang w:val="en-GB"/>
        </w:rPr>
        <w:t xml:space="preserve">was </w:t>
      </w:r>
      <w:r w:rsidRPr="00F67CC4">
        <w:rPr>
          <w:rFonts w:cs="Calibri"/>
          <w:bCs/>
          <w:lang w:val="en-GB"/>
        </w:rPr>
        <w:t xml:space="preserve">in </w:t>
      </w:r>
      <w:r w:rsidR="00B068F9">
        <w:rPr>
          <w:rFonts w:cs="Calibri"/>
          <w:bCs/>
          <w:lang w:val="en-GB"/>
        </w:rPr>
        <w:t>conformity with these standards</w:t>
      </w:r>
      <w:r w:rsidRPr="00F67CC4">
        <w:rPr>
          <w:rFonts w:cs="Calibri"/>
          <w:bCs/>
          <w:lang w:val="en-GB"/>
        </w:rPr>
        <w:t xml:space="preserve">, but this is not assured in Belgium and </w:t>
      </w:r>
      <w:r w:rsidR="00B068F9">
        <w:rPr>
          <w:rFonts w:cs="Calibri"/>
          <w:bCs/>
          <w:lang w:val="en-GB"/>
        </w:rPr>
        <w:t xml:space="preserve">in </w:t>
      </w:r>
      <w:r w:rsidRPr="00F67CC4">
        <w:rPr>
          <w:rFonts w:cs="Calibri"/>
          <w:bCs/>
          <w:lang w:val="en-GB"/>
        </w:rPr>
        <w:t>France. In these countries it was possible to apply to</w:t>
      </w:r>
      <w:r w:rsidR="004C4F70">
        <w:rPr>
          <w:rFonts w:cs="Calibri"/>
          <w:bCs/>
          <w:lang w:val="en-GB"/>
        </w:rPr>
        <w:t xml:space="preserve"> the accounting principles prepared by</w:t>
      </w:r>
      <w:r w:rsidRPr="00F67CC4">
        <w:rPr>
          <w:rFonts w:cs="Calibri"/>
          <w:bCs/>
          <w:lang w:val="en-GB"/>
        </w:rPr>
        <w:t xml:space="preserve"> IAS but this was not obliged</w:t>
      </w:r>
      <w:r w:rsidR="00042182">
        <w:rPr>
          <w:rFonts w:cs="Calibri"/>
          <w:bCs/>
          <w:lang w:val="en-GB"/>
        </w:rPr>
        <w:t xml:space="preserve">. </w:t>
      </w:r>
      <w:r w:rsidR="004C4F70">
        <w:rPr>
          <w:rFonts w:cs="Calibri"/>
          <w:bCs/>
          <w:lang w:val="en-GB"/>
        </w:rPr>
        <w:t xml:space="preserve">However, companies that applied US GAAP as accounting principles in 2004 are excluded from the sample. </w:t>
      </w:r>
      <w:r w:rsidR="00B068F9">
        <w:rPr>
          <w:rFonts w:cs="Calibri"/>
          <w:bCs/>
          <w:lang w:val="en-GB"/>
        </w:rPr>
        <w:t>Consequently</w:t>
      </w:r>
      <w:r w:rsidR="00704FC2">
        <w:rPr>
          <w:rFonts w:cs="Calibri"/>
          <w:bCs/>
          <w:lang w:val="en-GB"/>
        </w:rPr>
        <w:t xml:space="preserve"> is assumed that in addition to The Netherlands, the companies from Belgium and France were already in </w:t>
      </w:r>
      <w:r w:rsidR="00B068F9">
        <w:rPr>
          <w:rFonts w:cs="Calibri"/>
          <w:bCs/>
          <w:lang w:val="en-GB"/>
        </w:rPr>
        <w:t>conformity</w:t>
      </w:r>
      <w:r w:rsidR="00704FC2">
        <w:rPr>
          <w:rFonts w:cs="Calibri"/>
          <w:bCs/>
          <w:lang w:val="en-GB"/>
        </w:rPr>
        <w:t xml:space="preserve"> with the accounting principles of </w:t>
      </w:r>
      <w:r w:rsidR="00B068F9">
        <w:rPr>
          <w:rFonts w:cs="Calibri"/>
          <w:bCs/>
          <w:lang w:val="en-GB"/>
        </w:rPr>
        <w:t>the IFRS</w:t>
      </w:r>
      <w:r w:rsidR="00704FC2">
        <w:rPr>
          <w:rFonts w:cs="Calibri"/>
          <w:bCs/>
          <w:lang w:val="en-GB"/>
        </w:rPr>
        <w:t xml:space="preserve">. </w:t>
      </w:r>
    </w:p>
    <w:p w:rsidR="009D1520" w:rsidRPr="006767E4" w:rsidRDefault="009D1520" w:rsidP="00D430C2">
      <w:pPr>
        <w:spacing w:line="360" w:lineRule="auto"/>
        <w:rPr>
          <w:rFonts w:cs="Calibri"/>
          <w:bCs/>
          <w:lang w:val="en-GB"/>
        </w:rPr>
      </w:pPr>
      <w:r w:rsidRPr="00F67CC4">
        <w:rPr>
          <w:rFonts w:cs="Calibri"/>
          <w:bCs/>
          <w:lang w:val="en-GB"/>
        </w:rPr>
        <w:lastRenderedPageBreak/>
        <w:t xml:space="preserve">The second factor </w:t>
      </w:r>
      <w:r w:rsidR="00704FC2">
        <w:rPr>
          <w:rFonts w:cs="Calibri"/>
          <w:bCs/>
          <w:lang w:val="en-GB"/>
        </w:rPr>
        <w:t xml:space="preserve">of influence </w:t>
      </w:r>
      <w:r w:rsidRPr="00F67CC4">
        <w:rPr>
          <w:rFonts w:cs="Calibri"/>
          <w:bCs/>
          <w:lang w:val="en-GB"/>
        </w:rPr>
        <w:t xml:space="preserve">is the country’s legal and political system. According to </w:t>
      </w:r>
      <w:r w:rsidR="00B86BC8" w:rsidRPr="00F67CC4">
        <w:rPr>
          <w:rFonts w:cs="Calibri"/>
          <w:bCs/>
          <w:lang w:val="en-GB"/>
        </w:rPr>
        <w:t xml:space="preserve">La Porta et al. (1998), French Civil Law countries have the weakest form of investor protection </w:t>
      </w:r>
      <w:r w:rsidR="00697A2F">
        <w:rPr>
          <w:rFonts w:cs="Calibri"/>
          <w:bCs/>
          <w:lang w:val="en-GB"/>
        </w:rPr>
        <w:t xml:space="preserve">compared to other types of law. </w:t>
      </w:r>
      <w:r w:rsidR="00B86BC8" w:rsidRPr="00F67CC4">
        <w:rPr>
          <w:rFonts w:cs="Calibri"/>
          <w:bCs/>
          <w:lang w:val="en-GB"/>
        </w:rPr>
        <w:t>Another indicator</w:t>
      </w:r>
      <w:r w:rsidR="00697A2F">
        <w:rPr>
          <w:rFonts w:cs="Calibri"/>
          <w:bCs/>
          <w:lang w:val="en-GB"/>
        </w:rPr>
        <w:t xml:space="preserve"> to check for the country’s legal and political system</w:t>
      </w:r>
      <w:r w:rsidR="00B86BC8" w:rsidRPr="00F67CC4">
        <w:rPr>
          <w:rFonts w:cs="Calibri"/>
          <w:bCs/>
          <w:lang w:val="en-GB"/>
        </w:rPr>
        <w:t xml:space="preserve"> is the legal enforcement strength of a company. Both The Netherlands and Belgium have a high score on this </w:t>
      </w:r>
      <w:r w:rsidR="00697A2F">
        <w:rPr>
          <w:rFonts w:cs="Calibri"/>
          <w:bCs/>
          <w:lang w:val="en-GB"/>
        </w:rPr>
        <w:t>indicator</w:t>
      </w:r>
      <w:r w:rsidR="00B86BC8" w:rsidRPr="00F67CC4">
        <w:rPr>
          <w:rFonts w:cs="Calibri"/>
          <w:bCs/>
          <w:lang w:val="en-GB"/>
        </w:rPr>
        <w:t xml:space="preserve"> in contrast to France </w:t>
      </w:r>
      <w:r w:rsidR="00B86BC8">
        <w:rPr>
          <w:rFonts w:cs="Calibri"/>
          <w:lang w:val="en-GB"/>
        </w:rPr>
        <w:t>(La Porta et al. 2000, p</w:t>
      </w:r>
      <w:r w:rsidR="00697A2F">
        <w:rPr>
          <w:rFonts w:cs="Calibri"/>
          <w:lang w:val="en-GB"/>
        </w:rPr>
        <w:t xml:space="preserve"> </w:t>
      </w:r>
      <w:r w:rsidR="00B86BC8">
        <w:rPr>
          <w:rFonts w:cs="Calibri"/>
          <w:lang w:val="en-GB"/>
        </w:rPr>
        <w:t xml:space="preserve">10). The last factor </w:t>
      </w:r>
      <w:r w:rsidR="00FD57D0">
        <w:rPr>
          <w:rFonts w:cs="Calibri"/>
          <w:lang w:val="en-GB"/>
        </w:rPr>
        <w:t>commented</w:t>
      </w:r>
      <w:r w:rsidR="00697A2F">
        <w:rPr>
          <w:rFonts w:cs="Calibri"/>
          <w:lang w:val="en-GB"/>
        </w:rPr>
        <w:t xml:space="preserve"> to check the influence of the French Civil law</w:t>
      </w:r>
      <w:r w:rsidR="00B86BC8">
        <w:rPr>
          <w:rFonts w:cs="Calibri"/>
          <w:lang w:val="en-GB"/>
        </w:rPr>
        <w:t xml:space="preserve"> is the financial reporting incentives of com</w:t>
      </w:r>
      <w:r w:rsidR="00697A2F">
        <w:rPr>
          <w:rFonts w:cs="Calibri"/>
          <w:lang w:val="en-GB"/>
        </w:rPr>
        <w:t xml:space="preserve">panies. Because all companies </w:t>
      </w:r>
      <w:r w:rsidR="00B068F9">
        <w:rPr>
          <w:rFonts w:cs="Calibri"/>
          <w:lang w:val="en-GB"/>
        </w:rPr>
        <w:t xml:space="preserve">that will be used for this research </w:t>
      </w:r>
      <w:r w:rsidR="00697A2F">
        <w:rPr>
          <w:rFonts w:cs="Calibri"/>
          <w:lang w:val="en-GB"/>
        </w:rPr>
        <w:t>are listed</w:t>
      </w:r>
      <w:r w:rsidR="00B86BC8">
        <w:rPr>
          <w:rFonts w:cs="Calibri"/>
          <w:lang w:val="en-GB"/>
        </w:rPr>
        <w:t xml:space="preserve">, </w:t>
      </w:r>
      <w:r w:rsidR="00697A2F">
        <w:rPr>
          <w:rFonts w:cs="Calibri"/>
          <w:lang w:val="en-GB"/>
        </w:rPr>
        <w:t>their financial information is publicly available.</w:t>
      </w:r>
      <w:r w:rsidR="00B068F9">
        <w:rPr>
          <w:rFonts w:cs="Calibri"/>
          <w:lang w:val="en-GB"/>
        </w:rPr>
        <w:t xml:space="preserve"> Further information about the sample that will be used for the research, will be commented in section 6.4. </w:t>
      </w:r>
    </w:p>
    <w:p w:rsidR="00400366" w:rsidRDefault="00400366" w:rsidP="00D430C2">
      <w:pPr>
        <w:spacing w:line="360" w:lineRule="auto"/>
        <w:rPr>
          <w:rFonts w:cs="Calibri"/>
          <w:lang w:val="en-GB"/>
        </w:rPr>
      </w:pPr>
      <w:r>
        <w:rPr>
          <w:rFonts w:cs="Calibri"/>
          <w:lang w:val="en-GB"/>
        </w:rPr>
        <w:t xml:space="preserve">By executing the research, some factors that possible have their influence on the use of earnings management </w:t>
      </w:r>
      <w:r w:rsidR="006B2776">
        <w:rPr>
          <w:rFonts w:cs="Calibri"/>
          <w:lang w:val="en-GB"/>
        </w:rPr>
        <w:t xml:space="preserve">before and after the implementation of IFRS </w:t>
      </w:r>
      <w:r>
        <w:rPr>
          <w:rFonts w:cs="Calibri"/>
          <w:lang w:val="en-GB"/>
        </w:rPr>
        <w:t xml:space="preserve">are tested. </w:t>
      </w:r>
      <w:r w:rsidR="006B2776">
        <w:rPr>
          <w:rFonts w:cs="Calibri"/>
          <w:lang w:val="en-GB"/>
        </w:rPr>
        <w:t xml:space="preserve">The influence of the quality of the accounting standards used before IFRS is checked by comparing the use of earnings management before and after the implementation of IFRS. The country’s legal and political system is tested by comparing the use of earnings management in The Netherlands on one hand and Belgium and France on the other hand. The last factor, the financial reporting incentives of companies, is not tested because the companies </w:t>
      </w:r>
      <w:r w:rsidR="00B068F9">
        <w:rPr>
          <w:rFonts w:cs="Calibri"/>
          <w:lang w:val="en-GB"/>
        </w:rPr>
        <w:t>that will be investigated</w:t>
      </w:r>
      <w:r w:rsidR="006B2776">
        <w:rPr>
          <w:rFonts w:cs="Calibri"/>
          <w:lang w:val="en-GB"/>
        </w:rPr>
        <w:t xml:space="preserve"> are obliged to publicly report their financial information. </w:t>
      </w:r>
    </w:p>
    <w:p w:rsidR="00B068F9" w:rsidRDefault="00B068F9" w:rsidP="00D430C2">
      <w:pPr>
        <w:spacing w:line="360" w:lineRule="auto"/>
        <w:rPr>
          <w:rFonts w:cs="Calibri"/>
          <w:lang w:val="en-GB"/>
        </w:rPr>
      </w:pPr>
      <w:r>
        <w:rPr>
          <w:rFonts w:cs="Calibri"/>
          <w:lang w:val="en-GB"/>
        </w:rPr>
        <w:t xml:space="preserve">Before the empirical part of this research is performed, in the next chapter the hypothesis will be determined. </w:t>
      </w:r>
    </w:p>
    <w:p w:rsidR="00DF39D9" w:rsidRPr="00F67CC4" w:rsidRDefault="00DF39D9" w:rsidP="00DF39D9">
      <w:pPr>
        <w:spacing w:line="360" w:lineRule="auto"/>
        <w:rPr>
          <w:rFonts w:cs="Calibri"/>
          <w:bCs/>
          <w:lang w:val="en-GB"/>
        </w:rPr>
      </w:pPr>
    </w:p>
    <w:p w:rsidR="00FB530A" w:rsidRPr="008C581E" w:rsidRDefault="00DF39D9" w:rsidP="00DF39D9">
      <w:pPr>
        <w:spacing w:line="360" w:lineRule="auto"/>
        <w:rPr>
          <w:rFonts w:cs="Calibri"/>
          <w:b/>
          <w:bCs/>
          <w:sz w:val="24"/>
          <w:szCs w:val="24"/>
          <w:lang w:val="en-GB"/>
        </w:rPr>
      </w:pPr>
      <w:r w:rsidRPr="00F67CC4">
        <w:rPr>
          <w:rFonts w:cs="Calibri"/>
          <w:bCs/>
          <w:lang w:val="en-GB"/>
        </w:rPr>
        <w:br w:type="page"/>
      </w:r>
      <w:r w:rsidRPr="008C581E">
        <w:rPr>
          <w:rFonts w:cs="Calibri"/>
          <w:b/>
          <w:bCs/>
          <w:sz w:val="24"/>
          <w:szCs w:val="24"/>
          <w:lang w:val="en-GB"/>
        </w:rPr>
        <w:lastRenderedPageBreak/>
        <w:t>5 Hypotheses</w:t>
      </w:r>
    </w:p>
    <w:p w:rsidR="00F131D3" w:rsidRDefault="00FB530A" w:rsidP="00F131D3">
      <w:pPr>
        <w:spacing w:line="360" w:lineRule="auto"/>
        <w:rPr>
          <w:rFonts w:cs="Calibri"/>
          <w:bCs/>
          <w:lang w:val="en-GB"/>
        </w:rPr>
      </w:pPr>
      <w:r w:rsidRPr="00F67CC4">
        <w:rPr>
          <w:rFonts w:cs="Calibri"/>
          <w:b/>
          <w:bCs/>
          <w:lang w:val="en-GB"/>
        </w:rPr>
        <w:t>5.1 Introduction</w:t>
      </w:r>
      <w:r w:rsidRPr="00F67CC4">
        <w:rPr>
          <w:rFonts w:cs="Calibri"/>
          <w:b/>
          <w:bCs/>
          <w:lang w:val="en-GB"/>
        </w:rPr>
        <w:br/>
      </w:r>
      <w:r w:rsidR="00F131D3">
        <w:rPr>
          <w:rFonts w:cs="Calibri"/>
          <w:bCs/>
          <w:lang w:val="en-GB"/>
        </w:rPr>
        <w:t xml:space="preserve">The important aspects of this </w:t>
      </w:r>
      <w:r w:rsidR="00814812">
        <w:rPr>
          <w:rFonts w:cs="Calibri"/>
          <w:bCs/>
          <w:lang w:val="en-GB"/>
        </w:rPr>
        <w:t>thesis</w:t>
      </w:r>
      <w:r w:rsidR="00F131D3">
        <w:rPr>
          <w:rFonts w:cs="Calibri"/>
          <w:bCs/>
          <w:lang w:val="en-GB"/>
        </w:rPr>
        <w:t xml:space="preserve">, </w:t>
      </w:r>
      <w:r w:rsidR="00E31B10">
        <w:rPr>
          <w:rFonts w:cs="Calibri"/>
          <w:bCs/>
          <w:lang w:val="en-GB"/>
        </w:rPr>
        <w:t xml:space="preserve">the use of </w:t>
      </w:r>
      <w:r w:rsidR="00F131D3">
        <w:rPr>
          <w:rFonts w:cs="Calibri"/>
          <w:bCs/>
          <w:lang w:val="en-GB"/>
        </w:rPr>
        <w:t>earnings management and IFRS, and earlier conducted, related research in previous chapters</w:t>
      </w:r>
      <w:r w:rsidR="00E31B10">
        <w:rPr>
          <w:rFonts w:cs="Calibri"/>
          <w:bCs/>
          <w:lang w:val="en-GB"/>
        </w:rPr>
        <w:t xml:space="preserve"> have been commented</w:t>
      </w:r>
      <w:r w:rsidR="00F131D3">
        <w:rPr>
          <w:rFonts w:cs="Calibri"/>
          <w:bCs/>
          <w:lang w:val="en-GB"/>
        </w:rPr>
        <w:t xml:space="preserve">. The </w:t>
      </w:r>
      <w:r w:rsidR="00E31B10">
        <w:rPr>
          <w:rFonts w:cs="Calibri"/>
          <w:bCs/>
          <w:lang w:val="en-GB"/>
        </w:rPr>
        <w:t>findings</w:t>
      </w:r>
      <w:r w:rsidR="00F131D3">
        <w:rPr>
          <w:rFonts w:cs="Calibri"/>
          <w:bCs/>
          <w:lang w:val="en-GB"/>
        </w:rPr>
        <w:t xml:space="preserve"> of th</w:t>
      </w:r>
      <w:r w:rsidR="00E31B10">
        <w:rPr>
          <w:rFonts w:cs="Calibri"/>
          <w:bCs/>
          <w:lang w:val="en-GB"/>
        </w:rPr>
        <w:t>is earlier part of this research</w:t>
      </w:r>
      <w:r w:rsidR="00F131D3">
        <w:rPr>
          <w:rFonts w:cs="Calibri"/>
          <w:bCs/>
          <w:lang w:val="en-GB"/>
        </w:rPr>
        <w:t xml:space="preserve"> will be us</w:t>
      </w:r>
      <w:r w:rsidR="00E31B10">
        <w:rPr>
          <w:rFonts w:cs="Calibri"/>
          <w:bCs/>
          <w:lang w:val="en-GB"/>
        </w:rPr>
        <w:t xml:space="preserve">ed as guideline for determining in this chapter </w:t>
      </w:r>
      <w:r w:rsidR="00F131D3">
        <w:rPr>
          <w:rFonts w:cs="Calibri"/>
          <w:bCs/>
          <w:lang w:val="en-GB"/>
        </w:rPr>
        <w:t>t</w:t>
      </w:r>
      <w:r w:rsidR="00E31B10">
        <w:rPr>
          <w:rFonts w:cs="Calibri"/>
          <w:bCs/>
          <w:lang w:val="en-GB"/>
        </w:rPr>
        <w:t>he hypotheses.</w:t>
      </w:r>
    </w:p>
    <w:p w:rsidR="009A21CB" w:rsidRDefault="00FB530A" w:rsidP="00EF7BAD">
      <w:pPr>
        <w:spacing w:line="360" w:lineRule="auto"/>
        <w:rPr>
          <w:rFonts w:cs="Calibri"/>
          <w:bCs/>
          <w:lang w:val="en-GB"/>
        </w:rPr>
      </w:pPr>
      <w:r w:rsidRPr="00F67CC4">
        <w:rPr>
          <w:rFonts w:cs="Calibri"/>
          <w:b/>
          <w:bCs/>
          <w:lang w:val="en-GB"/>
        </w:rPr>
        <w:t>5.2</w:t>
      </w:r>
      <w:r w:rsidR="00353315" w:rsidRPr="00F67CC4">
        <w:rPr>
          <w:rFonts w:cs="Calibri"/>
          <w:b/>
          <w:bCs/>
          <w:lang w:val="en-GB"/>
        </w:rPr>
        <w:t xml:space="preserve"> </w:t>
      </w:r>
      <w:r w:rsidR="00262E1D">
        <w:rPr>
          <w:rFonts w:cs="Calibri"/>
          <w:b/>
          <w:bCs/>
          <w:lang w:val="en-GB"/>
        </w:rPr>
        <w:t>Hypothese</w:t>
      </w:r>
      <w:r w:rsidR="00EF7BAD" w:rsidRPr="00F67CC4">
        <w:rPr>
          <w:rFonts w:cs="Calibri"/>
          <w:b/>
          <w:bCs/>
          <w:lang w:val="en-GB"/>
        </w:rPr>
        <w:t>s</w:t>
      </w:r>
      <w:r w:rsidR="00353315" w:rsidRPr="00F67CC4">
        <w:rPr>
          <w:rFonts w:cs="Calibri"/>
          <w:b/>
          <w:bCs/>
          <w:lang w:val="en-GB"/>
        </w:rPr>
        <w:t xml:space="preserve"> development</w:t>
      </w:r>
      <w:r w:rsidR="00EF7BAD" w:rsidRPr="00F67CC4">
        <w:rPr>
          <w:rFonts w:cs="Calibri"/>
          <w:b/>
          <w:bCs/>
          <w:lang w:val="en-GB"/>
        </w:rPr>
        <w:br/>
      </w:r>
      <w:r w:rsidR="003C5A43" w:rsidRPr="00F67CC4">
        <w:rPr>
          <w:rFonts w:cs="Calibri"/>
          <w:bCs/>
          <w:lang w:val="en-GB"/>
        </w:rPr>
        <w:t xml:space="preserve">In order to achieve a better functioning of the internal market, a single set of international accounting standards for preparing the consolidated financial statements of publicly traded companies </w:t>
      </w:r>
      <w:r w:rsidR="00EB5C58">
        <w:rPr>
          <w:rFonts w:cs="Calibri"/>
          <w:bCs/>
          <w:lang w:val="en-GB"/>
        </w:rPr>
        <w:t xml:space="preserve">by </w:t>
      </w:r>
      <w:r w:rsidR="00E31B10">
        <w:rPr>
          <w:rFonts w:cs="Calibri"/>
          <w:bCs/>
          <w:lang w:val="en-GB"/>
        </w:rPr>
        <w:t xml:space="preserve">the </w:t>
      </w:r>
      <w:r w:rsidR="00EB5C58">
        <w:rPr>
          <w:rFonts w:cs="Calibri"/>
          <w:bCs/>
          <w:lang w:val="en-GB"/>
        </w:rPr>
        <w:t>IASB</w:t>
      </w:r>
      <w:r w:rsidR="003C5A43" w:rsidRPr="00F67CC4">
        <w:rPr>
          <w:rFonts w:cs="Calibri"/>
          <w:bCs/>
          <w:lang w:val="en-GB"/>
        </w:rPr>
        <w:t xml:space="preserve"> </w:t>
      </w:r>
      <w:r w:rsidR="00E31B10">
        <w:rPr>
          <w:rFonts w:cs="Calibri"/>
          <w:bCs/>
          <w:lang w:val="en-GB"/>
        </w:rPr>
        <w:t xml:space="preserve">was introduced </w:t>
      </w:r>
      <w:r w:rsidR="003C5A43" w:rsidRPr="00F67CC4">
        <w:rPr>
          <w:rFonts w:cs="Calibri"/>
          <w:bCs/>
          <w:lang w:val="en-GB"/>
        </w:rPr>
        <w:t>(EC No 1606/2002, p243/1)</w:t>
      </w:r>
      <w:r w:rsidR="00266F7E" w:rsidRPr="00F67CC4">
        <w:rPr>
          <w:rFonts w:cs="Calibri"/>
          <w:bCs/>
          <w:lang w:val="en-GB"/>
        </w:rPr>
        <w:t>.</w:t>
      </w:r>
      <w:r w:rsidR="003C5A43" w:rsidRPr="00F67CC4">
        <w:rPr>
          <w:rFonts w:cs="Calibri"/>
          <w:bCs/>
          <w:lang w:val="en-GB"/>
        </w:rPr>
        <w:t xml:space="preserve"> This better functioning of the internal market should be accomplished by providing a high degree of transparency and comparability of the financial reports provided by all internat</w:t>
      </w:r>
      <w:r w:rsidR="00266F7E" w:rsidRPr="00F67CC4">
        <w:rPr>
          <w:rFonts w:cs="Calibri"/>
          <w:bCs/>
          <w:lang w:val="en-GB"/>
        </w:rPr>
        <w:t>ional publicly traded companies</w:t>
      </w:r>
      <w:r w:rsidR="00E31B10">
        <w:rPr>
          <w:rFonts w:cs="Calibri"/>
          <w:bCs/>
          <w:lang w:val="en-GB"/>
        </w:rPr>
        <w:t xml:space="preserve"> according to the European Parlement</w:t>
      </w:r>
      <w:r w:rsidR="003C5A43" w:rsidRPr="00F67CC4">
        <w:rPr>
          <w:rFonts w:cs="Calibri"/>
          <w:bCs/>
          <w:lang w:val="en-GB"/>
        </w:rPr>
        <w:t xml:space="preserve"> (EC No 1606/2002, p243/2)</w:t>
      </w:r>
      <w:r w:rsidR="00266F7E" w:rsidRPr="00F67CC4">
        <w:rPr>
          <w:rFonts w:cs="Calibri"/>
          <w:bCs/>
          <w:lang w:val="en-GB"/>
        </w:rPr>
        <w:t>.</w:t>
      </w:r>
      <w:r w:rsidR="00B20922" w:rsidRPr="00F67CC4">
        <w:rPr>
          <w:rFonts w:cs="Calibri"/>
          <w:bCs/>
          <w:lang w:val="en-GB"/>
        </w:rPr>
        <w:t xml:space="preserve"> With fair-value </w:t>
      </w:r>
      <w:r w:rsidR="00266F7E" w:rsidRPr="00F67CC4">
        <w:rPr>
          <w:rFonts w:cs="Calibri"/>
          <w:bCs/>
          <w:lang w:val="en-GB"/>
        </w:rPr>
        <w:t>accounting</w:t>
      </w:r>
      <w:r w:rsidR="005435AE" w:rsidRPr="00F67CC4">
        <w:rPr>
          <w:rFonts w:cs="Calibri"/>
          <w:bCs/>
          <w:lang w:val="en-GB"/>
        </w:rPr>
        <w:t xml:space="preserve"> as </w:t>
      </w:r>
      <w:r w:rsidR="00B20922" w:rsidRPr="00F67CC4">
        <w:rPr>
          <w:rFonts w:cs="Calibri"/>
          <w:bCs/>
          <w:lang w:val="en-GB"/>
        </w:rPr>
        <w:t>important principle of IFRS, IFRS should increase the quality of the published</w:t>
      </w:r>
      <w:r w:rsidR="00EB5C58">
        <w:rPr>
          <w:rFonts w:cs="Calibri"/>
          <w:bCs/>
          <w:lang w:val="en-GB"/>
        </w:rPr>
        <w:t xml:space="preserve"> reports, including a decrease in the</w:t>
      </w:r>
      <w:r w:rsidR="00B20922" w:rsidRPr="00F67CC4">
        <w:rPr>
          <w:rFonts w:cs="Calibri"/>
          <w:bCs/>
          <w:lang w:val="en-GB"/>
        </w:rPr>
        <w:t xml:space="preserve"> use of earni</w:t>
      </w:r>
      <w:r w:rsidR="002C1A80" w:rsidRPr="00F67CC4">
        <w:rPr>
          <w:rFonts w:cs="Calibri"/>
          <w:bCs/>
          <w:lang w:val="en-GB"/>
        </w:rPr>
        <w:t>ngs management. Many researches (Tendeloo and Vanstraelen (2005), Ewert and Wagenhofer (2005), Heemskerk and van der Tas (2006), Jeanjean and Stolowy (2008), Lippens (2010) and Callao</w:t>
      </w:r>
      <w:r w:rsidR="004E0604">
        <w:rPr>
          <w:rFonts w:cs="Calibri"/>
          <w:bCs/>
          <w:lang w:val="en-GB"/>
        </w:rPr>
        <w:t xml:space="preserve"> and </w:t>
      </w:r>
      <w:r w:rsidR="002C1A80" w:rsidRPr="00F67CC4">
        <w:rPr>
          <w:rFonts w:cs="Calibri"/>
          <w:bCs/>
          <w:lang w:val="en-GB"/>
        </w:rPr>
        <w:t>Jarne (2010))</w:t>
      </w:r>
      <w:r w:rsidR="00B20922" w:rsidRPr="00F67CC4">
        <w:rPr>
          <w:rFonts w:cs="Calibri"/>
          <w:b/>
          <w:bCs/>
          <w:lang w:val="en-GB"/>
        </w:rPr>
        <w:t xml:space="preserve"> </w:t>
      </w:r>
      <w:r w:rsidR="00B20922" w:rsidRPr="00F67CC4">
        <w:rPr>
          <w:rFonts w:cs="Calibri"/>
          <w:bCs/>
          <w:lang w:val="en-GB"/>
        </w:rPr>
        <w:t xml:space="preserve">have </w:t>
      </w:r>
      <w:r w:rsidR="00EB5C58">
        <w:rPr>
          <w:rFonts w:cs="Calibri"/>
          <w:bCs/>
          <w:lang w:val="en-GB"/>
        </w:rPr>
        <w:t>research</w:t>
      </w:r>
      <w:r w:rsidR="00E31B10">
        <w:rPr>
          <w:rFonts w:cs="Calibri"/>
          <w:bCs/>
          <w:lang w:val="en-GB"/>
        </w:rPr>
        <w:t>ed</w:t>
      </w:r>
      <w:r w:rsidR="00B20922" w:rsidRPr="00F67CC4">
        <w:rPr>
          <w:rFonts w:cs="Calibri"/>
          <w:bCs/>
          <w:lang w:val="en-GB"/>
        </w:rPr>
        <w:t xml:space="preserve"> whether</w:t>
      </w:r>
      <w:r w:rsidR="00E31B10">
        <w:rPr>
          <w:rFonts w:cs="Calibri"/>
          <w:bCs/>
          <w:lang w:val="en-GB"/>
        </w:rPr>
        <w:t xml:space="preserve"> the use of</w:t>
      </w:r>
      <w:r w:rsidR="00B20922" w:rsidRPr="00F67CC4">
        <w:rPr>
          <w:rFonts w:cs="Calibri"/>
          <w:bCs/>
          <w:lang w:val="en-GB"/>
        </w:rPr>
        <w:t xml:space="preserve"> IFRS indeed decreased the use of earnings management. The overall </w:t>
      </w:r>
      <w:r w:rsidR="00E31B10">
        <w:rPr>
          <w:rFonts w:cs="Calibri"/>
          <w:bCs/>
          <w:lang w:val="en-GB"/>
        </w:rPr>
        <w:t>findings</w:t>
      </w:r>
      <w:r w:rsidR="00B20922" w:rsidRPr="00F67CC4">
        <w:rPr>
          <w:rFonts w:cs="Calibri"/>
          <w:bCs/>
          <w:lang w:val="en-GB"/>
        </w:rPr>
        <w:t xml:space="preserve"> of these researches, </w:t>
      </w:r>
      <w:r w:rsidR="00EB5C58">
        <w:rPr>
          <w:rFonts w:cs="Calibri"/>
          <w:bCs/>
          <w:lang w:val="en-GB"/>
        </w:rPr>
        <w:t xml:space="preserve">as </w:t>
      </w:r>
      <w:r w:rsidR="00FD57D0">
        <w:rPr>
          <w:rFonts w:cs="Calibri"/>
          <w:bCs/>
          <w:lang w:val="en-GB"/>
        </w:rPr>
        <w:t>commented</w:t>
      </w:r>
      <w:r w:rsidR="00E31B10">
        <w:rPr>
          <w:rFonts w:cs="Calibri"/>
          <w:bCs/>
          <w:lang w:val="en-GB"/>
        </w:rPr>
        <w:t xml:space="preserve"> in chapter 4, are </w:t>
      </w:r>
      <w:r w:rsidR="00B20922" w:rsidRPr="00F67CC4">
        <w:rPr>
          <w:rFonts w:cs="Calibri"/>
          <w:bCs/>
          <w:lang w:val="en-GB"/>
        </w:rPr>
        <w:t xml:space="preserve">that </w:t>
      </w:r>
      <w:r w:rsidR="00EB5C58">
        <w:rPr>
          <w:rFonts w:cs="Calibri"/>
          <w:bCs/>
          <w:lang w:val="en-GB"/>
        </w:rPr>
        <w:t xml:space="preserve">the use of </w:t>
      </w:r>
      <w:r w:rsidR="00B20922" w:rsidRPr="00F67CC4">
        <w:rPr>
          <w:rFonts w:cs="Calibri"/>
          <w:bCs/>
          <w:lang w:val="en-GB"/>
        </w:rPr>
        <w:t xml:space="preserve">earnings management </w:t>
      </w:r>
      <w:r w:rsidR="00EB5C58">
        <w:rPr>
          <w:rFonts w:cs="Calibri"/>
          <w:bCs/>
          <w:lang w:val="en-GB"/>
        </w:rPr>
        <w:t>by</w:t>
      </w:r>
      <w:r w:rsidR="00B20922" w:rsidRPr="00F67CC4">
        <w:rPr>
          <w:rFonts w:cs="Calibri"/>
          <w:bCs/>
          <w:lang w:val="en-GB"/>
        </w:rPr>
        <w:t xml:space="preserve"> the introduction of IFRS did not de</w:t>
      </w:r>
      <w:r w:rsidR="00EB5C58">
        <w:rPr>
          <w:rFonts w:cs="Calibri"/>
          <w:bCs/>
          <w:lang w:val="en-GB"/>
        </w:rPr>
        <w:t xml:space="preserve">crease and </w:t>
      </w:r>
      <w:r w:rsidR="00266F7E" w:rsidRPr="00F67CC4">
        <w:rPr>
          <w:rFonts w:cs="Calibri"/>
          <w:bCs/>
          <w:lang w:val="en-GB"/>
        </w:rPr>
        <w:t xml:space="preserve">sometimes </w:t>
      </w:r>
      <w:r w:rsidR="00FA4448">
        <w:rPr>
          <w:rFonts w:cs="Calibri"/>
          <w:bCs/>
          <w:lang w:val="en-GB"/>
        </w:rPr>
        <w:t>even increased</w:t>
      </w:r>
      <w:r w:rsidR="00B20922" w:rsidRPr="00F67CC4">
        <w:rPr>
          <w:rFonts w:cs="Calibri"/>
          <w:bCs/>
          <w:lang w:val="en-GB"/>
        </w:rPr>
        <w:t xml:space="preserve">. </w:t>
      </w:r>
    </w:p>
    <w:p w:rsidR="00763BF5" w:rsidRDefault="00E75C98" w:rsidP="00EF7BAD">
      <w:pPr>
        <w:spacing w:line="360" w:lineRule="auto"/>
        <w:rPr>
          <w:rFonts w:cs="Calibri"/>
          <w:bCs/>
          <w:lang w:val="en-GB"/>
        </w:rPr>
      </w:pPr>
      <w:r w:rsidRPr="00F67CC4">
        <w:rPr>
          <w:rFonts w:cs="Calibri"/>
          <w:bCs/>
          <w:lang w:val="en-GB"/>
        </w:rPr>
        <w:t xml:space="preserve">Although previous researches </w:t>
      </w:r>
      <w:r w:rsidR="00266F7E" w:rsidRPr="00F67CC4">
        <w:rPr>
          <w:rFonts w:cs="Calibri"/>
          <w:bCs/>
          <w:lang w:val="en-GB"/>
        </w:rPr>
        <w:t xml:space="preserve">in general </w:t>
      </w:r>
      <w:r w:rsidR="00E31B10">
        <w:rPr>
          <w:rFonts w:cs="Calibri"/>
          <w:bCs/>
          <w:lang w:val="en-GB"/>
        </w:rPr>
        <w:t>detected</w:t>
      </w:r>
      <w:r w:rsidRPr="00F67CC4">
        <w:rPr>
          <w:rFonts w:cs="Calibri"/>
          <w:bCs/>
          <w:lang w:val="en-GB"/>
        </w:rPr>
        <w:t xml:space="preserve"> no decrease in </w:t>
      </w:r>
      <w:r w:rsidR="00EB5C58">
        <w:rPr>
          <w:rFonts w:cs="Calibri"/>
          <w:bCs/>
          <w:lang w:val="en-GB"/>
        </w:rPr>
        <w:t xml:space="preserve">the use of earnings management, specific circumstances causes that this conclusion cannot just be adopted for this research. </w:t>
      </w:r>
      <w:r w:rsidR="00A40405">
        <w:rPr>
          <w:rFonts w:cs="Calibri"/>
          <w:bCs/>
          <w:lang w:val="en-GB"/>
        </w:rPr>
        <w:t xml:space="preserve">One of the differences is that all </w:t>
      </w:r>
      <w:r w:rsidR="00FD57D0" w:rsidRPr="00E31B10">
        <w:rPr>
          <w:rFonts w:cs="Calibri"/>
          <w:bCs/>
          <w:lang w:val="en-GB"/>
        </w:rPr>
        <w:t>commented</w:t>
      </w:r>
      <w:r w:rsidRPr="00E31B10">
        <w:rPr>
          <w:rFonts w:cs="Calibri"/>
          <w:bCs/>
          <w:lang w:val="en-GB"/>
        </w:rPr>
        <w:t xml:space="preserve"> researches were executed with data from another country or a combination of countries.</w:t>
      </w:r>
      <w:r w:rsidR="00A40405" w:rsidRPr="00E31B10">
        <w:rPr>
          <w:rFonts w:cs="Calibri"/>
          <w:bCs/>
          <w:lang w:val="en-GB"/>
        </w:rPr>
        <w:t xml:space="preserve"> </w:t>
      </w:r>
      <w:r w:rsidR="00E31B10" w:rsidRPr="00E31B10">
        <w:rPr>
          <w:rFonts w:cs="Calibri"/>
          <w:bCs/>
          <w:lang w:val="en-GB"/>
        </w:rPr>
        <w:t>Next to this factor, other</w:t>
      </w:r>
      <w:r w:rsidR="00763BF5" w:rsidRPr="00E31B10">
        <w:rPr>
          <w:rFonts w:cs="Calibri"/>
          <w:bCs/>
          <w:lang w:val="en-GB"/>
        </w:rPr>
        <w:t xml:space="preserve"> factors</w:t>
      </w:r>
      <w:r w:rsidR="00E31B10">
        <w:rPr>
          <w:rFonts w:cs="Calibri"/>
          <w:bCs/>
          <w:lang w:val="en-GB"/>
        </w:rPr>
        <w:t xml:space="preserve"> exist that</w:t>
      </w:r>
      <w:r w:rsidR="00763BF5" w:rsidRPr="00E31B10">
        <w:rPr>
          <w:rFonts w:cs="Calibri"/>
          <w:bCs/>
          <w:lang w:val="en-GB"/>
        </w:rPr>
        <w:t xml:space="preserve"> influence the transition from </w:t>
      </w:r>
      <w:r w:rsidR="00E31B10">
        <w:rPr>
          <w:rFonts w:cs="Calibri"/>
          <w:bCs/>
          <w:lang w:val="en-GB"/>
        </w:rPr>
        <w:t xml:space="preserve">the </w:t>
      </w:r>
      <w:r w:rsidR="00763BF5" w:rsidRPr="00E31B10">
        <w:rPr>
          <w:rFonts w:cs="Calibri"/>
          <w:bCs/>
          <w:lang w:val="en-GB"/>
        </w:rPr>
        <w:t>local GAAP to IFRS. According to Soderstrom and</w:t>
      </w:r>
      <w:r w:rsidR="00763BF5">
        <w:rPr>
          <w:rFonts w:cs="Calibri"/>
          <w:bCs/>
          <w:lang w:val="en-GB"/>
        </w:rPr>
        <w:t xml:space="preserve"> Sun (2007), three factors can be distinguished: </w:t>
      </w:r>
      <w:r w:rsidR="00D015B4" w:rsidRPr="00F67CC4">
        <w:rPr>
          <w:rFonts w:cs="Calibri"/>
          <w:bCs/>
          <w:lang w:val="en-GB"/>
        </w:rPr>
        <w:t>(1) the quality of the standards used before IFRS, (2) the country’s legal and political system and (3) the financial reporting incentives of companies (Soderstrom and Sun 2007, p</w:t>
      </w:r>
      <w:r w:rsidR="00A40405">
        <w:rPr>
          <w:rFonts w:cs="Calibri"/>
          <w:bCs/>
          <w:lang w:val="en-GB"/>
        </w:rPr>
        <w:t xml:space="preserve"> </w:t>
      </w:r>
      <w:r w:rsidR="00D015B4" w:rsidRPr="00F67CC4">
        <w:rPr>
          <w:rFonts w:cs="Calibri"/>
          <w:bCs/>
          <w:lang w:val="en-GB"/>
        </w:rPr>
        <w:t xml:space="preserve">695). </w:t>
      </w:r>
    </w:p>
    <w:p w:rsidR="00763BF5" w:rsidRDefault="00763BF5" w:rsidP="00EF7BAD">
      <w:pPr>
        <w:spacing w:line="360" w:lineRule="auto"/>
        <w:rPr>
          <w:rFonts w:cs="Calibri"/>
          <w:bCs/>
          <w:lang w:val="en-GB"/>
        </w:rPr>
      </w:pPr>
      <w:r>
        <w:rPr>
          <w:rFonts w:cs="Calibri"/>
          <w:bCs/>
          <w:lang w:val="en-GB"/>
        </w:rPr>
        <w:t xml:space="preserve">When </w:t>
      </w:r>
      <w:r w:rsidR="00E31B10">
        <w:rPr>
          <w:rFonts w:cs="Calibri"/>
          <w:bCs/>
          <w:lang w:val="en-GB"/>
        </w:rPr>
        <w:t>investigating</w:t>
      </w:r>
      <w:r w:rsidR="008A7557" w:rsidRPr="00883764">
        <w:rPr>
          <w:rFonts w:cs="Calibri"/>
          <w:bCs/>
          <w:lang w:val="en-GB"/>
        </w:rPr>
        <w:t xml:space="preserve"> these factors </w:t>
      </w:r>
      <w:r>
        <w:rPr>
          <w:rFonts w:cs="Calibri"/>
          <w:bCs/>
          <w:lang w:val="en-GB"/>
        </w:rPr>
        <w:t>in combination with</w:t>
      </w:r>
      <w:r w:rsidR="008A7557" w:rsidRPr="00883764">
        <w:rPr>
          <w:rFonts w:cs="Calibri"/>
          <w:bCs/>
          <w:lang w:val="en-GB"/>
        </w:rPr>
        <w:t xml:space="preserve"> the French Civil law </w:t>
      </w:r>
      <w:r>
        <w:rPr>
          <w:rFonts w:cs="Calibri"/>
          <w:bCs/>
          <w:lang w:val="en-GB"/>
        </w:rPr>
        <w:t>characteristics as</w:t>
      </w:r>
      <w:r w:rsidR="00883764" w:rsidRPr="00883764">
        <w:rPr>
          <w:rFonts w:cs="Calibri"/>
          <w:bCs/>
          <w:lang w:val="en-GB"/>
        </w:rPr>
        <w:t xml:space="preserve"> </w:t>
      </w:r>
      <w:r w:rsidR="00E31B10">
        <w:rPr>
          <w:rFonts w:cs="Calibri"/>
          <w:bCs/>
          <w:lang w:val="en-GB"/>
        </w:rPr>
        <w:t>signalled</w:t>
      </w:r>
      <w:r w:rsidR="00883764" w:rsidRPr="00883764">
        <w:rPr>
          <w:rFonts w:cs="Calibri"/>
          <w:bCs/>
          <w:lang w:val="en-GB"/>
        </w:rPr>
        <w:t xml:space="preserve"> in section 4.3</w:t>
      </w:r>
      <w:r w:rsidR="008A7557" w:rsidRPr="00883764">
        <w:rPr>
          <w:rFonts w:cs="Calibri"/>
          <w:bCs/>
          <w:lang w:val="en-GB"/>
        </w:rPr>
        <w:t xml:space="preserve">, the </w:t>
      </w:r>
      <w:r w:rsidR="00E31B10">
        <w:rPr>
          <w:rFonts w:cs="Calibri"/>
          <w:bCs/>
          <w:lang w:val="en-GB"/>
        </w:rPr>
        <w:t>assumption</w:t>
      </w:r>
      <w:r w:rsidR="008A7557" w:rsidRPr="00883764">
        <w:rPr>
          <w:rFonts w:cs="Calibri"/>
          <w:bCs/>
          <w:lang w:val="en-GB"/>
        </w:rPr>
        <w:t xml:space="preserve"> is that </w:t>
      </w:r>
      <w:r w:rsidR="008D5562">
        <w:rPr>
          <w:rFonts w:cs="Calibri"/>
          <w:bCs/>
          <w:lang w:val="en-GB"/>
        </w:rPr>
        <w:t xml:space="preserve">it </w:t>
      </w:r>
      <w:r w:rsidR="008A7557" w:rsidRPr="00883764">
        <w:rPr>
          <w:rFonts w:cs="Calibri"/>
          <w:bCs/>
          <w:lang w:val="en-GB"/>
        </w:rPr>
        <w:t xml:space="preserve">is hard to </w:t>
      </w:r>
      <w:r w:rsidR="00883764" w:rsidRPr="00883764">
        <w:rPr>
          <w:rFonts w:cs="Calibri"/>
          <w:bCs/>
          <w:lang w:val="en-GB"/>
        </w:rPr>
        <w:t xml:space="preserve">draw an overall </w:t>
      </w:r>
      <w:r w:rsidR="00E31B10">
        <w:rPr>
          <w:rFonts w:cs="Calibri"/>
          <w:bCs/>
          <w:lang w:val="en-GB"/>
        </w:rPr>
        <w:t>vision</w:t>
      </w:r>
      <w:r w:rsidR="00883764" w:rsidRPr="00883764">
        <w:rPr>
          <w:rFonts w:cs="Calibri"/>
          <w:bCs/>
          <w:lang w:val="en-GB"/>
        </w:rPr>
        <w:t xml:space="preserve"> on the influence of these factors </w:t>
      </w:r>
      <w:r w:rsidR="00E31B10">
        <w:rPr>
          <w:rFonts w:cs="Calibri"/>
          <w:bCs/>
          <w:lang w:val="en-GB"/>
        </w:rPr>
        <w:t>concerning</w:t>
      </w:r>
      <w:r w:rsidR="00883764" w:rsidRPr="00883764">
        <w:rPr>
          <w:rFonts w:cs="Calibri"/>
          <w:bCs/>
          <w:lang w:val="en-GB"/>
        </w:rPr>
        <w:t xml:space="preserve"> all</w:t>
      </w:r>
      <w:r w:rsidR="00E31B10">
        <w:rPr>
          <w:rFonts w:cs="Calibri"/>
          <w:bCs/>
          <w:lang w:val="en-GB"/>
        </w:rPr>
        <w:t xml:space="preserve"> intended to select</w:t>
      </w:r>
      <w:r w:rsidR="00883764" w:rsidRPr="00883764">
        <w:rPr>
          <w:rFonts w:cs="Calibri"/>
          <w:bCs/>
          <w:lang w:val="en-GB"/>
        </w:rPr>
        <w:t xml:space="preserve"> three countries. </w:t>
      </w:r>
      <w:r w:rsidR="00E31B10">
        <w:rPr>
          <w:rFonts w:cs="Calibri"/>
          <w:bCs/>
          <w:lang w:val="en-GB"/>
        </w:rPr>
        <w:t xml:space="preserve">No general finding </w:t>
      </w:r>
      <w:r>
        <w:rPr>
          <w:rFonts w:cs="Calibri"/>
          <w:bCs/>
          <w:lang w:val="en-GB"/>
        </w:rPr>
        <w:t>by earlier conducted rese</w:t>
      </w:r>
      <w:r w:rsidR="00E97714">
        <w:rPr>
          <w:rFonts w:cs="Calibri"/>
          <w:bCs/>
          <w:lang w:val="en-GB"/>
        </w:rPr>
        <w:t xml:space="preserve">arches on the influence of </w:t>
      </w:r>
      <w:r>
        <w:rPr>
          <w:rFonts w:cs="Calibri"/>
          <w:bCs/>
          <w:lang w:val="en-GB"/>
        </w:rPr>
        <w:t xml:space="preserve">IFRS on the use of earnings management and </w:t>
      </w:r>
      <w:r w:rsidR="00E97714">
        <w:rPr>
          <w:rFonts w:cs="Calibri"/>
          <w:bCs/>
          <w:lang w:val="en-GB"/>
        </w:rPr>
        <w:t xml:space="preserve">the fact that </w:t>
      </w:r>
      <w:r w:rsidR="00A60680">
        <w:rPr>
          <w:rFonts w:cs="Calibri"/>
          <w:bCs/>
          <w:lang w:val="en-GB"/>
        </w:rPr>
        <w:t xml:space="preserve">the </w:t>
      </w:r>
      <w:r w:rsidR="00E97714">
        <w:rPr>
          <w:rFonts w:cs="Calibri"/>
          <w:bCs/>
          <w:lang w:val="en-GB"/>
        </w:rPr>
        <w:t xml:space="preserve">local GAAP was already in </w:t>
      </w:r>
      <w:r w:rsidR="00A60680">
        <w:rPr>
          <w:rFonts w:cs="Calibri"/>
          <w:bCs/>
          <w:lang w:val="en-GB"/>
        </w:rPr>
        <w:t>conformity</w:t>
      </w:r>
      <w:r w:rsidR="00E97714">
        <w:rPr>
          <w:rFonts w:cs="Calibri"/>
          <w:bCs/>
          <w:lang w:val="en-GB"/>
        </w:rPr>
        <w:t xml:space="preserve"> with IFRS, </w:t>
      </w:r>
      <w:r w:rsidR="00A60680">
        <w:rPr>
          <w:rFonts w:cs="Calibri"/>
          <w:bCs/>
          <w:lang w:val="en-GB"/>
        </w:rPr>
        <w:t xml:space="preserve">consequently </w:t>
      </w:r>
      <w:r w:rsidR="00E97714">
        <w:rPr>
          <w:rFonts w:cs="Calibri"/>
          <w:bCs/>
          <w:lang w:val="en-GB"/>
        </w:rPr>
        <w:t xml:space="preserve">the </w:t>
      </w:r>
      <w:r w:rsidR="00A60680">
        <w:rPr>
          <w:rFonts w:cs="Calibri"/>
          <w:bCs/>
          <w:lang w:val="en-GB"/>
        </w:rPr>
        <w:t>next</w:t>
      </w:r>
      <w:r w:rsidR="00E97714">
        <w:rPr>
          <w:rFonts w:cs="Calibri"/>
          <w:bCs/>
          <w:lang w:val="en-GB"/>
        </w:rPr>
        <w:t xml:space="preserve"> hypothesis is stated:</w:t>
      </w:r>
    </w:p>
    <w:p w:rsidR="00521621" w:rsidRPr="00F67CC4" w:rsidRDefault="00A60680" w:rsidP="00EF7BAD">
      <w:pPr>
        <w:spacing w:line="360" w:lineRule="auto"/>
        <w:rPr>
          <w:rFonts w:cs="Calibri"/>
          <w:b/>
          <w:bCs/>
          <w:i/>
          <w:lang w:val="en-GB"/>
        </w:rPr>
      </w:pPr>
      <w:r>
        <w:rPr>
          <w:rFonts w:cs="Calibri"/>
          <w:b/>
          <w:bCs/>
          <w:i/>
          <w:lang w:val="en-GB"/>
        </w:rPr>
        <w:lastRenderedPageBreak/>
        <w:t>H1</w:t>
      </w:r>
      <w:r>
        <w:rPr>
          <w:rFonts w:cs="Calibri"/>
          <w:b/>
          <w:bCs/>
          <w:i/>
          <w:lang w:val="en-GB"/>
        </w:rPr>
        <w:br/>
      </w:r>
      <w:r w:rsidR="00521621" w:rsidRPr="00F67CC4">
        <w:rPr>
          <w:rFonts w:cs="Calibri"/>
          <w:b/>
          <w:bCs/>
          <w:i/>
          <w:lang w:val="en-GB"/>
        </w:rPr>
        <w:t xml:space="preserve">The total </w:t>
      </w:r>
      <w:r w:rsidR="005435AE" w:rsidRPr="00F67CC4">
        <w:rPr>
          <w:rFonts w:cs="Calibri"/>
          <w:b/>
          <w:bCs/>
          <w:i/>
          <w:lang w:val="en-GB"/>
        </w:rPr>
        <w:t>degree</w:t>
      </w:r>
      <w:r w:rsidR="00521621" w:rsidRPr="00F67CC4">
        <w:rPr>
          <w:rFonts w:cs="Calibri"/>
          <w:b/>
          <w:bCs/>
          <w:i/>
          <w:lang w:val="en-GB"/>
        </w:rPr>
        <w:t xml:space="preserve"> of </w:t>
      </w:r>
      <w:r>
        <w:rPr>
          <w:rFonts w:cs="Calibri"/>
          <w:b/>
          <w:bCs/>
          <w:i/>
          <w:lang w:val="en-GB"/>
        </w:rPr>
        <w:t xml:space="preserve">the use of </w:t>
      </w:r>
      <w:r w:rsidR="00521621" w:rsidRPr="00F67CC4">
        <w:rPr>
          <w:rFonts w:cs="Calibri"/>
          <w:b/>
          <w:bCs/>
          <w:i/>
          <w:lang w:val="en-GB"/>
        </w:rPr>
        <w:t>earnings management did not</w:t>
      </w:r>
      <w:r w:rsidR="00883764">
        <w:rPr>
          <w:rFonts w:cs="Calibri"/>
          <w:b/>
          <w:bCs/>
          <w:i/>
          <w:lang w:val="en-GB"/>
        </w:rPr>
        <w:t xml:space="preserve"> change by the</w:t>
      </w:r>
      <w:r w:rsidR="00521621" w:rsidRPr="00F67CC4">
        <w:rPr>
          <w:rFonts w:cs="Calibri"/>
          <w:b/>
          <w:bCs/>
          <w:i/>
          <w:lang w:val="en-GB"/>
        </w:rPr>
        <w:t xml:space="preserve"> transition from </w:t>
      </w:r>
      <w:r w:rsidR="005938BB" w:rsidRPr="00F67CC4">
        <w:rPr>
          <w:rFonts w:cs="Calibri"/>
          <w:b/>
          <w:bCs/>
          <w:i/>
          <w:lang w:val="en-GB"/>
        </w:rPr>
        <w:t>local</w:t>
      </w:r>
      <w:r w:rsidR="00057825">
        <w:rPr>
          <w:rFonts w:cs="Calibri"/>
          <w:b/>
          <w:bCs/>
          <w:i/>
          <w:lang w:val="en-GB"/>
        </w:rPr>
        <w:t xml:space="preserve"> GAAP to IFRS in 2005 in The Netherlands, </w:t>
      </w:r>
      <w:r>
        <w:rPr>
          <w:rFonts w:cs="Calibri"/>
          <w:b/>
          <w:bCs/>
          <w:i/>
          <w:lang w:val="en-GB"/>
        </w:rPr>
        <w:t xml:space="preserve">in </w:t>
      </w:r>
      <w:r w:rsidR="00057825">
        <w:rPr>
          <w:rFonts w:cs="Calibri"/>
          <w:b/>
          <w:bCs/>
          <w:i/>
          <w:lang w:val="en-GB"/>
        </w:rPr>
        <w:t xml:space="preserve">Belgium and </w:t>
      </w:r>
      <w:r>
        <w:rPr>
          <w:rFonts w:cs="Calibri"/>
          <w:b/>
          <w:bCs/>
          <w:i/>
          <w:lang w:val="en-GB"/>
        </w:rPr>
        <w:t xml:space="preserve">in </w:t>
      </w:r>
      <w:r w:rsidR="00057825">
        <w:rPr>
          <w:rFonts w:cs="Calibri"/>
          <w:b/>
          <w:bCs/>
          <w:i/>
          <w:lang w:val="en-GB"/>
        </w:rPr>
        <w:t>France</w:t>
      </w:r>
    </w:p>
    <w:p w:rsidR="005A7A67" w:rsidRDefault="001646AB" w:rsidP="00EF7BAD">
      <w:pPr>
        <w:spacing w:line="360" w:lineRule="auto"/>
        <w:rPr>
          <w:rFonts w:cs="Calibri"/>
          <w:bCs/>
          <w:lang w:val="en-GB"/>
        </w:rPr>
      </w:pPr>
      <w:r w:rsidRPr="00F67CC4">
        <w:rPr>
          <w:rFonts w:cs="Calibri"/>
          <w:bCs/>
          <w:lang w:val="en-GB"/>
        </w:rPr>
        <w:t xml:space="preserve">Next to the sum, will the use of </w:t>
      </w:r>
      <w:r w:rsidR="000A689D">
        <w:rPr>
          <w:rFonts w:cs="Calibri"/>
          <w:bCs/>
          <w:lang w:val="en-GB"/>
        </w:rPr>
        <w:t>accruals-based and real earnings management</w:t>
      </w:r>
      <w:r w:rsidR="005A7A67">
        <w:rPr>
          <w:rFonts w:cs="Calibri"/>
          <w:bCs/>
          <w:lang w:val="en-GB"/>
        </w:rPr>
        <w:t xml:space="preserve"> independently</w:t>
      </w:r>
      <w:r w:rsidRPr="00F67CC4">
        <w:rPr>
          <w:rFonts w:cs="Calibri"/>
          <w:bCs/>
          <w:lang w:val="en-GB"/>
        </w:rPr>
        <w:t xml:space="preserve"> before and after the introduction of IFRS</w:t>
      </w:r>
      <w:r w:rsidR="00A60680">
        <w:rPr>
          <w:rFonts w:cs="Calibri"/>
          <w:bCs/>
          <w:lang w:val="en-GB"/>
        </w:rPr>
        <w:t xml:space="preserve"> is</w:t>
      </w:r>
      <w:r w:rsidR="005A7A67">
        <w:rPr>
          <w:rFonts w:cs="Calibri"/>
          <w:bCs/>
          <w:lang w:val="en-GB"/>
        </w:rPr>
        <w:t xml:space="preserve"> tested</w:t>
      </w:r>
      <w:r w:rsidRPr="00F67CC4">
        <w:rPr>
          <w:rFonts w:cs="Calibri"/>
          <w:bCs/>
          <w:lang w:val="en-GB"/>
        </w:rPr>
        <w:t>.</w:t>
      </w:r>
      <w:r w:rsidR="00CD1CB8">
        <w:rPr>
          <w:rFonts w:cs="Calibri"/>
          <w:bCs/>
          <w:lang w:val="en-GB"/>
        </w:rPr>
        <w:t xml:space="preserve"> </w:t>
      </w:r>
      <w:r w:rsidR="005A7A67">
        <w:rPr>
          <w:rFonts w:cs="Calibri"/>
          <w:bCs/>
          <w:lang w:val="en-GB"/>
        </w:rPr>
        <w:t>Graham et al. (2005) foun</w:t>
      </w:r>
      <w:r w:rsidR="00BC0CAC" w:rsidRPr="00F67CC4">
        <w:rPr>
          <w:rFonts w:cs="Calibri"/>
          <w:bCs/>
          <w:lang w:val="en-GB"/>
        </w:rPr>
        <w:t>d evidence that managers</w:t>
      </w:r>
      <w:r w:rsidR="00B50535" w:rsidRPr="00F67CC4">
        <w:rPr>
          <w:rFonts w:cs="Calibri"/>
          <w:bCs/>
          <w:lang w:val="en-GB"/>
        </w:rPr>
        <w:t>, despite the higher costs,</w:t>
      </w:r>
      <w:r w:rsidR="00BC0CAC" w:rsidRPr="00F67CC4">
        <w:rPr>
          <w:rFonts w:cs="Calibri"/>
          <w:bCs/>
          <w:lang w:val="en-GB"/>
        </w:rPr>
        <w:t xml:space="preserve"> switch from </w:t>
      </w:r>
      <w:r w:rsidR="00B50535" w:rsidRPr="00F67CC4">
        <w:rPr>
          <w:rFonts w:cs="Calibri"/>
          <w:bCs/>
          <w:lang w:val="en-GB"/>
        </w:rPr>
        <w:t>accruals-based earnings management to real act</w:t>
      </w:r>
      <w:r w:rsidR="000A689D">
        <w:rPr>
          <w:rFonts w:cs="Calibri"/>
          <w:bCs/>
          <w:lang w:val="en-GB"/>
        </w:rPr>
        <w:t>ivities manipulation because it i</w:t>
      </w:r>
      <w:r w:rsidR="00B50535" w:rsidRPr="00F67CC4">
        <w:rPr>
          <w:rFonts w:cs="Calibri"/>
          <w:bCs/>
          <w:lang w:val="en-GB"/>
        </w:rPr>
        <w:t xml:space="preserve">s </w:t>
      </w:r>
      <w:r w:rsidR="000A12E6" w:rsidRPr="00F67CC4">
        <w:rPr>
          <w:rFonts w:cs="Calibri"/>
          <w:bCs/>
          <w:lang w:val="en-GB"/>
        </w:rPr>
        <w:t xml:space="preserve">possibly </w:t>
      </w:r>
      <w:r w:rsidR="00B50535" w:rsidRPr="00F67CC4">
        <w:rPr>
          <w:rFonts w:cs="Calibri"/>
          <w:bCs/>
          <w:lang w:val="en-GB"/>
        </w:rPr>
        <w:t xml:space="preserve">harder to detect </w:t>
      </w:r>
      <w:r w:rsidR="00266F7E" w:rsidRPr="00F67CC4">
        <w:rPr>
          <w:rFonts w:cs="Calibri"/>
          <w:bCs/>
          <w:lang w:val="en-GB"/>
        </w:rPr>
        <w:t>(</w:t>
      </w:r>
      <w:r w:rsidR="000A12E6" w:rsidRPr="00F67CC4">
        <w:rPr>
          <w:rFonts w:cs="Calibri"/>
          <w:bCs/>
          <w:lang w:val="en-GB"/>
        </w:rPr>
        <w:t>Graham 2005, p</w:t>
      </w:r>
      <w:r w:rsidR="005A313A">
        <w:rPr>
          <w:rFonts w:cs="Calibri"/>
          <w:bCs/>
          <w:lang w:val="en-GB"/>
        </w:rPr>
        <w:t xml:space="preserve"> </w:t>
      </w:r>
      <w:r w:rsidR="000A12E6" w:rsidRPr="00F67CC4">
        <w:rPr>
          <w:rFonts w:cs="Calibri"/>
          <w:bCs/>
          <w:lang w:val="en-GB"/>
        </w:rPr>
        <w:t>32-35</w:t>
      </w:r>
      <w:r w:rsidR="00266F7E" w:rsidRPr="00F67CC4">
        <w:rPr>
          <w:rFonts w:cs="Calibri"/>
          <w:bCs/>
          <w:lang w:val="en-GB"/>
        </w:rPr>
        <w:t>)</w:t>
      </w:r>
      <w:r w:rsidR="000A689D">
        <w:rPr>
          <w:rFonts w:cs="Calibri"/>
          <w:bCs/>
          <w:lang w:val="en-GB"/>
        </w:rPr>
        <w:t>.</w:t>
      </w:r>
      <w:r w:rsidR="00266F7E" w:rsidRPr="00F67CC4">
        <w:rPr>
          <w:rFonts w:cs="Calibri"/>
          <w:b/>
          <w:bCs/>
          <w:lang w:val="en-GB"/>
        </w:rPr>
        <w:t xml:space="preserve"> </w:t>
      </w:r>
      <w:r w:rsidR="00B50535" w:rsidRPr="00F67CC4">
        <w:rPr>
          <w:rFonts w:cs="Calibri"/>
          <w:bCs/>
          <w:lang w:val="en-GB"/>
        </w:rPr>
        <w:t xml:space="preserve">This </w:t>
      </w:r>
      <w:r w:rsidR="00A60680">
        <w:rPr>
          <w:rFonts w:cs="Calibri"/>
          <w:bCs/>
          <w:lang w:val="en-GB"/>
        </w:rPr>
        <w:t>finding</w:t>
      </w:r>
      <w:r w:rsidR="00B50535" w:rsidRPr="00F67CC4">
        <w:rPr>
          <w:rFonts w:cs="Calibri"/>
          <w:bCs/>
          <w:lang w:val="en-GB"/>
        </w:rPr>
        <w:t xml:space="preserve"> is confirmed by the researches of Cohen, Dey, Lys (2008) and Lippens (2010). Cohen, Dey, Lys (2008) investigated the level of earnings management, both accruals-based and real earnings management, before and after the introduction of SOX. The results of Cohen, Dey, Lys (2008) indicate that earnings management increased preceding SOX. Next to this, the level of accrual-based earnings management declined while the level of real earnings management increased significantly after the passage of SOX (Cohen, Dey, Lys 2008, p</w:t>
      </w:r>
      <w:r w:rsidR="005A7A67">
        <w:rPr>
          <w:rFonts w:cs="Calibri"/>
          <w:bCs/>
          <w:lang w:val="en-GB"/>
        </w:rPr>
        <w:t xml:space="preserve"> </w:t>
      </w:r>
      <w:r w:rsidR="00B50535" w:rsidRPr="00F67CC4">
        <w:rPr>
          <w:rFonts w:cs="Calibri"/>
          <w:bCs/>
          <w:lang w:val="en-GB"/>
        </w:rPr>
        <w:t xml:space="preserve">785). Lippens </w:t>
      </w:r>
      <w:r w:rsidR="00AF3BF1" w:rsidRPr="00F67CC4">
        <w:rPr>
          <w:rFonts w:cs="Calibri"/>
          <w:bCs/>
          <w:lang w:val="en-GB"/>
        </w:rPr>
        <w:t xml:space="preserve">(2010) investigated the influence of the mandatory </w:t>
      </w:r>
      <w:r w:rsidR="005A7A67">
        <w:rPr>
          <w:rFonts w:cs="Calibri"/>
          <w:bCs/>
          <w:lang w:val="en-GB"/>
        </w:rPr>
        <w:t>adoption of IFRS in 2005 and its</w:t>
      </w:r>
      <w:r w:rsidR="00AF3BF1" w:rsidRPr="00F67CC4">
        <w:rPr>
          <w:rFonts w:cs="Calibri"/>
          <w:bCs/>
          <w:lang w:val="en-GB"/>
        </w:rPr>
        <w:t xml:space="preserve"> influence on the level of earnings management. According to Lippens (2010) the use </w:t>
      </w:r>
      <w:r w:rsidR="00266F7E" w:rsidRPr="00F67CC4">
        <w:rPr>
          <w:rFonts w:cs="Calibri"/>
          <w:bCs/>
          <w:lang w:val="en-GB"/>
        </w:rPr>
        <w:t xml:space="preserve">of </w:t>
      </w:r>
      <w:r w:rsidR="00AF3BF1" w:rsidRPr="00F67CC4">
        <w:rPr>
          <w:rFonts w:cs="Calibri"/>
          <w:bCs/>
          <w:lang w:val="en-GB"/>
        </w:rPr>
        <w:t>both methods for executing earnings management increased after the adoption of IFRS.</w:t>
      </w:r>
      <w:r w:rsidR="005A7A67">
        <w:rPr>
          <w:rFonts w:cs="Calibri"/>
          <w:bCs/>
          <w:lang w:val="en-GB"/>
        </w:rPr>
        <w:t xml:space="preserve"> Another conclusion of Lippens (2010) was the substitution of both methods for executing earnings management.</w:t>
      </w:r>
      <w:r w:rsidR="00AF3BF1" w:rsidRPr="00F67CC4">
        <w:rPr>
          <w:rFonts w:cs="Calibri"/>
          <w:bCs/>
          <w:lang w:val="en-GB"/>
        </w:rPr>
        <w:t xml:space="preserve"> </w:t>
      </w:r>
    </w:p>
    <w:p w:rsidR="00A60680" w:rsidRPr="000862F5" w:rsidRDefault="00A60680" w:rsidP="00EF7BAD">
      <w:pPr>
        <w:spacing w:line="360" w:lineRule="auto"/>
        <w:rPr>
          <w:rFonts w:cs="Calibri"/>
          <w:bCs/>
          <w:lang w:val="en-GB"/>
        </w:rPr>
      </w:pPr>
      <w:r w:rsidRPr="000862F5">
        <w:rPr>
          <w:rFonts w:cs="Calibri"/>
          <w:bCs/>
          <w:lang w:val="en-GB"/>
        </w:rPr>
        <w:t>The switch from accruals-based to real earnings management which has occurred according to Graham et al. (2005), Cohen, Dey, Lys (2008) and Lippens (2010)</w:t>
      </w:r>
      <w:r w:rsidR="000862F5" w:rsidRPr="000862F5">
        <w:rPr>
          <w:rFonts w:cs="Calibri"/>
          <w:bCs/>
          <w:lang w:val="en-GB"/>
        </w:rPr>
        <w:t xml:space="preserve"> by</w:t>
      </w:r>
      <w:r w:rsidRPr="000862F5">
        <w:rPr>
          <w:rFonts w:cs="Calibri"/>
          <w:bCs/>
          <w:lang w:val="en-GB"/>
        </w:rPr>
        <w:t xml:space="preserve"> new accounting standards will be investigated. </w:t>
      </w:r>
      <w:r w:rsidR="000862F5" w:rsidRPr="000862F5">
        <w:rPr>
          <w:rFonts w:cs="Calibri"/>
          <w:bCs/>
          <w:lang w:val="en-GB"/>
        </w:rPr>
        <w:t xml:space="preserve">Therefore, the second hypothesis is stated: </w:t>
      </w:r>
    </w:p>
    <w:p w:rsidR="00326F3A" w:rsidRPr="00F67CC4" w:rsidRDefault="000862F5" w:rsidP="00AF3BF1">
      <w:pPr>
        <w:spacing w:line="360" w:lineRule="auto"/>
        <w:rPr>
          <w:rFonts w:cs="Calibri"/>
          <w:b/>
          <w:bCs/>
          <w:i/>
          <w:lang w:val="en-GB"/>
        </w:rPr>
      </w:pPr>
      <w:r>
        <w:rPr>
          <w:rFonts w:cs="Calibri"/>
          <w:b/>
          <w:bCs/>
          <w:i/>
          <w:lang w:val="en-GB"/>
        </w:rPr>
        <w:t>H2</w:t>
      </w:r>
      <w:r>
        <w:rPr>
          <w:rFonts w:cs="Calibri"/>
          <w:b/>
          <w:bCs/>
          <w:i/>
          <w:lang w:val="en-GB"/>
        </w:rPr>
        <w:br/>
      </w:r>
      <w:r w:rsidR="00326F3A" w:rsidRPr="00F67CC4">
        <w:rPr>
          <w:rFonts w:cs="Calibri"/>
          <w:b/>
          <w:bCs/>
          <w:i/>
          <w:lang w:val="en-GB"/>
        </w:rPr>
        <w:t xml:space="preserve">There has been a substitution effect from using accruals-based to real earnings management </w:t>
      </w:r>
      <w:r w:rsidR="00044100" w:rsidRPr="00F67CC4">
        <w:rPr>
          <w:rFonts w:cs="Calibri"/>
          <w:b/>
          <w:bCs/>
          <w:i/>
          <w:lang w:val="en-GB"/>
        </w:rPr>
        <w:t xml:space="preserve">by managers </w:t>
      </w:r>
      <w:r w:rsidR="00326F3A" w:rsidRPr="00F67CC4">
        <w:rPr>
          <w:rFonts w:cs="Calibri"/>
          <w:b/>
          <w:bCs/>
          <w:i/>
          <w:lang w:val="en-GB"/>
        </w:rPr>
        <w:t>after the introduction of IFRS</w:t>
      </w:r>
      <w:r w:rsidR="005938BB" w:rsidRPr="00F67CC4">
        <w:rPr>
          <w:rFonts w:cs="Calibri"/>
          <w:b/>
          <w:bCs/>
          <w:i/>
          <w:lang w:val="en-GB"/>
        </w:rPr>
        <w:t xml:space="preserve"> in 2005 in The Netherlands, Belgium and France</w:t>
      </w:r>
    </w:p>
    <w:p w:rsidR="008D5562" w:rsidRDefault="00353315" w:rsidP="008D5562">
      <w:pPr>
        <w:pStyle w:val="ListParagraph"/>
        <w:spacing w:line="360" w:lineRule="auto"/>
        <w:ind w:left="0"/>
        <w:rPr>
          <w:rFonts w:cs="Calibri"/>
          <w:bCs/>
          <w:lang w:val="en-GB"/>
        </w:rPr>
      </w:pPr>
      <w:r w:rsidRPr="00F67CC4">
        <w:rPr>
          <w:rFonts w:cs="Calibri"/>
          <w:b/>
          <w:bCs/>
          <w:lang w:val="en-GB"/>
        </w:rPr>
        <w:t>5.</w:t>
      </w:r>
      <w:r w:rsidR="00FB530A" w:rsidRPr="00F67CC4">
        <w:rPr>
          <w:rFonts w:cs="Calibri"/>
          <w:b/>
          <w:bCs/>
          <w:lang w:val="en-GB"/>
        </w:rPr>
        <w:t>3</w:t>
      </w:r>
      <w:r w:rsidRPr="00F67CC4">
        <w:rPr>
          <w:rFonts w:cs="Calibri"/>
          <w:b/>
          <w:bCs/>
          <w:lang w:val="en-GB"/>
        </w:rPr>
        <w:t xml:space="preserve"> </w:t>
      </w:r>
      <w:r w:rsidR="00463BF5" w:rsidRPr="00F67CC4">
        <w:rPr>
          <w:rFonts w:cs="Calibri"/>
          <w:b/>
          <w:bCs/>
          <w:lang w:val="en-GB"/>
        </w:rPr>
        <w:t>Summary</w:t>
      </w:r>
      <w:r w:rsidR="00224F94" w:rsidRPr="00F67CC4">
        <w:rPr>
          <w:rFonts w:cs="Calibri"/>
          <w:b/>
          <w:bCs/>
          <w:lang w:val="en-GB"/>
        </w:rPr>
        <w:br/>
      </w:r>
      <w:r w:rsidR="00F97F8B" w:rsidRPr="00F67CC4">
        <w:rPr>
          <w:rFonts w:cs="Calibri"/>
          <w:bCs/>
          <w:lang w:val="en-GB"/>
        </w:rPr>
        <w:t xml:space="preserve">A single set of </w:t>
      </w:r>
      <w:r w:rsidR="005A313A">
        <w:rPr>
          <w:rFonts w:cs="Calibri"/>
          <w:bCs/>
          <w:lang w:val="en-GB"/>
        </w:rPr>
        <w:t xml:space="preserve">accounting </w:t>
      </w:r>
      <w:r w:rsidR="00F97F8B" w:rsidRPr="00F67CC4">
        <w:rPr>
          <w:rFonts w:cs="Calibri"/>
          <w:bCs/>
          <w:lang w:val="en-GB"/>
        </w:rPr>
        <w:t xml:space="preserve">standards </w:t>
      </w:r>
      <w:r w:rsidR="000862F5">
        <w:rPr>
          <w:rFonts w:cs="Calibri"/>
          <w:bCs/>
          <w:lang w:val="en-GB"/>
        </w:rPr>
        <w:t xml:space="preserve">exists </w:t>
      </w:r>
      <w:r w:rsidR="00F97F8B" w:rsidRPr="00F67CC4">
        <w:rPr>
          <w:rFonts w:cs="Calibri"/>
          <w:bCs/>
          <w:lang w:val="en-GB"/>
        </w:rPr>
        <w:t xml:space="preserve">for a better functioning of the market by creating more transparency and comparability of </w:t>
      </w:r>
      <w:r w:rsidR="000862F5">
        <w:rPr>
          <w:rFonts w:cs="Calibri"/>
          <w:bCs/>
          <w:lang w:val="en-GB"/>
        </w:rPr>
        <w:t xml:space="preserve">annual </w:t>
      </w:r>
      <w:r w:rsidR="00F97F8B" w:rsidRPr="00F67CC4">
        <w:rPr>
          <w:rFonts w:cs="Calibri"/>
          <w:bCs/>
          <w:lang w:val="en-GB"/>
        </w:rPr>
        <w:t>financial statements; these</w:t>
      </w:r>
      <w:r w:rsidR="00266F7E" w:rsidRPr="00F67CC4">
        <w:rPr>
          <w:rFonts w:cs="Calibri"/>
          <w:bCs/>
          <w:lang w:val="en-GB"/>
        </w:rPr>
        <w:t xml:space="preserve"> were the main purposes of </w:t>
      </w:r>
      <w:r w:rsidR="000862F5">
        <w:rPr>
          <w:rFonts w:cs="Calibri"/>
          <w:bCs/>
          <w:lang w:val="en-GB"/>
        </w:rPr>
        <w:t xml:space="preserve">the </w:t>
      </w:r>
      <w:r w:rsidR="00266F7E" w:rsidRPr="00F67CC4">
        <w:rPr>
          <w:rFonts w:cs="Calibri"/>
          <w:bCs/>
          <w:lang w:val="en-GB"/>
        </w:rPr>
        <w:t>IAS with the introduction of</w:t>
      </w:r>
      <w:r w:rsidR="00F97F8B" w:rsidRPr="00F67CC4">
        <w:rPr>
          <w:rFonts w:cs="Calibri"/>
          <w:bCs/>
          <w:lang w:val="en-GB"/>
        </w:rPr>
        <w:t xml:space="preserve"> </w:t>
      </w:r>
      <w:r w:rsidR="006240EB" w:rsidRPr="00F67CC4">
        <w:rPr>
          <w:rFonts w:cs="Calibri"/>
          <w:bCs/>
          <w:lang w:val="en-GB"/>
        </w:rPr>
        <w:t xml:space="preserve">IFRS. </w:t>
      </w:r>
      <w:r w:rsidR="00F97F8B" w:rsidRPr="00F67CC4">
        <w:rPr>
          <w:rFonts w:cs="Calibri"/>
          <w:bCs/>
          <w:lang w:val="en-GB"/>
        </w:rPr>
        <w:t xml:space="preserve">When these purposes of IFRS are linked to this research, the purposes </w:t>
      </w:r>
      <w:r w:rsidR="000862F5">
        <w:rPr>
          <w:rFonts w:cs="Calibri"/>
          <w:bCs/>
          <w:lang w:val="en-GB"/>
        </w:rPr>
        <w:t xml:space="preserve">of the adoption of IFRS by managers </w:t>
      </w:r>
      <w:r w:rsidR="00F97F8B" w:rsidRPr="00F67CC4">
        <w:rPr>
          <w:rFonts w:cs="Calibri"/>
          <w:bCs/>
          <w:lang w:val="en-GB"/>
        </w:rPr>
        <w:t>should decrease the use of earnings management</w:t>
      </w:r>
      <w:r w:rsidR="000862F5">
        <w:rPr>
          <w:rFonts w:cs="Calibri"/>
          <w:bCs/>
          <w:lang w:val="en-GB"/>
        </w:rPr>
        <w:t xml:space="preserve">. </w:t>
      </w:r>
      <w:r w:rsidR="006240EB" w:rsidRPr="00F67CC4">
        <w:rPr>
          <w:rFonts w:cs="Calibri"/>
          <w:bCs/>
          <w:lang w:val="en-GB"/>
        </w:rPr>
        <w:t xml:space="preserve">According to </w:t>
      </w:r>
      <w:r w:rsidR="005A313A">
        <w:rPr>
          <w:rFonts w:cs="Calibri"/>
          <w:bCs/>
          <w:lang w:val="en-GB"/>
        </w:rPr>
        <w:t>earlier conducted</w:t>
      </w:r>
      <w:r w:rsidR="006240EB" w:rsidRPr="00F67CC4">
        <w:rPr>
          <w:rFonts w:cs="Calibri"/>
          <w:bCs/>
          <w:lang w:val="en-GB"/>
        </w:rPr>
        <w:t xml:space="preserve"> researches</w:t>
      </w:r>
      <w:r w:rsidR="005A313A">
        <w:rPr>
          <w:rFonts w:cs="Calibri"/>
          <w:bCs/>
          <w:lang w:val="en-GB"/>
        </w:rPr>
        <w:t xml:space="preserve"> </w:t>
      </w:r>
      <w:r w:rsidR="005A313A" w:rsidRPr="00F67CC4">
        <w:rPr>
          <w:rFonts w:cs="Calibri"/>
          <w:bCs/>
          <w:lang w:val="en-GB"/>
        </w:rPr>
        <w:t>(Tendeloo and Vanstraelen (2005), Ewert and Wagenhofer (2005), Heemskerk and van der Tas (2006), Jeanjean and Stolowy (2008), Lippens (2010) and Callao</w:t>
      </w:r>
      <w:r w:rsidR="005A313A">
        <w:rPr>
          <w:rFonts w:cs="Calibri"/>
          <w:bCs/>
          <w:lang w:val="en-GB"/>
        </w:rPr>
        <w:t xml:space="preserve"> and </w:t>
      </w:r>
      <w:r w:rsidR="005A313A" w:rsidRPr="00F67CC4">
        <w:rPr>
          <w:rFonts w:cs="Calibri"/>
          <w:bCs/>
          <w:lang w:val="en-GB"/>
        </w:rPr>
        <w:t>Jarne (2010))</w:t>
      </w:r>
      <w:r w:rsidR="006240EB" w:rsidRPr="00F67CC4">
        <w:rPr>
          <w:rFonts w:cs="Calibri"/>
          <w:bCs/>
          <w:lang w:val="en-GB"/>
        </w:rPr>
        <w:t>,</w:t>
      </w:r>
      <w:r w:rsidR="000862F5">
        <w:rPr>
          <w:rFonts w:cs="Calibri"/>
          <w:bCs/>
          <w:lang w:val="en-GB"/>
        </w:rPr>
        <w:t xml:space="preserve"> the adoption of </w:t>
      </w:r>
      <w:r w:rsidR="006240EB" w:rsidRPr="00F67CC4">
        <w:rPr>
          <w:rFonts w:cs="Calibri"/>
          <w:bCs/>
          <w:lang w:val="en-GB"/>
        </w:rPr>
        <w:t>IFRS did not decrease the use of earnings management</w:t>
      </w:r>
      <w:r w:rsidR="005A313A">
        <w:rPr>
          <w:rFonts w:cs="Calibri"/>
          <w:bCs/>
          <w:lang w:val="en-GB"/>
        </w:rPr>
        <w:t>; it did not change or even increased</w:t>
      </w:r>
      <w:r w:rsidR="006240EB" w:rsidRPr="00F67CC4">
        <w:rPr>
          <w:rFonts w:cs="Calibri"/>
          <w:bCs/>
          <w:lang w:val="en-GB"/>
        </w:rPr>
        <w:t xml:space="preserve">. </w:t>
      </w:r>
      <w:r w:rsidR="008D5562">
        <w:rPr>
          <w:rFonts w:cs="Calibri"/>
          <w:bCs/>
          <w:lang w:val="en-GB"/>
        </w:rPr>
        <w:t xml:space="preserve">Because of specific circumstances in these researches, the </w:t>
      </w:r>
      <w:r w:rsidR="000862F5">
        <w:rPr>
          <w:rFonts w:cs="Calibri"/>
          <w:bCs/>
          <w:lang w:val="en-GB"/>
        </w:rPr>
        <w:t>findings</w:t>
      </w:r>
      <w:r w:rsidR="008D5562">
        <w:rPr>
          <w:rFonts w:cs="Calibri"/>
          <w:bCs/>
          <w:lang w:val="en-GB"/>
        </w:rPr>
        <w:t xml:space="preserve"> of </w:t>
      </w:r>
      <w:r w:rsidR="008D5562">
        <w:rPr>
          <w:rFonts w:cs="Calibri"/>
          <w:bCs/>
          <w:lang w:val="en-GB"/>
        </w:rPr>
        <w:lastRenderedPageBreak/>
        <w:t xml:space="preserve">these researches cannot just be adopted </w:t>
      </w:r>
      <w:r w:rsidR="000862F5">
        <w:rPr>
          <w:rFonts w:cs="Calibri"/>
          <w:bCs/>
          <w:lang w:val="en-GB"/>
        </w:rPr>
        <w:t>concerning</w:t>
      </w:r>
      <w:r w:rsidR="008D5562">
        <w:rPr>
          <w:rFonts w:cs="Calibri"/>
          <w:bCs/>
          <w:lang w:val="en-GB"/>
        </w:rPr>
        <w:t xml:space="preserve"> this research. </w:t>
      </w:r>
      <w:r w:rsidR="005A313A">
        <w:rPr>
          <w:rFonts w:cs="Calibri"/>
          <w:bCs/>
          <w:lang w:val="en-GB"/>
        </w:rPr>
        <w:t xml:space="preserve">Next to specific factors of the </w:t>
      </w:r>
      <w:r w:rsidR="000862F5">
        <w:rPr>
          <w:rFonts w:cs="Calibri"/>
          <w:bCs/>
          <w:lang w:val="en-GB"/>
        </w:rPr>
        <w:t xml:space="preserve">intended </w:t>
      </w:r>
      <w:r w:rsidR="005A313A">
        <w:rPr>
          <w:rFonts w:cs="Calibri"/>
          <w:bCs/>
          <w:lang w:val="en-GB"/>
        </w:rPr>
        <w:t xml:space="preserve">sample, factors </w:t>
      </w:r>
      <w:r w:rsidR="000862F5">
        <w:rPr>
          <w:rFonts w:cs="Calibri"/>
          <w:bCs/>
          <w:lang w:val="en-GB"/>
        </w:rPr>
        <w:t xml:space="preserve">exist </w:t>
      </w:r>
      <w:r w:rsidR="005A313A">
        <w:rPr>
          <w:rFonts w:cs="Calibri"/>
          <w:bCs/>
          <w:lang w:val="en-GB"/>
        </w:rPr>
        <w:t>that influence the tra</w:t>
      </w:r>
      <w:r w:rsidR="008D5562">
        <w:rPr>
          <w:rFonts w:cs="Calibri"/>
          <w:bCs/>
          <w:lang w:val="en-GB"/>
        </w:rPr>
        <w:t xml:space="preserve">nsition from local GAAP to IFRS: </w:t>
      </w:r>
      <w:r w:rsidR="006240EB" w:rsidRPr="00F67CC4">
        <w:rPr>
          <w:rFonts w:cs="Calibri"/>
          <w:bCs/>
          <w:lang w:val="en-GB"/>
        </w:rPr>
        <w:t>(1) the quality of the standards used before IFRS, (2) the country’s legal and political system and (3) the financial rep</w:t>
      </w:r>
      <w:r w:rsidR="000862F5">
        <w:rPr>
          <w:rFonts w:cs="Calibri"/>
          <w:bCs/>
          <w:lang w:val="en-GB"/>
        </w:rPr>
        <w:t xml:space="preserve">orting incentives of companies. </w:t>
      </w:r>
      <w:r w:rsidR="008D5562">
        <w:rPr>
          <w:rFonts w:cs="Calibri"/>
          <w:bCs/>
          <w:lang w:val="en-GB"/>
        </w:rPr>
        <w:t xml:space="preserve">Because of no general </w:t>
      </w:r>
      <w:r w:rsidR="000862F5">
        <w:rPr>
          <w:rFonts w:cs="Calibri"/>
          <w:bCs/>
          <w:lang w:val="en-GB"/>
        </w:rPr>
        <w:t>findings</w:t>
      </w:r>
      <w:r w:rsidR="008D5562">
        <w:rPr>
          <w:rFonts w:cs="Calibri"/>
          <w:bCs/>
          <w:lang w:val="en-GB"/>
        </w:rPr>
        <w:t xml:space="preserve"> by earlier conducted researches on the influence of </w:t>
      </w:r>
      <w:r w:rsidR="000862F5">
        <w:rPr>
          <w:rFonts w:cs="Calibri"/>
          <w:bCs/>
          <w:lang w:val="en-GB"/>
        </w:rPr>
        <w:t xml:space="preserve">the adoption </w:t>
      </w:r>
      <w:r w:rsidR="008D5562">
        <w:rPr>
          <w:rFonts w:cs="Calibri"/>
          <w:bCs/>
          <w:lang w:val="en-GB"/>
        </w:rPr>
        <w:t xml:space="preserve">on the use of earnings management and the fact that </w:t>
      </w:r>
      <w:r w:rsidR="000862F5">
        <w:rPr>
          <w:rFonts w:cs="Calibri"/>
          <w:bCs/>
          <w:lang w:val="en-GB"/>
        </w:rPr>
        <w:t xml:space="preserve">the </w:t>
      </w:r>
      <w:r w:rsidR="008D5562">
        <w:rPr>
          <w:rFonts w:cs="Calibri"/>
          <w:bCs/>
          <w:lang w:val="en-GB"/>
        </w:rPr>
        <w:t xml:space="preserve">local GAAP was already in </w:t>
      </w:r>
      <w:r w:rsidR="000862F5">
        <w:rPr>
          <w:rFonts w:cs="Calibri"/>
          <w:bCs/>
          <w:lang w:val="en-GB"/>
        </w:rPr>
        <w:t>conformity</w:t>
      </w:r>
      <w:r w:rsidR="008D5562">
        <w:rPr>
          <w:rFonts w:cs="Calibri"/>
          <w:bCs/>
          <w:lang w:val="en-GB"/>
        </w:rPr>
        <w:t xml:space="preserve"> with</w:t>
      </w:r>
      <w:r w:rsidR="000862F5">
        <w:rPr>
          <w:rFonts w:cs="Calibri"/>
          <w:bCs/>
          <w:lang w:val="en-GB"/>
        </w:rPr>
        <w:t xml:space="preserve"> the</w:t>
      </w:r>
      <w:r w:rsidR="008D5562">
        <w:rPr>
          <w:rFonts w:cs="Calibri"/>
          <w:bCs/>
          <w:lang w:val="en-GB"/>
        </w:rPr>
        <w:t xml:space="preserve"> IFRS, the </w:t>
      </w:r>
      <w:r w:rsidR="000862F5">
        <w:rPr>
          <w:rFonts w:cs="Calibri"/>
          <w:bCs/>
          <w:lang w:val="en-GB"/>
        </w:rPr>
        <w:t>next hypothese</w:t>
      </w:r>
      <w:r w:rsidR="008D5562">
        <w:rPr>
          <w:rFonts w:cs="Calibri"/>
          <w:bCs/>
          <w:lang w:val="en-GB"/>
        </w:rPr>
        <w:t xml:space="preserve">s </w:t>
      </w:r>
      <w:r w:rsidR="000862F5">
        <w:rPr>
          <w:rFonts w:cs="Calibri"/>
          <w:bCs/>
          <w:lang w:val="en-GB"/>
        </w:rPr>
        <w:t>have been</w:t>
      </w:r>
      <w:r w:rsidR="008D5562">
        <w:rPr>
          <w:rFonts w:cs="Calibri"/>
          <w:bCs/>
          <w:lang w:val="en-GB"/>
        </w:rPr>
        <w:t xml:space="preserve"> stated:</w:t>
      </w:r>
    </w:p>
    <w:p w:rsidR="000862F5" w:rsidRDefault="000862F5" w:rsidP="006240EB">
      <w:pPr>
        <w:spacing w:line="360" w:lineRule="auto"/>
        <w:rPr>
          <w:rFonts w:cs="Calibri"/>
          <w:b/>
          <w:bCs/>
          <w:i/>
          <w:lang w:val="en-GB"/>
        </w:rPr>
      </w:pPr>
      <w:r>
        <w:rPr>
          <w:rFonts w:cs="Calibri"/>
          <w:b/>
          <w:bCs/>
          <w:i/>
          <w:lang w:val="en-GB"/>
        </w:rPr>
        <w:t>H1</w:t>
      </w:r>
      <w:r>
        <w:rPr>
          <w:rFonts w:cs="Calibri"/>
          <w:b/>
          <w:bCs/>
          <w:i/>
          <w:lang w:val="en-GB"/>
        </w:rPr>
        <w:br/>
        <w:t>The total degree of the use of earnings management did not change by the transition from local GAAP to IFRS in 2005 in The Netherlands, in Belgium and in France</w:t>
      </w:r>
    </w:p>
    <w:p w:rsidR="000862F5" w:rsidRDefault="000862F5" w:rsidP="005938BB">
      <w:pPr>
        <w:spacing w:line="360" w:lineRule="auto"/>
        <w:rPr>
          <w:rFonts w:cs="Calibri"/>
          <w:b/>
          <w:bCs/>
          <w:i/>
          <w:lang w:val="en-GB"/>
        </w:rPr>
      </w:pPr>
      <w:r>
        <w:rPr>
          <w:rFonts w:cs="Calibri"/>
          <w:b/>
          <w:bCs/>
          <w:i/>
          <w:lang w:val="en-GB"/>
        </w:rPr>
        <w:t>H2</w:t>
      </w:r>
      <w:r w:rsidR="005938BB" w:rsidRPr="005938BB">
        <w:rPr>
          <w:rFonts w:cs="Calibri"/>
          <w:b/>
          <w:bCs/>
          <w:i/>
          <w:lang w:val="en-GB"/>
        </w:rPr>
        <w:t xml:space="preserve"> </w:t>
      </w:r>
      <w:r>
        <w:rPr>
          <w:rFonts w:cs="Calibri"/>
          <w:b/>
          <w:bCs/>
          <w:i/>
          <w:lang w:val="en-GB"/>
        </w:rPr>
        <w:br/>
        <w:t>After the introduction of IFRS in 2005 in The Netherlands, Belgium and France by managers a substitution effect exists from using accruals-based to the use of real earnings management.</w:t>
      </w:r>
    </w:p>
    <w:p w:rsidR="00FB530A" w:rsidRPr="00F67CC4" w:rsidRDefault="00C3708F" w:rsidP="00804A54">
      <w:pPr>
        <w:spacing w:line="360" w:lineRule="auto"/>
        <w:rPr>
          <w:rFonts w:cs="Calibri"/>
          <w:b/>
          <w:bCs/>
          <w:lang w:val="en-GB"/>
        </w:rPr>
      </w:pPr>
      <w:r>
        <w:rPr>
          <w:rFonts w:cs="Calibri"/>
          <w:bCs/>
          <w:lang w:val="en-GB"/>
        </w:rPr>
        <w:t>With the determination of the hypotheses that will be teste</w:t>
      </w:r>
      <w:r w:rsidR="003A71A5">
        <w:rPr>
          <w:rFonts w:cs="Calibri"/>
          <w:bCs/>
          <w:lang w:val="en-GB"/>
        </w:rPr>
        <w:t>d in chapter</w:t>
      </w:r>
      <w:r w:rsidR="000862F5">
        <w:rPr>
          <w:rFonts w:cs="Calibri"/>
          <w:bCs/>
          <w:lang w:val="en-GB"/>
        </w:rPr>
        <w:t xml:space="preserve"> 7</w:t>
      </w:r>
      <w:r w:rsidR="003A71A5">
        <w:rPr>
          <w:rFonts w:cs="Calibri"/>
          <w:bCs/>
          <w:lang w:val="en-GB"/>
        </w:rPr>
        <w:t>, sub-</w:t>
      </w:r>
      <w:r>
        <w:rPr>
          <w:rFonts w:cs="Calibri"/>
          <w:bCs/>
          <w:lang w:val="en-GB"/>
        </w:rPr>
        <w:t xml:space="preserve">question 8 </w:t>
      </w:r>
      <w:r w:rsidR="000862F5">
        <w:rPr>
          <w:rFonts w:cs="Calibri"/>
          <w:bCs/>
          <w:lang w:val="en-GB"/>
        </w:rPr>
        <w:t>will be</w:t>
      </w:r>
      <w:r>
        <w:rPr>
          <w:rFonts w:cs="Calibri"/>
          <w:bCs/>
          <w:lang w:val="en-GB"/>
        </w:rPr>
        <w:t xml:space="preserve"> answered.</w:t>
      </w:r>
      <w:r w:rsidR="00490455" w:rsidRPr="00F67CC4">
        <w:rPr>
          <w:rFonts w:cs="Calibri"/>
          <w:b/>
          <w:bCs/>
          <w:lang w:val="en-GB"/>
        </w:rPr>
        <w:br w:type="page"/>
      </w:r>
      <w:r w:rsidR="00804A54" w:rsidRPr="008C581E">
        <w:rPr>
          <w:rFonts w:cs="Calibri"/>
          <w:b/>
          <w:bCs/>
          <w:sz w:val="24"/>
          <w:szCs w:val="24"/>
          <w:lang w:val="en-GB"/>
        </w:rPr>
        <w:lastRenderedPageBreak/>
        <w:t>6 Research Design</w:t>
      </w:r>
    </w:p>
    <w:p w:rsidR="00D91ED3" w:rsidRDefault="00744939" w:rsidP="004112B9">
      <w:pPr>
        <w:spacing w:line="360" w:lineRule="auto"/>
        <w:rPr>
          <w:rFonts w:cs="Calibri"/>
          <w:bCs/>
          <w:lang w:val="en-GB"/>
        </w:rPr>
      </w:pPr>
      <w:r w:rsidRPr="00F67CC4">
        <w:rPr>
          <w:rFonts w:cs="Calibri"/>
          <w:b/>
          <w:bCs/>
          <w:lang w:val="en-GB"/>
        </w:rPr>
        <w:t>6.1 Introduction</w:t>
      </w:r>
      <w:r w:rsidR="00943C79" w:rsidRPr="00F67CC4">
        <w:rPr>
          <w:rFonts w:cs="Calibri"/>
          <w:b/>
          <w:bCs/>
          <w:lang w:val="en-GB"/>
        </w:rPr>
        <w:br/>
      </w:r>
      <w:r w:rsidR="00D2512F">
        <w:rPr>
          <w:rFonts w:cs="Calibri"/>
          <w:bCs/>
          <w:lang w:val="en-GB"/>
        </w:rPr>
        <w:t xml:space="preserve">In order to test the influence of IFRS on the use of earnings management, first the amount of </w:t>
      </w:r>
      <w:r w:rsidR="00296087">
        <w:rPr>
          <w:rFonts w:cs="Calibri"/>
          <w:bCs/>
          <w:lang w:val="en-GB"/>
        </w:rPr>
        <w:t xml:space="preserve">the use of </w:t>
      </w:r>
      <w:r w:rsidR="00D2512F">
        <w:rPr>
          <w:rFonts w:cs="Calibri"/>
          <w:bCs/>
          <w:lang w:val="en-GB"/>
        </w:rPr>
        <w:t>earnings management has to be dete</w:t>
      </w:r>
      <w:r w:rsidR="005C451C">
        <w:rPr>
          <w:rFonts w:cs="Calibri"/>
          <w:bCs/>
          <w:lang w:val="en-GB"/>
        </w:rPr>
        <w:t xml:space="preserve">rmined. </w:t>
      </w:r>
      <w:r w:rsidR="00296087">
        <w:rPr>
          <w:rFonts w:cs="Calibri"/>
          <w:bCs/>
          <w:lang w:val="en-GB"/>
        </w:rPr>
        <w:t>This amount</w:t>
      </w:r>
      <w:r w:rsidR="00D91ED3">
        <w:rPr>
          <w:rFonts w:cs="Calibri"/>
          <w:bCs/>
          <w:lang w:val="en-GB"/>
        </w:rPr>
        <w:t xml:space="preserve"> is determined by focussing on the amount of discretionary accruals </w:t>
      </w:r>
      <w:r w:rsidR="000A0E4D">
        <w:rPr>
          <w:rFonts w:cs="Calibri"/>
          <w:bCs/>
          <w:lang w:val="en-GB"/>
        </w:rPr>
        <w:t xml:space="preserve">for the accruals </w:t>
      </w:r>
      <w:r w:rsidR="00296087">
        <w:rPr>
          <w:rFonts w:cs="Calibri"/>
          <w:bCs/>
          <w:lang w:val="en-GB"/>
        </w:rPr>
        <w:t>method and</w:t>
      </w:r>
      <w:r w:rsidR="00D91ED3">
        <w:rPr>
          <w:rFonts w:cs="Calibri"/>
          <w:bCs/>
          <w:lang w:val="en-GB"/>
        </w:rPr>
        <w:t xml:space="preserve"> the difference between </w:t>
      </w:r>
      <w:r w:rsidR="00296087">
        <w:rPr>
          <w:rFonts w:cs="Calibri"/>
          <w:bCs/>
          <w:lang w:val="en-GB"/>
        </w:rPr>
        <w:t xml:space="preserve">the ‘normal’ and </w:t>
      </w:r>
      <w:r w:rsidR="00C60026">
        <w:rPr>
          <w:rFonts w:cs="Calibri"/>
          <w:bCs/>
          <w:lang w:val="en-GB"/>
        </w:rPr>
        <w:t xml:space="preserve">the </w:t>
      </w:r>
      <w:r w:rsidR="00296087">
        <w:rPr>
          <w:rFonts w:cs="Calibri"/>
          <w:bCs/>
          <w:lang w:val="en-GB"/>
        </w:rPr>
        <w:t xml:space="preserve">actual level </w:t>
      </w:r>
      <w:r w:rsidR="00C60026">
        <w:rPr>
          <w:rFonts w:cs="Calibri"/>
          <w:bCs/>
          <w:lang w:val="en-GB"/>
        </w:rPr>
        <w:t>concerning</w:t>
      </w:r>
      <w:r w:rsidR="00296087">
        <w:rPr>
          <w:rFonts w:cs="Calibri"/>
          <w:bCs/>
          <w:lang w:val="en-GB"/>
        </w:rPr>
        <w:t xml:space="preserve"> the</w:t>
      </w:r>
      <w:r w:rsidR="00D91ED3">
        <w:rPr>
          <w:rFonts w:cs="Calibri"/>
          <w:bCs/>
          <w:lang w:val="en-GB"/>
        </w:rPr>
        <w:t xml:space="preserve"> real activities</w:t>
      </w:r>
      <w:r w:rsidR="00296087">
        <w:rPr>
          <w:rFonts w:cs="Calibri"/>
          <w:bCs/>
          <w:lang w:val="en-GB"/>
        </w:rPr>
        <w:t xml:space="preserve"> manipulation method</w:t>
      </w:r>
      <w:r w:rsidR="00D91ED3">
        <w:rPr>
          <w:rFonts w:cs="Calibri"/>
          <w:bCs/>
          <w:lang w:val="en-GB"/>
        </w:rPr>
        <w:t xml:space="preserve">. </w:t>
      </w:r>
    </w:p>
    <w:p w:rsidR="005C451C" w:rsidRDefault="00C60026" w:rsidP="004112B9">
      <w:pPr>
        <w:spacing w:line="360" w:lineRule="auto"/>
        <w:rPr>
          <w:rFonts w:cs="Calibri"/>
          <w:bCs/>
          <w:lang w:val="en-GB"/>
        </w:rPr>
      </w:pPr>
      <w:r>
        <w:rPr>
          <w:rFonts w:cs="Calibri"/>
          <w:bCs/>
          <w:lang w:val="en-GB"/>
        </w:rPr>
        <w:t>Concerning</w:t>
      </w:r>
      <w:r w:rsidR="005C451C">
        <w:rPr>
          <w:rFonts w:cs="Calibri"/>
          <w:bCs/>
          <w:lang w:val="en-GB"/>
        </w:rPr>
        <w:t xml:space="preserve"> the accruals-based method, the discretionary part of the accruals has to be determined by subtracting the non-discretionary part of the accruals of the total</w:t>
      </w:r>
      <w:r w:rsidR="009A21CB">
        <w:rPr>
          <w:rFonts w:cs="Calibri"/>
          <w:bCs/>
          <w:lang w:val="en-GB"/>
        </w:rPr>
        <w:t xml:space="preserve"> amount of</w:t>
      </w:r>
      <w:r w:rsidR="005C451C">
        <w:rPr>
          <w:rFonts w:cs="Calibri"/>
          <w:bCs/>
          <w:lang w:val="en-GB"/>
        </w:rPr>
        <w:t xml:space="preserve"> </w:t>
      </w:r>
      <w:r>
        <w:rPr>
          <w:rFonts w:cs="Calibri"/>
          <w:bCs/>
          <w:lang w:val="en-GB"/>
        </w:rPr>
        <w:t xml:space="preserve">the </w:t>
      </w:r>
      <w:r w:rsidR="005C451C">
        <w:rPr>
          <w:rFonts w:cs="Calibri"/>
          <w:bCs/>
          <w:lang w:val="en-GB"/>
        </w:rPr>
        <w:t xml:space="preserve">accruals. The determination of the total amount and </w:t>
      </w:r>
      <w:r>
        <w:rPr>
          <w:rFonts w:cs="Calibri"/>
          <w:bCs/>
          <w:lang w:val="en-GB"/>
        </w:rPr>
        <w:t xml:space="preserve">the </w:t>
      </w:r>
      <w:r w:rsidR="005C451C">
        <w:rPr>
          <w:rFonts w:cs="Calibri"/>
          <w:bCs/>
          <w:lang w:val="en-GB"/>
        </w:rPr>
        <w:t xml:space="preserve">non-discretionary part of the accruals will be </w:t>
      </w:r>
      <w:r>
        <w:rPr>
          <w:rFonts w:cs="Calibri"/>
          <w:bCs/>
          <w:lang w:val="en-GB"/>
        </w:rPr>
        <w:t xml:space="preserve">performed </w:t>
      </w:r>
      <w:r w:rsidR="005C451C">
        <w:rPr>
          <w:rFonts w:cs="Calibri"/>
          <w:bCs/>
          <w:lang w:val="en-GB"/>
        </w:rPr>
        <w:t>with the</w:t>
      </w:r>
      <w:r>
        <w:rPr>
          <w:rFonts w:cs="Calibri"/>
          <w:bCs/>
          <w:lang w:val="en-GB"/>
        </w:rPr>
        <w:t xml:space="preserve"> use of</w:t>
      </w:r>
      <w:r w:rsidR="005C451C">
        <w:rPr>
          <w:rFonts w:cs="Calibri"/>
          <w:bCs/>
          <w:lang w:val="en-GB"/>
        </w:rPr>
        <w:t xml:space="preserve"> Modified Jones Model (1995). </w:t>
      </w:r>
    </w:p>
    <w:p w:rsidR="00DE2F53" w:rsidRDefault="008A05FF" w:rsidP="004112B9">
      <w:pPr>
        <w:spacing w:line="360" w:lineRule="auto"/>
        <w:rPr>
          <w:rFonts w:cs="Calibri"/>
          <w:bCs/>
          <w:lang w:val="en-GB"/>
        </w:rPr>
      </w:pPr>
      <w:r>
        <w:rPr>
          <w:rFonts w:cs="Calibri"/>
          <w:bCs/>
          <w:lang w:val="en-GB"/>
        </w:rPr>
        <w:t>In section 6.2.2</w:t>
      </w:r>
      <w:r w:rsidR="00057825">
        <w:rPr>
          <w:rFonts w:cs="Calibri"/>
          <w:bCs/>
          <w:lang w:val="en-GB"/>
        </w:rPr>
        <w:t>,</w:t>
      </w:r>
      <w:r>
        <w:rPr>
          <w:rFonts w:cs="Calibri"/>
          <w:bCs/>
          <w:lang w:val="en-GB"/>
        </w:rPr>
        <w:t xml:space="preserve"> the</w:t>
      </w:r>
      <w:r w:rsidR="00D91ED3">
        <w:rPr>
          <w:rFonts w:cs="Calibri"/>
          <w:bCs/>
          <w:lang w:val="en-GB"/>
        </w:rPr>
        <w:t xml:space="preserve"> method for detecting real earnings management </w:t>
      </w:r>
      <w:r>
        <w:rPr>
          <w:rFonts w:cs="Calibri"/>
          <w:bCs/>
          <w:lang w:val="en-GB"/>
        </w:rPr>
        <w:t xml:space="preserve">is </w:t>
      </w:r>
      <w:r w:rsidR="00FD57D0">
        <w:rPr>
          <w:rFonts w:cs="Calibri"/>
          <w:bCs/>
          <w:lang w:val="en-GB"/>
        </w:rPr>
        <w:t>commented</w:t>
      </w:r>
      <w:r>
        <w:rPr>
          <w:rFonts w:cs="Calibri"/>
          <w:bCs/>
          <w:lang w:val="en-GB"/>
        </w:rPr>
        <w:t xml:space="preserve">. </w:t>
      </w:r>
      <w:r w:rsidR="00DE2F53">
        <w:rPr>
          <w:rFonts w:cs="Calibri"/>
          <w:bCs/>
          <w:lang w:val="en-GB"/>
        </w:rPr>
        <w:t xml:space="preserve">First the ‘normal’ level of the real earnings management indicative variables is determined with the model developed by Roychowdhury (2006) before the difference between the ‘normal’ and actual level is determined as indication for real earnings management. </w:t>
      </w:r>
    </w:p>
    <w:p w:rsidR="00DD495A" w:rsidRDefault="006A4528" w:rsidP="004112B9">
      <w:pPr>
        <w:spacing w:line="360" w:lineRule="auto"/>
        <w:rPr>
          <w:rFonts w:cs="Calibri"/>
          <w:bCs/>
          <w:lang w:val="en-GB"/>
        </w:rPr>
      </w:pPr>
      <w:r>
        <w:rPr>
          <w:rFonts w:cs="Calibri"/>
          <w:bCs/>
          <w:lang w:val="en-GB"/>
        </w:rPr>
        <w:t xml:space="preserve">As </w:t>
      </w:r>
      <w:r w:rsidR="003D5D78">
        <w:rPr>
          <w:rFonts w:cs="Calibri"/>
          <w:bCs/>
          <w:lang w:val="en-GB"/>
        </w:rPr>
        <w:t>signalled</w:t>
      </w:r>
      <w:r>
        <w:rPr>
          <w:rFonts w:cs="Calibri"/>
          <w:bCs/>
          <w:lang w:val="en-GB"/>
        </w:rPr>
        <w:t xml:space="preserve"> </w:t>
      </w:r>
      <w:r w:rsidR="00DE2F53">
        <w:rPr>
          <w:rFonts w:cs="Calibri"/>
          <w:bCs/>
          <w:lang w:val="en-GB"/>
        </w:rPr>
        <w:t>in section 3.4 about the</w:t>
      </w:r>
      <w:r>
        <w:rPr>
          <w:rFonts w:cs="Calibri"/>
          <w:bCs/>
          <w:lang w:val="en-GB"/>
        </w:rPr>
        <w:t xml:space="preserve"> detection of </w:t>
      </w:r>
      <w:r w:rsidR="00DE2F53">
        <w:rPr>
          <w:rFonts w:cs="Calibri"/>
          <w:bCs/>
          <w:lang w:val="en-GB"/>
        </w:rPr>
        <w:t xml:space="preserve">the use of </w:t>
      </w:r>
      <w:r>
        <w:rPr>
          <w:rFonts w:cs="Calibri"/>
          <w:bCs/>
          <w:lang w:val="en-GB"/>
        </w:rPr>
        <w:t xml:space="preserve">earnings management, both accruals-based </w:t>
      </w:r>
      <w:r w:rsidR="00AB1665">
        <w:rPr>
          <w:rFonts w:cs="Calibri"/>
          <w:bCs/>
          <w:lang w:val="en-GB"/>
        </w:rPr>
        <w:t>and</w:t>
      </w:r>
      <w:r>
        <w:rPr>
          <w:rFonts w:cs="Calibri"/>
          <w:bCs/>
          <w:lang w:val="en-GB"/>
        </w:rPr>
        <w:t xml:space="preserve"> real earnings management model</w:t>
      </w:r>
      <w:r w:rsidR="00AB1665">
        <w:rPr>
          <w:rFonts w:cs="Calibri"/>
          <w:bCs/>
          <w:lang w:val="en-GB"/>
        </w:rPr>
        <w:t>s</w:t>
      </w:r>
      <w:r>
        <w:rPr>
          <w:rFonts w:cs="Calibri"/>
          <w:bCs/>
          <w:lang w:val="en-GB"/>
        </w:rPr>
        <w:t xml:space="preserve"> need regression coefficients</w:t>
      </w:r>
      <w:r w:rsidR="00230F33">
        <w:rPr>
          <w:rFonts w:cs="Calibri"/>
          <w:bCs/>
          <w:lang w:val="en-GB"/>
        </w:rPr>
        <w:t xml:space="preserve"> to determine the use of earnings management</w:t>
      </w:r>
      <w:r>
        <w:rPr>
          <w:rFonts w:cs="Calibri"/>
          <w:bCs/>
          <w:lang w:val="en-GB"/>
        </w:rPr>
        <w:t xml:space="preserve">. Because these coefficients first need to be determined, the determination of these coefficients for both methods is </w:t>
      </w:r>
      <w:r w:rsidR="00230F33">
        <w:rPr>
          <w:rFonts w:cs="Calibri"/>
          <w:bCs/>
          <w:lang w:val="en-GB"/>
        </w:rPr>
        <w:t>commented</w:t>
      </w:r>
      <w:r>
        <w:rPr>
          <w:rFonts w:cs="Calibri"/>
          <w:bCs/>
          <w:lang w:val="en-GB"/>
        </w:rPr>
        <w:t xml:space="preserve"> first. With these coefficients, the non-discretionary part of the accruals and the ‘normal’ level of the real earnings management variables </w:t>
      </w:r>
      <w:r w:rsidR="00DE2F53">
        <w:rPr>
          <w:rFonts w:cs="Calibri"/>
          <w:bCs/>
          <w:lang w:val="en-GB"/>
        </w:rPr>
        <w:t>will</w:t>
      </w:r>
      <w:r>
        <w:rPr>
          <w:rFonts w:cs="Calibri"/>
          <w:bCs/>
          <w:lang w:val="en-GB"/>
        </w:rPr>
        <w:t xml:space="preserve"> be determined.</w:t>
      </w:r>
    </w:p>
    <w:p w:rsidR="00E954AF" w:rsidRDefault="00DD495A" w:rsidP="004112B9">
      <w:pPr>
        <w:spacing w:line="360" w:lineRule="auto"/>
        <w:rPr>
          <w:rFonts w:cs="Calibri"/>
          <w:bCs/>
          <w:lang w:val="en-GB"/>
        </w:rPr>
      </w:pPr>
      <w:r>
        <w:rPr>
          <w:rFonts w:cs="Calibri"/>
          <w:bCs/>
          <w:lang w:val="en-GB"/>
        </w:rPr>
        <w:t xml:space="preserve">The next step is to use the discretionary accruals, the difference between the ‘normal’ and </w:t>
      </w:r>
      <w:r w:rsidR="00DE2F53">
        <w:rPr>
          <w:rFonts w:cs="Calibri"/>
          <w:bCs/>
          <w:lang w:val="en-GB"/>
        </w:rPr>
        <w:t xml:space="preserve">the </w:t>
      </w:r>
      <w:r>
        <w:rPr>
          <w:rFonts w:cs="Calibri"/>
          <w:bCs/>
          <w:lang w:val="en-GB"/>
        </w:rPr>
        <w:t xml:space="preserve">actual level of the real earnings management indicating variables and the sum of both methods, indicating the total amount of earnings management, as independent variables </w:t>
      </w:r>
      <w:r w:rsidR="00DE2F53">
        <w:rPr>
          <w:rFonts w:cs="Calibri"/>
          <w:bCs/>
          <w:lang w:val="en-GB"/>
        </w:rPr>
        <w:t>in the</w:t>
      </w:r>
      <w:r>
        <w:rPr>
          <w:rFonts w:cs="Calibri"/>
          <w:bCs/>
          <w:lang w:val="en-GB"/>
        </w:rPr>
        <w:t xml:space="preserve"> multiple regressions. </w:t>
      </w:r>
      <w:r w:rsidR="005230A9" w:rsidRPr="0051477B">
        <w:rPr>
          <w:rFonts w:cs="Calibri"/>
          <w:bCs/>
          <w:lang w:val="en-GB"/>
        </w:rPr>
        <w:t>In all three multiple regressions</w:t>
      </w:r>
      <w:r w:rsidR="00E954AF">
        <w:rPr>
          <w:rFonts w:cs="Calibri"/>
          <w:bCs/>
          <w:lang w:val="en-GB"/>
        </w:rPr>
        <w:t xml:space="preserve"> which are performed and commented in section 7.3</w:t>
      </w:r>
      <w:r w:rsidR="005230A9" w:rsidRPr="0051477B">
        <w:rPr>
          <w:rFonts w:cs="Calibri"/>
          <w:bCs/>
          <w:lang w:val="en-GB"/>
        </w:rPr>
        <w:t>, the independent</w:t>
      </w:r>
      <w:r w:rsidR="00FD57D0">
        <w:rPr>
          <w:rFonts w:cs="Calibri"/>
          <w:bCs/>
          <w:lang w:val="en-GB"/>
        </w:rPr>
        <w:t xml:space="preserve"> variables country, accounting s</w:t>
      </w:r>
      <w:r w:rsidR="005230A9" w:rsidRPr="0051477B">
        <w:rPr>
          <w:rFonts w:cs="Calibri"/>
          <w:bCs/>
          <w:lang w:val="en-GB"/>
        </w:rPr>
        <w:t>ta</w:t>
      </w:r>
      <w:r w:rsidR="00FD57D0">
        <w:rPr>
          <w:rFonts w:cs="Calibri"/>
          <w:bCs/>
          <w:lang w:val="en-GB"/>
        </w:rPr>
        <w:t>ndard and s</w:t>
      </w:r>
      <w:r w:rsidR="005230A9" w:rsidRPr="0051477B">
        <w:rPr>
          <w:rFonts w:cs="Calibri"/>
          <w:bCs/>
          <w:lang w:val="en-GB"/>
        </w:rPr>
        <w:t xml:space="preserve">ize will be used to check their influence on the use of earnings management.  Before the influence of the independent variables on the dependent variable is </w:t>
      </w:r>
      <w:r w:rsidR="00FD57D0">
        <w:rPr>
          <w:rFonts w:cs="Calibri"/>
          <w:bCs/>
          <w:lang w:val="en-GB"/>
        </w:rPr>
        <w:t>commented</w:t>
      </w:r>
      <w:r w:rsidR="00D66A95" w:rsidRPr="0051477B">
        <w:rPr>
          <w:rFonts w:cs="Calibri"/>
          <w:bCs/>
          <w:lang w:val="en-GB"/>
        </w:rPr>
        <w:t>, first the assumptions</w:t>
      </w:r>
      <w:r w:rsidR="0051477B">
        <w:rPr>
          <w:rFonts w:cs="Calibri"/>
          <w:bCs/>
          <w:lang w:val="en-GB"/>
        </w:rPr>
        <w:t xml:space="preserve"> </w:t>
      </w:r>
      <w:r w:rsidR="00E954AF">
        <w:rPr>
          <w:rFonts w:cs="Calibri"/>
          <w:bCs/>
          <w:lang w:val="en-GB"/>
        </w:rPr>
        <w:t xml:space="preserve">have to be met. According to </w:t>
      </w:r>
      <w:r w:rsidR="0051477B">
        <w:rPr>
          <w:rFonts w:cs="Calibri"/>
          <w:bCs/>
          <w:lang w:val="en-GB"/>
        </w:rPr>
        <w:t>Noru</w:t>
      </w:r>
      <w:r w:rsidR="0051477B" w:rsidRPr="0051477B">
        <w:rPr>
          <w:rFonts w:cs="Calibri"/>
          <w:bCs/>
          <w:lang w:val="en-GB"/>
        </w:rPr>
        <w:t>š</w:t>
      </w:r>
      <w:r w:rsidR="00D66A95" w:rsidRPr="0051477B">
        <w:rPr>
          <w:rFonts w:cs="Calibri"/>
          <w:bCs/>
          <w:lang w:val="en-GB"/>
        </w:rPr>
        <w:t>is</w:t>
      </w:r>
      <w:r w:rsidR="0051477B">
        <w:rPr>
          <w:rFonts w:cs="Calibri"/>
          <w:bCs/>
          <w:lang w:val="en-GB"/>
        </w:rPr>
        <w:t xml:space="preserve"> (1995)</w:t>
      </w:r>
      <w:r w:rsidR="00E954AF">
        <w:rPr>
          <w:rFonts w:cs="Calibri"/>
          <w:bCs/>
          <w:lang w:val="en-GB"/>
        </w:rPr>
        <w:t>, following assumptions have to be met before regressions are performed:</w:t>
      </w:r>
    </w:p>
    <w:p w:rsidR="00E954AF" w:rsidRDefault="00E954AF" w:rsidP="004112B9">
      <w:pPr>
        <w:spacing w:line="360" w:lineRule="auto"/>
        <w:rPr>
          <w:rFonts w:cs="Calibri"/>
          <w:bCs/>
          <w:lang w:val="en-GB"/>
        </w:rPr>
      </w:pPr>
    </w:p>
    <w:p w:rsidR="00D66A95" w:rsidRPr="0051477B" w:rsidRDefault="00D66A95" w:rsidP="004112B9">
      <w:pPr>
        <w:spacing w:line="360" w:lineRule="auto"/>
        <w:rPr>
          <w:rFonts w:cs="Calibri"/>
          <w:bCs/>
          <w:lang w:val="en-GB"/>
        </w:rPr>
      </w:pPr>
      <w:r w:rsidRPr="0051477B">
        <w:rPr>
          <w:rFonts w:cs="Calibri"/>
          <w:bCs/>
          <w:lang w:val="en-GB"/>
        </w:rPr>
        <w:t xml:space="preserve"> </w:t>
      </w:r>
    </w:p>
    <w:p w:rsidR="00D66A95" w:rsidRPr="0051477B" w:rsidRDefault="00D66A95" w:rsidP="00D66A95">
      <w:pPr>
        <w:numPr>
          <w:ilvl w:val="0"/>
          <w:numId w:val="21"/>
        </w:numPr>
        <w:spacing w:line="360" w:lineRule="auto"/>
        <w:rPr>
          <w:rFonts w:cs="Calibri"/>
          <w:bCs/>
          <w:lang w:val="en-GB"/>
        </w:rPr>
      </w:pPr>
      <w:r w:rsidRPr="0051477B">
        <w:rPr>
          <w:rFonts w:cs="Calibri"/>
          <w:bCs/>
          <w:lang w:val="en-GB"/>
        </w:rPr>
        <w:lastRenderedPageBreak/>
        <w:t xml:space="preserve">The relationship between the dependent and the independent variables is linear </w:t>
      </w:r>
    </w:p>
    <w:p w:rsidR="00D66A95" w:rsidRPr="0051477B" w:rsidRDefault="00D66A95" w:rsidP="00D66A95">
      <w:pPr>
        <w:numPr>
          <w:ilvl w:val="0"/>
          <w:numId w:val="21"/>
        </w:numPr>
        <w:spacing w:line="360" w:lineRule="auto"/>
        <w:rPr>
          <w:rFonts w:cs="Calibri"/>
          <w:bCs/>
          <w:lang w:val="en-GB"/>
        </w:rPr>
      </w:pPr>
      <w:r w:rsidRPr="0051477B">
        <w:rPr>
          <w:rFonts w:cs="Calibri"/>
          <w:bCs/>
          <w:lang w:val="en-GB"/>
        </w:rPr>
        <w:t>For each combination of values of the independent variables, the distribution of the dependent variable is normal with a constant variance (Norušis 1995, p</w:t>
      </w:r>
      <w:r w:rsidR="00230F33">
        <w:rPr>
          <w:rFonts w:cs="Calibri"/>
          <w:bCs/>
          <w:lang w:val="en-GB"/>
        </w:rPr>
        <w:t xml:space="preserve"> </w:t>
      </w:r>
      <w:r w:rsidRPr="0051477B">
        <w:rPr>
          <w:rFonts w:cs="Calibri"/>
          <w:bCs/>
          <w:lang w:val="en-GB"/>
        </w:rPr>
        <w:t>473)</w:t>
      </w:r>
    </w:p>
    <w:p w:rsidR="0051477B" w:rsidRDefault="00D66A95" w:rsidP="0051477B">
      <w:pPr>
        <w:spacing w:line="360" w:lineRule="auto"/>
        <w:rPr>
          <w:lang w:val="en-GB"/>
        </w:rPr>
      </w:pPr>
      <w:r w:rsidRPr="0051477B">
        <w:rPr>
          <w:rFonts w:cs="Calibri"/>
          <w:bCs/>
          <w:lang w:val="en-GB"/>
        </w:rPr>
        <w:t>In order to test the strength</w:t>
      </w:r>
      <w:r w:rsidR="00E954AF">
        <w:rPr>
          <w:rFonts w:cs="Calibri"/>
          <w:bCs/>
          <w:lang w:val="en-GB"/>
        </w:rPr>
        <w:t xml:space="preserve"> of the linear relationships </w:t>
      </w:r>
      <w:r w:rsidRPr="0051477B">
        <w:rPr>
          <w:rFonts w:cs="Calibri"/>
          <w:bCs/>
          <w:lang w:val="en-GB"/>
        </w:rPr>
        <w:t xml:space="preserve">the statistical tolerance </w:t>
      </w:r>
      <w:r w:rsidR="00E954AF">
        <w:rPr>
          <w:rFonts w:cs="Calibri"/>
          <w:bCs/>
          <w:lang w:val="en-GB"/>
        </w:rPr>
        <w:t xml:space="preserve">will be </w:t>
      </w:r>
      <w:r w:rsidRPr="0051477B">
        <w:rPr>
          <w:rFonts w:cs="Calibri"/>
          <w:bCs/>
          <w:lang w:val="en-GB"/>
        </w:rPr>
        <w:t xml:space="preserve">measured. This tolerance is the proportion of </w:t>
      </w:r>
      <w:r w:rsidR="00E954AF">
        <w:rPr>
          <w:rFonts w:cs="Calibri"/>
          <w:bCs/>
          <w:lang w:val="en-GB"/>
        </w:rPr>
        <w:t xml:space="preserve">the </w:t>
      </w:r>
      <w:r w:rsidRPr="0051477B">
        <w:rPr>
          <w:rFonts w:cs="Calibri"/>
          <w:bCs/>
          <w:lang w:val="en-GB"/>
        </w:rPr>
        <w:t>variability of a variable that is not explained by its linear relationships with the other independent variables (Norušis 1995, p</w:t>
      </w:r>
      <w:r w:rsidR="00230F33">
        <w:rPr>
          <w:rFonts w:cs="Calibri"/>
          <w:bCs/>
          <w:lang w:val="en-GB"/>
        </w:rPr>
        <w:t xml:space="preserve"> </w:t>
      </w:r>
      <w:r w:rsidR="00E954AF">
        <w:rPr>
          <w:rFonts w:cs="Calibri"/>
          <w:bCs/>
          <w:lang w:val="en-GB"/>
        </w:rPr>
        <w:t xml:space="preserve">484). This tolerance </w:t>
      </w:r>
      <w:r w:rsidR="003D5D78">
        <w:rPr>
          <w:rFonts w:cs="Calibri"/>
          <w:bCs/>
          <w:lang w:val="en-GB"/>
        </w:rPr>
        <w:t>in addition</w:t>
      </w:r>
      <w:r w:rsidRPr="0051477B">
        <w:rPr>
          <w:rFonts w:cs="Calibri"/>
          <w:bCs/>
          <w:lang w:val="en-GB"/>
        </w:rPr>
        <w:t xml:space="preserve"> </w:t>
      </w:r>
      <w:r w:rsidR="00E954AF">
        <w:rPr>
          <w:rFonts w:cs="Calibri"/>
          <w:bCs/>
          <w:lang w:val="en-GB"/>
        </w:rPr>
        <w:t xml:space="preserve">is </w:t>
      </w:r>
      <w:r w:rsidRPr="0051477B">
        <w:rPr>
          <w:rFonts w:cs="Calibri"/>
          <w:bCs/>
          <w:lang w:val="en-GB"/>
        </w:rPr>
        <w:t>known as the multicollinearity of data</w:t>
      </w:r>
      <w:r w:rsidR="00AB1665">
        <w:rPr>
          <w:rFonts w:cs="Calibri"/>
          <w:bCs/>
          <w:lang w:val="en-GB"/>
        </w:rPr>
        <w:t xml:space="preserve"> which is checked </w:t>
      </w:r>
      <w:r w:rsidR="00885F75">
        <w:rPr>
          <w:rFonts w:cs="Calibri"/>
          <w:bCs/>
          <w:lang w:val="en-GB"/>
        </w:rPr>
        <w:t>with</w:t>
      </w:r>
      <w:r w:rsidR="00AB1665">
        <w:rPr>
          <w:rFonts w:cs="Calibri"/>
          <w:bCs/>
          <w:lang w:val="en-GB"/>
        </w:rPr>
        <w:t xml:space="preserve"> the Correlations table. </w:t>
      </w:r>
      <w:r w:rsidR="0051477B">
        <w:rPr>
          <w:lang w:val="en-GB"/>
        </w:rPr>
        <w:t xml:space="preserve">When the correlation between the variables exceeds 0.9, multicollinearity is present which influences the </w:t>
      </w:r>
      <w:r w:rsidR="00E954AF">
        <w:rPr>
          <w:lang w:val="en-GB"/>
        </w:rPr>
        <w:t>results</w:t>
      </w:r>
      <w:r w:rsidR="0051477B">
        <w:rPr>
          <w:lang w:val="en-GB"/>
        </w:rPr>
        <w:t xml:space="preserve"> of the test negatively. </w:t>
      </w:r>
      <w:r w:rsidR="00885F75">
        <w:rPr>
          <w:lang w:val="en-GB"/>
        </w:rPr>
        <w:t>The second assumption about t</w:t>
      </w:r>
      <w:r w:rsidR="0051477B">
        <w:rPr>
          <w:lang w:val="en-GB"/>
        </w:rPr>
        <w:t xml:space="preserve">he normal distribution </w:t>
      </w:r>
      <w:r w:rsidR="00AB1665">
        <w:rPr>
          <w:lang w:val="en-GB"/>
        </w:rPr>
        <w:t>of</w:t>
      </w:r>
      <w:r w:rsidR="0051477B">
        <w:rPr>
          <w:lang w:val="en-GB"/>
        </w:rPr>
        <w:t xml:space="preserve"> the dependent variable is checked by a histogram and a normal probability plot. </w:t>
      </w:r>
    </w:p>
    <w:p w:rsidR="00885F75" w:rsidRDefault="005230A9" w:rsidP="004112B9">
      <w:pPr>
        <w:spacing w:line="360" w:lineRule="auto"/>
        <w:rPr>
          <w:rFonts w:cs="Calibri"/>
          <w:bCs/>
          <w:lang w:val="en-GB"/>
        </w:rPr>
      </w:pPr>
      <w:r>
        <w:rPr>
          <w:rFonts w:cs="Calibri"/>
          <w:bCs/>
          <w:lang w:val="en-GB"/>
        </w:rPr>
        <w:t xml:space="preserve">After this, the Adjusted R Square about the explanatory power of the model, the significance of the model and the sign, size and significance of the coefficients of the independent variables are </w:t>
      </w:r>
      <w:r w:rsidR="00FD57D0">
        <w:rPr>
          <w:rFonts w:cs="Calibri"/>
          <w:bCs/>
          <w:lang w:val="en-GB"/>
        </w:rPr>
        <w:t>commented</w:t>
      </w:r>
      <w:r>
        <w:rPr>
          <w:rFonts w:cs="Calibri"/>
          <w:bCs/>
          <w:lang w:val="en-GB"/>
        </w:rPr>
        <w:t xml:space="preserve">. </w:t>
      </w:r>
      <w:r w:rsidR="00885F75">
        <w:rPr>
          <w:rFonts w:cs="Calibri"/>
          <w:bCs/>
          <w:lang w:val="en-GB"/>
        </w:rPr>
        <w:t>The results of the multiple regressions will be used to answer the stated hypotheses.</w:t>
      </w:r>
    </w:p>
    <w:p w:rsidR="005230A9" w:rsidRDefault="00E954AF" w:rsidP="004112B9">
      <w:pPr>
        <w:spacing w:line="360" w:lineRule="auto"/>
        <w:rPr>
          <w:rFonts w:cs="Calibri"/>
          <w:bCs/>
          <w:lang w:val="en-GB"/>
        </w:rPr>
      </w:pPr>
      <w:r>
        <w:rPr>
          <w:rFonts w:cs="Calibri"/>
          <w:bCs/>
          <w:lang w:val="en-GB"/>
        </w:rPr>
        <w:t>Based on the before overview of the research</w:t>
      </w:r>
      <w:r w:rsidR="00AB1665">
        <w:rPr>
          <w:rFonts w:cs="Calibri"/>
          <w:bCs/>
          <w:lang w:val="en-GB"/>
        </w:rPr>
        <w:t xml:space="preserve">, </w:t>
      </w:r>
      <w:r>
        <w:rPr>
          <w:rFonts w:cs="Calibri"/>
          <w:bCs/>
          <w:lang w:val="en-GB"/>
        </w:rPr>
        <w:t>e</w:t>
      </w:r>
      <w:r w:rsidR="005230A9">
        <w:rPr>
          <w:rFonts w:cs="Calibri"/>
          <w:bCs/>
          <w:lang w:val="en-GB"/>
        </w:rPr>
        <w:t>ach part</w:t>
      </w:r>
      <w:r w:rsidR="00885F75">
        <w:rPr>
          <w:rFonts w:cs="Calibri"/>
          <w:bCs/>
          <w:lang w:val="en-GB"/>
        </w:rPr>
        <w:t xml:space="preserve"> will</w:t>
      </w:r>
      <w:r w:rsidR="005230A9">
        <w:rPr>
          <w:rFonts w:cs="Calibri"/>
          <w:bCs/>
          <w:lang w:val="en-GB"/>
        </w:rPr>
        <w:t xml:space="preserve"> be </w:t>
      </w:r>
      <w:r w:rsidR="00885F75">
        <w:rPr>
          <w:rFonts w:cs="Calibri"/>
          <w:bCs/>
          <w:lang w:val="en-GB"/>
        </w:rPr>
        <w:t>commented</w:t>
      </w:r>
      <w:r w:rsidR="005230A9">
        <w:rPr>
          <w:rFonts w:cs="Calibri"/>
          <w:bCs/>
          <w:lang w:val="en-GB"/>
        </w:rPr>
        <w:t xml:space="preserve"> separately. In this chapter will the Modified Jones Model (1995) and the model developed by Roychowdhury (2006) be </w:t>
      </w:r>
      <w:r w:rsidR="00FD57D0">
        <w:rPr>
          <w:rFonts w:cs="Calibri"/>
          <w:bCs/>
          <w:lang w:val="en-GB"/>
        </w:rPr>
        <w:t>commented</w:t>
      </w:r>
      <w:r w:rsidR="005230A9">
        <w:rPr>
          <w:rFonts w:cs="Calibri"/>
          <w:bCs/>
          <w:lang w:val="en-GB"/>
        </w:rPr>
        <w:t xml:space="preserve"> </w:t>
      </w:r>
      <w:r>
        <w:rPr>
          <w:rFonts w:cs="Calibri"/>
          <w:bCs/>
          <w:lang w:val="en-GB"/>
        </w:rPr>
        <w:t>in combination with the data sample</w:t>
      </w:r>
      <w:r w:rsidR="0014232A">
        <w:rPr>
          <w:rFonts w:cs="Calibri"/>
          <w:bCs/>
          <w:lang w:val="en-GB"/>
        </w:rPr>
        <w:t xml:space="preserve"> in section 6.2. The data sample and th</w:t>
      </w:r>
      <w:r>
        <w:rPr>
          <w:rFonts w:cs="Calibri"/>
          <w:bCs/>
          <w:lang w:val="en-GB"/>
        </w:rPr>
        <w:t xml:space="preserve">e </w:t>
      </w:r>
      <w:r w:rsidR="005230A9">
        <w:rPr>
          <w:rFonts w:cs="Calibri"/>
          <w:bCs/>
          <w:lang w:val="en-GB"/>
        </w:rPr>
        <w:t xml:space="preserve">data attainability </w:t>
      </w:r>
      <w:r w:rsidR="00DD495A">
        <w:rPr>
          <w:rFonts w:cs="Calibri"/>
          <w:bCs/>
          <w:lang w:val="en-GB"/>
        </w:rPr>
        <w:t>will be</w:t>
      </w:r>
      <w:r w:rsidR="005230A9">
        <w:rPr>
          <w:rFonts w:cs="Calibri"/>
          <w:bCs/>
          <w:lang w:val="en-GB"/>
        </w:rPr>
        <w:t xml:space="preserve"> explained in section 6.3 and 6.4. </w:t>
      </w:r>
    </w:p>
    <w:p w:rsidR="00B84B87" w:rsidRPr="00F67CC4" w:rsidRDefault="00744939" w:rsidP="00804A54">
      <w:pPr>
        <w:spacing w:line="360" w:lineRule="auto"/>
        <w:rPr>
          <w:rFonts w:cs="Calibri"/>
          <w:bCs/>
          <w:lang w:val="en-GB"/>
        </w:rPr>
      </w:pPr>
      <w:r w:rsidRPr="00F67CC4">
        <w:rPr>
          <w:rFonts w:cs="Calibri"/>
          <w:b/>
          <w:bCs/>
          <w:lang w:val="en-GB"/>
        </w:rPr>
        <w:t>6.2 Models</w:t>
      </w:r>
      <w:r w:rsidR="00FB530A" w:rsidRPr="00F67CC4">
        <w:rPr>
          <w:rFonts w:cs="Calibri"/>
          <w:b/>
          <w:bCs/>
          <w:lang w:val="en-GB"/>
        </w:rPr>
        <w:t xml:space="preserve"> for detecting Earnings Management</w:t>
      </w:r>
      <w:r w:rsidR="00691EE5" w:rsidRPr="00F67CC4">
        <w:rPr>
          <w:rFonts w:cs="Calibri"/>
          <w:b/>
          <w:bCs/>
          <w:lang w:val="en-GB"/>
        </w:rPr>
        <w:br/>
      </w:r>
      <w:r w:rsidR="00AB70BF" w:rsidRPr="00F67CC4">
        <w:rPr>
          <w:rFonts w:cs="Calibri"/>
          <w:bCs/>
          <w:lang w:val="en-GB"/>
        </w:rPr>
        <w:t xml:space="preserve">In this section, the Modified Jones Model (1995) and the model </w:t>
      </w:r>
      <w:r w:rsidR="008A05FF">
        <w:rPr>
          <w:rFonts w:cs="Calibri"/>
          <w:bCs/>
          <w:lang w:val="en-GB"/>
        </w:rPr>
        <w:t>developed by</w:t>
      </w:r>
      <w:r w:rsidR="00AB70BF" w:rsidRPr="00F67CC4">
        <w:rPr>
          <w:rFonts w:cs="Calibri"/>
          <w:bCs/>
          <w:lang w:val="en-GB"/>
        </w:rPr>
        <w:t xml:space="preserve"> Roychowdhury (2006) will </w:t>
      </w:r>
      <w:r w:rsidR="005435AE" w:rsidRPr="00F67CC4">
        <w:rPr>
          <w:rFonts w:cs="Calibri"/>
          <w:bCs/>
          <w:lang w:val="en-GB"/>
        </w:rPr>
        <w:t xml:space="preserve">be </w:t>
      </w:r>
      <w:r w:rsidR="00AB70BF" w:rsidRPr="00F67CC4">
        <w:rPr>
          <w:rFonts w:cs="Calibri"/>
          <w:bCs/>
          <w:lang w:val="en-GB"/>
        </w:rPr>
        <w:t xml:space="preserve">explained by showing </w:t>
      </w:r>
      <w:r w:rsidR="00885F75">
        <w:rPr>
          <w:rFonts w:cs="Calibri"/>
          <w:bCs/>
          <w:lang w:val="en-GB"/>
        </w:rPr>
        <w:t>the</w:t>
      </w:r>
      <w:r w:rsidR="00AB70BF" w:rsidRPr="00F67CC4">
        <w:rPr>
          <w:rFonts w:cs="Calibri"/>
          <w:bCs/>
          <w:lang w:val="en-GB"/>
        </w:rPr>
        <w:t xml:space="preserve"> steps</w:t>
      </w:r>
      <w:r w:rsidR="00885F75">
        <w:rPr>
          <w:rFonts w:cs="Calibri"/>
          <w:bCs/>
          <w:lang w:val="en-GB"/>
        </w:rPr>
        <w:t xml:space="preserve"> that</w:t>
      </w:r>
      <w:r w:rsidR="00AB70BF" w:rsidRPr="00F67CC4">
        <w:rPr>
          <w:rFonts w:cs="Calibri"/>
          <w:bCs/>
          <w:lang w:val="en-GB"/>
        </w:rPr>
        <w:t xml:space="preserve"> have to be taken to </w:t>
      </w:r>
      <w:r w:rsidR="00885F75">
        <w:rPr>
          <w:rFonts w:cs="Calibri"/>
          <w:bCs/>
          <w:lang w:val="en-GB"/>
        </w:rPr>
        <w:t>conclude</w:t>
      </w:r>
      <w:r w:rsidR="00AB70BF" w:rsidRPr="00F67CC4">
        <w:rPr>
          <w:rFonts w:cs="Calibri"/>
          <w:bCs/>
          <w:lang w:val="en-GB"/>
        </w:rPr>
        <w:t xml:space="preserve"> whether earnings have been managed</w:t>
      </w:r>
      <w:r w:rsidR="009D5852">
        <w:rPr>
          <w:rFonts w:cs="Calibri"/>
          <w:bCs/>
          <w:lang w:val="en-GB"/>
        </w:rPr>
        <w:t xml:space="preserve"> by accruals</w:t>
      </w:r>
      <w:r w:rsidR="00BC2039">
        <w:rPr>
          <w:rFonts w:cs="Calibri"/>
          <w:bCs/>
          <w:lang w:val="en-GB"/>
        </w:rPr>
        <w:t xml:space="preserve"> and real activities</w:t>
      </w:r>
      <w:r w:rsidR="00AB70BF" w:rsidRPr="00F67CC4">
        <w:rPr>
          <w:rFonts w:cs="Calibri"/>
          <w:bCs/>
          <w:lang w:val="en-GB"/>
        </w:rPr>
        <w:t xml:space="preserve">. </w:t>
      </w:r>
    </w:p>
    <w:p w:rsidR="0014232A" w:rsidRDefault="00691EE5" w:rsidP="00804A54">
      <w:pPr>
        <w:spacing w:line="360" w:lineRule="auto"/>
        <w:rPr>
          <w:rFonts w:cs="Calibri"/>
          <w:bCs/>
          <w:lang w:val="en-GB"/>
        </w:rPr>
      </w:pPr>
      <w:r w:rsidRPr="00F67CC4">
        <w:rPr>
          <w:rFonts w:cs="Calibri"/>
          <w:b/>
          <w:bCs/>
          <w:lang w:val="en-GB"/>
        </w:rPr>
        <w:t>6.2.1 Modified Jones Model</w:t>
      </w:r>
      <w:r w:rsidR="0057237C" w:rsidRPr="00F67CC4">
        <w:rPr>
          <w:rFonts w:cs="Calibri"/>
          <w:b/>
          <w:bCs/>
          <w:lang w:val="en-GB"/>
        </w:rPr>
        <w:t xml:space="preserve"> (1995)</w:t>
      </w:r>
      <w:r w:rsidR="0057237C" w:rsidRPr="00F67CC4">
        <w:rPr>
          <w:rFonts w:cs="Calibri"/>
          <w:b/>
          <w:bCs/>
          <w:lang w:val="en-GB"/>
        </w:rPr>
        <w:br/>
      </w:r>
      <w:r w:rsidR="0057237C" w:rsidRPr="00F67CC4">
        <w:rPr>
          <w:rFonts w:cs="Calibri"/>
          <w:bCs/>
          <w:lang w:val="en-GB"/>
        </w:rPr>
        <w:t>The M</w:t>
      </w:r>
      <w:r w:rsidR="00537960">
        <w:rPr>
          <w:rFonts w:cs="Calibri"/>
          <w:bCs/>
          <w:lang w:val="en-GB"/>
        </w:rPr>
        <w:t xml:space="preserve">odified Jones Model (1995) is an adjusted version </w:t>
      </w:r>
      <w:r w:rsidR="0057237C" w:rsidRPr="00F67CC4">
        <w:rPr>
          <w:rFonts w:cs="Calibri"/>
          <w:bCs/>
          <w:lang w:val="en-GB"/>
        </w:rPr>
        <w:t xml:space="preserve">of the Jones Model (1991) </w:t>
      </w:r>
      <w:r w:rsidR="00AB1665">
        <w:rPr>
          <w:rFonts w:cs="Calibri"/>
          <w:bCs/>
          <w:lang w:val="en-GB"/>
        </w:rPr>
        <w:t xml:space="preserve">and </w:t>
      </w:r>
      <w:r w:rsidR="0057237C" w:rsidRPr="00F67CC4">
        <w:rPr>
          <w:rFonts w:cs="Calibri"/>
          <w:bCs/>
          <w:lang w:val="en-GB"/>
        </w:rPr>
        <w:t xml:space="preserve">developed by Dechow et al. (1995). </w:t>
      </w:r>
      <w:r w:rsidR="0014232A">
        <w:rPr>
          <w:rFonts w:cs="Calibri"/>
          <w:bCs/>
          <w:lang w:val="en-GB"/>
        </w:rPr>
        <w:t>The Modified Jones Model (1995) uses the following equation to determine the total amount of accruals:</w:t>
      </w:r>
    </w:p>
    <w:p w:rsidR="002A2D5F" w:rsidRPr="00F67CC4" w:rsidRDefault="002A2D5F" w:rsidP="002A2D5F">
      <w:pPr>
        <w:spacing w:line="360" w:lineRule="auto"/>
        <w:rPr>
          <w:rFonts w:cs="Calibri"/>
          <w:b/>
          <w:sz w:val="28"/>
          <w:szCs w:val="28"/>
          <w:lang w:val="en-GB"/>
        </w:rPr>
      </w:pPr>
      <w:r w:rsidRPr="00F67CC4">
        <w:rPr>
          <w:rFonts w:cs="Calibri"/>
          <w:b/>
          <w:sz w:val="28"/>
          <w:szCs w:val="28"/>
          <w:lang w:val="en-GB"/>
        </w:rPr>
        <w:t>TA</w:t>
      </w:r>
      <w:r w:rsidR="000D7C6D" w:rsidRPr="00F67CC4">
        <w:rPr>
          <w:rFonts w:cs="Calibri"/>
          <w:b/>
          <w:lang w:val="en-GB"/>
        </w:rPr>
        <w:t>i,</w:t>
      </w:r>
      <w:r w:rsidRPr="00F67CC4">
        <w:rPr>
          <w:rFonts w:cs="Calibri"/>
          <w:b/>
          <w:lang w:val="en-GB"/>
        </w:rPr>
        <w:t xml:space="preserve">t </w:t>
      </w:r>
      <w:r w:rsidRPr="00F67CC4">
        <w:rPr>
          <w:rFonts w:cs="Calibri"/>
          <w:b/>
          <w:sz w:val="28"/>
          <w:szCs w:val="28"/>
          <w:lang w:val="en-GB"/>
        </w:rPr>
        <w:t>=  [ ΔCA</w:t>
      </w:r>
      <w:r w:rsidR="000D7C6D" w:rsidRPr="00F67CC4">
        <w:rPr>
          <w:rFonts w:cs="Calibri"/>
          <w:b/>
          <w:lang w:val="en-GB"/>
        </w:rPr>
        <w:t>i,</w:t>
      </w:r>
      <w:r w:rsidRPr="00F67CC4">
        <w:rPr>
          <w:rFonts w:cs="Calibri"/>
          <w:b/>
          <w:sz w:val="20"/>
          <w:szCs w:val="20"/>
          <w:lang w:val="en-GB"/>
        </w:rPr>
        <w:t>t</w:t>
      </w:r>
      <w:r w:rsidR="00806796" w:rsidRPr="00F67CC4">
        <w:rPr>
          <w:rFonts w:cs="Calibri"/>
          <w:b/>
          <w:sz w:val="28"/>
          <w:szCs w:val="28"/>
          <w:lang w:val="en-GB"/>
        </w:rPr>
        <w:t xml:space="preserve"> – ΔCL</w:t>
      </w:r>
      <w:r w:rsidR="000D7C6D" w:rsidRPr="00F67CC4">
        <w:rPr>
          <w:rFonts w:cs="Calibri"/>
          <w:b/>
          <w:lang w:val="en-GB"/>
        </w:rPr>
        <w:t>i,</w:t>
      </w:r>
      <w:r w:rsidR="00806796" w:rsidRPr="00F67CC4">
        <w:rPr>
          <w:rFonts w:cs="Calibri"/>
          <w:b/>
          <w:sz w:val="20"/>
          <w:szCs w:val="20"/>
          <w:lang w:val="en-GB"/>
        </w:rPr>
        <w:t>t</w:t>
      </w:r>
      <w:r w:rsidRPr="00F67CC4">
        <w:rPr>
          <w:rFonts w:cs="Calibri"/>
          <w:b/>
          <w:sz w:val="28"/>
          <w:szCs w:val="28"/>
          <w:lang w:val="en-GB"/>
        </w:rPr>
        <w:t xml:space="preserve"> – ΔCASH</w:t>
      </w:r>
      <w:r w:rsidR="000D7C6D"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w:t>
      </w:r>
      <w:r w:rsidR="00806796" w:rsidRPr="00F67CC4">
        <w:rPr>
          <w:rFonts w:cs="Calibri"/>
          <w:b/>
          <w:sz w:val="28"/>
          <w:szCs w:val="28"/>
          <w:lang w:val="en-GB"/>
        </w:rPr>
        <w:t>+ ΔSTD</w:t>
      </w:r>
      <w:r w:rsidRPr="00F67CC4">
        <w:rPr>
          <w:rFonts w:cs="Calibri"/>
          <w:b/>
          <w:sz w:val="28"/>
          <w:szCs w:val="28"/>
          <w:lang w:val="en-GB"/>
        </w:rPr>
        <w:t>L</w:t>
      </w:r>
      <w:r w:rsidR="000D7C6D"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 DEP</w:t>
      </w:r>
      <w:r w:rsidR="000D7C6D"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w:t>
      </w:r>
      <w:r w:rsidR="00806796" w:rsidRPr="00F67CC4">
        <w:rPr>
          <w:rFonts w:cs="Calibri"/>
          <w:b/>
          <w:sz w:val="28"/>
          <w:szCs w:val="28"/>
          <w:lang w:val="en-GB"/>
        </w:rPr>
        <w:t xml:space="preserve"> / (A</w:t>
      </w:r>
      <w:r w:rsidR="000D7C6D" w:rsidRPr="00F67CC4">
        <w:rPr>
          <w:rFonts w:cs="Calibri"/>
          <w:b/>
          <w:lang w:val="en-GB"/>
        </w:rPr>
        <w:t>i,</w:t>
      </w:r>
      <w:r w:rsidR="00806796" w:rsidRPr="00F67CC4">
        <w:rPr>
          <w:rFonts w:cs="Calibri"/>
          <w:b/>
          <w:sz w:val="20"/>
          <w:szCs w:val="20"/>
          <w:lang w:val="en-GB"/>
        </w:rPr>
        <w:t>t-1</w:t>
      </w:r>
      <w:r w:rsidR="00806796" w:rsidRPr="00F67CC4">
        <w:rPr>
          <w:rFonts w:cs="Calibri"/>
          <w:b/>
          <w:sz w:val="28"/>
          <w:szCs w:val="28"/>
          <w:lang w:val="en-GB"/>
        </w:rPr>
        <w:t>)</w:t>
      </w:r>
      <w:r w:rsidRPr="00F67CC4">
        <w:rPr>
          <w:rFonts w:cs="Calibri"/>
          <w:b/>
          <w:sz w:val="28"/>
          <w:szCs w:val="28"/>
          <w:lang w:val="en-GB"/>
        </w:rPr>
        <w:tab/>
        <w:t>(1)</w:t>
      </w:r>
    </w:p>
    <w:p w:rsidR="00454DA3" w:rsidRDefault="00454DA3" w:rsidP="002A2D5F">
      <w:pPr>
        <w:spacing w:line="240" w:lineRule="auto"/>
        <w:rPr>
          <w:rFonts w:cs="Calibri"/>
          <w:b/>
          <w:lang w:val="en-GB"/>
        </w:rPr>
      </w:pPr>
      <w:r>
        <w:rPr>
          <w:rFonts w:cs="Calibri"/>
          <w:b/>
          <w:lang w:val="en-GB"/>
        </w:rPr>
        <w:t>TA = total amount of accruals</w:t>
      </w:r>
    </w:p>
    <w:p w:rsidR="002A2D5F" w:rsidRPr="00F67CC4" w:rsidRDefault="002A2D5F" w:rsidP="002A2D5F">
      <w:pPr>
        <w:spacing w:line="240" w:lineRule="auto"/>
        <w:rPr>
          <w:rFonts w:cs="Calibri"/>
          <w:b/>
          <w:lang w:val="en-GB"/>
        </w:rPr>
      </w:pPr>
      <w:r w:rsidRPr="00F67CC4">
        <w:rPr>
          <w:rFonts w:cs="Calibri"/>
          <w:b/>
          <w:lang w:val="en-GB"/>
        </w:rPr>
        <w:t xml:space="preserve">ΔCA = change in current assets </w:t>
      </w:r>
    </w:p>
    <w:p w:rsidR="00806796" w:rsidRPr="00F67CC4" w:rsidRDefault="00806796" w:rsidP="00806796">
      <w:pPr>
        <w:spacing w:line="240" w:lineRule="auto"/>
        <w:rPr>
          <w:rFonts w:cs="Calibri"/>
          <w:b/>
          <w:lang w:val="en-GB"/>
        </w:rPr>
      </w:pPr>
      <w:r w:rsidRPr="00F67CC4">
        <w:rPr>
          <w:rFonts w:cs="Calibri"/>
          <w:b/>
          <w:lang w:val="en-GB"/>
        </w:rPr>
        <w:t xml:space="preserve">ΔCL = change in current liabilities </w:t>
      </w:r>
    </w:p>
    <w:p w:rsidR="002A2D5F" w:rsidRPr="00F67CC4" w:rsidRDefault="002A2D5F" w:rsidP="002A2D5F">
      <w:pPr>
        <w:spacing w:line="240" w:lineRule="auto"/>
        <w:rPr>
          <w:rFonts w:cs="Calibri"/>
          <w:b/>
          <w:lang w:val="en-GB"/>
        </w:rPr>
      </w:pPr>
      <w:r w:rsidRPr="00F67CC4">
        <w:rPr>
          <w:rFonts w:cs="Calibri"/>
          <w:b/>
          <w:lang w:val="en-GB"/>
        </w:rPr>
        <w:lastRenderedPageBreak/>
        <w:t xml:space="preserve">ΔCASH = change in cash equivalents </w:t>
      </w:r>
    </w:p>
    <w:p w:rsidR="002A2D5F" w:rsidRPr="00F67CC4" w:rsidRDefault="00806796" w:rsidP="002A2D5F">
      <w:pPr>
        <w:spacing w:line="240" w:lineRule="auto"/>
        <w:rPr>
          <w:rFonts w:cs="Calibri"/>
          <w:b/>
          <w:lang w:val="en-GB"/>
        </w:rPr>
      </w:pPr>
      <w:r w:rsidRPr="00F67CC4">
        <w:rPr>
          <w:rFonts w:cs="Calibri"/>
          <w:b/>
          <w:lang w:val="en-GB"/>
        </w:rPr>
        <w:t>ΔSTD</w:t>
      </w:r>
      <w:r w:rsidR="001F4EDB" w:rsidRPr="00F67CC4">
        <w:rPr>
          <w:rFonts w:cs="Calibri"/>
          <w:b/>
          <w:lang w:val="en-GB"/>
        </w:rPr>
        <w:t>L</w:t>
      </w:r>
      <w:r w:rsidR="002A2D5F" w:rsidRPr="00F67CC4">
        <w:rPr>
          <w:rFonts w:cs="Calibri"/>
          <w:b/>
          <w:lang w:val="en-GB"/>
        </w:rPr>
        <w:t xml:space="preserve"> = change in debt included in current liabilities </w:t>
      </w:r>
    </w:p>
    <w:p w:rsidR="00537960" w:rsidRDefault="002A2D5F" w:rsidP="002A2D5F">
      <w:pPr>
        <w:spacing w:line="240" w:lineRule="auto"/>
        <w:rPr>
          <w:rFonts w:cs="Calibri"/>
          <w:b/>
          <w:lang w:val="en-GB"/>
        </w:rPr>
      </w:pPr>
      <w:r w:rsidRPr="00F67CC4">
        <w:rPr>
          <w:rFonts w:cs="Calibri"/>
          <w:b/>
          <w:lang w:val="en-GB"/>
        </w:rPr>
        <w:t>DEP = depreciat</w:t>
      </w:r>
      <w:r w:rsidR="001F4EDB" w:rsidRPr="00F67CC4">
        <w:rPr>
          <w:rFonts w:cs="Calibri"/>
          <w:b/>
          <w:lang w:val="en-GB"/>
        </w:rPr>
        <w:t xml:space="preserve">ion and amortization expense </w:t>
      </w:r>
    </w:p>
    <w:p w:rsidR="00537960" w:rsidRPr="00F67CC4" w:rsidRDefault="00537960" w:rsidP="002A2D5F">
      <w:pPr>
        <w:spacing w:line="240" w:lineRule="auto"/>
        <w:rPr>
          <w:rFonts w:cs="Calibri"/>
          <w:b/>
          <w:lang w:val="en-GB"/>
        </w:rPr>
      </w:pPr>
      <w:r>
        <w:rPr>
          <w:rFonts w:cs="Calibri"/>
          <w:b/>
          <w:lang w:val="en-GB"/>
        </w:rPr>
        <w:t>A = accruals</w:t>
      </w:r>
    </w:p>
    <w:p w:rsidR="00BE1C3C" w:rsidRPr="00F67CC4" w:rsidRDefault="00BE1C3C" w:rsidP="002A2D5F">
      <w:pPr>
        <w:spacing w:line="240" w:lineRule="auto"/>
        <w:rPr>
          <w:rFonts w:cs="Calibri"/>
          <w:b/>
          <w:lang w:val="en-GB"/>
        </w:rPr>
      </w:pPr>
      <w:r w:rsidRPr="00F67CC4">
        <w:rPr>
          <w:rFonts w:cs="Calibri"/>
          <w:b/>
          <w:lang w:val="en-GB"/>
        </w:rPr>
        <w:t xml:space="preserve">t = </w:t>
      </w:r>
      <w:r w:rsidR="00440B46" w:rsidRPr="00F67CC4">
        <w:rPr>
          <w:rFonts w:cs="Calibri"/>
          <w:b/>
          <w:lang w:val="en-GB"/>
        </w:rPr>
        <w:t>year index, range</w:t>
      </w:r>
      <w:r w:rsidR="00CA27FE" w:rsidRPr="00F67CC4">
        <w:rPr>
          <w:rFonts w:cs="Calibri"/>
          <w:b/>
          <w:lang w:val="en-GB"/>
        </w:rPr>
        <w:t xml:space="preserve"> 1997 - 2007</w:t>
      </w:r>
    </w:p>
    <w:p w:rsidR="00BE1C3C" w:rsidRPr="00F67CC4" w:rsidRDefault="00440B46" w:rsidP="002A2D5F">
      <w:pPr>
        <w:spacing w:line="240" w:lineRule="auto"/>
        <w:rPr>
          <w:rFonts w:cs="Calibri"/>
          <w:b/>
          <w:lang w:val="en-GB"/>
        </w:rPr>
      </w:pPr>
      <w:r w:rsidRPr="00F67CC4">
        <w:rPr>
          <w:rFonts w:cs="Calibri"/>
          <w:b/>
          <w:lang w:val="en-GB"/>
        </w:rPr>
        <w:t>i = firm index, range</w:t>
      </w:r>
      <w:r w:rsidR="00CA27FE" w:rsidRPr="00F67CC4">
        <w:rPr>
          <w:rFonts w:cs="Calibri"/>
          <w:b/>
          <w:lang w:val="en-GB"/>
        </w:rPr>
        <w:t xml:space="preserve"> 1</w:t>
      </w:r>
      <w:r w:rsidRPr="00F67CC4">
        <w:rPr>
          <w:rFonts w:cs="Calibri"/>
          <w:b/>
          <w:lang w:val="en-GB"/>
        </w:rPr>
        <w:t xml:space="preserve"> -</w:t>
      </w:r>
      <w:r w:rsidR="008853C3" w:rsidRPr="00F67CC4">
        <w:rPr>
          <w:rFonts w:cs="Calibri"/>
          <w:b/>
          <w:lang w:val="en-GB"/>
        </w:rPr>
        <w:t xml:space="preserve"> 95</w:t>
      </w:r>
    </w:p>
    <w:p w:rsidR="00D32C54" w:rsidRPr="00F67CC4" w:rsidRDefault="00537960" w:rsidP="00AD4F51">
      <w:pPr>
        <w:spacing w:line="360" w:lineRule="auto"/>
        <w:rPr>
          <w:rFonts w:cs="Calibri"/>
          <w:lang w:val="en-GB"/>
        </w:rPr>
      </w:pPr>
      <w:r>
        <w:rPr>
          <w:rFonts w:cs="Calibri"/>
          <w:lang w:val="en-GB"/>
        </w:rPr>
        <w:t>The determination of the total amount of accruals</w:t>
      </w:r>
      <w:r w:rsidR="00AD4F51" w:rsidRPr="00F67CC4">
        <w:rPr>
          <w:rFonts w:cs="Calibri"/>
          <w:lang w:val="en-GB"/>
        </w:rPr>
        <w:t xml:space="preserve"> is the first step in the process of det</w:t>
      </w:r>
      <w:r>
        <w:rPr>
          <w:rFonts w:cs="Calibri"/>
          <w:lang w:val="en-GB"/>
        </w:rPr>
        <w:t xml:space="preserve">ecting earnings management by </w:t>
      </w:r>
      <w:r w:rsidR="00AD4F51" w:rsidRPr="00F67CC4">
        <w:rPr>
          <w:rFonts w:cs="Calibri"/>
          <w:lang w:val="en-GB"/>
        </w:rPr>
        <w:t xml:space="preserve">accruals. </w:t>
      </w:r>
      <w:r>
        <w:rPr>
          <w:rFonts w:cs="Calibri"/>
          <w:lang w:val="en-GB"/>
        </w:rPr>
        <w:t xml:space="preserve">Because the values of all the independent variables of the formula are known, the total amount of accruals can be determined. </w:t>
      </w:r>
      <w:r w:rsidR="00D32C54" w:rsidRPr="00F67CC4">
        <w:rPr>
          <w:rFonts w:cs="Calibri"/>
          <w:lang w:val="en-GB"/>
        </w:rPr>
        <w:t xml:space="preserve">The firm index shows that the total sample contains </w:t>
      </w:r>
      <w:r w:rsidR="008853C3" w:rsidRPr="00F67CC4">
        <w:rPr>
          <w:rFonts w:cs="Calibri"/>
          <w:lang w:val="en-GB"/>
        </w:rPr>
        <w:t>9</w:t>
      </w:r>
      <w:r w:rsidR="00AB03CA">
        <w:rPr>
          <w:rFonts w:cs="Calibri"/>
          <w:lang w:val="en-GB"/>
        </w:rPr>
        <w:t xml:space="preserve">5 </w:t>
      </w:r>
      <w:r w:rsidR="00D32C54" w:rsidRPr="00F67CC4">
        <w:rPr>
          <w:rFonts w:cs="Calibri"/>
          <w:lang w:val="en-GB"/>
        </w:rPr>
        <w:t>companies, which will</w:t>
      </w:r>
      <w:r w:rsidR="00AB03CA">
        <w:rPr>
          <w:rFonts w:cs="Calibri"/>
          <w:lang w:val="en-GB"/>
        </w:rPr>
        <w:t xml:space="preserve"> further</w:t>
      </w:r>
      <w:r w:rsidR="00D32C54" w:rsidRPr="00F67CC4">
        <w:rPr>
          <w:rFonts w:cs="Calibri"/>
          <w:lang w:val="en-GB"/>
        </w:rPr>
        <w:t xml:space="preserve"> be explained in section 6.3. </w:t>
      </w:r>
    </w:p>
    <w:p w:rsidR="00496549" w:rsidRDefault="00AD4F51" w:rsidP="00AD4F51">
      <w:pPr>
        <w:spacing w:line="360" w:lineRule="auto"/>
        <w:rPr>
          <w:rFonts w:cs="Calibri"/>
          <w:lang w:val="en-US"/>
        </w:rPr>
      </w:pPr>
      <w:r w:rsidRPr="00F67CC4">
        <w:rPr>
          <w:rFonts w:cs="Calibri"/>
          <w:lang w:val="en-GB"/>
        </w:rPr>
        <w:t>The second step</w:t>
      </w:r>
      <w:r w:rsidR="00B5309E">
        <w:rPr>
          <w:rFonts w:cs="Calibri"/>
          <w:lang w:val="en-GB"/>
        </w:rPr>
        <w:t xml:space="preserve"> in the determination of</w:t>
      </w:r>
      <w:r w:rsidR="00205480">
        <w:rPr>
          <w:rFonts w:cs="Calibri"/>
          <w:lang w:val="en-GB"/>
        </w:rPr>
        <w:t xml:space="preserve"> the use of</w:t>
      </w:r>
      <w:r w:rsidR="00B5309E">
        <w:rPr>
          <w:rFonts w:cs="Calibri"/>
          <w:lang w:val="en-GB"/>
        </w:rPr>
        <w:t xml:space="preserve"> accruals-based earnings management is about the </w:t>
      </w:r>
      <w:r w:rsidR="0044367A" w:rsidRPr="00F67CC4">
        <w:rPr>
          <w:rFonts w:cs="Calibri"/>
          <w:lang w:val="en-GB"/>
        </w:rPr>
        <w:t>focus</w:t>
      </w:r>
      <w:r w:rsidR="00B5309E">
        <w:rPr>
          <w:rFonts w:cs="Calibri"/>
          <w:lang w:val="en-GB"/>
        </w:rPr>
        <w:t xml:space="preserve"> </w:t>
      </w:r>
      <w:r w:rsidR="0044367A" w:rsidRPr="00F67CC4">
        <w:rPr>
          <w:rFonts w:cs="Calibri"/>
          <w:lang w:val="en-GB"/>
        </w:rPr>
        <w:t xml:space="preserve">on specific accruals and the estimation of the parameters </w:t>
      </w:r>
      <w:r w:rsidR="0044367A" w:rsidRPr="0044367A">
        <w:rPr>
          <w:rFonts w:cs="Calibri"/>
          <w:lang w:val="en-US"/>
        </w:rPr>
        <w:t>α1, α2 and α3</w:t>
      </w:r>
      <w:r w:rsidR="0044367A">
        <w:rPr>
          <w:rFonts w:cs="Calibri"/>
          <w:lang w:val="en-US"/>
        </w:rPr>
        <w:t xml:space="preserve">. </w:t>
      </w:r>
      <w:r w:rsidR="00440B46">
        <w:rPr>
          <w:rFonts w:cs="Calibri"/>
          <w:lang w:val="en-US"/>
        </w:rPr>
        <w:t>Now that the total amount of accruals is determined, the variables assets, revenues and PPE are used to estimate the firm-specific parameters</w:t>
      </w:r>
      <w:r w:rsidR="00AB1665">
        <w:rPr>
          <w:rFonts w:cs="Calibri"/>
          <w:lang w:val="en-US"/>
        </w:rPr>
        <w:t xml:space="preserve"> a1, a2 and a3</w:t>
      </w:r>
      <w:r w:rsidR="00440B46">
        <w:rPr>
          <w:rFonts w:cs="Calibri"/>
          <w:lang w:val="en-US"/>
        </w:rPr>
        <w:t>.</w:t>
      </w:r>
    </w:p>
    <w:p w:rsidR="002A2D5F" w:rsidRPr="00F67CC4" w:rsidRDefault="002A2D5F" w:rsidP="002A2D5F">
      <w:pPr>
        <w:spacing w:line="360" w:lineRule="auto"/>
        <w:rPr>
          <w:rFonts w:cs="Calibri"/>
          <w:b/>
          <w:sz w:val="28"/>
          <w:szCs w:val="28"/>
          <w:lang w:val="fr-FR"/>
        </w:rPr>
      </w:pPr>
      <w:r w:rsidRPr="00F67CC4">
        <w:rPr>
          <w:rFonts w:cs="Calibri"/>
          <w:b/>
          <w:sz w:val="28"/>
          <w:szCs w:val="28"/>
          <w:lang w:val="fr-FR"/>
        </w:rPr>
        <w:t>T</w:t>
      </w:r>
      <w:r w:rsidR="000D7C6D" w:rsidRPr="00F67CC4">
        <w:rPr>
          <w:rFonts w:cs="Calibri"/>
          <w:b/>
          <w:sz w:val="28"/>
          <w:szCs w:val="28"/>
          <w:lang w:val="fr-FR"/>
        </w:rPr>
        <w:t>a</w:t>
      </w:r>
      <w:r w:rsidR="000D7C6D" w:rsidRPr="00F67CC4">
        <w:rPr>
          <w:rFonts w:cs="Calibri"/>
          <w:b/>
          <w:lang w:val="fr-FR"/>
        </w:rPr>
        <w:t>i,t</w:t>
      </w:r>
      <w:r w:rsidRPr="00F67CC4">
        <w:rPr>
          <w:rFonts w:cs="Calibri"/>
          <w:b/>
          <w:sz w:val="28"/>
          <w:szCs w:val="28"/>
          <w:lang w:val="fr-FR"/>
        </w:rPr>
        <w:t xml:space="preserve"> = </w:t>
      </w:r>
      <w:r w:rsidR="00B5309E">
        <w:rPr>
          <w:rFonts w:cs="Calibri"/>
          <w:b/>
          <w:sz w:val="28"/>
          <w:szCs w:val="28"/>
          <w:lang w:val="fr-FR"/>
        </w:rPr>
        <w:t>a</w:t>
      </w:r>
      <w:r w:rsidRPr="00F67CC4">
        <w:rPr>
          <w:rFonts w:cs="Calibri"/>
          <w:b/>
          <w:lang w:val="fr-FR"/>
        </w:rPr>
        <w:t>1</w:t>
      </w:r>
      <w:r w:rsidRPr="00F67CC4">
        <w:rPr>
          <w:rFonts w:cs="Calibri"/>
          <w:b/>
          <w:sz w:val="28"/>
          <w:szCs w:val="28"/>
          <w:lang w:val="fr-FR"/>
        </w:rPr>
        <w:t xml:space="preserve"> [1/A</w:t>
      </w:r>
      <w:r w:rsidR="000D7C6D" w:rsidRPr="00F67CC4">
        <w:rPr>
          <w:rFonts w:cs="Calibri"/>
          <w:b/>
          <w:lang w:val="fr-FR"/>
        </w:rPr>
        <w:t>i,</w:t>
      </w:r>
      <w:r w:rsidRPr="00F67CC4">
        <w:rPr>
          <w:rFonts w:cs="Calibri"/>
          <w:b/>
          <w:lang w:val="fr-FR"/>
        </w:rPr>
        <w:t>t-1</w:t>
      </w:r>
      <w:r w:rsidRPr="00F67CC4">
        <w:rPr>
          <w:rFonts w:cs="Calibri"/>
          <w:b/>
          <w:sz w:val="28"/>
          <w:szCs w:val="28"/>
          <w:lang w:val="fr-FR"/>
        </w:rPr>
        <w:t xml:space="preserve">] + </w:t>
      </w:r>
      <w:r w:rsidR="00B5309E">
        <w:rPr>
          <w:rFonts w:cs="Calibri"/>
          <w:b/>
          <w:sz w:val="28"/>
          <w:szCs w:val="28"/>
          <w:lang w:val="fr-FR"/>
        </w:rPr>
        <w:t>a</w:t>
      </w:r>
      <w:r w:rsidRPr="00F67CC4">
        <w:rPr>
          <w:rFonts w:cs="Calibri"/>
          <w:b/>
          <w:lang w:val="fr-FR"/>
        </w:rPr>
        <w:t>2</w:t>
      </w:r>
      <w:r w:rsidRPr="00F67CC4">
        <w:rPr>
          <w:rFonts w:cs="Calibri"/>
          <w:b/>
          <w:sz w:val="28"/>
          <w:szCs w:val="28"/>
          <w:lang w:val="fr-FR"/>
        </w:rPr>
        <w:t xml:space="preserve"> [ΔREV</w:t>
      </w:r>
      <w:r w:rsidR="000D7C6D" w:rsidRPr="00F67CC4">
        <w:rPr>
          <w:rFonts w:cs="Calibri"/>
          <w:b/>
          <w:lang w:val="fr-FR"/>
        </w:rPr>
        <w:t>i,</w:t>
      </w:r>
      <w:r w:rsidRPr="00F67CC4">
        <w:rPr>
          <w:rFonts w:cs="Calibri"/>
          <w:b/>
          <w:lang w:val="fr-FR"/>
        </w:rPr>
        <w:t>t</w:t>
      </w:r>
      <w:r w:rsidRPr="00F67CC4">
        <w:rPr>
          <w:rFonts w:cs="Calibri"/>
          <w:b/>
          <w:sz w:val="28"/>
          <w:szCs w:val="28"/>
          <w:lang w:val="fr-FR"/>
        </w:rPr>
        <w:t xml:space="preserve">] + </w:t>
      </w:r>
      <w:r w:rsidR="00B5309E">
        <w:rPr>
          <w:rFonts w:cs="Calibri"/>
          <w:b/>
          <w:sz w:val="28"/>
          <w:szCs w:val="28"/>
          <w:lang w:val="fr-FR"/>
        </w:rPr>
        <w:t>a</w:t>
      </w:r>
      <w:r w:rsidRPr="00F67CC4">
        <w:rPr>
          <w:rFonts w:cs="Calibri"/>
          <w:b/>
          <w:lang w:val="fr-FR"/>
        </w:rPr>
        <w:t>3</w:t>
      </w:r>
      <w:r w:rsidRPr="00F67CC4">
        <w:rPr>
          <w:rFonts w:cs="Calibri"/>
          <w:b/>
          <w:sz w:val="28"/>
          <w:szCs w:val="28"/>
          <w:lang w:val="fr-FR"/>
        </w:rPr>
        <w:t xml:space="preserve"> [PPE</w:t>
      </w:r>
      <w:r w:rsidR="000D7C6D" w:rsidRPr="00F67CC4">
        <w:rPr>
          <w:rFonts w:cs="Calibri"/>
          <w:b/>
          <w:lang w:val="fr-FR"/>
        </w:rPr>
        <w:t>i,</w:t>
      </w:r>
      <w:r w:rsidRPr="00F67CC4">
        <w:rPr>
          <w:rFonts w:cs="Calibri"/>
          <w:b/>
          <w:lang w:val="fr-FR"/>
        </w:rPr>
        <w:t>t</w:t>
      </w:r>
      <w:r w:rsidRPr="00F67CC4">
        <w:rPr>
          <w:rFonts w:cs="Calibri"/>
          <w:b/>
          <w:sz w:val="28"/>
          <w:szCs w:val="28"/>
          <w:lang w:val="fr-FR"/>
        </w:rPr>
        <w:t xml:space="preserve">] + </w:t>
      </w:r>
      <w:r w:rsidRPr="00F67CC4">
        <w:rPr>
          <w:rFonts w:cs="Calibri"/>
          <w:b/>
          <w:sz w:val="28"/>
          <w:szCs w:val="28"/>
          <w:lang w:val="en-US"/>
        </w:rPr>
        <w:t>υ</w:t>
      </w:r>
      <w:r w:rsidR="000D7C6D" w:rsidRPr="00F67CC4">
        <w:rPr>
          <w:rFonts w:cs="Calibri"/>
          <w:b/>
          <w:lang w:val="en-US"/>
        </w:rPr>
        <w:t>i,</w:t>
      </w:r>
      <w:r w:rsidRPr="00F67CC4">
        <w:rPr>
          <w:rFonts w:cs="Calibri"/>
          <w:b/>
          <w:lang w:val="fr-FR"/>
        </w:rPr>
        <w:t>t</w:t>
      </w:r>
    </w:p>
    <w:p w:rsidR="00440B46" w:rsidRPr="00205480" w:rsidRDefault="001F4EDB" w:rsidP="00440B46">
      <w:pPr>
        <w:spacing w:line="360" w:lineRule="auto"/>
        <w:rPr>
          <w:rFonts w:cs="Calibri"/>
          <w:b/>
          <w:lang w:val="en-US"/>
        </w:rPr>
      </w:pPr>
      <w:r w:rsidRPr="00F67CC4">
        <w:rPr>
          <w:rFonts w:cs="Calibri"/>
          <w:b/>
          <w:lang w:val="en-US"/>
        </w:rPr>
        <w:t>TA = total accruals</w:t>
      </w:r>
      <w:r w:rsidRPr="00F67CC4">
        <w:rPr>
          <w:rFonts w:cs="Calibri"/>
          <w:b/>
          <w:lang w:val="en-US"/>
        </w:rPr>
        <w:br/>
        <w:t xml:space="preserve">A = total assets </w:t>
      </w:r>
      <w:r w:rsidR="002A2D5F" w:rsidRPr="00F67CC4">
        <w:rPr>
          <w:rFonts w:cs="Calibri"/>
          <w:b/>
          <w:lang w:val="en-US"/>
        </w:rPr>
        <w:br/>
      </w:r>
      <w:r w:rsidR="002A2D5F" w:rsidRPr="00F67CC4">
        <w:rPr>
          <w:rFonts w:cs="Calibri"/>
          <w:b/>
          <w:lang w:val="fr-FR"/>
        </w:rPr>
        <w:t>Δ</w:t>
      </w:r>
      <w:r w:rsidRPr="00F67CC4">
        <w:rPr>
          <w:rFonts w:cs="Calibri"/>
          <w:b/>
          <w:lang w:val="en-US"/>
        </w:rPr>
        <w:t>REV</w:t>
      </w:r>
      <w:r w:rsidR="002A2D5F" w:rsidRPr="00F67CC4">
        <w:rPr>
          <w:rFonts w:cs="Calibri"/>
          <w:b/>
          <w:lang w:val="en-US"/>
        </w:rPr>
        <w:t xml:space="preserve"> = </w:t>
      </w:r>
      <w:r w:rsidRPr="00F67CC4">
        <w:rPr>
          <w:rFonts w:cs="Calibri"/>
          <w:b/>
          <w:lang w:val="en-US"/>
        </w:rPr>
        <w:t>change in revenues</w:t>
      </w:r>
      <w:r w:rsidR="002A2D5F" w:rsidRPr="00F67CC4">
        <w:rPr>
          <w:rFonts w:cs="Calibri"/>
          <w:b/>
          <w:lang w:val="en-US"/>
        </w:rPr>
        <w:br/>
        <w:t xml:space="preserve">PPE = gross property, plant and equipment </w:t>
      </w:r>
      <w:r w:rsidR="002A2D5F" w:rsidRPr="00F67CC4">
        <w:rPr>
          <w:rFonts w:cs="Calibri"/>
          <w:b/>
          <w:lang w:val="en-US"/>
        </w:rPr>
        <w:br/>
      </w:r>
      <w:r w:rsidR="002A2D5F" w:rsidRPr="00F67CC4">
        <w:rPr>
          <w:rFonts w:cs="Calibri"/>
          <w:b/>
          <w:sz w:val="28"/>
          <w:szCs w:val="28"/>
          <w:lang w:val="en-US"/>
        </w:rPr>
        <w:t>υ</w:t>
      </w:r>
      <w:r w:rsidR="002A2D5F" w:rsidRPr="00F67CC4">
        <w:rPr>
          <w:rFonts w:cs="Calibri"/>
          <w:b/>
          <w:lang w:val="en-US"/>
        </w:rPr>
        <w:t xml:space="preserve"> = error term </w:t>
      </w:r>
      <w:r w:rsidR="00205480">
        <w:rPr>
          <w:rFonts w:cs="Calibri"/>
          <w:b/>
          <w:lang w:val="en-US"/>
        </w:rPr>
        <w:br/>
        <w:t>a1, a2, a3 = regression coefficients</w:t>
      </w:r>
      <w:r w:rsidR="00440B46" w:rsidRPr="00F67CC4">
        <w:rPr>
          <w:rFonts w:cs="Calibri"/>
          <w:b/>
          <w:lang w:val="en-US"/>
        </w:rPr>
        <w:br/>
      </w:r>
      <w:r w:rsidR="00440B46" w:rsidRPr="00440B46">
        <w:rPr>
          <w:rFonts w:cs="Calibri"/>
          <w:b/>
          <w:lang w:val="en-GB"/>
        </w:rPr>
        <w:t xml:space="preserve">t = year index, range 1997 </w:t>
      </w:r>
      <w:r w:rsidR="00440B46">
        <w:rPr>
          <w:rFonts w:cs="Calibri"/>
          <w:b/>
          <w:lang w:val="en-GB"/>
        </w:rPr>
        <w:t>– 2001</w:t>
      </w:r>
      <w:r w:rsidR="00440B46">
        <w:rPr>
          <w:rFonts w:cs="Calibri"/>
          <w:b/>
          <w:lang w:val="en-GB"/>
        </w:rPr>
        <w:br/>
      </w:r>
      <w:r w:rsidR="00440B46" w:rsidRPr="00440B46">
        <w:rPr>
          <w:rFonts w:cs="Calibri"/>
          <w:b/>
          <w:lang w:val="en-GB"/>
        </w:rPr>
        <w:t xml:space="preserve">i = firm index, range 1 </w:t>
      </w:r>
      <w:r w:rsidR="00440B46">
        <w:rPr>
          <w:rFonts w:cs="Calibri"/>
          <w:b/>
          <w:lang w:val="en-GB"/>
        </w:rPr>
        <w:t>–</w:t>
      </w:r>
      <w:r w:rsidR="00FC2A5C">
        <w:rPr>
          <w:rFonts w:cs="Calibri"/>
          <w:b/>
          <w:lang w:val="en-GB"/>
        </w:rPr>
        <w:t xml:space="preserve"> </w:t>
      </w:r>
      <w:r w:rsidR="008853C3">
        <w:rPr>
          <w:rFonts w:cs="Calibri"/>
          <w:b/>
          <w:lang w:val="en-GB"/>
        </w:rPr>
        <w:t>95</w:t>
      </w:r>
    </w:p>
    <w:p w:rsidR="00B0035B" w:rsidRPr="00F67CC4" w:rsidRDefault="004E7383" w:rsidP="002A2D5F">
      <w:pPr>
        <w:spacing w:line="360" w:lineRule="auto"/>
        <w:rPr>
          <w:rFonts w:cs="Calibri"/>
          <w:bCs/>
          <w:lang w:val="en-US"/>
        </w:rPr>
      </w:pPr>
      <w:r w:rsidRPr="00F67CC4">
        <w:rPr>
          <w:rFonts w:cs="Calibri"/>
          <w:bCs/>
          <w:lang w:val="en-US"/>
        </w:rPr>
        <w:t>The</w:t>
      </w:r>
      <w:r w:rsidR="00987529" w:rsidRPr="00F67CC4">
        <w:rPr>
          <w:rFonts w:cs="Calibri"/>
          <w:bCs/>
          <w:lang w:val="en-US"/>
        </w:rPr>
        <w:t xml:space="preserve"> regression coefficients will be calculated with the use of data</w:t>
      </w:r>
      <w:r w:rsidR="00205480">
        <w:rPr>
          <w:rFonts w:cs="Calibri"/>
          <w:bCs/>
          <w:lang w:val="en-US"/>
        </w:rPr>
        <w:t xml:space="preserve"> from the period 1997-2001</w:t>
      </w:r>
      <w:r w:rsidR="00987529" w:rsidRPr="00F67CC4">
        <w:rPr>
          <w:rFonts w:cs="Calibri"/>
          <w:bCs/>
          <w:lang w:val="en-US"/>
        </w:rPr>
        <w:t xml:space="preserve"> </w:t>
      </w:r>
      <w:r w:rsidRPr="00F67CC4">
        <w:rPr>
          <w:rFonts w:cs="Calibri"/>
          <w:bCs/>
          <w:lang w:val="en-US"/>
        </w:rPr>
        <w:t xml:space="preserve">of all variables </w:t>
      </w:r>
      <w:r w:rsidR="00205480">
        <w:rPr>
          <w:rFonts w:cs="Calibri"/>
          <w:bCs/>
          <w:lang w:val="en-US"/>
        </w:rPr>
        <w:t>to</w:t>
      </w:r>
      <w:r w:rsidR="00987529" w:rsidRPr="00F67CC4">
        <w:rPr>
          <w:rFonts w:cs="Calibri"/>
          <w:bCs/>
          <w:lang w:val="en-US"/>
        </w:rPr>
        <w:t xml:space="preserve"> measure the </w:t>
      </w:r>
      <w:r w:rsidRPr="00F67CC4">
        <w:rPr>
          <w:rFonts w:cs="Calibri"/>
          <w:bCs/>
          <w:lang w:val="en-US"/>
        </w:rPr>
        <w:t>degree to which a</w:t>
      </w:r>
      <w:r w:rsidR="00987529" w:rsidRPr="00F67CC4">
        <w:rPr>
          <w:rFonts w:cs="Calibri"/>
          <w:bCs/>
          <w:lang w:val="en-US"/>
        </w:rPr>
        <w:t xml:space="preserve"> dependent variable</w:t>
      </w:r>
      <w:r w:rsidRPr="00F67CC4">
        <w:rPr>
          <w:rFonts w:cs="Calibri"/>
          <w:bCs/>
          <w:lang w:val="en-US"/>
        </w:rPr>
        <w:t xml:space="preserve"> changes by a change</w:t>
      </w:r>
      <w:r w:rsidR="00987529" w:rsidRPr="00F67CC4">
        <w:rPr>
          <w:rFonts w:cs="Calibri"/>
          <w:bCs/>
          <w:lang w:val="en-US"/>
        </w:rPr>
        <w:t xml:space="preserve"> </w:t>
      </w:r>
      <w:r w:rsidRPr="00F67CC4">
        <w:rPr>
          <w:rFonts w:cs="Calibri"/>
          <w:bCs/>
          <w:lang w:val="en-US"/>
        </w:rPr>
        <w:t>of</w:t>
      </w:r>
      <w:r w:rsidR="00987529" w:rsidRPr="00F67CC4">
        <w:rPr>
          <w:rFonts w:cs="Calibri"/>
          <w:bCs/>
          <w:lang w:val="en-US"/>
        </w:rPr>
        <w:t xml:space="preserve"> the independent variable. </w:t>
      </w:r>
      <w:r w:rsidR="00B0035B" w:rsidRPr="00F67CC4">
        <w:rPr>
          <w:rFonts w:cs="Calibri"/>
          <w:bCs/>
          <w:lang w:val="en-US"/>
        </w:rPr>
        <w:t>Although the Thomson One Banker, the database that is used for this research, gives data till 1970, the information o</w:t>
      </w:r>
      <w:r w:rsidR="00205480">
        <w:rPr>
          <w:rFonts w:cs="Calibri"/>
          <w:bCs/>
          <w:lang w:val="en-US"/>
        </w:rPr>
        <w:t xml:space="preserve">f most companies ends at 1997. </w:t>
      </w:r>
      <w:r w:rsidR="003D5D78">
        <w:rPr>
          <w:rFonts w:cs="Calibri"/>
          <w:bCs/>
          <w:lang w:val="en-US"/>
        </w:rPr>
        <w:t>Consequently</w:t>
      </w:r>
      <w:r w:rsidR="00B0035B" w:rsidRPr="00F67CC4">
        <w:rPr>
          <w:rFonts w:cs="Calibri"/>
          <w:bCs/>
          <w:lang w:val="en-US"/>
        </w:rPr>
        <w:t xml:space="preserve"> the period of 1997-2001 is chosen as the historical period for this research</w:t>
      </w:r>
      <w:r w:rsidR="00205480">
        <w:rPr>
          <w:rFonts w:cs="Calibri"/>
          <w:bCs/>
          <w:lang w:val="en-US"/>
        </w:rPr>
        <w:t xml:space="preserve"> to ensure completeness of information</w:t>
      </w:r>
      <w:r w:rsidR="00B0035B" w:rsidRPr="00F67CC4">
        <w:rPr>
          <w:rFonts w:cs="Calibri"/>
          <w:bCs/>
          <w:lang w:val="en-US"/>
        </w:rPr>
        <w:t xml:space="preserve">. </w:t>
      </w:r>
    </w:p>
    <w:p w:rsidR="00987529" w:rsidRPr="00F67CC4" w:rsidRDefault="00B0035B" w:rsidP="002A2D5F">
      <w:pPr>
        <w:spacing w:line="360" w:lineRule="auto"/>
        <w:rPr>
          <w:rFonts w:cs="Calibri"/>
          <w:bCs/>
          <w:lang w:val="en-US"/>
        </w:rPr>
      </w:pPr>
      <w:r w:rsidRPr="00F67CC4">
        <w:rPr>
          <w:rFonts w:cs="Calibri"/>
          <w:bCs/>
          <w:lang w:val="en-US"/>
        </w:rPr>
        <w:t xml:space="preserve">With the use of SPSS, the regression coefficients </w:t>
      </w:r>
      <w:r w:rsidR="00205480">
        <w:rPr>
          <w:rFonts w:cs="Calibri"/>
          <w:bCs/>
          <w:lang w:val="en-US"/>
        </w:rPr>
        <w:t>and</w:t>
      </w:r>
      <w:r w:rsidRPr="00F67CC4">
        <w:rPr>
          <w:rFonts w:cs="Calibri"/>
          <w:bCs/>
          <w:lang w:val="en-US"/>
        </w:rPr>
        <w:t xml:space="preserve"> </w:t>
      </w:r>
      <w:r w:rsidR="003D5D78">
        <w:rPr>
          <w:rFonts w:cs="Calibri"/>
          <w:bCs/>
          <w:lang w:val="en-US"/>
        </w:rPr>
        <w:t>in addition</w:t>
      </w:r>
      <w:r w:rsidRPr="00F67CC4">
        <w:rPr>
          <w:rFonts w:cs="Calibri"/>
          <w:bCs/>
          <w:lang w:val="en-US"/>
        </w:rPr>
        <w:t xml:space="preserve"> the overall explaining power of the model as well as the significance of the individual variables will </w:t>
      </w:r>
      <w:r w:rsidR="00205480">
        <w:rPr>
          <w:rFonts w:cs="Calibri"/>
          <w:bCs/>
          <w:lang w:val="en-US"/>
        </w:rPr>
        <w:t xml:space="preserve">be </w:t>
      </w:r>
      <w:r w:rsidRPr="00F67CC4">
        <w:rPr>
          <w:rFonts w:cs="Calibri"/>
          <w:bCs/>
          <w:lang w:val="en-US"/>
        </w:rPr>
        <w:t xml:space="preserve">determined. In combination with </w:t>
      </w:r>
      <w:r w:rsidRPr="00F67CC4">
        <w:rPr>
          <w:rFonts w:cs="Calibri"/>
          <w:bCs/>
          <w:lang w:val="en-US"/>
        </w:rPr>
        <w:lastRenderedPageBreak/>
        <w:t>the R</w:t>
      </w:r>
      <w:r w:rsidR="002C64B0">
        <w:rPr>
          <w:rFonts w:cs="Calibri"/>
          <w:bCs/>
          <w:lang w:val="en-US"/>
        </w:rPr>
        <w:t xml:space="preserve"> Square</w:t>
      </w:r>
      <w:r w:rsidRPr="00F67CC4">
        <w:rPr>
          <w:rFonts w:cs="Calibri"/>
          <w:bCs/>
          <w:lang w:val="en-US"/>
        </w:rPr>
        <w:t xml:space="preserve">, the explanation power of independent variables on the dependent variable, the reliability of the outcomes is determined. </w:t>
      </w:r>
    </w:p>
    <w:p w:rsidR="00205480" w:rsidRDefault="00B0035B" w:rsidP="00062350">
      <w:pPr>
        <w:spacing w:line="360" w:lineRule="auto"/>
        <w:rPr>
          <w:rFonts w:cs="Calibri"/>
          <w:bCs/>
          <w:lang w:val="en-US"/>
        </w:rPr>
      </w:pPr>
      <w:r w:rsidRPr="00F67CC4">
        <w:rPr>
          <w:rFonts w:cs="Calibri"/>
          <w:bCs/>
          <w:lang w:val="en-US"/>
        </w:rPr>
        <w:t>With the use of the regression coefficients</w:t>
      </w:r>
      <w:r w:rsidR="00AB1665">
        <w:rPr>
          <w:rFonts w:cs="Calibri"/>
          <w:bCs/>
          <w:lang w:val="en-US"/>
        </w:rPr>
        <w:t xml:space="preserve"> a1,a2 and a3</w:t>
      </w:r>
      <w:r w:rsidR="00205480">
        <w:rPr>
          <w:rFonts w:cs="Calibri"/>
          <w:bCs/>
          <w:lang w:val="en-US"/>
        </w:rPr>
        <w:t xml:space="preserve"> as </w:t>
      </w:r>
      <w:r w:rsidR="00605069" w:rsidRPr="00F67CC4">
        <w:rPr>
          <w:rFonts w:cs="Calibri"/>
          <w:bCs/>
          <w:lang w:val="en-US"/>
        </w:rPr>
        <w:t xml:space="preserve">estimations of </w:t>
      </w:r>
      <w:r w:rsidR="00605069" w:rsidRPr="00987529">
        <w:rPr>
          <w:rFonts w:cs="Calibri"/>
          <w:bCs/>
          <w:lang w:val="en-US"/>
        </w:rPr>
        <w:t>α1, α2 and α3</w:t>
      </w:r>
      <w:r w:rsidR="00605069">
        <w:rPr>
          <w:rFonts w:cs="Calibri"/>
          <w:bCs/>
          <w:lang w:val="en-US"/>
        </w:rPr>
        <w:t>, the determination of the amount of non-discr</w:t>
      </w:r>
      <w:r w:rsidR="00205480">
        <w:rPr>
          <w:rFonts w:cs="Calibri"/>
          <w:bCs/>
          <w:lang w:val="en-US"/>
        </w:rPr>
        <w:t xml:space="preserve">etionary accruals is determined by using the following formula: </w:t>
      </w:r>
    </w:p>
    <w:p w:rsidR="00062350" w:rsidRPr="00F67CC4" w:rsidRDefault="00062350" w:rsidP="00062350">
      <w:pPr>
        <w:spacing w:line="360" w:lineRule="auto"/>
        <w:rPr>
          <w:rFonts w:cs="Calibri"/>
          <w:b/>
          <w:lang w:val="en-US"/>
        </w:rPr>
      </w:pPr>
      <w:r w:rsidRPr="00F67CC4">
        <w:rPr>
          <w:rFonts w:cs="Calibri"/>
          <w:b/>
          <w:sz w:val="28"/>
          <w:szCs w:val="28"/>
          <w:lang w:val="en-US"/>
        </w:rPr>
        <w:t>NDA</w:t>
      </w:r>
      <w:r w:rsidR="001F4EDB" w:rsidRPr="00F67CC4">
        <w:rPr>
          <w:rFonts w:cs="Calibri"/>
          <w:b/>
          <w:lang w:val="en-US"/>
        </w:rPr>
        <w:t>i,</w:t>
      </w:r>
      <w:r w:rsidRPr="00F67CC4">
        <w:rPr>
          <w:rFonts w:cs="Calibri"/>
          <w:b/>
          <w:lang w:val="en-US"/>
        </w:rPr>
        <w:t>t</w:t>
      </w:r>
      <w:r w:rsidRPr="00F67CC4">
        <w:rPr>
          <w:rFonts w:cs="Calibri"/>
          <w:b/>
          <w:sz w:val="28"/>
          <w:szCs w:val="28"/>
          <w:lang w:val="en-US"/>
        </w:rPr>
        <w:t xml:space="preserve"> = </w:t>
      </w:r>
      <w:r w:rsidRPr="00F67CC4">
        <w:rPr>
          <w:rFonts w:cs="Calibri"/>
          <w:b/>
          <w:sz w:val="28"/>
          <w:szCs w:val="28"/>
          <w:lang w:val="fr-FR"/>
        </w:rPr>
        <w:t>α</w:t>
      </w:r>
      <w:r w:rsidRPr="00F67CC4">
        <w:rPr>
          <w:rFonts w:cs="Calibri"/>
          <w:b/>
          <w:sz w:val="28"/>
          <w:szCs w:val="28"/>
          <w:lang w:val="en-US"/>
        </w:rPr>
        <w:t>1 (1/A</w:t>
      </w:r>
      <w:r w:rsidR="001F4EDB" w:rsidRPr="00F67CC4">
        <w:rPr>
          <w:rFonts w:cs="Calibri"/>
          <w:b/>
          <w:lang w:val="en-US"/>
        </w:rPr>
        <w:t>i,</w:t>
      </w:r>
      <w:r w:rsidRPr="00F67CC4">
        <w:rPr>
          <w:rFonts w:cs="Calibri"/>
          <w:b/>
          <w:lang w:val="en-US"/>
        </w:rPr>
        <w:t>t-1</w:t>
      </w:r>
      <w:r w:rsidRPr="00F67CC4">
        <w:rPr>
          <w:rFonts w:cs="Calibri"/>
          <w:b/>
          <w:sz w:val="28"/>
          <w:szCs w:val="28"/>
          <w:lang w:val="en-US"/>
        </w:rPr>
        <w:t xml:space="preserve">) + </w:t>
      </w:r>
      <w:r w:rsidRPr="00F67CC4">
        <w:rPr>
          <w:rFonts w:cs="Calibri"/>
          <w:b/>
          <w:sz w:val="28"/>
          <w:szCs w:val="28"/>
          <w:lang w:val="fr-FR"/>
        </w:rPr>
        <w:t>α</w:t>
      </w:r>
      <w:r w:rsidRPr="00F67CC4">
        <w:rPr>
          <w:rFonts w:cs="Calibri"/>
          <w:b/>
          <w:sz w:val="28"/>
          <w:szCs w:val="28"/>
          <w:lang w:val="en-US"/>
        </w:rPr>
        <w:t>2 (ΔREV</w:t>
      </w:r>
      <w:r w:rsidR="001F4EDB" w:rsidRPr="00F67CC4">
        <w:rPr>
          <w:rFonts w:cs="Calibri"/>
          <w:b/>
          <w:lang w:val="en-US"/>
        </w:rPr>
        <w:t>i,</w:t>
      </w:r>
      <w:r w:rsidRPr="00F67CC4">
        <w:rPr>
          <w:rFonts w:cs="Calibri"/>
          <w:b/>
          <w:lang w:val="en-US"/>
        </w:rPr>
        <w:t>t</w:t>
      </w:r>
      <w:r w:rsidRPr="00F67CC4">
        <w:rPr>
          <w:rFonts w:cs="Calibri"/>
          <w:b/>
          <w:sz w:val="28"/>
          <w:szCs w:val="28"/>
          <w:lang w:val="en-US"/>
        </w:rPr>
        <w:t xml:space="preserve"> – ΔREC</w:t>
      </w:r>
      <w:r w:rsidR="001F4EDB" w:rsidRPr="00F67CC4">
        <w:rPr>
          <w:rFonts w:cs="Calibri"/>
          <w:b/>
          <w:lang w:val="en-US"/>
        </w:rPr>
        <w:t>i,</w:t>
      </w:r>
      <w:r w:rsidRPr="00F67CC4">
        <w:rPr>
          <w:rFonts w:cs="Calibri"/>
          <w:b/>
          <w:lang w:val="en-US"/>
        </w:rPr>
        <w:t>t</w:t>
      </w:r>
      <w:r w:rsidR="004B30EC" w:rsidRPr="00F67CC4">
        <w:rPr>
          <w:rFonts w:cs="Calibri"/>
          <w:b/>
          <w:sz w:val="28"/>
          <w:szCs w:val="28"/>
          <w:lang w:val="en-US"/>
        </w:rPr>
        <w:t>/A</w:t>
      </w:r>
      <w:r w:rsidR="004B30EC" w:rsidRPr="00F67CC4">
        <w:rPr>
          <w:rFonts w:cs="Calibri"/>
          <w:b/>
          <w:lang w:val="en-US"/>
        </w:rPr>
        <w:t>i,t-1</w:t>
      </w:r>
      <w:r w:rsidRPr="00F67CC4">
        <w:rPr>
          <w:rFonts w:cs="Calibri"/>
          <w:b/>
          <w:sz w:val="28"/>
          <w:szCs w:val="28"/>
          <w:lang w:val="en-US"/>
        </w:rPr>
        <w:t xml:space="preserve">) + </w:t>
      </w:r>
      <w:r w:rsidRPr="00F67CC4">
        <w:rPr>
          <w:rFonts w:cs="Calibri"/>
          <w:b/>
          <w:sz w:val="28"/>
          <w:szCs w:val="28"/>
          <w:lang w:val="fr-FR"/>
        </w:rPr>
        <w:t>α</w:t>
      </w:r>
      <w:r w:rsidRPr="00F67CC4">
        <w:rPr>
          <w:rFonts w:cs="Calibri"/>
          <w:b/>
          <w:sz w:val="28"/>
          <w:szCs w:val="28"/>
          <w:lang w:val="en-US"/>
        </w:rPr>
        <w:t>3 (PPE</w:t>
      </w:r>
      <w:r w:rsidR="001F4EDB" w:rsidRPr="00F67CC4">
        <w:rPr>
          <w:rFonts w:cs="Calibri"/>
          <w:b/>
          <w:lang w:val="en-US"/>
        </w:rPr>
        <w:t>i,</w:t>
      </w:r>
      <w:r w:rsidRPr="00F67CC4">
        <w:rPr>
          <w:rFonts w:cs="Calibri"/>
          <w:b/>
          <w:lang w:val="en-US"/>
        </w:rPr>
        <w:t>t</w:t>
      </w:r>
      <w:r w:rsidRPr="00F67CC4">
        <w:rPr>
          <w:rFonts w:cs="Calibri"/>
          <w:b/>
          <w:sz w:val="28"/>
          <w:szCs w:val="28"/>
          <w:lang w:val="en-US"/>
        </w:rPr>
        <w:t>)</w:t>
      </w:r>
    </w:p>
    <w:p w:rsidR="001F4EDB" w:rsidRPr="00F67CC4" w:rsidRDefault="001F4EDB" w:rsidP="00062350">
      <w:pPr>
        <w:spacing w:line="240" w:lineRule="auto"/>
        <w:rPr>
          <w:rFonts w:cs="Calibri"/>
          <w:b/>
          <w:bCs/>
          <w:lang w:val="en-US"/>
        </w:rPr>
      </w:pPr>
      <w:r w:rsidRPr="00F67CC4">
        <w:rPr>
          <w:rFonts w:cs="Calibri"/>
          <w:b/>
          <w:bCs/>
          <w:lang w:val="en-US"/>
        </w:rPr>
        <w:t>NDA = Non-discretionary accruals</w:t>
      </w:r>
    </w:p>
    <w:p w:rsidR="00062350" w:rsidRPr="00F67CC4" w:rsidRDefault="00062350" w:rsidP="00062350">
      <w:pPr>
        <w:spacing w:line="240" w:lineRule="auto"/>
        <w:rPr>
          <w:rFonts w:cs="Calibri"/>
          <w:b/>
          <w:bCs/>
          <w:lang w:val="en-US"/>
        </w:rPr>
      </w:pPr>
      <w:r w:rsidRPr="00F67CC4">
        <w:rPr>
          <w:rFonts w:cs="Calibri"/>
          <w:b/>
          <w:bCs/>
          <w:lang w:val="en-US"/>
        </w:rPr>
        <w:t>A</w:t>
      </w:r>
      <w:r w:rsidRPr="00F67CC4">
        <w:rPr>
          <w:rFonts w:cs="Calibri"/>
          <w:b/>
          <w:bCs/>
          <w:sz w:val="20"/>
          <w:szCs w:val="20"/>
          <w:lang w:val="en-US"/>
        </w:rPr>
        <w:t xml:space="preserve"> </w:t>
      </w:r>
      <w:r w:rsidRPr="00F67CC4">
        <w:rPr>
          <w:rFonts w:cs="Calibri"/>
          <w:b/>
          <w:bCs/>
          <w:lang w:val="en-US"/>
        </w:rPr>
        <w:t xml:space="preserve">= total assets </w:t>
      </w:r>
    </w:p>
    <w:p w:rsidR="00062350" w:rsidRPr="00F67CC4" w:rsidRDefault="00062350" w:rsidP="00062350">
      <w:pPr>
        <w:spacing w:line="240" w:lineRule="auto"/>
        <w:rPr>
          <w:rFonts w:cs="Calibri"/>
          <w:b/>
          <w:bCs/>
          <w:lang w:val="en-US"/>
        </w:rPr>
      </w:pPr>
      <w:r w:rsidRPr="00F67CC4">
        <w:rPr>
          <w:rFonts w:cs="Calibri"/>
          <w:b/>
          <w:bCs/>
          <w:lang w:val="en-US"/>
        </w:rPr>
        <w:t xml:space="preserve">ΔREV = </w:t>
      </w:r>
      <w:r w:rsidR="00C82154" w:rsidRPr="00F67CC4">
        <w:rPr>
          <w:rFonts w:cs="Calibri"/>
          <w:b/>
          <w:bCs/>
          <w:lang w:val="en-US"/>
        </w:rPr>
        <w:t xml:space="preserve">change in </w:t>
      </w:r>
      <w:r w:rsidRPr="00F67CC4">
        <w:rPr>
          <w:rFonts w:cs="Calibri"/>
          <w:b/>
          <w:bCs/>
          <w:lang w:val="en-US"/>
        </w:rPr>
        <w:t>revenue</w:t>
      </w:r>
      <w:r w:rsidR="00C82154" w:rsidRPr="00F67CC4">
        <w:rPr>
          <w:rFonts w:cs="Calibri"/>
          <w:b/>
          <w:bCs/>
          <w:lang w:val="en-US"/>
        </w:rPr>
        <w:t>s</w:t>
      </w:r>
    </w:p>
    <w:p w:rsidR="00062350" w:rsidRPr="00F67CC4" w:rsidRDefault="00062350" w:rsidP="00062350">
      <w:pPr>
        <w:spacing w:line="240" w:lineRule="auto"/>
        <w:rPr>
          <w:rFonts w:cs="Calibri"/>
          <w:b/>
          <w:lang w:val="en-US"/>
        </w:rPr>
      </w:pPr>
      <w:r w:rsidRPr="00F67CC4">
        <w:rPr>
          <w:rFonts w:cs="Calibri"/>
          <w:b/>
          <w:lang w:val="en-US"/>
        </w:rPr>
        <w:t>ΔREC</w:t>
      </w:r>
      <w:r w:rsidRPr="00F67CC4">
        <w:rPr>
          <w:rFonts w:cs="Calibri"/>
          <w:b/>
          <w:sz w:val="20"/>
          <w:szCs w:val="20"/>
          <w:lang w:val="en-US"/>
        </w:rPr>
        <w:t xml:space="preserve"> </w:t>
      </w:r>
      <w:r w:rsidRPr="00F67CC4">
        <w:rPr>
          <w:rFonts w:cs="Calibri"/>
          <w:b/>
          <w:lang w:val="en-US"/>
        </w:rPr>
        <w:t xml:space="preserve">= </w:t>
      </w:r>
      <w:r w:rsidR="00C82154" w:rsidRPr="00F67CC4">
        <w:rPr>
          <w:rFonts w:cs="Calibri"/>
          <w:b/>
          <w:lang w:val="en-US"/>
        </w:rPr>
        <w:t xml:space="preserve">change in </w:t>
      </w:r>
      <w:r w:rsidRPr="00F67CC4">
        <w:rPr>
          <w:rFonts w:cs="Calibri"/>
          <w:b/>
          <w:lang w:val="en-US"/>
        </w:rPr>
        <w:t xml:space="preserve">net receivables </w:t>
      </w:r>
    </w:p>
    <w:p w:rsidR="00062350" w:rsidRDefault="00062350" w:rsidP="00062350">
      <w:pPr>
        <w:spacing w:line="240" w:lineRule="auto"/>
        <w:rPr>
          <w:rFonts w:cs="Calibri"/>
          <w:b/>
          <w:bCs/>
          <w:lang w:val="en-US"/>
        </w:rPr>
      </w:pPr>
      <w:r w:rsidRPr="00F67CC4">
        <w:rPr>
          <w:rFonts w:cs="Calibri"/>
          <w:b/>
          <w:bCs/>
          <w:lang w:val="en-US"/>
        </w:rPr>
        <w:t xml:space="preserve">PPE = gross property plant and equipment </w:t>
      </w:r>
    </w:p>
    <w:p w:rsidR="00205480" w:rsidRPr="00205480" w:rsidRDefault="00205480" w:rsidP="00062350">
      <w:pPr>
        <w:spacing w:line="240" w:lineRule="auto"/>
        <w:rPr>
          <w:rFonts w:cs="Calibri"/>
          <w:b/>
          <w:bCs/>
          <w:lang w:val="en-US"/>
        </w:rPr>
      </w:pPr>
      <w:r w:rsidRPr="00205480">
        <w:rPr>
          <w:rFonts w:cs="Calibri"/>
          <w:b/>
          <w:lang w:val="fr-FR"/>
        </w:rPr>
        <w:t>α</w:t>
      </w:r>
      <w:r>
        <w:rPr>
          <w:rFonts w:cs="Calibri"/>
          <w:b/>
          <w:lang w:val="fr-FR"/>
        </w:rPr>
        <w:t xml:space="preserve">1, </w:t>
      </w:r>
      <w:r w:rsidRPr="00205480">
        <w:rPr>
          <w:rFonts w:cs="Calibri"/>
          <w:b/>
          <w:lang w:val="fr-FR"/>
        </w:rPr>
        <w:t>α</w:t>
      </w:r>
      <w:r>
        <w:rPr>
          <w:rFonts w:cs="Calibri"/>
          <w:b/>
          <w:lang w:val="fr-FR"/>
        </w:rPr>
        <w:t xml:space="preserve">2, </w:t>
      </w:r>
      <w:r w:rsidRPr="00205480">
        <w:rPr>
          <w:rFonts w:cs="Calibri"/>
          <w:b/>
          <w:lang w:val="fr-FR"/>
        </w:rPr>
        <w:t>α</w:t>
      </w:r>
      <w:r>
        <w:rPr>
          <w:rFonts w:cs="Calibri"/>
          <w:b/>
          <w:lang w:val="fr-FR"/>
        </w:rPr>
        <w:t xml:space="preserve">3 = </w:t>
      </w:r>
      <w:r w:rsidRPr="00205480">
        <w:rPr>
          <w:rFonts w:cs="Calibri"/>
          <w:b/>
          <w:lang w:val="en-GB"/>
        </w:rPr>
        <w:t>regression</w:t>
      </w:r>
      <w:r>
        <w:rPr>
          <w:rFonts w:cs="Calibri"/>
          <w:b/>
          <w:lang w:val="fr-FR"/>
        </w:rPr>
        <w:t xml:space="preserve"> coefficients</w:t>
      </w:r>
    </w:p>
    <w:p w:rsidR="00C82154" w:rsidRPr="00F67CC4" w:rsidRDefault="00C82154" w:rsidP="00062350">
      <w:pPr>
        <w:spacing w:line="240" w:lineRule="auto"/>
        <w:rPr>
          <w:rFonts w:cs="Calibri"/>
          <w:b/>
          <w:bCs/>
          <w:lang w:val="en-US"/>
        </w:rPr>
      </w:pPr>
      <w:r w:rsidRPr="00F67CC4">
        <w:rPr>
          <w:rFonts w:cs="Calibri"/>
          <w:b/>
          <w:bCs/>
          <w:lang w:val="en-US"/>
        </w:rPr>
        <w:t xml:space="preserve">t = </w:t>
      </w:r>
      <w:r w:rsidR="00440B46" w:rsidRPr="00F67CC4">
        <w:rPr>
          <w:rFonts w:cs="Calibri"/>
          <w:b/>
          <w:bCs/>
          <w:lang w:val="en-US"/>
        </w:rPr>
        <w:t>year index, range 2002 - 2007</w:t>
      </w:r>
    </w:p>
    <w:p w:rsidR="00C82154" w:rsidRPr="00F67CC4" w:rsidRDefault="00C82154" w:rsidP="00062350">
      <w:pPr>
        <w:spacing w:line="240" w:lineRule="auto"/>
        <w:rPr>
          <w:rFonts w:cs="Calibri"/>
          <w:b/>
          <w:bCs/>
          <w:lang w:val="en-US"/>
        </w:rPr>
      </w:pPr>
      <w:r w:rsidRPr="00F67CC4">
        <w:rPr>
          <w:rFonts w:cs="Calibri"/>
          <w:b/>
          <w:bCs/>
          <w:lang w:val="en-US"/>
        </w:rPr>
        <w:t xml:space="preserve">i = </w:t>
      </w:r>
      <w:r w:rsidR="00FC2A5C" w:rsidRPr="00F67CC4">
        <w:rPr>
          <w:rFonts w:cs="Calibri"/>
          <w:b/>
          <w:bCs/>
          <w:lang w:val="en-US"/>
        </w:rPr>
        <w:t xml:space="preserve">firm index, range 1 - </w:t>
      </w:r>
      <w:r w:rsidR="008853C3" w:rsidRPr="00F67CC4">
        <w:rPr>
          <w:rFonts w:cs="Calibri"/>
          <w:b/>
          <w:bCs/>
          <w:lang w:val="en-US"/>
        </w:rPr>
        <w:t>95</w:t>
      </w:r>
    </w:p>
    <w:p w:rsidR="00605069" w:rsidRPr="00F67CC4" w:rsidRDefault="00D34ED7" w:rsidP="00F5124E">
      <w:pPr>
        <w:spacing w:line="360" w:lineRule="auto"/>
        <w:rPr>
          <w:rFonts w:cs="Calibri"/>
          <w:bCs/>
          <w:lang w:val="en-GB"/>
        </w:rPr>
      </w:pPr>
      <w:r w:rsidRPr="00F67CC4">
        <w:rPr>
          <w:rFonts w:cs="Calibri"/>
          <w:bCs/>
          <w:lang w:val="en-GB"/>
        </w:rPr>
        <w:t xml:space="preserve">The change in revenues is determined by using the </w:t>
      </w:r>
      <w:r w:rsidR="009A7503">
        <w:rPr>
          <w:rFonts w:cs="Calibri"/>
          <w:bCs/>
          <w:lang w:val="en-GB"/>
        </w:rPr>
        <w:t>change in the amount of</w:t>
      </w:r>
      <w:r w:rsidRPr="00F67CC4">
        <w:rPr>
          <w:rFonts w:cs="Calibri"/>
          <w:bCs/>
          <w:lang w:val="en-GB"/>
        </w:rPr>
        <w:t xml:space="preserve"> Sales. </w:t>
      </w:r>
      <w:r w:rsidR="00605069" w:rsidRPr="00F67CC4">
        <w:rPr>
          <w:rFonts w:cs="Calibri"/>
          <w:bCs/>
          <w:lang w:val="en-GB"/>
        </w:rPr>
        <w:t xml:space="preserve">When the non-discretionary </w:t>
      </w:r>
      <w:r w:rsidR="00A04299">
        <w:rPr>
          <w:rFonts w:cs="Calibri"/>
          <w:bCs/>
          <w:lang w:val="en-GB"/>
        </w:rPr>
        <w:t xml:space="preserve">part of the </w:t>
      </w:r>
      <w:r w:rsidR="00605069" w:rsidRPr="00F67CC4">
        <w:rPr>
          <w:rFonts w:cs="Calibri"/>
          <w:bCs/>
          <w:lang w:val="en-GB"/>
        </w:rPr>
        <w:t xml:space="preserve">accruals </w:t>
      </w:r>
      <w:r w:rsidR="00A04299">
        <w:rPr>
          <w:rFonts w:cs="Calibri"/>
          <w:bCs/>
          <w:lang w:val="en-GB"/>
        </w:rPr>
        <w:t>is</w:t>
      </w:r>
      <w:r w:rsidR="00605069" w:rsidRPr="00F67CC4">
        <w:rPr>
          <w:rFonts w:cs="Calibri"/>
          <w:bCs/>
          <w:lang w:val="en-GB"/>
        </w:rPr>
        <w:t xml:space="preserve"> </w:t>
      </w:r>
      <w:r w:rsidR="009A7503">
        <w:rPr>
          <w:rFonts w:cs="Calibri"/>
          <w:bCs/>
          <w:lang w:val="en-GB"/>
        </w:rPr>
        <w:t>determined, the final step is the determination of</w:t>
      </w:r>
      <w:r w:rsidR="00605069" w:rsidRPr="00F67CC4">
        <w:rPr>
          <w:rFonts w:cs="Calibri"/>
          <w:bCs/>
          <w:lang w:val="en-GB"/>
        </w:rPr>
        <w:t xml:space="preserve"> the discretionary</w:t>
      </w:r>
      <w:r w:rsidR="00A04299">
        <w:rPr>
          <w:rFonts w:cs="Calibri"/>
          <w:bCs/>
          <w:lang w:val="en-GB"/>
        </w:rPr>
        <w:t xml:space="preserve"> part of the </w:t>
      </w:r>
      <w:r w:rsidR="00605069" w:rsidRPr="00F67CC4">
        <w:rPr>
          <w:rFonts w:cs="Calibri"/>
          <w:bCs/>
          <w:lang w:val="en-GB"/>
        </w:rPr>
        <w:t>accruals</w:t>
      </w:r>
      <w:r w:rsidR="0014232A">
        <w:rPr>
          <w:rFonts w:cs="Calibri"/>
          <w:bCs/>
          <w:lang w:val="en-GB"/>
        </w:rPr>
        <w:t>.</w:t>
      </w:r>
      <w:r w:rsidR="00605069" w:rsidRPr="00F67CC4">
        <w:rPr>
          <w:rFonts w:cs="Calibri"/>
          <w:bCs/>
          <w:lang w:val="en-GB"/>
        </w:rPr>
        <w:t xml:space="preserve"> </w:t>
      </w:r>
    </w:p>
    <w:p w:rsidR="00605069" w:rsidRPr="00F67CC4" w:rsidRDefault="00605069" w:rsidP="00F5124E">
      <w:pPr>
        <w:spacing w:line="360" w:lineRule="auto"/>
        <w:rPr>
          <w:rFonts w:cs="Calibri"/>
          <w:b/>
          <w:bCs/>
          <w:lang w:val="en-GB"/>
        </w:rPr>
      </w:pPr>
      <w:r w:rsidRPr="00F67CC4">
        <w:rPr>
          <w:rFonts w:cs="Calibri"/>
          <w:b/>
          <w:bCs/>
          <w:sz w:val="28"/>
          <w:szCs w:val="28"/>
          <w:lang w:val="en-GB"/>
        </w:rPr>
        <w:t>DA</w:t>
      </w:r>
      <w:r w:rsidRPr="00F67CC4">
        <w:rPr>
          <w:rFonts w:cs="Calibri"/>
          <w:b/>
          <w:bCs/>
          <w:lang w:val="en-GB"/>
        </w:rPr>
        <w:t>i,t</w:t>
      </w:r>
      <w:r w:rsidRPr="00F67CC4">
        <w:rPr>
          <w:rFonts w:cs="Calibri"/>
          <w:b/>
          <w:bCs/>
          <w:sz w:val="28"/>
          <w:szCs w:val="28"/>
          <w:lang w:val="en-GB"/>
        </w:rPr>
        <w:t xml:space="preserve"> = TA</w:t>
      </w:r>
      <w:r w:rsidRPr="00F67CC4">
        <w:rPr>
          <w:rFonts w:cs="Calibri"/>
          <w:b/>
          <w:bCs/>
          <w:lang w:val="en-GB"/>
        </w:rPr>
        <w:t>i,t</w:t>
      </w:r>
      <w:r w:rsidRPr="00F67CC4">
        <w:rPr>
          <w:rFonts w:cs="Calibri"/>
          <w:b/>
          <w:bCs/>
          <w:sz w:val="28"/>
          <w:szCs w:val="28"/>
          <w:lang w:val="en-GB"/>
        </w:rPr>
        <w:t xml:space="preserve"> – NDA</w:t>
      </w:r>
      <w:r w:rsidRPr="00F67CC4">
        <w:rPr>
          <w:rFonts w:cs="Calibri"/>
          <w:b/>
          <w:bCs/>
          <w:lang w:val="en-GB"/>
        </w:rPr>
        <w:t>i,t</w:t>
      </w:r>
    </w:p>
    <w:p w:rsidR="00605069" w:rsidRPr="00F67CC4" w:rsidRDefault="00605069" w:rsidP="00F5124E">
      <w:pPr>
        <w:spacing w:line="360" w:lineRule="auto"/>
        <w:rPr>
          <w:rFonts w:cs="Calibri"/>
          <w:b/>
          <w:bCs/>
          <w:lang w:val="en-GB"/>
        </w:rPr>
      </w:pPr>
      <w:r w:rsidRPr="00F67CC4">
        <w:rPr>
          <w:rFonts w:cs="Calibri"/>
          <w:b/>
          <w:bCs/>
          <w:lang w:val="en-GB"/>
        </w:rPr>
        <w:t>DA = Discretionary Accruals</w:t>
      </w:r>
      <w:r w:rsidRPr="00F67CC4">
        <w:rPr>
          <w:rFonts w:cs="Calibri"/>
          <w:b/>
          <w:bCs/>
          <w:lang w:val="en-GB"/>
        </w:rPr>
        <w:br/>
        <w:t>TA = Total Accruals</w:t>
      </w:r>
      <w:r w:rsidRPr="00F67CC4">
        <w:rPr>
          <w:rFonts w:cs="Calibri"/>
          <w:b/>
          <w:bCs/>
          <w:lang w:val="en-GB"/>
        </w:rPr>
        <w:br/>
        <w:t>NDA = Non-Discretionary Accruals</w:t>
      </w:r>
      <w:r w:rsidRPr="00F67CC4">
        <w:rPr>
          <w:rFonts w:cs="Calibri"/>
          <w:b/>
          <w:bCs/>
          <w:lang w:val="en-GB"/>
        </w:rPr>
        <w:br/>
        <w:t>t = year index, range 2002 – 2</w:t>
      </w:r>
      <w:r w:rsidR="00FC2A5C" w:rsidRPr="00F67CC4">
        <w:rPr>
          <w:rFonts w:cs="Calibri"/>
          <w:b/>
          <w:bCs/>
          <w:lang w:val="en-GB"/>
        </w:rPr>
        <w:t>007</w:t>
      </w:r>
      <w:r w:rsidR="00FC2A5C" w:rsidRPr="00F67CC4">
        <w:rPr>
          <w:rFonts w:cs="Calibri"/>
          <w:b/>
          <w:bCs/>
          <w:lang w:val="en-GB"/>
        </w:rPr>
        <w:br/>
        <w:t xml:space="preserve">i = firm index, range 1 – </w:t>
      </w:r>
      <w:r w:rsidR="008853C3" w:rsidRPr="00F67CC4">
        <w:rPr>
          <w:rFonts w:cs="Calibri"/>
          <w:b/>
          <w:bCs/>
          <w:lang w:val="en-GB"/>
        </w:rPr>
        <w:t>95</w:t>
      </w:r>
    </w:p>
    <w:p w:rsidR="003266F3" w:rsidRPr="003266F3" w:rsidRDefault="00605069" w:rsidP="003266F3">
      <w:pPr>
        <w:spacing w:before="240" w:line="360" w:lineRule="auto"/>
        <w:rPr>
          <w:rFonts w:cs="Calibri"/>
          <w:bCs/>
          <w:lang w:val="en-GB"/>
        </w:rPr>
      </w:pPr>
      <w:r w:rsidRPr="00F67CC4">
        <w:rPr>
          <w:rFonts w:cs="Calibri"/>
          <w:bCs/>
          <w:lang w:val="en-GB"/>
        </w:rPr>
        <w:t>When the amount of discre</w:t>
      </w:r>
      <w:r w:rsidR="00616CEA">
        <w:rPr>
          <w:rFonts w:cs="Calibri"/>
          <w:bCs/>
          <w:lang w:val="en-GB"/>
        </w:rPr>
        <w:t xml:space="preserve">tionary accruals is determined for each year, this </w:t>
      </w:r>
      <w:r w:rsidR="009A7503">
        <w:rPr>
          <w:rFonts w:cs="Calibri"/>
          <w:bCs/>
          <w:lang w:val="en-GB"/>
        </w:rPr>
        <w:t xml:space="preserve">amount </w:t>
      </w:r>
      <w:r w:rsidR="00616CEA">
        <w:rPr>
          <w:rFonts w:cs="Calibri"/>
          <w:bCs/>
          <w:lang w:val="en-GB"/>
        </w:rPr>
        <w:t>can be used as dependent variable in a multiple regression to determine whether accounting standards</w:t>
      </w:r>
      <w:r w:rsidR="00616CEA" w:rsidRPr="003266F3">
        <w:rPr>
          <w:rFonts w:cs="Calibri"/>
          <w:bCs/>
          <w:lang w:val="en-GB"/>
        </w:rPr>
        <w:t>, country and size</w:t>
      </w:r>
      <w:r w:rsidR="00616CEA">
        <w:rPr>
          <w:rFonts w:cs="Calibri"/>
          <w:bCs/>
          <w:lang w:val="en-GB"/>
        </w:rPr>
        <w:t xml:space="preserve"> has influence of the amount of accruals-based earnings management.</w:t>
      </w:r>
      <w:r w:rsidR="003266F3">
        <w:rPr>
          <w:rFonts w:cs="Calibri"/>
          <w:bCs/>
          <w:lang w:val="en-GB"/>
        </w:rPr>
        <w:t xml:space="preserve"> With a fundament of earlier conducted related </w:t>
      </w:r>
      <w:r w:rsidR="003266F3" w:rsidRPr="0049249A">
        <w:rPr>
          <w:rFonts w:cs="Calibri"/>
          <w:bCs/>
          <w:lang w:val="en-GB"/>
        </w:rPr>
        <w:t>researches (</w:t>
      </w:r>
      <w:r w:rsidR="0049249A" w:rsidRPr="0049249A">
        <w:rPr>
          <w:rFonts w:cs="Calibri"/>
          <w:bCs/>
          <w:lang w:val="en-GB"/>
        </w:rPr>
        <w:t xml:space="preserve">Kothari et al. 2005; Tendeloo and Vanstraelen 2005; Heemskerk and van der Tas 2006; </w:t>
      </w:r>
      <w:r w:rsidR="00677AD0" w:rsidRPr="0049249A">
        <w:rPr>
          <w:rFonts w:cs="Calibri"/>
          <w:bCs/>
          <w:lang w:val="en-GB"/>
        </w:rPr>
        <w:t>Lippens 2010</w:t>
      </w:r>
      <w:r w:rsidR="003266F3" w:rsidRPr="0049249A">
        <w:rPr>
          <w:rFonts w:cs="Calibri"/>
          <w:bCs/>
          <w:lang w:val="en-GB"/>
        </w:rPr>
        <w:t>),</w:t>
      </w:r>
      <w:r w:rsidR="003266F3">
        <w:rPr>
          <w:rFonts w:cs="Calibri"/>
          <w:bCs/>
          <w:lang w:val="en-GB"/>
        </w:rPr>
        <w:t xml:space="preserve"> the variables country and size are added to the </w:t>
      </w:r>
      <w:r w:rsidR="003266F3">
        <w:rPr>
          <w:rFonts w:cs="Calibri"/>
          <w:bCs/>
          <w:lang w:val="en-GB"/>
        </w:rPr>
        <w:lastRenderedPageBreak/>
        <w:t>multiple regression to check their influence on the use of earnings management.</w:t>
      </w:r>
      <w:r w:rsidR="009A7503">
        <w:rPr>
          <w:rFonts w:cs="Calibri"/>
          <w:bCs/>
          <w:lang w:val="en-GB"/>
        </w:rPr>
        <w:t xml:space="preserve"> The r</w:t>
      </w:r>
      <w:r w:rsidR="002C64B0">
        <w:rPr>
          <w:rFonts w:cs="Calibri"/>
          <w:bCs/>
          <w:lang w:val="en-GB"/>
        </w:rPr>
        <w:t xml:space="preserve">esults of </w:t>
      </w:r>
      <w:r w:rsidR="009A7503">
        <w:rPr>
          <w:rFonts w:cs="Calibri"/>
          <w:bCs/>
          <w:lang w:val="en-GB"/>
        </w:rPr>
        <w:t>the</w:t>
      </w:r>
      <w:r w:rsidR="002C64B0">
        <w:rPr>
          <w:rFonts w:cs="Calibri"/>
          <w:bCs/>
          <w:lang w:val="en-GB"/>
        </w:rPr>
        <w:t xml:space="preserve"> multiple regression</w:t>
      </w:r>
      <w:r w:rsidR="009A7503">
        <w:rPr>
          <w:rFonts w:cs="Calibri"/>
          <w:bCs/>
          <w:lang w:val="en-GB"/>
        </w:rPr>
        <w:t>s</w:t>
      </w:r>
      <w:r w:rsidR="002C64B0">
        <w:rPr>
          <w:rFonts w:cs="Calibri"/>
          <w:bCs/>
          <w:lang w:val="en-GB"/>
        </w:rPr>
        <w:t xml:space="preserve"> can be found in section 7.3. </w:t>
      </w:r>
    </w:p>
    <w:p w:rsidR="004112B9" w:rsidRPr="0014232A" w:rsidRDefault="00691EE5" w:rsidP="00F5124E">
      <w:pPr>
        <w:spacing w:line="360" w:lineRule="auto"/>
        <w:rPr>
          <w:rFonts w:cs="Calibri"/>
          <w:b/>
          <w:bCs/>
          <w:lang w:val="en-GB"/>
        </w:rPr>
      </w:pPr>
      <w:r w:rsidRPr="00F67CC4">
        <w:rPr>
          <w:rFonts w:cs="Calibri"/>
          <w:b/>
          <w:bCs/>
          <w:lang w:val="en-GB"/>
        </w:rPr>
        <w:t>6.2.2 Roychowdhury (2006)</w:t>
      </w:r>
      <w:r w:rsidR="0014232A">
        <w:rPr>
          <w:rFonts w:cs="Calibri"/>
          <w:b/>
          <w:bCs/>
          <w:lang w:val="en-GB"/>
        </w:rPr>
        <w:br/>
      </w:r>
      <w:r w:rsidR="00950C7C" w:rsidRPr="00F67CC4">
        <w:rPr>
          <w:rFonts w:cs="Calibri"/>
          <w:lang w:val="en-GB"/>
        </w:rPr>
        <w:t xml:space="preserve">In order to determine the level of real earnings management, the model of Roychowdhury (2006) will be used. </w:t>
      </w:r>
      <w:r w:rsidR="005C7BDF">
        <w:rPr>
          <w:rFonts w:cs="Calibri"/>
          <w:lang w:val="en-GB"/>
        </w:rPr>
        <w:t xml:space="preserve">For this research, the variables cash flow from </w:t>
      </w:r>
      <w:r w:rsidR="005C7BDF" w:rsidRPr="005C7BDF">
        <w:rPr>
          <w:rFonts w:cs="Calibri"/>
          <w:lang w:val="en-GB"/>
        </w:rPr>
        <w:t>operations (CFO), costs of goods sold (COGS), change in inventory (</w:t>
      </w:r>
      <w:r w:rsidR="009A7503">
        <w:rPr>
          <w:rFonts w:cs="Calibri"/>
          <w:lang w:val="en-GB"/>
        </w:rPr>
        <w:t>ΔINV) and production costs (PROD</w:t>
      </w:r>
      <w:r w:rsidR="005C7BDF" w:rsidRPr="005C7BDF">
        <w:rPr>
          <w:rFonts w:cs="Calibri"/>
          <w:lang w:val="en-GB"/>
        </w:rPr>
        <w:t>)</w:t>
      </w:r>
      <w:r w:rsidR="005C7BDF">
        <w:rPr>
          <w:rFonts w:cs="Calibri"/>
          <w:lang w:val="en-GB"/>
        </w:rPr>
        <w:t xml:space="preserve"> are used. </w:t>
      </w:r>
      <w:r w:rsidR="00A04299">
        <w:rPr>
          <w:rFonts w:cs="Calibri"/>
          <w:lang w:val="en-GB"/>
        </w:rPr>
        <w:t>The</w:t>
      </w:r>
      <w:r w:rsidR="00950C7C" w:rsidRPr="00F67CC4">
        <w:rPr>
          <w:rFonts w:cs="Calibri"/>
          <w:lang w:val="en-GB"/>
        </w:rPr>
        <w:t xml:space="preserve"> normal level </w:t>
      </w:r>
      <w:r w:rsidR="005C7BDF">
        <w:rPr>
          <w:rFonts w:cs="Calibri"/>
          <w:lang w:val="en-GB"/>
        </w:rPr>
        <w:t xml:space="preserve">of these variables </w:t>
      </w:r>
      <w:r w:rsidR="00950C7C" w:rsidRPr="00F67CC4">
        <w:rPr>
          <w:rFonts w:cs="Calibri"/>
          <w:lang w:val="en-GB"/>
        </w:rPr>
        <w:t xml:space="preserve">is estimated by </w:t>
      </w:r>
      <w:r w:rsidR="009A7503">
        <w:rPr>
          <w:rFonts w:cs="Calibri"/>
          <w:lang w:val="en-GB"/>
        </w:rPr>
        <w:t xml:space="preserve">the model developed by </w:t>
      </w:r>
      <w:r w:rsidR="00950C7C" w:rsidRPr="00F67CC4">
        <w:rPr>
          <w:rFonts w:cs="Calibri"/>
          <w:lang w:val="en-GB"/>
        </w:rPr>
        <w:t xml:space="preserve">Roychowdhury (2006) </w:t>
      </w:r>
      <w:r w:rsidR="009A7503">
        <w:rPr>
          <w:rFonts w:cs="Calibri"/>
          <w:lang w:val="en-GB"/>
        </w:rPr>
        <w:t>which</w:t>
      </w:r>
      <w:r w:rsidR="00950C7C" w:rsidRPr="00F67CC4">
        <w:rPr>
          <w:rFonts w:cs="Calibri"/>
          <w:lang w:val="en-GB"/>
        </w:rPr>
        <w:t xml:space="preserve"> follow</w:t>
      </w:r>
      <w:r w:rsidR="009A7503">
        <w:rPr>
          <w:rFonts w:cs="Calibri"/>
          <w:lang w:val="en-GB"/>
        </w:rPr>
        <w:t>s</w:t>
      </w:r>
      <w:r w:rsidR="00950C7C" w:rsidRPr="00F67CC4">
        <w:rPr>
          <w:rFonts w:cs="Calibri"/>
          <w:lang w:val="en-GB"/>
        </w:rPr>
        <w:t xml:space="preserve"> </w:t>
      </w:r>
      <w:r w:rsidR="009A7503">
        <w:rPr>
          <w:rFonts w:cs="Calibri"/>
          <w:lang w:val="en-GB"/>
        </w:rPr>
        <w:t xml:space="preserve">the model developed by </w:t>
      </w:r>
      <w:r w:rsidR="00950C7C" w:rsidRPr="00F67CC4">
        <w:rPr>
          <w:rFonts w:cs="Calibri"/>
          <w:lang w:val="en-GB"/>
        </w:rPr>
        <w:t xml:space="preserve">Dechow et al. </w:t>
      </w:r>
      <w:r w:rsidR="00547BE8" w:rsidRPr="00F67CC4">
        <w:rPr>
          <w:rFonts w:cs="Calibri"/>
          <w:lang w:val="en-GB"/>
        </w:rPr>
        <w:t xml:space="preserve">(1998). </w:t>
      </w:r>
    </w:p>
    <w:p w:rsidR="00691EE5" w:rsidRPr="00F67CC4" w:rsidRDefault="00547BE8" w:rsidP="00F5124E">
      <w:pPr>
        <w:spacing w:line="360" w:lineRule="auto"/>
        <w:rPr>
          <w:rFonts w:cs="Calibri"/>
          <w:lang w:val="en-GB"/>
        </w:rPr>
      </w:pPr>
      <w:r w:rsidRPr="00F67CC4">
        <w:rPr>
          <w:rFonts w:cs="Calibri"/>
          <w:lang w:val="en-GB"/>
        </w:rPr>
        <w:t xml:space="preserve">The first equation is </w:t>
      </w:r>
      <w:r w:rsidR="009A7503">
        <w:rPr>
          <w:rFonts w:cs="Calibri"/>
          <w:lang w:val="en-GB"/>
        </w:rPr>
        <w:t>about</w:t>
      </w:r>
      <w:r w:rsidRPr="00F67CC4">
        <w:rPr>
          <w:rFonts w:cs="Calibri"/>
          <w:lang w:val="en-GB"/>
        </w:rPr>
        <w:t xml:space="preserve"> the determin</w:t>
      </w:r>
      <w:r w:rsidR="009A7503">
        <w:rPr>
          <w:rFonts w:cs="Calibri"/>
          <w:lang w:val="en-GB"/>
        </w:rPr>
        <w:t>ation of</w:t>
      </w:r>
      <w:r w:rsidRPr="00F67CC4">
        <w:rPr>
          <w:rFonts w:cs="Calibri"/>
          <w:lang w:val="en-GB"/>
        </w:rPr>
        <w:t xml:space="preserve"> the normal level of </w:t>
      </w:r>
      <w:r w:rsidR="00A04299">
        <w:rPr>
          <w:rFonts w:cs="Calibri"/>
          <w:lang w:val="en-GB"/>
        </w:rPr>
        <w:t>CFO</w:t>
      </w:r>
      <w:r w:rsidRPr="00F67CC4">
        <w:rPr>
          <w:rFonts w:cs="Calibri"/>
          <w:lang w:val="en-GB"/>
        </w:rPr>
        <w:t>, by expressing this as a linear function of sales and change in sales in the current period (Roychowdhury 2006, p</w:t>
      </w:r>
      <w:r w:rsidR="009A7503">
        <w:rPr>
          <w:rFonts w:cs="Calibri"/>
          <w:lang w:val="en-GB"/>
        </w:rPr>
        <w:t xml:space="preserve"> </w:t>
      </w:r>
      <w:r w:rsidRPr="00F67CC4">
        <w:rPr>
          <w:rFonts w:cs="Calibri"/>
          <w:lang w:val="en-GB"/>
        </w:rPr>
        <w:t>344):</w:t>
      </w:r>
    </w:p>
    <w:p w:rsidR="00F5124E" w:rsidRPr="00F67CC4" w:rsidRDefault="00F5124E" w:rsidP="00F5124E">
      <w:pPr>
        <w:spacing w:line="360" w:lineRule="auto"/>
        <w:rPr>
          <w:rFonts w:cs="Calibri"/>
          <w:b/>
          <w:sz w:val="28"/>
          <w:szCs w:val="28"/>
          <w:lang w:val="en-GB"/>
        </w:rPr>
      </w:pPr>
      <w:r w:rsidRPr="00F67CC4">
        <w:rPr>
          <w:rFonts w:cs="Calibri"/>
          <w:b/>
          <w:sz w:val="28"/>
          <w:szCs w:val="28"/>
          <w:lang w:val="en-GB"/>
        </w:rPr>
        <w:t>CFO</w:t>
      </w:r>
      <w:r w:rsidR="001A721F" w:rsidRPr="00F67CC4">
        <w:rPr>
          <w:rFonts w:cs="Calibri"/>
          <w:b/>
          <w:lang w:val="en-GB"/>
        </w:rPr>
        <w:t>i,</w:t>
      </w:r>
      <w:r w:rsidRPr="00F67CC4">
        <w:rPr>
          <w:rFonts w:cs="Calibri"/>
          <w:b/>
          <w:lang w:val="en-GB"/>
        </w:rPr>
        <w:t>t</w:t>
      </w:r>
      <w:r w:rsidRPr="00F67CC4">
        <w:rPr>
          <w:rFonts w:cs="Calibri"/>
          <w:b/>
          <w:sz w:val="28"/>
          <w:szCs w:val="28"/>
          <w:lang w:val="en-GB"/>
        </w:rPr>
        <w:t xml:space="preserve"> / A</w:t>
      </w:r>
      <w:r w:rsidR="001A721F" w:rsidRPr="00F67CC4">
        <w:rPr>
          <w:rFonts w:cs="Calibri"/>
          <w:b/>
          <w:lang w:val="en-GB"/>
        </w:rPr>
        <w:t>i,</w:t>
      </w:r>
      <w:r w:rsidRPr="00F67CC4">
        <w:rPr>
          <w:rFonts w:cs="Calibri"/>
          <w:b/>
          <w:lang w:val="en-GB"/>
        </w:rPr>
        <w:t xml:space="preserve">t-1 </w:t>
      </w:r>
      <w:r w:rsidR="005C7BDF">
        <w:rPr>
          <w:rFonts w:cs="Calibri"/>
          <w:b/>
          <w:sz w:val="28"/>
          <w:szCs w:val="28"/>
          <w:lang w:val="en-GB"/>
        </w:rPr>
        <w:t>= a0 + a</w:t>
      </w:r>
      <w:r w:rsidRPr="00F67CC4">
        <w:rPr>
          <w:rFonts w:cs="Calibri"/>
          <w:b/>
          <w:sz w:val="28"/>
          <w:szCs w:val="28"/>
          <w:lang w:val="en-GB"/>
        </w:rPr>
        <w:t>1*(1/A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1*(S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2*(ΔS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Pr="00F67CC4">
        <w:rPr>
          <w:rFonts w:cs="Calibri"/>
          <w:b/>
          <w:sz w:val="28"/>
          <w:szCs w:val="28"/>
          <w:lang w:val="en-GB"/>
        </w:rPr>
        <w:t>) + ε</w:t>
      </w:r>
      <w:r w:rsidRPr="00F67CC4">
        <w:rPr>
          <w:rFonts w:cs="Calibri"/>
          <w:b/>
          <w:lang w:val="en-GB"/>
        </w:rPr>
        <w:t>t</w:t>
      </w:r>
      <w:r w:rsidRPr="00F67CC4">
        <w:rPr>
          <w:rFonts w:cs="Calibri"/>
          <w:b/>
          <w:sz w:val="28"/>
          <w:szCs w:val="28"/>
          <w:lang w:val="en-GB"/>
        </w:rPr>
        <w:t>,</w:t>
      </w:r>
    </w:p>
    <w:p w:rsidR="002C64B0" w:rsidRDefault="00EB6591" w:rsidP="00F5124E">
      <w:pPr>
        <w:spacing w:line="360" w:lineRule="auto"/>
        <w:rPr>
          <w:rFonts w:cs="Calibri"/>
          <w:b/>
          <w:lang w:val="en-GB"/>
        </w:rPr>
      </w:pPr>
      <w:r>
        <w:rPr>
          <w:rFonts w:cs="Calibri"/>
          <w:b/>
          <w:lang w:val="en-GB"/>
        </w:rPr>
        <w:t>CFO = c</w:t>
      </w:r>
      <w:r w:rsidR="00F5124E" w:rsidRPr="00F67CC4">
        <w:rPr>
          <w:rFonts w:cs="Calibri"/>
          <w:b/>
          <w:lang w:val="en-GB"/>
        </w:rPr>
        <w:t xml:space="preserve">ash Flow of Operations </w:t>
      </w:r>
      <w:r w:rsidR="00F5124E" w:rsidRPr="00F67CC4">
        <w:rPr>
          <w:rFonts w:cs="Calibri"/>
          <w:b/>
          <w:lang w:val="en-GB"/>
        </w:rPr>
        <w:br/>
        <w:t>A</w:t>
      </w:r>
      <w:r>
        <w:rPr>
          <w:rFonts w:cs="Calibri"/>
          <w:b/>
          <w:lang w:val="en-GB"/>
        </w:rPr>
        <w:t xml:space="preserve"> = t</w:t>
      </w:r>
      <w:r w:rsidR="00F5124E" w:rsidRPr="00F67CC4">
        <w:rPr>
          <w:rFonts w:cs="Calibri"/>
          <w:b/>
          <w:lang w:val="en-GB"/>
        </w:rPr>
        <w:t xml:space="preserve">otal assets </w:t>
      </w:r>
      <w:r w:rsidR="00F5124E" w:rsidRPr="00F67CC4">
        <w:rPr>
          <w:rFonts w:cs="Calibri"/>
          <w:b/>
          <w:lang w:val="en-GB"/>
        </w:rPr>
        <w:br/>
        <w:t>S</w:t>
      </w:r>
      <w:r>
        <w:rPr>
          <w:rFonts w:cs="Calibri"/>
          <w:b/>
          <w:lang w:val="en-GB"/>
        </w:rPr>
        <w:t xml:space="preserve"> = s</w:t>
      </w:r>
      <w:r w:rsidR="00FA3F74" w:rsidRPr="00F67CC4">
        <w:rPr>
          <w:rFonts w:cs="Calibri"/>
          <w:b/>
          <w:lang w:val="en-GB"/>
        </w:rPr>
        <w:t>ales</w:t>
      </w:r>
      <w:r w:rsidR="00F5124E" w:rsidRPr="00F67CC4">
        <w:rPr>
          <w:rFonts w:cs="Calibri"/>
          <w:b/>
          <w:lang w:val="en-GB"/>
        </w:rPr>
        <w:t xml:space="preserve"> </w:t>
      </w:r>
      <w:r w:rsidR="00F5124E" w:rsidRPr="00F67CC4">
        <w:rPr>
          <w:rFonts w:cs="Calibri"/>
          <w:b/>
          <w:lang w:val="en-GB"/>
        </w:rPr>
        <w:br/>
        <w:t>ΔS</w:t>
      </w:r>
      <w:r w:rsidR="000A3DF5" w:rsidRPr="00F67CC4">
        <w:rPr>
          <w:rFonts w:cs="Calibri"/>
          <w:b/>
          <w:lang w:val="en-GB"/>
        </w:rPr>
        <w:t xml:space="preserve"> = change in Sales</w:t>
      </w:r>
      <w:r w:rsidR="00FA3F74" w:rsidRPr="00F67CC4">
        <w:rPr>
          <w:rFonts w:cs="Calibri"/>
          <w:b/>
          <w:lang w:val="en-GB"/>
        </w:rPr>
        <w:br/>
      </w:r>
      <w:r w:rsidR="00BA063C">
        <w:rPr>
          <w:rFonts w:cs="Calibri"/>
          <w:b/>
          <w:lang w:val="en-GB"/>
        </w:rPr>
        <w:t>a1, a2, b1, b2 = regression coefficients</w:t>
      </w:r>
      <w:r w:rsidR="00BA063C">
        <w:rPr>
          <w:rFonts w:cs="Calibri"/>
          <w:b/>
          <w:lang w:val="en-GB"/>
        </w:rPr>
        <w:br/>
      </w:r>
      <w:r w:rsidR="00FA3F74" w:rsidRPr="005C7BDF">
        <w:rPr>
          <w:rFonts w:cs="Calibri"/>
          <w:b/>
          <w:lang w:val="en-GB"/>
        </w:rPr>
        <w:t>ε = error term</w:t>
      </w:r>
      <w:r w:rsidR="009A7503">
        <w:rPr>
          <w:rFonts w:cs="Calibri"/>
          <w:b/>
          <w:lang w:val="en-GB"/>
        </w:rPr>
        <w:br/>
      </w:r>
      <w:r w:rsidR="00FD549C" w:rsidRPr="00F67CC4">
        <w:rPr>
          <w:rFonts w:cs="Calibri"/>
          <w:b/>
          <w:lang w:val="en-GB"/>
        </w:rPr>
        <w:t xml:space="preserve">t = year index, year 1997 - </w:t>
      </w:r>
      <w:r w:rsidR="00FC2A5C" w:rsidRPr="00F67CC4">
        <w:rPr>
          <w:rFonts w:cs="Calibri"/>
          <w:b/>
          <w:lang w:val="en-GB"/>
        </w:rPr>
        <w:t>2001</w:t>
      </w:r>
      <w:r w:rsidR="00FC2A5C" w:rsidRPr="00F67CC4">
        <w:rPr>
          <w:rFonts w:cs="Calibri"/>
          <w:b/>
          <w:lang w:val="en-GB"/>
        </w:rPr>
        <w:br/>
        <w:t xml:space="preserve">i = firm index, range 1 – </w:t>
      </w:r>
      <w:r w:rsidR="008853C3" w:rsidRPr="00F67CC4">
        <w:rPr>
          <w:rFonts w:cs="Calibri"/>
          <w:b/>
          <w:lang w:val="en-GB"/>
        </w:rPr>
        <w:t>95</w:t>
      </w:r>
    </w:p>
    <w:p w:rsidR="00F5124E" w:rsidRDefault="00F5124E" w:rsidP="00F5124E">
      <w:pPr>
        <w:spacing w:line="360" w:lineRule="auto"/>
        <w:rPr>
          <w:rFonts w:cs="Calibri"/>
          <w:lang w:val="en-GB"/>
        </w:rPr>
      </w:pPr>
      <w:r w:rsidRPr="00F67CC4">
        <w:rPr>
          <w:rFonts w:cs="Calibri"/>
          <w:lang w:val="en-GB"/>
        </w:rPr>
        <w:t xml:space="preserve">This way of determining the ‘normal’ level </w:t>
      </w:r>
      <w:r w:rsidR="00EB6591">
        <w:rPr>
          <w:rFonts w:cs="Calibri"/>
          <w:lang w:val="en-GB"/>
        </w:rPr>
        <w:t>and comparing</w:t>
      </w:r>
      <w:r w:rsidR="00927F75" w:rsidRPr="00F67CC4">
        <w:rPr>
          <w:rFonts w:cs="Calibri"/>
          <w:lang w:val="en-GB"/>
        </w:rPr>
        <w:t xml:space="preserve"> this normal level to the actual level </w:t>
      </w:r>
      <w:r w:rsidRPr="00F67CC4">
        <w:rPr>
          <w:rFonts w:cs="Calibri"/>
          <w:lang w:val="en-GB"/>
        </w:rPr>
        <w:t xml:space="preserve">is </w:t>
      </w:r>
      <w:r w:rsidR="003D5D78">
        <w:rPr>
          <w:rFonts w:cs="Calibri"/>
          <w:lang w:val="en-GB"/>
        </w:rPr>
        <w:t>in addition</w:t>
      </w:r>
      <w:r w:rsidRPr="00F67CC4">
        <w:rPr>
          <w:rFonts w:cs="Calibri"/>
          <w:lang w:val="en-GB"/>
        </w:rPr>
        <w:t xml:space="preserve"> used for COGS, invent</w:t>
      </w:r>
      <w:r w:rsidR="00927F75" w:rsidRPr="00F67CC4">
        <w:rPr>
          <w:rFonts w:cs="Calibri"/>
          <w:lang w:val="en-GB"/>
        </w:rPr>
        <w:t>ory growth and production costs as variables for the other methods of manipulation. The normal level of COGS is expressed by:</w:t>
      </w:r>
    </w:p>
    <w:p w:rsidR="00F5124E" w:rsidRPr="00F67CC4" w:rsidRDefault="00F5124E" w:rsidP="00F5124E">
      <w:pPr>
        <w:spacing w:line="360" w:lineRule="auto"/>
        <w:rPr>
          <w:rFonts w:cs="Calibri"/>
          <w:b/>
          <w:lang w:val="en-GB"/>
        </w:rPr>
      </w:pPr>
      <w:r w:rsidRPr="00F67CC4">
        <w:rPr>
          <w:rFonts w:cs="Calibri"/>
          <w:b/>
          <w:sz w:val="28"/>
          <w:szCs w:val="28"/>
          <w:lang w:val="en-GB"/>
        </w:rPr>
        <w:t>COGS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 xml:space="preserve">t-1 </w:t>
      </w:r>
      <w:r w:rsidR="005C7BDF">
        <w:rPr>
          <w:rFonts w:cs="Calibri"/>
          <w:b/>
          <w:sz w:val="28"/>
          <w:szCs w:val="28"/>
          <w:lang w:val="en-GB"/>
        </w:rPr>
        <w:t>= a0 + a</w:t>
      </w:r>
      <w:r w:rsidRPr="00F67CC4">
        <w:rPr>
          <w:rFonts w:cs="Calibri"/>
          <w:b/>
          <w:sz w:val="28"/>
          <w:szCs w:val="28"/>
          <w:lang w:val="en-GB"/>
        </w:rPr>
        <w:t>1*(1/A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w:t>
      </w:r>
      <w:r w:rsidRPr="00F67CC4">
        <w:rPr>
          <w:rFonts w:cs="Calibri"/>
          <w:b/>
          <w:lang w:val="en-GB"/>
        </w:rPr>
        <w:t>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Pr="00F67CC4">
        <w:rPr>
          <w:rFonts w:cs="Calibri"/>
          <w:b/>
          <w:sz w:val="28"/>
          <w:szCs w:val="28"/>
          <w:lang w:val="en-GB"/>
        </w:rPr>
        <w:t>) + ε</w:t>
      </w:r>
      <w:r w:rsidRPr="00F67CC4">
        <w:rPr>
          <w:rFonts w:cs="Calibri"/>
          <w:b/>
          <w:lang w:val="en-GB"/>
        </w:rPr>
        <w:t>t</w:t>
      </w:r>
    </w:p>
    <w:p w:rsidR="00FD549C" w:rsidRPr="009A21CB" w:rsidRDefault="00FA3F74" w:rsidP="00F5124E">
      <w:pPr>
        <w:spacing w:line="360" w:lineRule="auto"/>
        <w:rPr>
          <w:rFonts w:cs="Calibri"/>
          <w:b/>
          <w:lang w:val="en-GB"/>
        </w:rPr>
      </w:pPr>
      <w:r w:rsidRPr="009A21CB">
        <w:rPr>
          <w:rFonts w:cs="Calibri"/>
          <w:b/>
          <w:lang w:val="en-GB"/>
        </w:rPr>
        <w:t>COGS = Cost of Goods Sold</w:t>
      </w:r>
      <w:r w:rsidRPr="009A21CB">
        <w:rPr>
          <w:rFonts w:cs="Calibri"/>
          <w:b/>
          <w:lang w:val="en-GB"/>
        </w:rPr>
        <w:br/>
        <w:t>A = Assets</w:t>
      </w:r>
      <w:r w:rsidRPr="009A21CB">
        <w:rPr>
          <w:rFonts w:cs="Calibri"/>
          <w:b/>
          <w:lang w:val="en-GB"/>
        </w:rPr>
        <w:br/>
        <w:t>S = Sales</w:t>
      </w:r>
      <w:r w:rsidR="00BA063C">
        <w:rPr>
          <w:rFonts w:cs="Calibri"/>
          <w:b/>
          <w:lang w:val="en-GB"/>
        </w:rPr>
        <w:br/>
        <w:t>a0, a1, b = regression coefficients</w:t>
      </w:r>
      <w:r w:rsidRPr="009A21CB">
        <w:rPr>
          <w:rFonts w:cs="Calibri"/>
          <w:b/>
          <w:lang w:val="en-GB"/>
        </w:rPr>
        <w:br/>
        <w:t>ε = error term</w:t>
      </w:r>
      <w:r w:rsidR="00FD549C" w:rsidRPr="009A21CB">
        <w:rPr>
          <w:rFonts w:cs="Calibri"/>
          <w:b/>
          <w:lang w:val="en-GB"/>
        </w:rPr>
        <w:br/>
        <w:t>t = year index, year 1997 - 2001</w:t>
      </w:r>
      <w:r w:rsidR="00FD549C" w:rsidRPr="009A21CB">
        <w:rPr>
          <w:rFonts w:cs="Calibri"/>
          <w:b/>
          <w:lang w:val="en-GB"/>
        </w:rPr>
        <w:br/>
        <w:t xml:space="preserve">i = firm index, range 1 - </w:t>
      </w:r>
      <w:r w:rsidR="008853C3" w:rsidRPr="009A21CB">
        <w:rPr>
          <w:rFonts w:cs="Calibri"/>
          <w:b/>
          <w:lang w:val="en-GB"/>
        </w:rPr>
        <w:t>95</w:t>
      </w:r>
    </w:p>
    <w:p w:rsidR="00F5124E" w:rsidRDefault="00EB6591" w:rsidP="00F5124E">
      <w:pPr>
        <w:spacing w:line="360" w:lineRule="auto"/>
        <w:rPr>
          <w:rFonts w:cs="Calibri"/>
          <w:lang w:val="en-GB"/>
        </w:rPr>
      </w:pPr>
      <w:r>
        <w:rPr>
          <w:rFonts w:cs="Calibri"/>
          <w:lang w:val="en-GB"/>
        </w:rPr>
        <w:lastRenderedPageBreak/>
        <w:t>Comparable to the determination of</w:t>
      </w:r>
      <w:r w:rsidR="009F2C79" w:rsidRPr="00F67CC4">
        <w:rPr>
          <w:rFonts w:cs="Calibri"/>
          <w:lang w:val="en-GB"/>
        </w:rPr>
        <w:t xml:space="preserve"> normal level of COGS is the normal level of</w:t>
      </w:r>
      <w:r>
        <w:rPr>
          <w:rFonts w:cs="Calibri"/>
          <w:lang w:val="en-GB"/>
        </w:rPr>
        <w:t xml:space="preserve"> the</w:t>
      </w:r>
      <w:r w:rsidR="009F2C79" w:rsidRPr="00F67CC4">
        <w:rPr>
          <w:rFonts w:cs="Calibri"/>
          <w:lang w:val="en-GB"/>
        </w:rPr>
        <w:t xml:space="preserve"> change in inventory determined. The difference </w:t>
      </w:r>
      <w:r w:rsidR="00BA063C">
        <w:rPr>
          <w:rFonts w:cs="Calibri"/>
          <w:lang w:val="en-GB"/>
        </w:rPr>
        <w:t xml:space="preserve">between the determination of the normal levels </w:t>
      </w:r>
      <w:r w:rsidR="009F2C79" w:rsidRPr="00F67CC4">
        <w:rPr>
          <w:rFonts w:cs="Calibri"/>
          <w:lang w:val="en-GB"/>
        </w:rPr>
        <w:t>is the addition of the</w:t>
      </w:r>
      <w:r w:rsidR="00A04299">
        <w:rPr>
          <w:rFonts w:cs="Calibri"/>
          <w:lang w:val="en-GB"/>
        </w:rPr>
        <w:t xml:space="preserve"> variable</w:t>
      </w:r>
      <w:r w:rsidR="00BA063C">
        <w:rPr>
          <w:rFonts w:cs="Calibri"/>
          <w:lang w:val="en-GB"/>
        </w:rPr>
        <w:t xml:space="preserve"> change in</w:t>
      </w:r>
      <w:r w:rsidR="009F2C79" w:rsidRPr="00F67CC4">
        <w:rPr>
          <w:rFonts w:cs="Calibri"/>
          <w:lang w:val="en-GB"/>
        </w:rPr>
        <w:t xml:space="preserve"> sales in the previous year </w:t>
      </w:r>
      <w:r w:rsidR="00882040">
        <w:rPr>
          <w:rFonts w:cs="Calibri"/>
          <w:lang w:val="en-GB"/>
        </w:rPr>
        <w:t>scaled</w:t>
      </w:r>
      <w:r w:rsidR="009F2C79" w:rsidRPr="00F67CC4">
        <w:rPr>
          <w:rFonts w:cs="Calibri"/>
          <w:lang w:val="en-GB"/>
        </w:rPr>
        <w:t xml:space="preserve"> by </w:t>
      </w:r>
      <w:r w:rsidR="00F541B0" w:rsidRPr="00F67CC4">
        <w:rPr>
          <w:rFonts w:cs="Calibri"/>
          <w:lang w:val="en-GB"/>
        </w:rPr>
        <w:t xml:space="preserve">total assets in the previous year. </w:t>
      </w:r>
    </w:p>
    <w:p w:rsidR="00927F75" w:rsidRPr="00F67CC4" w:rsidRDefault="00F5124E" w:rsidP="00F5124E">
      <w:pPr>
        <w:spacing w:line="360" w:lineRule="auto"/>
        <w:rPr>
          <w:rFonts w:cs="Calibri"/>
          <w:b/>
          <w:lang w:val="en-GB"/>
        </w:rPr>
      </w:pPr>
      <w:r w:rsidRPr="00F67CC4">
        <w:rPr>
          <w:rFonts w:cs="Calibri"/>
          <w:b/>
          <w:sz w:val="28"/>
          <w:szCs w:val="28"/>
          <w:lang w:val="en-GB"/>
        </w:rPr>
        <w:t>ΔINV</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 xml:space="preserve">t-1 </w:t>
      </w:r>
      <w:r w:rsidR="005C7BDF">
        <w:rPr>
          <w:rFonts w:cs="Calibri"/>
          <w:b/>
          <w:sz w:val="28"/>
          <w:szCs w:val="28"/>
          <w:lang w:val="en-GB"/>
        </w:rPr>
        <w:t>= a0 + a</w:t>
      </w:r>
      <w:r w:rsidRPr="00F67CC4">
        <w:rPr>
          <w:rFonts w:cs="Calibri"/>
          <w:b/>
          <w:sz w:val="28"/>
          <w:szCs w:val="28"/>
          <w:lang w:val="en-GB"/>
        </w:rPr>
        <w:t>1*(1/A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1*(ΔS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2*(ΔS</w:t>
      </w:r>
      <w:r w:rsidR="001A721F" w:rsidRPr="00F67CC4">
        <w:rPr>
          <w:rFonts w:cs="Calibri"/>
          <w:b/>
          <w:lang w:val="en-GB"/>
        </w:rPr>
        <w:t>i,</w:t>
      </w:r>
      <w:r w:rsidRPr="00F67CC4">
        <w:rPr>
          <w:rFonts w:cs="Calibri"/>
          <w:b/>
          <w:lang w:val="en-GB"/>
        </w:rPr>
        <w:t>t-1</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Pr="00F67CC4">
        <w:rPr>
          <w:rFonts w:cs="Calibri"/>
          <w:b/>
          <w:sz w:val="28"/>
          <w:szCs w:val="28"/>
          <w:lang w:val="en-GB"/>
        </w:rPr>
        <w:t>) + ε</w:t>
      </w:r>
      <w:r w:rsidRPr="00F67CC4">
        <w:rPr>
          <w:rFonts w:cs="Calibri"/>
          <w:b/>
          <w:lang w:val="en-GB"/>
        </w:rPr>
        <w:t>t</w:t>
      </w:r>
    </w:p>
    <w:p w:rsidR="00FD549C" w:rsidRPr="009A21CB" w:rsidRDefault="00F5124E" w:rsidP="00F5124E">
      <w:pPr>
        <w:spacing w:line="360" w:lineRule="auto"/>
        <w:rPr>
          <w:rFonts w:cs="Calibri"/>
          <w:b/>
          <w:lang w:val="en-GB"/>
        </w:rPr>
      </w:pPr>
      <w:r w:rsidRPr="009A21CB">
        <w:rPr>
          <w:rFonts w:cs="Calibri"/>
          <w:b/>
          <w:lang w:val="en-GB"/>
        </w:rPr>
        <w:t>ΔINV</w:t>
      </w:r>
      <w:r w:rsidR="00FA3F74" w:rsidRPr="009A21CB">
        <w:rPr>
          <w:rFonts w:cs="Calibri"/>
          <w:b/>
          <w:lang w:val="en-GB"/>
        </w:rPr>
        <w:t xml:space="preserve"> = </w:t>
      </w:r>
      <w:r w:rsidRPr="009A21CB">
        <w:rPr>
          <w:rFonts w:cs="Calibri"/>
          <w:b/>
          <w:lang w:val="en-GB"/>
        </w:rPr>
        <w:t xml:space="preserve">change in inventory </w:t>
      </w:r>
      <w:r w:rsidR="00FA3F74" w:rsidRPr="009A21CB">
        <w:rPr>
          <w:rFonts w:cs="Calibri"/>
          <w:b/>
          <w:lang w:val="en-GB"/>
        </w:rPr>
        <w:br/>
        <w:t>A = total assets</w:t>
      </w:r>
      <w:r w:rsidR="00FA3F74" w:rsidRPr="009A21CB">
        <w:rPr>
          <w:rFonts w:cs="Calibri"/>
          <w:b/>
          <w:lang w:val="en-GB"/>
        </w:rPr>
        <w:br/>
        <w:t>ΔS = change in Sales</w:t>
      </w:r>
      <w:r w:rsidR="00FA3F74" w:rsidRPr="009A21CB">
        <w:rPr>
          <w:rFonts w:cs="Calibri"/>
          <w:b/>
          <w:lang w:val="en-GB"/>
        </w:rPr>
        <w:br/>
      </w:r>
      <w:r w:rsidR="00BA063C">
        <w:rPr>
          <w:rFonts w:cs="Calibri"/>
          <w:b/>
          <w:lang w:val="en-GB"/>
        </w:rPr>
        <w:t>a0, a1, b1, b2 = regression coefficients</w:t>
      </w:r>
      <w:r w:rsidR="00BA063C">
        <w:rPr>
          <w:rFonts w:cs="Calibri"/>
          <w:b/>
          <w:lang w:val="en-GB"/>
        </w:rPr>
        <w:br/>
      </w:r>
      <w:r w:rsidR="00FA3F74" w:rsidRPr="009A21CB">
        <w:rPr>
          <w:rFonts w:cs="Calibri"/>
          <w:b/>
          <w:lang w:val="en-GB"/>
        </w:rPr>
        <w:t>ε = error term</w:t>
      </w:r>
      <w:r w:rsidR="00BA063C">
        <w:rPr>
          <w:rFonts w:cs="Calibri"/>
          <w:b/>
          <w:lang w:val="en-GB"/>
        </w:rPr>
        <w:br/>
      </w:r>
      <w:r w:rsidR="00FD549C" w:rsidRPr="009A21CB">
        <w:rPr>
          <w:rFonts w:cs="Calibri"/>
          <w:b/>
          <w:lang w:val="en-GB"/>
        </w:rPr>
        <w:t>t = year index, year 1997 - 2001</w:t>
      </w:r>
      <w:r w:rsidR="00FD549C" w:rsidRPr="009A21CB">
        <w:rPr>
          <w:rFonts w:cs="Calibri"/>
          <w:b/>
          <w:lang w:val="en-GB"/>
        </w:rPr>
        <w:br/>
        <w:t xml:space="preserve">i = </w:t>
      </w:r>
      <w:r w:rsidR="00FC2A5C" w:rsidRPr="009A21CB">
        <w:rPr>
          <w:rFonts w:cs="Calibri"/>
          <w:b/>
          <w:lang w:val="en-GB"/>
        </w:rPr>
        <w:t xml:space="preserve">firm index, range 1 - </w:t>
      </w:r>
      <w:r w:rsidR="008853C3" w:rsidRPr="009A21CB">
        <w:rPr>
          <w:rFonts w:cs="Calibri"/>
          <w:b/>
          <w:lang w:val="en-GB"/>
        </w:rPr>
        <w:t>95</w:t>
      </w:r>
    </w:p>
    <w:p w:rsidR="00927F75" w:rsidRPr="00F67CC4" w:rsidRDefault="00F541B0" w:rsidP="00F5124E">
      <w:pPr>
        <w:spacing w:line="360" w:lineRule="auto"/>
        <w:rPr>
          <w:rFonts w:cs="Calibri"/>
          <w:lang w:val="en-GB"/>
        </w:rPr>
      </w:pPr>
      <w:r w:rsidRPr="00F67CC4">
        <w:rPr>
          <w:rFonts w:cs="Calibri"/>
          <w:lang w:val="en-GB"/>
        </w:rPr>
        <w:t xml:space="preserve">With the use </w:t>
      </w:r>
      <w:r w:rsidR="00BA063C">
        <w:rPr>
          <w:rFonts w:cs="Calibri"/>
          <w:lang w:val="en-GB"/>
        </w:rPr>
        <w:t xml:space="preserve">of </w:t>
      </w:r>
      <w:r w:rsidRPr="00F67CC4">
        <w:rPr>
          <w:rFonts w:cs="Calibri"/>
          <w:lang w:val="en-GB"/>
        </w:rPr>
        <w:t xml:space="preserve">the equations of COGS and change in inventory can the equation of the production costs be determined. </w:t>
      </w:r>
      <w:r w:rsidR="00927F75" w:rsidRPr="00F67CC4">
        <w:rPr>
          <w:rFonts w:cs="Calibri"/>
          <w:lang w:val="en-GB"/>
        </w:rPr>
        <w:t>Roychowdhury (2006) defines production costs as the sum of COGS and the change of inventory, which is expressed in the following equation (Roychowdhury 2006, p</w:t>
      </w:r>
      <w:r w:rsidR="00BA063C">
        <w:rPr>
          <w:rFonts w:cs="Calibri"/>
          <w:lang w:val="en-GB"/>
        </w:rPr>
        <w:t xml:space="preserve"> </w:t>
      </w:r>
      <w:r w:rsidR="00927F75" w:rsidRPr="00F67CC4">
        <w:rPr>
          <w:rFonts w:cs="Calibri"/>
          <w:lang w:val="en-GB"/>
        </w:rPr>
        <w:t xml:space="preserve">345): </w:t>
      </w:r>
    </w:p>
    <w:p w:rsidR="001A721F" w:rsidRPr="00F67CC4" w:rsidRDefault="00F5124E" w:rsidP="00F5124E">
      <w:pPr>
        <w:spacing w:line="360" w:lineRule="auto"/>
        <w:rPr>
          <w:rFonts w:cs="Calibri"/>
          <w:b/>
          <w:sz w:val="28"/>
          <w:szCs w:val="28"/>
          <w:lang w:val="en-GB"/>
        </w:rPr>
      </w:pPr>
      <w:r w:rsidRPr="00F67CC4">
        <w:rPr>
          <w:rFonts w:cs="Calibri"/>
          <w:b/>
          <w:sz w:val="28"/>
          <w:szCs w:val="28"/>
          <w:lang w:val="en-GB"/>
        </w:rPr>
        <w:t>PROD</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 xml:space="preserve">t-1 </w:t>
      </w:r>
      <w:r w:rsidR="005C7BDF">
        <w:rPr>
          <w:rFonts w:cs="Calibri"/>
          <w:b/>
          <w:sz w:val="28"/>
          <w:szCs w:val="28"/>
          <w:lang w:val="en-GB"/>
        </w:rPr>
        <w:t>= a0 + a</w:t>
      </w:r>
      <w:r w:rsidRPr="00F67CC4">
        <w:rPr>
          <w:rFonts w:cs="Calibri"/>
          <w:b/>
          <w:sz w:val="28"/>
          <w:szCs w:val="28"/>
          <w:lang w:val="en-GB"/>
        </w:rPr>
        <w:t>1*(1/A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1*(S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2*(ΔS</w:t>
      </w:r>
      <w:r w:rsidR="001A721F" w:rsidRPr="00F67CC4">
        <w:rPr>
          <w:rFonts w:cs="Calibri"/>
          <w:b/>
          <w:lang w:val="en-GB"/>
        </w:rPr>
        <w:t>i,</w:t>
      </w:r>
      <w:r w:rsidRPr="00F67CC4">
        <w:rPr>
          <w:rFonts w:cs="Calibri"/>
          <w:b/>
          <w:lang w:val="en-GB"/>
        </w:rPr>
        <w:t>t</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005C7BDF">
        <w:rPr>
          <w:rFonts w:cs="Calibri"/>
          <w:b/>
          <w:sz w:val="28"/>
          <w:szCs w:val="28"/>
          <w:lang w:val="en-GB"/>
        </w:rPr>
        <w:t>) + b</w:t>
      </w:r>
      <w:r w:rsidRPr="00F67CC4">
        <w:rPr>
          <w:rFonts w:cs="Calibri"/>
          <w:b/>
          <w:sz w:val="28"/>
          <w:szCs w:val="28"/>
          <w:lang w:val="en-GB"/>
        </w:rPr>
        <w:t>3*</w:t>
      </w:r>
    </w:p>
    <w:p w:rsidR="00F5124E" w:rsidRPr="00F67CC4" w:rsidRDefault="00F5124E" w:rsidP="00F5124E">
      <w:pPr>
        <w:spacing w:line="360" w:lineRule="auto"/>
        <w:rPr>
          <w:rFonts w:cs="Calibri"/>
          <w:b/>
          <w:sz w:val="28"/>
          <w:szCs w:val="28"/>
          <w:lang w:val="en-GB"/>
        </w:rPr>
      </w:pPr>
      <w:r w:rsidRPr="00F67CC4">
        <w:rPr>
          <w:rFonts w:cs="Calibri"/>
          <w:b/>
          <w:sz w:val="28"/>
          <w:szCs w:val="28"/>
          <w:lang w:val="en-GB"/>
        </w:rPr>
        <w:t>(ΔS</w:t>
      </w:r>
      <w:r w:rsidR="001A721F" w:rsidRPr="00F67CC4">
        <w:rPr>
          <w:rFonts w:cs="Calibri"/>
          <w:b/>
          <w:lang w:val="en-GB"/>
        </w:rPr>
        <w:t>i,</w:t>
      </w:r>
      <w:r w:rsidRPr="00F67CC4">
        <w:rPr>
          <w:rFonts w:cs="Calibri"/>
          <w:b/>
          <w:lang w:val="en-GB"/>
        </w:rPr>
        <w:t>t-1</w:t>
      </w:r>
      <w:r w:rsidRPr="00F67CC4">
        <w:rPr>
          <w:rFonts w:cs="Calibri"/>
          <w:b/>
          <w:sz w:val="28"/>
          <w:szCs w:val="28"/>
          <w:lang w:val="en-GB"/>
        </w:rPr>
        <w:t>/A</w:t>
      </w:r>
      <w:r w:rsidR="001A721F" w:rsidRPr="00F67CC4">
        <w:rPr>
          <w:rFonts w:cs="Calibri"/>
          <w:b/>
          <w:lang w:val="en-GB"/>
        </w:rPr>
        <w:t>i,</w:t>
      </w:r>
      <w:r w:rsidRPr="00F67CC4">
        <w:rPr>
          <w:rFonts w:cs="Calibri"/>
          <w:b/>
          <w:lang w:val="en-GB"/>
        </w:rPr>
        <w:t>t-1</w:t>
      </w:r>
      <w:r w:rsidRPr="00F67CC4">
        <w:rPr>
          <w:rFonts w:cs="Calibri"/>
          <w:b/>
          <w:sz w:val="28"/>
          <w:szCs w:val="28"/>
          <w:lang w:val="en-GB"/>
        </w:rPr>
        <w:t>) + ε</w:t>
      </w:r>
      <w:r w:rsidRPr="00F67CC4">
        <w:rPr>
          <w:rFonts w:cs="Calibri"/>
          <w:b/>
          <w:lang w:val="en-GB"/>
        </w:rPr>
        <w:t>t</w:t>
      </w:r>
    </w:p>
    <w:p w:rsidR="00FD549C" w:rsidRPr="00FD549C" w:rsidRDefault="00FA3F74" w:rsidP="00F5124E">
      <w:pPr>
        <w:spacing w:line="360" w:lineRule="auto"/>
        <w:rPr>
          <w:rFonts w:cs="Calibri"/>
          <w:b/>
          <w:lang w:val="en-GB"/>
        </w:rPr>
      </w:pPr>
      <w:r w:rsidRPr="00F67CC4">
        <w:rPr>
          <w:rFonts w:cs="Calibri"/>
          <w:b/>
          <w:lang w:val="en-GB"/>
        </w:rPr>
        <w:t>PROD = production costs</w:t>
      </w:r>
      <w:r w:rsidRPr="00F67CC4">
        <w:rPr>
          <w:rFonts w:cs="Calibri"/>
          <w:b/>
          <w:lang w:val="en-GB"/>
        </w:rPr>
        <w:br/>
        <w:t>A = total assets</w:t>
      </w:r>
      <w:r w:rsidRPr="00F67CC4">
        <w:rPr>
          <w:rFonts w:cs="Calibri"/>
          <w:b/>
          <w:lang w:val="en-GB"/>
        </w:rPr>
        <w:br/>
        <w:t>S = sales</w:t>
      </w:r>
      <w:r w:rsidRPr="00F67CC4">
        <w:rPr>
          <w:rFonts w:cs="Calibri"/>
          <w:b/>
          <w:lang w:val="en-GB"/>
        </w:rPr>
        <w:br/>
      </w:r>
      <w:r w:rsidRPr="00FA3F74">
        <w:rPr>
          <w:rFonts w:cs="Calibri"/>
          <w:b/>
          <w:lang w:val="en-GB"/>
        </w:rPr>
        <w:t>ΔS = change in Sales</w:t>
      </w:r>
      <w:r w:rsidR="00BA063C">
        <w:rPr>
          <w:rFonts w:cs="Calibri"/>
          <w:b/>
          <w:lang w:val="en-GB"/>
        </w:rPr>
        <w:br/>
        <w:t>a0, a1, b1, b2, b3 = regression coefficients</w:t>
      </w:r>
      <w:r>
        <w:rPr>
          <w:rFonts w:cs="Calibri"/>
          <w:b/>
          <w:lang w:val="en-GB"/>
        </w:rPr>
        <w:br/>
      </w:r>
      <w:r w:rsidRPr="001F2203">
        <w:rPr>
          <w:rFonts w:cs="Calibri"/>
          <w:b/>
          <w:lang w:val="en-GB"/>
        </w:rPr>
        <w:t xml:space="preserve">ε </w:t>
      </w:r>
      <w:r w:rsidRPr="00FA3F74">
        <w:rPr>
          <w:rFonts w:cs="Calibri"/>
          <w:b/>
          <w:lang w:val="en-GB"/>
        </w:rPr>
        <w:t>= error term</w:t>
      </w:r>
      <w:r w:rsidR="00FD549C">
        <w:rPr>
          <w:rFonts w:cs="Calibri"/>
          <w:b/>
          <w:lang w:val="en-GB"/>
        </w:rPr>
        <w:br/>
        <w:t xml:space="preserve">t = </w:t>
      </w:r>
      <w:r w:rsidR="00FD549C" w:rsidRPr="00FD549C">
        <w:rPr>
          <w:rFonts w:cs="Calibri"/>
          <w:b/>
          <w:lang w:val="en-GB"/>
        </w:rPr>
        <w:t>year index, year 1997 - 2001</w:t>
      </w:r>
      <w:r w:rsidR="00FD549C">
        <w:rPr>
          <w:rFonts w:cs="Calibri"/>
          <w:b/>
          <w:lang w:val="en-GB"/>
        </w:rPr>
        <w:br/>
        <w:t xml:space="preserve">i = </w:t>
      </w:r>
      <w:r w:rsidR="00FC2A5C">
        <w:rPr>
          <w:rFonts w:cs="Calibri"/>
          <w:b/>
          <w:lang w:val="en-GB"/>
        </w:rPr>
        <w:t xml:space="preserve">firm index, range 1 - </w:t>
      </w:r>
      <w:r w:rsidR="008853C3">
        <w:rPr>
          <w:rFonts w:cs="Calibri"/>
          <w:b/>
          <w:lang w:val="en-GB"/>
        </w:rPr>
        <w:t>95</w:t>
      </w:r>
    </w:p>
    <w:p w:rsidR="006F2AA6" w:rsidRDefault="0099302C" w:rsidP="00F5124E">
      <w:pPr>
        <w:spacing w:line="360" w:lineRule="auto"/>
        <w:rPr>
          <w:rFonts w:cs="Calibri"/>
          <w:lang w:val="en-GB"/>
        </w:rPr>
      </w:pPr>
      <w:r w:rsidRPr="00F67CC4">
        <w:rPr>
          <w:rFonts w:cs="Calibri"/>
          <w:lang w:val="en-GB"/>
        </w:rPr>
        <w:t>The last equation</w:t>
      </w:r>
      <w:r w:rsidR="00FC2A5C" w:rsidRPr="00F67CC4">
        <w:rPr>
          <w:rFonts w:cs="Calibri"/>
          <w:lang w:val="en-GB"/>
        </w:rPr>
        <w:t xml:space="preserve"> of Roychowdhury (2006)</w:t>
      </w:r>
      <w:r w:rsidRPr="00F67CC4">
        <w:rPr>
          <w:rFonts w:cs="Calibri"/>
          <w:lang w:val="en-GB"/>
        </w:rPr>
        <w:t xml:space="preserve"> is</w:t>
      </w:r>
      <w:r w:rsidR="00FC2A5C" w:rsidRPr="00F67CC4">
        <w:rPr>
          <w:rFonts w:cs="Calibri"/>
          <w:lang w:val="en-GB"/>
        </w:rPr>
        <w:t xml:space="preserve"> about </w:t>
      </w:r>
      <w:r w:rsidR="00BA063C">
        <w:rPr>
          <w:rFonts w:cs="Calibri"/>
          <w:lang w:val="en-GB"/>
        </w:rPr>
        <w:t xml:space="preserve">the determination of the ‘normal’ level of </w:t>
      </w:r>
      <w:r w:rsidR="00FC2A5C" w:rsidRPr="00F67CC4">
        <w:rPr>
          <w:rFonts w:cs="Calibri"/>
          <w:lang w:val="en-GB"/>
        </w:rPr>
        <w:t>discretionary expenses.</w:t>
      </w:r>
      <w:r w:rsidR="00BA063C">
        <w:rPr>
          <w:rFonts w:cs="Calibri"/>
          <w:lang w:val="en-GB"/>
        </w:rPr>
        <w:t xml:space="preserve"> Because of a</w:t>
      </w:r>
      <w:r w:rsidR="00FC2A5C" w:rsidRPr="00F67CC4">
        <w:rPr>
          <w:rFonts w:cs="Calibri"/>
          <w:lang w:val="en-GB"/>
        </w:rPr>
        <w:t xml:space="preserve"> lack of data on Research and Development (R&amp;D) and Selling, General and Administrative (SG&amp;A) expenses, this equation has been omitted. </w:t>
      </w:r>
      <w:r w:rsidR="006F2AA6" w:rsidRPr="00F67CC4">
        <w:rPr>
          <w:rFonts w:cs="Calibri"/>
          <w:lang w:val="en-GB"/>
        </w:rPr>
        <w:t>Like Lippens (2010),</w:t>
      </w:r>
      <w:r w:rsidR="00FC2A5C" w:rsidRPr="00F67CC4">
        <w:rPr>
          <w:rFonts w:cs="Calibri"/>
          <w:lang w:val="en-GB"/>
        </w:rPr>
        <w:t xml:space="preserve"> the determination of the use of real earnings management will be done by checking the</w:t>
      </w:r>
      <w:r w:rsidR="00A04299">
        <w:rPr>
          <w:rFonts w:cs="Calibri"/>
          <w:lang w:val="en-GB"/>
        </w:rPr>
        <w:t xml:space="preserve"> variables</w:t>
      </w:r>
      <w:r w:rsidR="00FC2A5C" w:rsidRPr="00F67CC4">
        <w:rPr>
          <w:rFonts w:cs="Calibri"/>
          <w:lang w:val="en-GB"/>
        </w:rPr>
        <w:t xml:space="preserve"> cash flow of operations, costs of goods sold,</w:t>
      </w:r>
      <w:r w:rsidR="006F2AA6" w:rsidRPr="00F67CC4">
        <w:rPr>
          <w:rFonts w:cs="Calibri"/>
          <w:lang w:val="en-GB"/>
        </w:rPr>
        <w:t xml:space="preserve"> inventory and production costs. </w:t>
      </w:r>
    </w:p>
    <w:p w:rsidR="002C64B0" w:rsidRDefault="002C64B0" w:rsidP="00F5124E">
      <w:pPr>
        <w:spacing w:line="360" w:lineRule="auto"/>
        <w:rPr>
          <w:rFonts w:cs="Calibri"/>
          <w:lang w:val="en-GB"/>
        </w:rPr>
      </w:pPr>
      <w:r>
        <w:rPr>
          <w:rFonts w:cs="Calibri"/>
          <w:lang w:val="en-GB"/>
        </w:rPr>
        <w:lastRenderedPageBreak/>
        <w:t>Now</w:t>
      </w:r>
      <w:r w:rsidR="007556B7">
        <w:rPr>
          <w:rFonts w:cs="Calibri"/>
          <w:lang w:val="en-GB"/>
        </w:rPr>
        <w:t xml:space="preserve"> that the values</w:t>
      </w:r>
      <w:r w:rsidR="007556B7" w:rsidRPr="007556B7">
        <w:rPr>
          <w:rFonts w:cs="Calibri"/>
          <w:lang w:val="en-GB"/>
        </w:rPr>
        <w:t xml:space="preserve"> </w:t>
      </w:r>
      <w:r w:rsidR="007556B7">
        <w:rPr>
          <w:rFonts w:cs="Calibri"/>
          <w:lang w:val="en-GB"/>
        </w:rPr>
        <w:t>of the accruals-based and real earnings management has been determined, will these values be used as dependent variables in a multiple regression. But before these values will be used as dependent variable, will t</w:t>
      </w:r>
      <w:r w:rsidR="00226007">
        <w:rPr>
          <w:rFonts w:cs="Calibri"/>
          <w:lang w:val="en-GB"/>
        </w:rPr>
        <w:t>he sum of both method</w:t>
      </w:r>
      <w:r w:rsidR="00A04299">
        <w:rPr>
          <w:rFonts w:cs="Calibri"/>
          <w:lang w:val="en-GB"/>
        </w:rPr>
        <w:t>s</w:t>
      </w:r>
      <w:r w:rsidR="00226007">
        <w:rPr>
          <w:rFonts w:cs="Calibri"/>
          <w:lang w:val="en-GB"/>
        </w:rPr>
        <w:t>, the</w:t>
      </w:r>
      <w:r w:rsidR="007556B7">
        <w:rPr>
          <w:rFonts w:cs="Calibri"/>
          <w:lang w:val="en-GB"/>
        </w:rPr>
        <w:t xml:space="preserve"> total amount of earnings management</w:t>
      </w:r>
      <w:r w:rsidR="00226007">
        <w:rPr>
          <w:rFonts w:cs="Calibri"/>
          <w:lang w:val="en-GB"/>
        </w:rPr>
        <w:t>, be used</w:t>
      </w:r>
      <w:r w:rsidR="007556B7">
        <w:rPr>
          <w:rFonts w:cs="Calibri"/>
          <w:lang w:val="en-GB"/>
        </w:rPr>
        <w:t xml:space="preserve"> as dependent variable. </w:t>
      </w:r>
      <w:r w:rsidR="00442E5C">
        <w:rPr>
          <w:rFonts w:cs="Calibri"/>
          <w:lang w:val="en-GB"/>
        </w:rPr>
        <w:t>With the use of the multiple regressions, the influence of the variable</w:t>
      </w:r>
      <w:r w:rsidR="00A04299">
        <w:rPr>
          <w:rFonts w:cs="Calibri"/>
          <w:lang w:val="en-GB"/>
        </w:rPr>
        <w:t>s</w:t>
      </w:r>
      <w:r w:rsidR="00FD57D0">
        <w:rPr>
          <w:rFonts w:cs="Calibri"/>
          <w:lang w:val="en-GB"/>
        </w:rPr>
        <w:t xml:space="preserve"> c</w:t>
      </w:r>
      <w:r w:rsidR="00BA063C">
        <w:rPr>
          <w:rFonts w:cs="Calibri"/>
          <w:lang w:val="en-GB"/>
        </w:rPr>
        <w:t xml:space="preserve">ountry, </w:t>
      </w:r>
      <w:r w:rsidR="00FD57D0">
        <w:rPr>
          <w:rFonts w:cs="Calibri"/>
          <w:lang w:val="en-GB"/>
        </w:rPr>
        <w:t>a</w:t>
      </w:r>
      <w:r w:rsidR="00442E5C">
        <w:rPr>
          <w:rFonts w:cs="Calibri"/>
          <w:lang w:val="en-GB"/>
        </w:rPr>
        <w:t xml:space="preserve">ccounting </w:t>
      </w:r>
      <w:r w:rsidR="00FD57D0">
        <w:rPr>
          <w:rFonts w:cs="Calibri"/>
          <w:lang w:val="en-GB"/>
        </w:rPr>
        <w:t>s</w:t>
      </w:r>
      <w:r w:rsidR="00442E5C">
        <w:rPr>
          <w:rFonts w:cs="Calibri"/>
          <w:lang w:val="en-GB"/>
        </w:rPr>
        <w:t xml:space="preserve">tandard and </w:t>
      </w:r>
      <w:r w:rsidR="00FD57D0">
        <w:rPr>
          <w:rFonts w:cs="Calibri"/>
          <w:lang w:val="en-GB"/>
        </w:rPr>
        <w:t>s</w:t>
      </w:r>
      <w:r w:rsidR="00442E5C">
        <w:rPr>
          <w:rFonts w:cs="Calibri"/>
          <w:lang w:val="en-GB"/>
        </w:rPr>
        <w:t xml:space="preserve">ize is checked on the total amount of earnings management, accruals-based and real earnings management. </w:t>
      </w:r>
    </w:p>
    <w:p w:rsidR="00AB438D" w:rsidRDefault="00AB438D" w:rsidP="00F5124E">
      <w:pPr>
        <w:spacing w:line="360" w:lineRule="auto"/>
        <w:rPr>
          <w:rFonts w:cs="Calibri"/>
          <w:lang w:val="en-GB"/>
        </w:rPr>
      </w:pPr>
      <w:r w:rsidRPr="00AB438D">
        <w:rPr>
          <w:rFonts w:cs="Calibri"/>
          <w:b/>
          <w:lang w:val="en-GB"/>
        </w:rPr>
        <w:t>6.3 Multiple regression</w:t>
      </w:r>
      <w:r w:rsidR="002921EB">
        <w:rPr>
          <w:rFonts w:cs="Calibri"/>
          <w:b/>
          <w:lang w:val="en-GB"/>
        </w:rPr>
        <w:t xml:space="preserve"> analysis</w:t>
      </w:r>
      <w:r>
        <w:rPr>
          <w:rFonts w:cs="Calibri"/>
          <w:b/>
          <w:lang w:val="en-GB"/>
        </w:rPr>
        <w:br/>
      </w:r>
      <w:r w:rsidR="002257D6">
        <w:rPr>
          <w:rFonts w:cs="Calibri"/>
          <w:lang w:val="en-GB"/>
        </w:rPr>
        <w:t xml:space="preserve">The last step </w:t>
      </w:r>
      <w:r w:rsidR="0037728F">
        <w:rPr>
          <w:rFonts w:cs="Calibri"/>
          <w:lang w:val="en-GB"/>
        </w:rPr>
        <w:t>concerning</w:t>
      </w:r>
      <w:r w:rsidR="00850242">
        <w:rPr>
          <w:rFonts w:cs="Calibri"/>
          <w:lang w:val="en-GB"/>
        </w:rPr>
        <w:t xml:space="preserve"> th</w:t>
      </w:r>
      <w:r w:rsidR="0037728F">
        <w:rPr>
          <w:rFonts w:cs="Calibri"/>
          <w:lang w:val="en-GB"/>
        </w:rPr>
        <w:t>is</w:t>
      </w:r>
      <w:r w:rsidR="00850242">
        <w:rPr>
          <w:rFonts w:cs="Calibri"/>
          <w:lang w:val="en-GB"/>
        </w:rPr>
        <w:t xml:space="preserve"> research is performing </w:t>
      </w:r>
      <w:r w:rsidR="0037728F">
        <w:rPr>
          <w:rFonts w:cs="Calibri"/>
          <w:lang w:val="en-GB"/>
        </w:rPr>
        <w:t xml:space="preserve">the </w:t>
      </w:r>
      <w:r w:rsidRPr="00AB438D">
        <w:rPr>
          <w:rFonts w:cs="Calibri"/>
          <w:lang w:val="en-GB"/>
        </w:rPr>
        <w:t>multiple regression</w:t>
      </w:r>
      <w:r w:rsidR="00850242">
        <w:rPr>
          <w:rFonts w:cs="Calibri"/>
          <w:lang w:val="en-GB"/>
        </w:rPr>
        <w:t>s</w:t>
      </w:r>
      <w:r w:rsidRPr="00AB438D">
        <w:rPr>
          <w:rFonts w:cs="Calibri"/>
          <w:lang w:val="en-GB"/>
        </w:rPr>
        <w:t xml:space="preserve"> based on</w:t>
      </w:r>
      <w:r w:rsidR="0037728F">
        <w:rPr>
          <w:rFonts w:cs="Calibri"/>
          <w:lang w:val="en-GB"/>
        </w:rPr>
        <w:t xml:space="preserve"> the research by</w:t>
      </w:r>
      <w:r w:rsidRPr="00AB438D">
        <w:rPr>
          <w:rFonts w:cs="Calibri"/>
          <w:lang w:val="en-GB"/>
        </w:rPr>
        <w:t xml:space="preserve"> Heemskerk and van der Tas (2006)</w:t>
      </w:r>
      <w:r w:rsidR="002257D6">
        <w:rPr>
          <w:rFonts w:cs="Calibri"/>
          <w:lang w:val="en-GB"/>
        </w:rPr>
        <w:t xml:space="preserve"> and analysing the results</w:t>
      </w:r>
      <w:r w:rsidR="0037728F">
        <w:rPr>
          <w:rFonts w:cs="Calibri"/>
          <w:lang w:val="en-GB"/>
        </w:rPr>
        <w:t xml:space="preserve"> in chapter 7</w:t>
      </w:r>
      <w:r w:rsidRPr="00AB438D">
        <w:rPr>
          <w:rFonts w:cs="Calibri"/>
          <w:lang w:val="en-GB"/>
        </w:rPr>
        <w:t xml:space="preserve">. With the use of the multiple regression analysis, the influence of </w:t>
      </w:r>
      <w:r w:rsidR="00850242">
        <w:rPr>
          <w:rFonts w:cs="Calibri"/>
          <w:lang w:val="en-GB"/>
        </w:rPr>
        <w:t xml:space="preserve">the </w:t>
      </w:r>
      <w:r w:rsidRPr="00AB438D">
        <w:rPr>
          <w:rFonts w:cs="Calibri"/>
          <w:lang w:val="en-GB"/>
        </w:rPr>
        <w:t>independent variables</w:t>
      </w:r>
      <w:r w:rsidR="005C7BDF">
        <w:rPr>
          <w:rFonts w:cs="Calibri"/>
          <w:lang w:val="en-GB"/>
        </w:rPr>
        <w:t xml:space="preserve"> </w:t>
      </w:r>
      <w:r w:rsidR="002257D6">
        <w:rPr>
          <w:rFonts w:cs="Calibri"/>
          <w:lang w:val="en-GB"/>
        </w:rPr>
        <w:t>A</w:t>
      </w:r>
      <w:r w:rsidRPr="00AB438D">
        <w:rPr>
          <w:rFonts w:cs="Calibri"/>
          <w:lang w:val="en-GB"/>
        </w:rPr>
        <w:t>ccounti</w:t>
      </w:r>
      <w:r w:rsidR="005C7BDF">
        <w:rPr>
          <w:rFonts w:cs="Calibri"/>
          <w:lang w:val="en-GB"/>
        </w:rPr>
        <w:t xml:space="preserve">ng </w:t>
      </w:r>
      <w:r w:rsidR="002257D6">
        <w:rPr>
          <w:rFonts w:cs="Calibri"/>
          <w:lang w:val="en-GB"/>
        </w:rPr>
        <w:t>S</w:t>
      </w:r>
      <w:r w:rsidR="005C7BDF">
        <w:rPr>
          <w:rFonts w:cs="Calibri"/>
          <w:lang w:val="en-GB"/>
        </w:rPr>
        <w:t xml:space="preserve">tandard, </w:t>
      </w:r>
      <w:r w:rsidR="002257D6">
        <w:rPr>
          <w:rFonts w:cs="Calibri"/>
          <w:lang w:val="en-GB"/>
        </w:rPr>
        <w:t>C</w:t>
      </w:r>
      <w:r w:rsidRPr="00AB438D">
        <w:rPr>
          <w:rFonts w:cs="Calibri"/>
          <w:lang w:val="en-GB"/>
        </w:rPr>
        <w:t>ountry</w:t>
      </w:r>
      <w:r w:rsidR="00781154">
        <w:rPr>
          <w:rFonts w:cs="Calibri"/>
          <w:lang w:val="en-GB"/>
        </w:rPr>
        <w:t xml:space="preserve"> and </w:t>
      </w:r>
      <w:r w:rsidR="00E277DD">
        <w:rPr>
          <w:rFonts w:cs="Calibri"/>
          <w:lang w:val="en-GB"/>
        </w:rPr>
        <w:t>S</w:t>
      </w:r>
      <w:r w:rsidR="005C7BDF">
        <w:rPr>
          <w:rFonts w:cs="Calibri"/>
          <w:lang w:val="en-GB"/>
        </w:rPr>
        <w:t>ize</w:t>
      </w:r>
      <w:r w:rsidR="00442E5C">
        <w:rPr>
          <w:rFonts w:cs="Calibri"/>
          <w:lang w:val="en-GB"/>
        </w:rPr>
        <w:t xml:space="preserve"> on the dependent variables t</w:t>
      </w:r>
      <w:r w:rsidRPr="00AB438D">
        <w:rPr>
          <w:rFonts w:cs="Calibri"/>
          <w:lang w:val="en-GB"/>
        </w:rPr>
        <w:t xml:space="preserve">otal </w:t>
      </w:r>
      <w:r w:rsidR="00850242">
        <w:rPr>
          <w:rFonts w:cs="Calibri"/>
          <w:lang w:val="en-GB"/>
        </w:rPr>
        <w:t xml:space="preserve">amount of </w:t>
      </w:r>
      <w:r w:rsidR="00442E5C">
        <w:rPr>
          <w:rFonts w:cs="Calibri"/>
          <w:lang w:val="en-GB"/>
        </w:rPr>
        <w:t>e</w:t>
      </w:r>
      <w:r w:rsidRPr="00AB438D">
        <w:rPr>
          <w:rFonts w:cs="Calibri"/>
          <w:lang w:val="en-GB"/>
        </w:rPr>
        <w:t xml:space="preserve">arnings </w:t>
      </w:r>
      <w:r w:rsidR="00442E5C">
        <w:rPr>
          <w:rFonts w:cs="Calibri"/>
          <w:lang w:val="en-GB"/>
        </w:rPr>
        <w:t>m</w:t>
      </w:r>
      <w:r w:rsidR="00781154">
        <w:rPr>
          <w:rFonts w:cs="Calibri"/>
          <w:lang w:val="en-GB"/>
        </w:rPr>
        <w:t xml:space="preserve">anagement, </w:t>
      </w:r>
      <w:r w:rsidR="00442E5C">
        <w:rPr>
          <w:rFonts w:cs="Calibri"/>
          <w:lang w:val="en-GB"/>
        </w:rPr>
        <w:t>a</w:t>
      </w:r>
      <w:r w:rsidR="00781154">
        <w:rPr>
          <w:rFonts w:cs="Calibri"/>
          <w:lang w:val="en-GB"/>
        </w:rPr>
        <w:t xml:space="preserve">ccruals-based and </w:t>
      </w:r>
      <w:r w:rsidR="00442E5C">
        <w:rPr>
          <w:rFonts w:cs="Calibri"/>
          <w:lang w:val="en-GB"/>
        </w:rPr>
        <w:t>r</w:t>
      </w:r>
      <w:r w:rsidR="00781154">
        <w:rPr>
          <w:rFonts w:cs="Calibri"/>
          <w:lang w:val="en-GB"/>
        </w:rPr>
        <w:t xml:space="preserve">eal </w:t>
      </w:r>
      <w:r w:rsidR="00442E5C">
        <w:rPr>
          <w:rFonts w:cs="Calibri"/>
          <w:lang w:val="en-GB"/>
        </w:rPr>
        <w:t>e</w:t>
      </w:r>
      <w:r w:rsidRPr="00AB438D">
        <w:rPr>
          <w:rFonts w:cs="Calibri"/>
          <w:lang w:val="en-GB"/>
        </w:rPr>
        <w:t xml:space="preserve">arnings </w:t>
      </w:r>
      <w:r w:rsidR="00442E5C">
        <w:rPr>
          <w:rFonts w:cs="Calibri"/>
          <w:lang w:val="en-GB"/>
        </w:rPr>
        <w:t>m</w:t>
      </w:r>
      <w:r w:rsidRPr="00AB438D">
        <w:rPr>
          <w:rFonts w:cs="Calibri"/>
          <w:lang w:val="en-GB"/>
        </w:rPr>
        <w:t xml:space="preserve">anagement </w:t>
      </w:r>
      <w:r w:rsidR="0037728F">
        <w:rPr>
          <w:rFonts w:cs="Calibri"/>
          <w:lang w:val="en-GB"/>
        </w:rPr>
        <w:t>will be</w:t>
      </w:r>
      <w:r w:rsidRPr="00AB438D">
        <w:rPr>
          <w:rFonts w:cs="Calibri"/>
          <w:lang w:val="en-GB"/>
        </w:rPr>
        <w:t xml:space="preserve"> examined. </w:t>
      </w:r>
    </w:p>
    <w:p w:rsidR="007E7C37" w:rsidRDefault="007E7C37" w:rsidP="007E7C37">
      <w:pPr>
        <w:spacing w:line="360" w:lineRule="auto"/>
        <w:rPr>
          <w:rFonts w:cs="Calibri"/>
          <w:lang w:val="en-GB"/>
        </w:rPr>
      </w:pPr>
      <w:r>
        <w:rPr>
          <w:rFonts w:cs="Calibri"/>
          <w:lang w:val="en-GB"/>
        </w:rPr>
        <w:t>The total amount of</w:t>
      </w:r>
      <w:r w:rsidR="007F6943">
        <w:rPr>
          <w:rFonts w:cs="Calibri"/>
          <w:lang w:val="en-GB"/>
        </w:rPr>
        <w:t xml:space="preserve"> the use of</w:t>
      </w:r>
      <w:r>
        <w:rPr>
          <w:rFonts w:cs="Calibri"/>
          <w:lang w:val="en-GB"/>
        </w:rPr>
        <w:t xml:space="preserve"> earnings management is determined by </w:t>
      </w:r>
      <w:r w:rsidR="007F6943">
        <w:rPr>
          <w:rFonts w:cs="Calibri"/>
          <w:lang w:val="en-GB"/>
        </w:rPr>
        <w:t>using</w:t>
      </w:r>
      <w:r>
        <w:rPr>
          <w:rFonts w:cs="Calibri"/>
          <w:lang w:val="en-GB"/>
        </w:rPr>
        <w:t xml:space="preserve"> the sum of the amount of accruals-based and </w:t>
      </w:r>
      <w:r w:rsidR="007F6943">
        <w:rPr>
          <w:rFonts w:cs="Calibri"/>
          <w:lang w:val="en-GB"/>
        </w:rPr>
        <w:t xml:space="preserve">the use of </w:t>
      </w:r>
      <w:r>
        <w:rPr>
          <w:rFonts w:cs="Calibri"/>
          <w:lang w:val="en-GB"/>
        </w:rPr>
        <w:t>real earnings management. The average amount of all</w:t>
      </w:r>
      <w:r w:rsidR="007F6943">
        <w:rPr>
          <w:rFonts w:cs="Calibri"/>
          <w:lang w:val="en-GB"/>
        </w:rPr>
        <w:t xml:space="preserve"> the</w:t>
      </w:r>
      <w:r>
        <w:rPr>
          <w:rFonts w:cs="Calibri"/>
          <w:lang w:val="en-GB"/>
        </w:rPr>
        <w:t xml:space="preserve"> real earnings management indicating variables together with the amount of accruals-based earnings management is the total amount of earnings management. Because the amount of </w:t>
      </w:r>
      <w:r w:rsidR="007F6943">
        <w:rPr>
          <w:rFonts w:cs="Calibri"/>
          <w:lang w:val="en-GB"/>
        </w:rPr>
        <w:t>the use of</w:t>
      </w:r>
      <w:r>
        <w:rPr>
          <w:rFonts w:cs="Calibri"/>
          <w:lang w:val="en-GB"/>
        </w:rPr>
        <w:t>earnings management can be both negative and positive, the absolute value</w:t>
      </w:r>
      <w:r w:rsidR="007F6943">
        <w:rPr>
          <w:rFonts w:cs="Calibri"/>
          <w:lang w:val="en-GB"/>
        </w:rPr>
        <w:t xml:space="preserve"> in the regression</w:t>
      </w:r>
      <w:r w:rsidR="00E277DD">
        <w:rPr>
          <w:rFonts w:cs="Calibri"/>
          <w:lang w:val="en-GB"/>
        </w:rPr>
        <w:t xml:space="preserve"> </w:t>
      </w:r>
      <w:r>
        <w:rPr>
          <w:rFonts w:cs="Calibri"/>
          <w:lang w:val="en-GB"/>
        </w:rPr>
        <w:t>is used (Heemskerk and van der Tas 2006, p</w:t>
      </w:r>
      <w:r w:rsidR="00E277DD">
        <w:rPr>
          <w:rFonts w:cs="Calibri"/>
          <w:lang w:val="en-GB"/>
        </w:rPr>
        <w:t xml:space="preserve"> </w:t>
      </w:r>
      <w:r>
        <w:rPr>
          <w:rFonts w:cs="Calibri"/>
          <w:lang w:val="en-GB"/>
        </w:rPr>
        <w:t xml:space="preserve">576). </w:t>
      </w:r>
    </w:p>
    <w:p w:rsidR="001F2203" w:rsidRDefault="00226007" w:rsidP="007E7C37">
      <w:pPr>
        <w:spacing w:line="360" w:lineRule="auto"/>
        <w:rPr>
          <w:rFonts w:cs="Calibri"/>
          <w:lang w:val="en-GB"/>
        </w:rPr>
      </w:pPr>
      <w:r>
        <w:rPr>
          <w:rFonts w:cs="Calibri"/>
          <w:lang w:val="en-GB"/>
        </w:rPr>
        <w:t xml:space="preserve">This total amount of earnings management is used as dependent variable and </w:t>
      </w:r>
      <w:r w:rsidR="007F6943">
        <w:rPr>
          <w:rFonts w:cs="Calibri"/>
          <w:lang w:val="en-GB"/>
        </w:rPr>
        <w:t xml:space="preserve">will be </w:t>
      </w:r>
      <w:r w:rsidR="00C72C2F">
        <w:rPr>
          <w:rFonts w:cs="Calibri"/>
          <w:lang w:val="en-GB"/>
        </w:rPr>
        <w:t>teste</w:t>
      </w:r>
      <w:r w:rsidR="00850242">
        <w:rPr>
          <w:rFonts w:cs="Calibri"/>
          <w:lang w:val="en-GB"/>
        </w:rPr>
        <w:t xml:space="preserve">d by the independent variables </w:t>
      </w:r>
      <w:r w:rsidR="005A76BE">
        <w:rPr>
          <w:rFonts w:cs="Calibri"/>
          <w:lang w:val="en-GB"/>
        </w:rPr>
        <w:t>c</w:t>
      </w:r>
      <w:r w:rsidR="00850242">
        <w:rPr>
          <w:rFonts w:cs="Calibri"/>
          <w:lang w:val="en-GB"/>
        </w:rPr>
        <w:t xml:space="preserve">ountry, </w:t>
      </w:r>
      <w:r w:rsidR="005A76BE">
        <w:rPr>
          <w:rFonts w:cs="Calibri"/>
          <w:lang w:val="en-GB"/>
        </w:rPr>
        <w:t>a</w:t>
      </w:r>
      <w:r w:rsidR="00C72C2F">
        <w:rPr>
          <w:rFonts w:cs="Calibri"/>
          <w:lang w:val="en-GB"/>
        </w:rPr>
        <w:t xml:space="preserve">ccounting </w:t>
      </w:r>
      <w:r w:rsidR="005A76BE">
        <w:rPr>
          <w:rFonts w:cs="Calibri"/>
          <w:lang w:val="en-GB"/>
        </w:rPr>
        <w:t>s</w:t>
      </w:r>
      <w:r w:rsidR="00C72C2F">
        <w:rPr>
          <w:rFonts w:cs="Calibri"/>
          <w:lang w:val="en-GB"/>
        </w:rPr>
        <w:t xml:space="preserve">tandard and </w:t>
      </w:r>
      <w:r w:rsidR="005A76BE">
        <w:rPr>
          <w:rFonts w:cs="Calibri"/>
          <w:lang w:val="en-GB"/>
        </w:rPr>
        <w:t>s</w:t>
      </w:r>
      <w:r w:rsidR="00C72C2F">
        <w:rPr>
          <w:rFonts w:cs="Calibri"/>
          <w:lang w:val="en-GB"/>
        </w:rPr>
        <w:t xml:space="preserve">ize. </w:t>
      </w:r>
      <w:r w:rsidR="001F2203">
        <w:rPr>
          <w:rFonts w:cs="Calibri"/>
          <w:lang w:val="en-GB"/>
        </w:rPr>
        <w:t xml:space="preserve">The independent variable country </w:t>
      </w:r>
      <w:r w:rsidR="007F6943">
        <w:rPr>
          <w:rFonts w:cs="Calibri"/>
          <w:lang w:val="en-GB"/>
        </w:rPr>
        <w:t>investigates</w:t>
      </w:r>
      <w:r w:rsidR="001F2203">
        <w:rPr>
          <w:rFonts w:cs="Calibri"/>
          <w:lang w:val="en-GB"/>
        </w:rPr>
        <w:t xml:space="preserve"> the influence of</w:t>
      </w:r>
      <w:r w:rsidR="005A76BE">
        <w:rPr>
          <w:rFonts w:cs="Calibri"/>
          <w:lang w:val="en-GB"/>
        </w:rPr>
        <w:t xml:space="preserve"> </w:t>
      </w:r>
      <w:r w:rsidR="007F6943">
        <w:rPr>
          <w:rFonts w:cs="Calibri"/>
          <w:lang w:val="en-GB"/>
        </w:rPr>
        <w:t>a significant difference exists</w:t>
      </w:r>
      <w:r w:rsidR="005A76BE">
        <w:rPr>
          <w:rFonts w:cs="Calibri"/>
          <w:lang w:val="en-GB"/>
        </w:rPr>
        <w:t xml:space="preserve"> in the use of earnings management in The Netherlands compared to Belgium and France. Because the number of companies from Belgium is not large as will be </w:t>
      </w:r>
      <w:r w:rsidR="00FD57D0">
        <w:rPr>
          <w:rFonts w:cs="Calibri"/>
          <w:lang w:val="en-GB"/>
        </w:rPr>
        <w:t>commented</w:t>
      </w:r>
      <w:r w:rsidR="005A76BE">
        <w:rPr>
          <w:rFonts w:cs="Calibri"/>
          <w:lang w:val="en-GB"/>
        </w:rPr>
        <w:t xml:space="preserve"> in the next section, the data from Belgium and France are combined. </w:t>
      </w:r>
      <w:r w:rsidR="001F2203">
        <w:rPr>
          <w:rFonts w:cs="Calibri"/>
          <w:lang w:val="en-GB"/>
        </w:rPr>
        <w:t xml:space="preserve">This in combination with the distinction of The Netherlands compared to Belgium and France when </w:t>
      </w:r>
      <w:r w:rsidR="007F6943">
        <w:rPr>
          <w:rFonts w:cs="Calibri"/>
          <w:lang w:val="en-GB"/>
        </w:rPr>
        <w:t>investigating</w:t>
      </w:r>
      <w:r w:rsidR="001F2203">
        <w:rPr>
          <w:rFonts w:cs="Calibri"/>
          <w:lang w:val="en-GB"/>
        </w:rPr>
        <w:t xml:space="preserve"> the</w:t>
      </w:r>
      <w:r w:rsidR="005A76BE">
        <w:rPr>
          <w:rFonts w:cs="Calibri"/>
          <w:lang w:val="en-GB"/>
        </w:rPr>
        <w:t xml:space="preserve"> specific</w:t>
      </w:r>
      <w:r w:rsidR="001F2203">
        <w:rPr>
          <w:rFonts w:cs="Calibri"/>
          <w:lang w:val="en-GB"/>
        </w:rPr>
        <w:t xml:space="preserve"> factors of </w:t>
      </w:r>
      <w:r w:rsidR="007F6943">
        <w:rPr>
          <w:rFonts w:cs="Calibri"/>
          <w:lang w:val="en-GB"/>
        </w:rPr>
        <w:t xml:space="preserve">the </w:t>
      </w:r>
      <w:r w:rsidR="001F2203">
        <w:rPr>
          <w:rFonts w:cs="Calibri"/>
          <w:lang w:val="en-GB"/>
        </w:rPr>
        <w:t xml:space="preserve">French Civil law countries according to La Porta et al. (1998) </w:t>
      </w:r>
      <w:r w:rsidR="005A76BE">
        <w:rPr>
          <w:rFonts w:cs="Calibri"/>
          <w:lang w:val="en-GB"/>
        </w:rPr>
        <w:t xml:space="preserve">as </w:t>
      </w:r>
      <w:r w:rsidR="007F6943">
        <w:rPr>
          <w:rFonts w:cs="Calibri"/>
          <w:lang w:val="en-GB"/>
        </w:rPr>
        <w:t>signalled</w:t>
      </w:r>
      <w:r w:rsidR="005A76BE">
        <w:rPr>
          <w:rFonts w:cs="Calibri"/>
          <w:lang w:val="en-GB"/>
        </w:rPr>
        <w:t xml:space="preserve"> in section 4.3, </w:t>
      </w:r>
      <w:r w:rsidR="007F6943">
        <w:rPr>
          <w:rFonts w:cs="Calibri"/>
          <w:lang w:val="en-GB"/>
        </w:rPr>
        <w:t>substantiated the</w:t>
      </w:r>
      <w:r w:rsidR="005A76BE">
        <w:rPr>
          <w:rFonts w:cs="Calibri"/>
          <w:lang w:val="en-GB"/>
        </w:rPr>
        <w:t xml:space="preserve"> decision to combine Belgium and France.</w:t>
      </w:r>
      <w:r w:rsidR="001F2203">
        <w:rPr>
          <w:rFonts w:cs="Calibri"/>
          <w:lang w:val="en-GB"/>
        </w:rPr>
        <w:t xml:space="preserve"> </w:t>
      </w:r>
      <w:r w:rsidR="003D5D78">
        <w:rPr>
          <w:rFonts w:cs="Calibri"/>
          <w:lang w:val="en-GB"/>
        </w:rPr>
        <w:t>Consequently</w:t>
      </w:r>
      <w:r w:rsidR="001F2203">
        <w:rPr>
          <w:rFonts w:cs="Calibri"/>
          <w:lang w:val="en-GB"/>
        </w:rPr>
        <w:t xml:space="preserve">, the multiple regression for the total amount of earnings management will be: </w:t>
      </w:r>
    </w:p>
    <w:p w:rsidR="00AB438D" w:rsidRDefault="00AB438D" w:rsidP="00F5124E">
      <w:pPr>
        <w:spacing w:line="360" w:lineRule="auto"/>
        <w:rPr>
          <w:rFonts w:cs="Calibri"/>
          <w:b/>
          <w:sz w:val="28"/>
          <w:szCs w:val="28"/>
          <w:lang w:val="en-GB"/>
        </w:rPr>
      </w:pPr>
      <w:r w:rsidRPr="002921EB">
        <w:rPr>
          <w:rFonts w:cs="Calibri"/>
          <w:b/>
          <w:sz w:val="28"/>
          <w:szCs w:val="28"/>
          <w:lang w:val="en-GB"/>
        </w:rPr>
        <w:t>| TotalEM (i,t) | = γ</w:t>
      </w:r>
      <w:r w:rsidR="002921EB" w:rsidRPr="002921EB">
        <w:rPr>
          <w:rFonts w:cs="Calibri"/>
          <w:b/>
          <w:sz w:val="28"/>
          <w:szCs w:val="28"/>
          <w:lang w:val="en-GB"/>
        </w:rPr>
        <w:t>1 + γ2 (</w:t>
      </w:r>
      <w:r w:rsidR="00371D40">
        <w:rPr>
          <w:rFonts w:cs="Calibri"/>
          <w:b/>
          <w:sz w:val="28"/>
          <w:szCs w:val="28"/>
          <w:lang w:val="en-GB"/>
        </w:rPr>
        <w:t>Country</w:t>
      </w:r>
      <w:r w:rsidR="002921EB" w:rsidRPr="002921EB">
        <w:rPr>
          <w:rFonts w:cs="Calibri"/>
          <w:b/>
          <w:sz w:val="28"/>
          <w:szCs w:val="28"/>
          <w:lang w:val="en-GB"/>
        </w:rPr>
        <w:t>) + γ3 (</w:t>
      </w:r>
      <w:r w:rsidR="00371D40">
        <w:rPr>
          <w:rFonts w:cs="Calibri"/>
          <w:b/>
          <w:sz w:val="28"/>
          <w:szCs w:val="28"/>
          <w:lang w:val="en-GB"/>
        </w:rPr>
        <w:t>Standard</w:t>
      </w:r>
      <w:r w:rsidR="002921EB" w:rsidRPr="002921EB">
        <w:rPr>
          <w:rFonts w:cs="Calibri"/>
          <w:b/>
          <w:sz w:val="28"/>
          <w:szCs w:val="28"/>
          <w:lang w:val="en-GB"/>
        </w:rPr>
        <w:t>) + γ4 (Size) + ε</w:t>
      </w:r>
    </w:p>
    <w:p w:rsidR="002921EB" w:rsidRPr="001F2203" w:rsidRDefault="002921EB" w:rsidP="00F5124E">
      <w:pPr>
        <w:spacing w:line="360" w:lineRule="auto"/>
        <w:rPr>
          <w:rFonts w:cs="Calibri"/>
          <w:b/>
          <w:lang w:val="en-GB"/>
        </w:rPr>
      </w:pPr>
      <w:r w:rsidRPr="001F2203">
        <w:rPr>
          <w:rFonts w:cs="Calibri"/>
          <w:b/>
          <w:lang w:val="en-GB"/>
        </w:rPr>
        <w:t xml:space="preserve">| TotalEM (i,t) | = </w:t>
      </w:r>
      <w:r w:rsidR="00ED0926" w:rsidRPr="001F2203">
        <w:rPr>
          <w:rFonts w:cs="Calibri"/>
          <w:b/>
          <w:lang w:val="en-GB"/>
        </w:rPr>
        <w:t xml:space="preserve">the </w:t>
      </w:r>
      <w:r w:rsidRPr="001F2203">
        <w:rPr>
          <w:rFonts w:cs="Calibri"/>
          <w:b/>
          <w:lang w:val="en-GB"/>
        </w:rPr>
        <w:t xml:space="preserve">absolute value of the total amount of earnings management, </w:t>
      </w:r>
      <w:r w:rsidR="00882040">
        <w:rPr>
          <w:rFonts w:cs="Calibri"/>
          <w:b/>
          <w:lang w:val="en-GB"/>
        </w:rPr>
        <w:t>scaled</w:t>
      </w:r>
      <w:r w:rsidRPr="001F2203">
        <w:rPr>
          <w:rFonts w:cs="Calibri"/>
          <w:b/>
          <w:lang w:val="en-GB"/>
        </w:rPr>
        <w:t xml:space="preserve"> by </w:t>
      </w:r>
      <w:r w:rsidR="00371D40">
        <w:rPr>
          <w:rFonts w:cs="Calibri"/>
          <w:b/>
          <w:lang w:val="en-GB"/>
        </w:rPr>
        <w:tab/>
      </w:r>
      <w:r w:rsidR="00371D40">
        <w:rPr>
          <w:rFonts w:cs="Calibri"/>
          <w:b/>
          <w:lang w:val="en-GB"/>
        </w:rPr>
        <w:tab/>
        <w:t xml:space="preserve">     </w:t>
      </w:r>
      <w:r w:rsidRPr="001F2203">
        <w:rPr>
          <w:rFonts w:cs="Calibri"/>
          <w:b/>
          <w:lang w:val="en-GB"/>
        </w:rPr>
        <w:t xml:space="preserve">assets </w:t>
      </w:r>
      <w:r w:rsidR="00ED0926" w:rsidRPr="001F2203">
        <w:rPr>
          <w:rFonts w:cs="Calibri"/>
          <w:b/>
          <w:lang w:val="en-GB"/>
        </w:rPr>
        <w:t xml:space="preserve">in </w:t>
      </w:r>
      <w:r w:rsidRPr="001F2203">
        <w:rPr>
          <w:rFonts w:cs="Calibri"/>
          <w:b/>
          <w:lang w:val="en-GB"/>
        </w:rPr>
        <w:t>the previous period</w:t>
      </w:r>
      <w:r w:rsidR="00371D40">
        <w:rPr>
          <w:rFonts w:cs="Calibri"/>
          <w:b/>
          <w:lang w:val="en-GB"/>
        </w:rPr>
        <w:br/>
      </w:r>
      <w:r w:rsidR="005C7BDF">
        <w:rPr>
          <w:rFonts w:cs="Calibri"/>
          <w:b/>
          <w:lang w:val="en-GB"/>
        </w:rPr>
        <w:t xml:space="preserve">Country = Country investigated </w:t>
      </w:r>
      <w:r w:rsidR="00371D40" w:rsidRPr="001F2203">
        <w:rPr>
          <w:rFonts w:cs="Calibri"/>
          <w:b/>
          <w:lang w:val="en-GB"/>
        </w:rPr>
        <w:t>(0 = The Netherlands  1 = Belgium &amp; France)</w:t>
      </w:r>
      <w:r w:rsidR="0065301F">
        <w:rPr>
          <w:rFonts w:cs="Calibri"/>
          <w:b/>
          <w:lang w:val="en-GB"/>
        </w:rPr>
        <w:br/>
      </w:r>
      <w:r w:rsidR="0065301F">
        <w:rPr>
          <w:rFonts w:cs="Calibri"/>
          <w:b/>
          <w:lang w:val="en-GB"/>
        </w:rPr>
        <w:lastRenderedPageBreak/>
        <w:t>Standard = Accounting S</w:t>
      </w:r>
      <w:r w:rsidR="005C7BDF">
        <w:rPr>
          <w:rFonts w:cs="Calibri"/>
          <w:b/>
          <w:lang w:val="en-GB"/>
        </w:rPr>
        <w:t xml:space="preserve">tandard </w:t>
      </w:r>
      <w:r w:rsidRPr="001F2203">
        <w:rPr>
          <w:rFonts w:cs="Calibri"/>
          <w:b/>
          <w:lang w:val="en-GB"/>
        </w:rPr>
        <w:t>(0 = local GAAP  1 = IFRS)</w:t>
      </w:r>
      <w:r w:rsidRPr="001F2203">
        <w:rPr>
          <w:rFonts w:cs="Calibri"/>
          <w:b/>
          <w:lang w:val="en-GB"/>
        </w:rPr>
        <w:br/>
        <w:t>Size = The company size, distinction by total assets</w:t>
      </w:r>
      <w:r w:rsidR="005C7BDF">
        <w:rPr>
          <w:rFonts w:cs="Calibri"/>
          <w:b/>
          <w:lang w:val="en-GB"/>
        </w:rPr>
        <w:t xml:space="preserve"> </w:t>
      </w:r>
      <w:r w:rsidRPr="001F2203">
        <w:rPr>
          <w:rFonts w:cs="Calibri"/>
          <w:b/>
          <w:lang w:val="en-GB"/>
        </w:rPr>
        <w:t xml:space="preserve">(0 = small  1 = large) </w:t>
      </w:r>
      <w:r w:rsidR="005A76BE">
        <w:rPr>
          <w:rFonts w:cs="Calibri"/>
          <w:b/>
          <w:lang w:val="en-GB"/>
        </w:rPr>
        <w:br/>
      </w:r>
      <w:r w:rsidR="005A76BE" w:rsidRPr="001F2203">
        <w:rPr>
          <w:rFonts w:cs="Calibri"/>
          <w:b/>
          <w:lang w:val="en-GB"/>
        </w:rPr>
        <w:t>γ1, γ2, γ3, γ4 = regression coefficients</w:t>
      </w:r>
      <w:r w:rsidR="005A76BE" w:rsidRPr="001F2203">
        <w:rPr>
          <w:rFonts w:cs="Calibri"/>
          <w:b/>
          <w:lang w:val="en-GB"/>
        </w:rPr>
        <w:br/>
      </w:r>
      <w:r w:rsidRPr="001F2203">
        <w:rPr>
          <w:rFonts w:cs="Calibri"/>
          <w:b/>
          <w:lang w:val="en-GB"/>
        </w:rPr>
        <w:t>ε = error term</w:t>
      </w:r>
      <w:r w:rsidRPr="001F2203">
        <w:rPr>
          <w:rFonts w:cs="Calibri"/>
          <w:b/>
          <w:lang w:val="en-GB"/>
        </w:rPr>
        <w:br/>
        <w:t>t = year index, year 2002-2007</w:t>
      </w:r>
      <w:r w:rsidRPr="001F2203">
        <w:rPr>
          <w:rFonts w:cs="Calibri"/>
          <w:b/>
          <w:lang w:val="en-GB"/>
        </w:rPr>
        <w:br/>
        <w:t>i = firm index, range 1-95</w:t>
      </w:r>
    </w:p>
    <w:p w:rsidR="00C72C2F" w:rsidRDefault="007F6943" w:rsidP="00F5124E">
      <w:pPr>
        <w:spacing w:line="360" w:lineRule="auto"/>
        <w:rPr>
          <w:rFonts w:cs="Calibri"/>
          <w:lang w:val="en-GB"/>
        </w:rPr>
      </w:pPr>
      <w:r>
        <w:rPr>
          <w:rFonts w:cs="Calibri"/>
          <w:lang w:val="en-GB"/>
        </w:rPr>
        <w:t xml:space="preserve">In order to perform the multiple regressions, assumptions have to </w:t>
      </w:r>
      <w:r w:rsidRPr="00506807">
        <w:rPr>
          <w:rFonts w:cs="Calibri"/>
          <w:lang w:val="en-GB"/>
        </w:rPr>
        <w:t>be met.</w:t>
      </w:r>
      <w:r>
        <w:rPr>
          <w:rFonts w:cs="Calibri"/>
          <w:b/>
          <w:lang w:val="en-GB"/>
        </w:rPr>
        <w:t xml:space="preserve"> </w:t>
      </w:r>
      <w:r>
        <w:rPr>
          <w:rFonts w:cs="Calibri"/>
          <w:lang w:val="en-GB"/>
        </w:rPr>
        <w:t>These ass</w:t>
      </w:r>
      <w:r w:rsidR="00506807">
        <w:rPr>
          <w:rFonts w:cs="Calibri"/>
          <w:lang w:val="en-GB"/>
        </w:rPr>
        <w:t xml:space="preserve">umptions will be commented here. </w:t>
      </w:r>
      <w:r w:rsidR="00C72C2F">
        <w:rPr>
          <w:rFonts w:cs="Calibri"/>
          <w:lang w:val="en-GB"/>
        </w:rPr>
        <w:t xml:space="preserve">Multicollinearity and normal distribution will be checked by the table Correlations, a histogram and Normal Probability Plot. After this, the results of the regression will be </w:t>
      </w:r>
      <w:r w:rsidR="00BE0E9B">
        <w:rPr>
          <w:rFonts w:cs="Calibri"/>
          <w:lang w:val="en-GB"/>
        </w:rPr>
        <w:t>commented</w:t>
      </w:r>
      <w:r w:rsidR="00C72C2F">
        <w:rPr>
          <w:rFonts w:cs="Calibri"/>
          <w:lang w:val="en-GB"/>
        </w:rPr>
        <w:t xml:space="preserve"> by checking the Model Summary, ANOVA and Coefficients table. By checking these tables, the explanatory power, significance of the model and sign, size and significance of the coefficients are </w:t>
      </w:r>
      <w:r w:rsidR="00BE0E9B">
        <w:rPr>
          <w:rFonts w:cs="Calibri"/>
          <w:lang w:val="en-GB"/>
        </w:rPr>
        <w:t>commented</w:t>
      </w:r>
      <w:r w:rsidR="00C72C2F">
        <w:rPr>
          <w:rFonts w:cs="Calibri"/>
          <w:lang w:val="en-GB"/>
        </w:rPr>
        <w:t xml:space="preserve">. By the results of the independent variable </w:t>
      </w:r>
      <w:r w:rsidR="00850242">
        <w:rPr>
          <w:rFonts w:cs="Calibri"/>
          <w:lang w:val="en-GB"/>
        </w:rPr>
        <w:t>a</w:t>
      </w:r>
      <w:r w:rsidR="00C72C2F">
        <w:rPr>
          <w:rFonts w:cs="Calibri"/>
          <w:lang w:val="en-GB"/>
        </w:rPr>
        <w:t>c</w:t>
      </w:r>
      <w:r w:rsidR="00850242">
        <w:rPr>
          <w:rFonts w:cs="Calibri"/>
          <w:lang w:val="en-GB"/>
        </w:rPr>
        <w:t>c</w:t>
      </w:r>
      <w:r w:rsidR="00C72C2F">
        <w:rPr>
          <w:rFonts w:cs="Calibri"/>
          <w:lang w:val="en-GB"/>
        </w:rPr>
        <w:t xml:space="preserve">ounting </w:t>
      </w:r>
      <w:r w:rsidR="00850242">
        <w:rPr>
          <w:rFonts w:cs="Calibri"/>
          <w:lang w:val="en-GB"/>
        </w:rPr>
        <w:t>s</w:t>
      </w:r>
      <w:r w:rsidR="00C72C2F">
        <w:rPr>
          <w:rFonts w:cs="Calibri"/>
          <w:lang w:val="en-GB"/>
        </w:rPr>
        <w:t xml:space="preserve">tandard, will the influence of IFRS on the total amount of </w:t>
      </w:r>
      <w:r w:rsidR="00506807">
        <w:rPr>
          <w:rFonts w:cs="Calibri"/>
          <w:lang w:val="en-GB"/>
        </w:rPr>
        <w:t>the use of earnings management be checked</w:t>
      </w:r>
      <w:r w:rsidR="00C72C2F">
        <w:rPr>
          <w:rFonts w:cs="Calibri"/>
          <w:lang w:val="en-GB"/>
        </w:rPr>
        <w:t xml:space="preserve">. </w:t>
      </w:r>
    </w:p>
    <w:p w:rsidR="00C72C2F" w:rsidRDefault="00C72C2F" w:rsidP="00F5124E">
      <w:pPr>
        <w:spacing w:line="360" w:lineRule="auto"/>
        <w:rPr>
          <w:rFonts w:cs="Calibri"/>
          <w:lang w:val="en-GB"/>
        </w:rPr>
      </w:pPr>
      <w:r>
        <w:rPr>
          <w:rFonts w:cs="Calibri"/>
          <w:lang w:val="en-GB"/>
        </w:rPr>
        <w:t>The same procedure will be used for</w:t>
      </w:r>
      <w:r w:rsidR="00850242">
        <w:rPr>
          <w:rFonts w:cs="Calibri"/>
          <w:lang w:val="en-GB"/>
        </w:rPr>
        <w:t xml:space="preserve"> the multiple regressions with </w:t>
      </w:r>
      <w:r w:rsidR="00506807">
        <w:rPr>
          <w:rFonts w:cs="Calibri"/>
          <w:lang w:val="en-GB"/>
        </w:rPr>
        <w:t xml:space="preserve">the </w:t>
      </w:r>
      <w:r w:rsidR="00850242">
        <w:rPr>
          <w:rFonts w:cs="Calibri"/>
          <w:lang w:val="en-GB"/>
        </w:rPr>
        <w:t>discretionary a</w:t>
      </w:r>
      <w:r>
        <w:rPr>
          <w:rFonts w:cs="Calibri"/>
          <w:lang w:val="en-GB"/>
        </w:rPr>
        <w:t>cc</w:t>
      </w:r>
      <w:r w:rsidR="00850242">
        <w:rPr>
          <w:rFonts w:cs="Calibri"/>
          <w:lang w:val="en-GB"/>
        </w:rPr>
        <w:t>ruals and</w:t>
      </w:r>
      <w:r w:rsidR="00506807">
        <w:rPr>
          <w:rFonts w:cs="Calibri"/>
          <w:lang w:val="en-GB"/>
        </w:rPr>
        <w:t xml:space="preserve"> the</w:t>
      </w:r>
      <w:r w:rsidR="00850242">
        <w:rPr>
          <w:rFonts w:cs="Calibri"/>
          <w:lang w:val="en-GB"/>
        </w:rPr>
        <w:t xml:space="preserve"> real earnings m</w:t>
      </w:r>
      <w:r>
        <w:rPr>
          <w:rFonts w:cs="Calibri"/>
          <w:lang w:val="en-GB"/>
        </w:rPr>
        <w:t>anagement as dependent variables. First the assumptions</w:t>
      </w:r>
      <w:r w:rsidR="00506807">
        <w:rPr>
          <w:rFonts w:cs="Calibri"/>
          <w:lang w:val="en-GB"/>
        </w:rPr>
        <w:t xml:space="preserve"> will</w:t>
      </w:r>
      <w:r>
        <w:rPr>
          <w:rFonts w:cs="Calibri"/>
          <w:lang w:val="en-GB"/>
        </w:rPr>
        <w:t xml:space="preserve"> be checked, before the sign, </w:t>
      </w:r>
      <w:r w:rsidR="00506807">
        <w:rPr>
          <w:rFonts w:cs="Calibri"/>
          <w:lang w:val="en-GB"/>
        </w:rPr>
        <w:t xml:space="preserve">the </w:t>
      </w:r>
      <w:r>
        <w:rPr>
          <w:rFonts w:cs="Calibri"/>
          <w:lang w:val="en-GB"/>
        </w:rPr>
        <w:t xml:space="preserve">size and </w:t>
      </w:r>
      <w:r w:rsidR="00506807">
        <w:rPr>
          <w:rFonts w:cs="Calibri"/>
          <w:lang w:val="en-GB"/>
        </w:rPr>
        <w:t xml:space="preserve">the </w:t>
      </w:r>
      <w:r>
        <w:rPr>
          <w:rFonts w:cs="Calibri"/>
          <w:lang w:val="en-GB"/>
        </w:rPr>
        <w:t xml:space="preserve">significance of the coefficients are </w:t>
      </w:r>
      <w:r w:rsidR="00BE0E9B">
        <w:rPr>
          <w:rFonts w:cs="Calibri"/>
          <w:lang w:val="en-GB"/>
        </w:rPr>
        <w:t>commented</w:t>
      </w:r>
      <w:r>
        <w:rPr>
          <w:rFonts w:cs="Calibri"/>
          <w:lang w:val="en-GB"/>
        </w:rPr>
        <w:t>.</w:t>
      </w:r>
      <w:r w:rsidR="0065301F">
        <w:rPr>
          <w:rFonts w:cs="Calibri"/>
          <w:lang w:val="en-GB"/>
        </w:rPr>
        <w:t xml:space="preserve"> The </w:t>
      </w:r>
      <w:r w:rsidR="00506807">
        <w:rPr>
          <w:rFonts w:cs="Calibri"/>
          <w:lang w:val="en-GB"/>
        </w:rPr>
        <w:t>next</w:t>
      </w:r>
      <w:r w:rsidR="0065301F">
        <w:rPr>
          <w:rFonts w:cs="Calibri"/>
          <w:lang w:val="en-GB"/>
        </w:rPr>
        <w:t xml:space="preserve"> multiple regressions will be used to check the influence of the independent variab</w:t>
      </w:r>
      <w:r w:rsidR="00850242">
        <w:rPr>
          <w:rFonts w:cs="Calibri"/>
          <w:lang w:val="en-GB"/>
        </w:rPr>
        <w:t xml:space="preserve">les on the dependent variables </w:t>
      </w:r>
      <w:r w:rsidR="00506807">
        <w:rPr>
          <w:rFonts w:cs="Calibri"/>
          <w:lang w:val="en-GB"/>
        </w:rPr>
        <w:t>the d</w:t>
      </w:r>
      <w:r w:rsidR="0065301F">
        <w:rPr>
          <w:rFonts w:cs="Calibri"/>
          <w:lang w:val="en-GB"/>
        </w:rPr>
        <w:t>iscret</w:t>
      </w:r>
      <w:r w:rsidR="00850242">
        <w:rPr>
          <w:rFonts w:cs="Calibri"/>
          <w:lang w:val="en-GB"/>
        </w:rPr>
        <w:t xml:space="preserve">ionary accruals and </w:t>
      </w:r>
      <w:r w:rsidR="00506807">
        <w:rPr>
          <w:rFonts w:cs="Calibri"/>
          <w:lang w:val="en-GB"/>
        </w:rPr>
        <w:t xml:space="preserve">the </w:t>
      </w:r>
      <w:r w:rsidR="00850242">
        <w:rPr>
          <w:rFonts w:cs="Calibri"/>
          <w:lang w:val="en-GB"/>
        </w:rPr>
        <w:t>real earnings m</w:t>
      </w:r>
      <w:r w:rsidR="0065301F">
        <w:rPr>
          <w:rFonts w:cs="Calibri"/>
          <w:lang w:val="en-GB"/>
        </w:rPr>
        <w:t>anagement:</w:t>
      </w:r>
    </w:p>
    <w:p w:rsidR="002921EB" w:rsidRDefault="002921EB" w:rsidP="002921EB">
      <w:pPr>
        <w:spacing w:line="360" w:lineRule="auto"/>
        <w:rPr>
          <w:rFonts w:cs="Calibri"/>
          <w:b/>
          <w:sz w:val="28"/>
          <w:szCs w:val="28"/>
          <w:lang w:val="en-GB"/>
        </w:rPr>
      </w:pPr>
      <w:r w:rsidRPr="002921EB">
        <w:rPr>
          <w:rFonts w:cs="Calibri"/>
          <w:b/>
          <w:sz w:val="28"/>
          <w:szCs w:val="28"/>
          <w:lang w:val="en-GB"/>
        </w:rPr>
        <w:t xml:space="preserve">| </w:t>
      </w:r>
      <w:r>
        <w:rPr>
          <w:rFonts w:cs="Calibri"/>
          <w:b/>
          <w:sz w:val="28"/>
          <w:szCs w:val="28"/>
          <w:lang w:val="en-GB"/>
        </w:rPr>
        <w:t>DACC</w:t>
      </w:r>
      <w:r w:rsidRPr="002921EB">
        <w:rPr>
          <w:rFonts w:cs="Calibri"/>
          <w:b/>
          <w:sz w:val="28"/>
          <w:szCs w:val="28"/>
          <w:lang w:val="en-GB"/>
        </w:rPr>
        <w:t xml:space="preserve"> (i,t) | = γ1 + γ2 (</w:t>
      </w:r>
      <w:r w:rsidR="00371D40">
        <w:rPr>
          <w:rFonts w:cs="Calibri"/>
          <w:b/>
          <w:sz w:val="28"/>
          <w:szCs w:val="28"/>
          <w:lang w:val="en-GB"/>
        </w:rPr>
        <w:t>Country</w:t>
      </w:r>
      <w:r w:rsidRPr="002921EB">
        <w:rPr>
          <w:rFonts w:cs="Calibri"/>
          <w:b/>
          <w:sz w:val="28"/>
          <w:szCs w:val="28"/>
          <w:lang w:val="en-GB"/>
        </w:rPr>
        <w:t>) + γ3 (</w:t>
      </w:r>
      <w:r w:rsidR="00371D40">
        <w:rPr>
          <w:rFonts w:cs="Calibri"/>
          <w:b/>
          <w:sz w:val="28"/>
          <w:szCs w:val="28"/>
          <w:lang w:val="en-GB"/>
        </w:rPr>
        <w:t>Standard</w:t>
      </w:r>
      <w:r w:rsidRPr="002921EB">
        <w:rPr>
          <w:rFonts w:cs="Calibri"/>
          <w:b/>
          <w:sz w:val="28"/>
          <w:szCs w:val="28"/>
          <w:lang w:val="en-GB"/>
        </w:rPr>
        <w:t>) + γ4 (Size) + ε</w:t>
      </w:r>
    </w:p>
    <w:p w:rsidR="002921EB" w:rsidRPr="00371D40" w:rsidRDefault="002921EB" w:rsidP="002921EB">
      <w:pPr>
        <w:spacing w:line="360" w:lineRule="auto"/>
        <w:rPr>
          <w:rFonts w:cs="Calibri"/>
          <w:b/>
          <w:lang w:val="en-GB"/>
        </w:rPr>
      </w:pPr>
      <w:r w:rsidRPr="00371D40">
        <w:rPr>
          <w:rFonts w:cs="Calibri"/>
          <w:b/>
          <w:lang w:val="en-GB"/>
        </w:rPr>
        <w:t xml:space="preserve">| </w:t>
      </w:r>
      <w:r w:rsidR="003C28B0" w:rsidRPr="00371D40">
        <w:rPr>
          <w:rFonts w:cs="Calibri"/>
          <w:b/>
          <w:lang w:val="en-GB"/>
        </w:rPr>
        <w:t>DACC</w:t>
      </w:r>
      <w:r w:rsidRPr="00371D40">
        <w:rPr>
          <w:rFonts w:cs="Calibri"/>
          <w:b/>
          <w:lang w:val="en-GB"/>
        </w:rPr>
        <w:t xml:space="preserve"> (i,t) | = </w:t>
      </w:r>
      <w:r w:rsidR="00ED0926" w:rsidRPr="00371D40">
        <w:rPr>
          <w:rFonts w:cs="Calibri"/>
          <w:b/>
          <w:lang w:val="en-GB"/>
        </w:rPr>
        <w:t xml:space="preserve">the </w:t>
      </w:r>
      <w:r w:rsidRPr="00371D40">
        <w:rPr>
          <w:rFonts w:cs="Calibri"/>
          <w:b/>
          <w:lang w:val="en-GB"/>
        </w:rPr>
        <w:t xml:space="preserve">absolute value of the </w:t>
      </w:r>
      <w:r w:rsidR="003C28B0" w:rsidRPr="00371D40">
        <w:rPr>
          <w:rFonts w:cs="Calibri"/>
          <w:b/>
          <w:lang w:val="en-GB"/>
        </w:rPr>
        <w:t>discretionary accruals</w:t>
      </w:r>
      <w:r w:rsidRPr="00371D40">
        <w:rPr>
          <w:rFonts w:cs="Calibri"/>
          <w:b/>
          <w:lang w:val="en-GB"/>
        </w:rPr>
        <w:t xml:space="preserve">, </w:t>
      </w:r>
      <w:r w:rsidR="00882040">
        <w:rPr>
          <w:rFonts w:cs="Calibri"/>
          <w:b/>
          <w:lang w:val="en-GB"/>
        </w:rPr>
        <w:t>scaled</w:t>
      </w:r>
      <w:r w:rsidRPr="00371D40">
        <w:rPr>
          <w:rFonts w:cs="Calibri"/>
          <w:b/>
          <w:lang w:val="en-GB"/>
        </w:rPr>
        <w:t xml:space="preserve"> by assets in </w:t>
      </w:r>
      <w:r w:rsidR="003C28B0" w:rsidRPr="00371D40">
        <w:rPr>
          <w:rFonts w:cs="Calibri"/>
          <w:b/>
          <w:lang w:val="en-GB"/>
        </w:rPr>
        <w:tab/>
      </w:r>
      <w:r w:rsidRPr="00371D40">
        <w:rPr>
          <w:rFonts w:cs="Calibri"/>
          <w:b/>
          <w:lang w:val="en-GB"/>
        </w:rPr>
        <w:tab/>
      </w:r>
      <w:r w:rsidRPr="00371D40">
        <w:rPr>
          <w:rFonts w:cs="Calibri"/>
          <w:b/>
          <w:lang w:val="en-GB"/>
        </w:rPr>
        <w:tab/>
        <w:t xml:space="preserve">    </w:t>
      </w:r>
      <w:r w:rsidR="003C28B0" w:rsidRPr="00371D40">
        <w:rPr>
          <w:rFonts w:cs="Calibri"/>
          <w:b/>
          <w:lang w:val="en-GB"/>
        </w:rPr>
        <w:t xml:space="preserve">         </w:t>
      </w:r>
      <w:r w:rsidRPr="00371D40">
        <w:rPr>
          <w:rFonts w:cs="Calibri"/>
          <w:b/>
          <w:lang w:val="en-GB"/>
        </w:rPr>
        <w:t xml:space="preserve"> the previous period</w:t>
      </w:r>
      <w:r w:rsidR="00824721">
        <w:rPr>
          <w:rFonts w:cs="Calibri"/>
          <w:b/>
          <w:lang w:val="en-GB"/>
        </w:rPr>
        <w:br/>
        <w:t xml:space="preserve">Country = Country investigated </w:t>
      </w:r>
      <w:r w:rsidRPr="00371D40">
        <w:rPr>
          <w:rFonts w:cs="Calibri"/>
          <w:b/>
          <w:lang w:val="en-GB"/>
        </w:rPr>
        <w:t>(0 = The Netherlands  1 = Belgium &amp; France)</w:t>
      </w:r>
      <w:r w:rsidR="00371D40">
        <w:rPr>
          <w:rFonts w:cs="Calibri"/>
          <w:b/>
          <w:lang w:val="en-GB"/>
        </w:rPr>
        <w:br/>
      </w:r>
      <w:r w:rsidR="00371D40" w:rsidRPr="00371D40">
        <w:rPr>
          <w:rFonts w:cs="Calibri"/>
          <w:b/>
          <w:lang w:val="en-GB"/>
        </w:rPr>
        <w:t>Standard = Accounting standard</w:t>
      </w:r>
      <w:r w:rsidR="00824721">
        <w:rPr>
          <w:rFonts w:cs="Calibri"/>
          <w:b/>
          <w:lang w:val="en-GB"/>
        </w:rPr>
        <w:t xml:space="preserve"> </w:t>
      </w:r>
      <w:r w:rsidR="00371D40" w:rsidRPr="00371D40">
        <w:rPr>
          <w:rFonts w:cs="Calibri"/>
          <w:b/>
          <w:lang w:val="en-GB"/>
        </w:rPr>
        <w:t>(0 = local GAAP  1 = IFRS)</w:t>
      </w:r>
      <w:r w:rsidRPr="00371D40">
        <w:rPr>
          <w:rFonts w:cs="Calibri"/>
          <w:b/>
          <w:lang w:val="en-GB"/>
        </w:rPr>
        <w:br/>
        <w:t>Size = The company size, distinction by total assets</w:t>
      </w:r>
      <w:r w:rsidR="00824721">
        <w:rPr>
          <w:rFonts w:cs="Calibri"/>
          <w:b/>
          <w:lang w:val="en-GB"/>
        </w:rPr>
        <w:t xml:space="preserve"> </w:t>
      </w:r>
      <w:r w:rsidRPr="00371D40">
        <w:rPr>
          <w:rFonts w:cs="Calibri"/>
          <w:b/>
          <w:lang w:val="en-GB"/>
        </w:rPr>
        <w:t xml:space="preserve">(0 = small  1 = large) </w:t>
      </w:r>
      <w:r w:rsidRPr="00371D40">
        <w:rPr>
          <w:rFonts w:cs="Calibri"/>
          <w:b/>
          <w:lang w:val="en-GB"/>
        </w:rPr>
        <w:br/>
      </w:r>
      <w:r w:rsidR="00BE0E9B" w:rsidRPr="00371D40">
        <w:rPr>
          <w:rFonts w:cs="Calibri"/>
          <w:b/>
          <w:lang w:val="en-GB"/>
        </w:rPr>
        <w:t>γ1, γ2, γ3, γ4 = regression coefficients</w:t>
      </w:r>
      <w:r w:rsidR="00BE0E9B">
        <w:rPr>
          <w:rFonts w:cs="Calibri"/>
          <w:b/>
          <w:lang w:val="en-GB"/>
        </w:rPr>
        <w:br/>
      </w:r>
      <w:r w:rsidRPr="00371D40">
        <w:rPr>
          <w:rFonts w:cs="Calibri"/>
          <w:b/>
          <w:lang w:val="en-GB"/>
        </w:rPr>
        <w:t>ε = error term</w:t>
      </w:r>
      <w:r w:rsidRPr="00371D40">
        <w:rPr>
          <w:rFonts w:cs="Calibri"/>
          <w:b/>
          <w:lang w:val="en-GB"/>
        </w:rPr>
        <w:br/>
        <w:t>t = year index, year 2002-2007</w:t>
      </w:r>
      <w:r w:rsidRPr="00371D40">
        <w:rPr>
          <w:rFonts w:cs="Calibri"/>
          <w:b/>
          <w:lang w:val="en-GB"/>
        </w:rPr>
        <w:br/>
        <w:t>i = firm index, range 1-95</w:t>
      </w:r>
    </w:p>
    <w:p w:rsidR="0065301F" w:rsidRDefault="0065301F" w:rsidP="002921EB">
      <w:pPr>
        <w:spacing w:line="360" w:lineRule="auto"/>
        <w:rPr>
          <w:rFonts w:cs="Calibri"/>
          <w:b/>
          <w:sz w:val="28"/>
          <w:szCs w:val="28"/>
          <w:lang w:val="en-GB"/>
        </w:rPr>
      </w:pPr>
    </w:p>
    <w:p w:rsidR="00176B01" w:rsidRDefault="00176B01" w:rsidP="002921EB">
      <w:pPr>
        <w:spacing w:line="360" w:lineRule="auto"/>
        <w:rPr>
          <w:rFonts w:cs="Calibri"/>
          <w:b/>
          <w:sz w:val="28"/>
          <w:szCs w:val="28"/>
          <w:lang w:val="en-GB"/>
        </w:rPr>
      </w:pPr>
    </w:p>
    <w:p w:rsidR="002921EB" w:rsidRDefault="002921EB" w:rsidP="002921EB">
      <w:pPr>
        <w:spacing w:line="360" w:lineRule="auto"/>
        <w:rPr>
          <w:rFonts w:cs="Calibri"/>
          <w:b/>
          <w:sz w:val="28"/>
          <w:szCs w:val="28"/>
          <w:lang w:val="en-GB"/>
        </w:rPr>
      </w:pPr>
      <w:r w:rsidRPr="002921EB">
        <w:rPr>
          <w:rFonts w:cs="Calibri"/>
          <w:b/>
          <w:sz w:val="28"/>
          <w:szCs w:val="28"/>
          <w:lang w:val="en-GB"/>
        </w:rPr>
        <w:lastRenderedPageBreak/>
        <w:t xml:space="preserve">| </w:t>
      </w:r>
      <w:r>
        <w:rPr>
          <w:rFonts w:cs="Calibri"/>
          <w:b/>
          <w:sz w:val="28"/>
          <w:szCs w:val="28"/>
          <w:lang w:val="en-GB"/>
        </w:rPr>
        <w:t>REM</w:t>
      </w:r>
      <w:r w:rsidRPr="002921EB">
        <w:rPr>
          <w:rFonts w:cs="Calibri"/>
          <w:b/>
          <w:sz w:val="28"/>
          <w:szCs w:val="28"/>
          <w:lang w:val="en-GB"/>
        </w:rPr>
        <w:t xml:space="preserve"> (i,t) | = γ1 + γ2 (</w:t>
      </w:r>
      <w:r w:rsidR="00371D40">
        <w:rPr>
          <w:rFonts w:cs="Calibri"/>
          <w:b/>
          <w:sz w:val="28"/>
          <w:szCs w:val="28"/>
          <w:lang w:val="en-GB"/>
        </w:rPr>
        <w:t>Country</w:t>
      </w:r>
      <w:r w:rsidRPr="002921EB">
        <w:rPr>
          <w:rFonts w:cs="Calibri"/>
          <w:b/>
          <w:sz w:val="28"/>
          <w:szCs w:val="28"/>
          <w:lang w:val="en-GB"/>
        </w:rPr>
        <w:t>) + γ3 (</w:t>
      </w:r>
      <w:r w:rsidR="00371D40">
        <w:rPr>
          <w:rFonts w:cs="Calibri"/>
          <w:b/>
          <w:sz w:val="28"/>
          <w:szCs w:val="28"/>
          <w:lang w:val="en-GB"/>
        </w:rPr>
        <w:t>Standard</w:t>
      </w:r>
      <w:r w:rsidRPr="002921EB">
        <w:rPr>
          <w:rFonts w:cs="Calibri"/>
          <w:b/>
          <w:sz w:val="28"/>
          <w:szCs w:val="28"/>
          <w:lang w:val="en-GB"/>
        </w:rPr>
        <w:t>) + γ4 (Size) + ε</w:t>
      </w:r>
    </w:p>
    <w:p w:rsidR="002921EB" w:rsidRPr="00371D40" w:rsidRDefault="002921EB" w:rsidP="002921EB">
      <w:pPr>
        <w:spacing w:line="360" w:lineRule="auto"/>
        <w:rPr>
          <w:rFonts w:cs="Calibri"/>
          <w:b/>
          <w:lang w:val="en-GB"/>
        </w:rPr>
      </w:pPr>
      <w:r w:rsidRPr="00371D40">
        <w:rPr>
          <w:rFonts w:cs="Calibri"/>
          <w:b/>
          <w:lang w:val="en-GB"/>
        </w:rPr>
        <w:t xml:space="preserve">| REM (i,t) | = </w:t>
      </w:r>
      <w:r w:rsidR="00ED0926" w:rsidRPr="00371D40">
        <w:rPr>
          <w:rFonts w:cs="Calibri"/>
          <w:b/>
          <w:lang w:val="en-GB"/>
        </w:rPr>
        <w:t xml:space="preserve">the </w:t>
      </w:r>
      <w:r w:rsidRPr="00371D40">
        <w:rPr>
          <w:rFonts w:cs="Calibri"/>
          <w:b/>
          <w:lang w:val="en-GB"/>
        </w:rPr>
        <w:t xml:space="preserve">absolute value of the real of earnings management, </w:t>
      </w:r>
      <w:r w:rsidR="00882040">
        <w:rPr>
          <w:rFonts w:cs="Calibri"/>
          <w:b/>
          <w:lang w:val="en-GB"/>
        </w:rPr>
        <w:t>scaled</w:t>
      </w:r>
      <w:r w:rsidRPr="00371D40">
        <w:rPr>
          <w:rFonts w:cs="Calibri"/>
          <w:b/>
          <w:lang w:val="en-GB"/>
        </w:rPr>
        <w:t xml:space="preserve"> by assets in the </w:t>
      </w:r>
      <w:r w:rsidR="00371D40">
        <w:rPr>
          <w:rFonts w:cs="Calibri"/>
          <w:b/>
          <w:lang w:val="en-GB"/>
        </w:rPr>
        <w:tab/>
        <w:t xml:space="preserve">            </w:t>
      </w:r>
      <w:r w:rsidRPr="00371D40">
        <w:rPr>
          <w:rFonts w:cs="Calibri"/>
          <w:b/>
          <w:lang w:val="en-GB"/>
        </w:rPr>
        <w:t>previous</w:t>
      </w:r>
      <w:r w:rsidR="00ED0926" w:rsidRPr="00371D40">
        <w:rPr>
          <w:rFonts w:cs="Calibri"/>
          <w:b/>
          <w:lang w:val="en-GB"/>
        </w:rPr>
        <w:t xml:space="preserve"> </w:t>
      </w:r>
      <w:r w:rsidRPr="00371D40">
        <w:rPr>
          <w:rFonts w:cs="Calibri"/>
          <w:b/>
          <w:lang w:val="en-GB"/>
        </w:rPr>
        <w:t>period</w:t>
      </w:r>
      <w:r w:rsidR="00371D40">
        <w:rPr>
          <w:rFonts w:cs="Calibri"/>
          <w:b/>
          <w:lang w:val="en-GB"/>
        </w:rPr>
        <w:br/>
      </w:r>
      <w:r w:rsidR="00F4464A">
        <w:rPr>
          <w:rFonts w:cs="Calibri"/>
          <w:b/>
          <w:lang w:val="en-GB"/>
        </w:rPr>
        <w:t xml:space="preserve">Country = Country investigated </w:t>
      </w:r>
      <w:r w:rsidR="00371D40" w:rsidRPr="00371D40">
        <w:rPr>
          <w:rFonts w:cs="Calibri"/>
          <w:b/>
          <w:lang w:val="en-GB"/>
        </w:rPr>
        <w:t>(0 = The Netherlands  1 = Belgium &amp; France)</w:t>
      </w:r>
      <w:r w:rsidR="0065301F">
        <w:rPr>
          <w:rFonts w:cs="Calibri"/>
          <w:b/>
          <w:lang w:val="en-GB"/>
        </w:rPr>
        <w:br/>
        <w:t>Standard = Accounting S</w:t>
      </w:r>
      <w:r w:rsidRPr="00371D40">
        <w:rPr>
          <w:rFonts w:cs="Calibri"/>
          <w:b/>
          <w:lang w:val="en-GB"/>
        </w:rPr>
        <w:t>tandard (0 = local GAAP  1 = IFRS)</w:t>
      </w:r>
      <w:r w:rsidRPr="00371D40">
        <w:rPr>
          <w:rFonts w:cs="Calibri"/>
          <w:b/>
          <w:lang w:val="en-GB"/>
        </w:rPr>
        <w:br/>
        <w:t>Size = The company size, distinction by total assets</w:t>
      </w:r>
      <w:r w:rsidR="00F4464A">
        <w:rPr>
          <w:rFonts w:cs="Calibri"/>
          <w:b/>
          <w:lang w:val="en-GB"/>
        </w:rPr>
        <w:t xml:space="preserve"> </w:t>
      </w:r>
      <w:r w:rsidRPr="00371D40">
        <w:rPr>
          <w:rFonts w:cs="Calibri"/>
          <w:b/>
          <w:lang w:val="en-GB"/>
        </w:rPr>
        <w:t xml:space="preserve">(0 = small  1 = large) </w:t>
      </w:r>
      <w:r w:rsidRPr="00371D40">
        <w:rPr>
          <w:rFonts w:cs="Calibri"/>
          <w:b/>
          <w:lang w:val="en-GB"/>
        </w:rPr>
        <w:br/>
      </w:r>
      <w:r w:rsidR="00BE0E9B" w:rsidRPr="00371D40">
        <w:rPr>
          <w:rFonts w:cs="Calibri"/>
          <w:b/>
          <w:lang w:val="en-GB"/>
        </w:rPr>
        <w:t>γ1, γ2, γ3, γ4 = regression coefficients</w:t>
      </w:r>
      <w:r w:rsidR="00BE0E9B">
        <w:rPr>
          <w:rFonts w:cs="Calibri"/>
          <w:b/>
          <w:lang w:val="en-GB"/>
        </w:rPr>
        <w:br/>
      </w:r>
      <w:r w:rsidRPr="00371D40">
        <w:rPr>
          <w:rFonts w:cs="Calibri"/>
          <w:b/>
          <w:lang w:val="en-GB"/>
        </w:rPr>
        <w:t>ε = error term</w:t>
      </w:r>
      <w:r w:rsidRPr="00371D40">
        <w:rPr>
          <w:rFonts w:cs="Calibri"/>
          <w:b/>
          <w:lang w:val="en-GB"/>
        </w:rPr>
        <w:br/>
        <w:t>t = year index, year 2002-2007</w:t>
      </w:r>
      <w:r w:rsidRPr="00371D40">
        <w:rPr>
          <w:rFonts w:cs="Calibri"/>
          <w:b/>
          <w:lang w:val="en-GB"/>
        </w:rPr>
        <w:br/>
        <w:t>i = firm index, range 1-95</w:t>
      </w:r>
    </w:p>
    <w:p w:rsidR="0065301F" w:rsidRDefault="00506807" w:rsidP="00F5124E">
      <w:pPr>
        <w:spacing w:line="360" w:lineRule="auto"/>
        <w:rPr>
          <w:rFonts w:cs="Calibri"/>
          <w:lang w:val="en-GB"/>
        </w:rPr>
      </w:pPr>
      <w:r>
        <w:rPr>
          <w:rFonts w:cs="Calibri"/>
          <w:lang w:val="en-GB"/>
        </w:rPr>
        <w:t>T</w:t>
      </w:r>
      <w:r w:rsidR="001F2203">
        <w:rPr>
          <w:rFonts w:cs="Calibri"/>
          <w:lang w:val="en-GB"/>
        </w:rPr>
        <w:t xml:space="preserve">he analysis of the multiple regression will indicate the influence of the independent </w:t>
      </w:r>
      <w:r w:rsidR="00824721">
        <w:rPr>
          <w:rFonts w:cs="Calibri"/>
          <w:lang w:val="en-GB"/>
        </w:rPr>
        <w:t xml:space="preserve">variables </w:t>
      </w:r>
      <w:r w:rsidR="001F2203">
        <w:rPr>
          <w:rFonts w:cs="Calibri"/>
          <w:lang w:val="en-GB"/>
        </w:rPr>
        <w:t xml:space="preserve">on the dependent variable. </w:t>
      </w:r>
      <w:r w:rsidR="00850242">
        <w:rPr>
          <w:rFonts w:cs="Calibri"/>
          <w:lang w:val="en-GB"/>
        </w:rPr>
        <w:t>The independent variable accounting s</w:t>
      </w:r>
      <w:r w:rsidR="0065301F">
        <w:rPr>
          <w:rFonts w:cs="Calibri"/>
          <w:lang w:val="en-GB"/>
        </w:rPr>
        <w:t xml:space="preserve">tandard is determinative for whether hypothesis 2 about the possible substitution effect is approved or rejected. </w:t>
      </w:r>
    </w:p>
    <w:p w:rsidR="002921EB" w:rsidRDefault="0065301F" w:rsidP="00F5124E">
      <w:pPr>
        <w:spacing w:line="360" w:lineRule="auto"/>
        <w:rPr>
          <w:rFonts w:cs="Calibri"/>
          <w:lang w:val="en-GB"/>
        </w:rPr>
      </w:pPr>
      <w:r>
        <w:rPr>
          <w:rFonts w:cs="Calibri"/>
          <w:lang w:val="en-GB"/>
        </w:rPr>
        <w:t>In order to perform all these statistical tests and r</w:t>
      </w:r>
      <w:r w:rsidR="001F2203">
        <w:rPr>
          <w:rFonts w:cs="Calibri"/>
          <w:lang w:val="en-GB"/>
        </w:rPr>
        <w:t>egression</w:t>
      </w:r>
      <w:r>
        <w:rPr>
          <w:rFonts w:cs="Calibri"/>
          <w:lang w:val="en-GB"/>
        </w:rPr>
        <w:t>s</w:t>
      </w:r>
      <w:r w:rsidR="001F2203">
        <w:rPr>
          <w:rFonts w:cs="Calibri"/>
          <w:lang w:val="en-GB"/>
        </w:rPr>
        <w:t xml:space="preserve">, data is necessary. In the next sections, the </w:t>
      </w:r>
      <w:r>
        <w:rPr>
          <w:rFonts w:cs="Calibri"/>
          <w:lang w:val="en-GB"/>
        </w:rPr>
        <w:t xml:space="preserve">data </w:t>
      </w:r>
      <w:r w:rsidR="001F2203">
        <w:rPr>
          <w:rFonts w:cs="Calibri"/>
          <w:lang w:val="en-GB"/>
        </w:rPr>
        <w:t xml:space="preserve">sample and the attainability of the data is </w:t>
      </w:r>
      <w:r w:rsidR="00FD57D0">
        <w:rPr>
          <w:rFonts w:cs="Calibri"/>
          <w:lang w:val="en-GB"/>
        </w:rPr>
        <w:t>commented</w:t>
      </w:r>
      <w:r w:rsidR="001F2203">
        <w:rPr>
          <w:rFonts w:cs="Calibri"/>
          <w:lang w:val="en-GB"/>
        </w:rPr>
        <w:t xml:space="preserve">. </w:t>
      </w:r>
    </w:p>
    <w:p w:rsidR="00547E7F" w:rsidRDefault="00744939" w:rsidP="00744939">
      <w:pPr>
        <w:spacing w:line="360" w:lineRule="auto"/>
        <w:rPr>
          <w:rFonts w:cs="Calibri"/>
          <w:bCs/>
          <w:lang w:val="en-GB"/>
        </w:rPr>
      </w:pPr>
      <w:r w:rsidRPr="00F67CC4">
        <w:rPr>
          <w:rFonts w:cs="Calibri"/>
          <w:b/>
          <w:bCs/>
          <w:lang w:val="en-GB"/>
        </w:rPr>
        <w:t>6.</w:t>
      </w:r>
      <w:r w:rsidR="00AB438D">
        <w:rPr>
          <w:rFonts w:cs="Calibri"/>
          <w:b/>
          <w:bCs/>
          <w:lang w:val="en-GB"/>
        </w:rPr>
        <w:t>4</w:t>
      </w:r>
      <w:r w:rsidRPr="00F67CC4">
        <w:rPr>
          <w:rFonts w:cs="Calibri"/>
          <w:b/>
          <w:bCs/>
          <w:lang w:val="en-GB"/>
        </w:rPr>
        <w:t xml:space="preserve"> </w:t>
      </w:r>
      <w:r w:rsidR="0065301F">
        <w:rPr>
          <w:rFonts w:cs="Calibri"/>
          <w:b/>
          <w:bCs/>
          <w:lang w:val="en-GB"/>
        </w:rPr>
        <w:t>Data s</w:t>
      </w:r>
      <w:r w:rsidRPr="00F67CC4">
        <w:rPr>
          <w:rFonts w:cs="Calibri"/>
          <w:b/>
          <w:bCs/>
          <w:lang w:val="en-GB"/>
        </w:rPr>
        <w:t xml:space="preserve">ample </w:t>
      </w:r>
      <w:r w:rsidR="00B75546" w:rsidRPr="00F67CC4">
        <w:rPr>
          <w:rFonts w:cs="Calibri"/>
          <w:b/>
          <w:bCs/>
          <w:lang w:val="en-GB"/>
        </w:rPr>
        <w:br/>
      </w:r>
      <w:r w:rsidR="00BE0E9B">
        <w:rPr>
          <w:rFonts w:cs="Calibri"/>
          <w:bCs/>
          <w:lang w:val="en-GB"/>
        </w:rPr>
        <w:t xml:space="preserve">With </w:t>
      </w:r>
      <w:r w:rsidR="00831664" w:rsidRPr="00F67CC4">
        <w:rPr>
          <w:rFonts w:cs="Calibri"/>
          <w:bCs/>
          <w:lang w:val="en-GB"/>
        </w:rPr>
        <w:t>the Wharton Research Data Service (WRDS), all listed companies in The Netherlands, Belgium</w:t>
      </w:r>
      <w:r w:rsidR="004E763B" w:rsidRPr="00F67CC4">
        <w:rPr>
          <w:rFonts w:cs="Calibri"/>
          <w:bCs/>
          <w:lang w:val="en-GB"/>
        </w:rPr>
        <w:t xml:space="preserve"> and France</w:t>
      </w:r>
      <w:r w:rsidR="00BE0E9B">
        <w:rPr>
          <w:rFonts w:cs="Calibri"/>
          <w:bCs/>
          <w:lang w:val="en-GB"/>
        </w:rPr>
        <w:t xml:space="preserve"> </w:t>
      </w:r>
      <w:r w:rsidR="00831664" w:rsidRPr="00F67CC4">
        <w:rPr>
          <w:rFonts w:cs="Calibri"/>
          <w:bCs/>
          <w:lang w:val="en-GB"/>
        </w:rPr>
        <w:t xml:space="preserve">active in the period of 2002-2007 were determined. </w:t>
      </w:r>
      <w:r w:rsidR="00506807">
        <w:rPr>
          <w:rFonts w:cs="Calibri"/>
          <w:bCs/>
          <w:lang w:val="en-GB"/>
        </w:rPr>
        <w:t xml:space="preserve">Because of an equal comparison of periods before and after the introduction of IFRS in 2005 and the influence of the financial crisis which became visible in 2008, the period of 2002-2007 was chosen. </w:t>
      </w:r>
      <w:r w:rsidR="00831664" w:rsidRPr="00F67CC4">
        <w:rPr>
          <w:rFonts w:cs="Calibri"/>
          <w:bCs/>
          <w:lang w:val="en-GB"/>
        </w:rPr>
        <w:t>This total of companies was reduced by checking whether the</w:t>
      </w:r>
      <w:r w:rsidR="00BE0E9B">
        <w:rPr>
          <w:rFonts w:cs="Calibri"/>
          <w:bCs/>
          <w:lang w:val="en-GB"/>
        </w:rPr>
        <w:t>se</w:t>
      </w:r>
      <w:r w:rsidR="00831664" w:rsidRPr="00F67CC4">
        <w:rPr>
          <w:rFonts w:cs="Calibri"/>
          <w:bCs/>
          <w:lang w:val="en-GB"/>
        </w:rPr>
        <w:t xml:space="preserve"> companies meet all </w:t>
      </w:r>
      <w:r w:rsidR="00850242">
        <w:rPr>
          <w:rFonts w:cs="Calibri"/>
          <w:bCs/>
          <w:lang w:val="en-GB"/>
        </w:rPr>
        <w:t xml:space="preserve">stated </w:t>
      </w:r>
      <w:r w:rsidR="00506807">
        <w:rPr>
          <w:rFonts w:cs="Calibri"/>
          <w:bCs/>
          <w:lang w:val="en-GB"/>
        </w:rPr>
        <w:t xml:space="preserve">requirements. </w:t>
      </w:r>
      <w:r w:rsidR="005155A2" w:rsidRPr="00F67CC4">
        <w:rPr>
          <w:rFonts w:cs="Calibri"/>
          <w:bCs/>
          <w:lang w:val="en-GB"/>
        </w:rPr>
        <w:t xml:space="preserve">These </w:t>
      </w:r>
      <w:r w:rsidR="00850242">
        <w:rPr>
          <w:rFonts w:cs="Calibri"/>
          <w:bCs/>
          <w:lang w:val="en-GB"/>
        </w:rPr>
        <w:t xml:space="preserve">stated </w:t>
      </w:r>
      <w:r w:rsidR="005155A2" w:rsidRPr="00F67CC4">
        <w:rPr>
          <w:rFonts w:cs="Calibri"/>
          <w:bCs/>
          <w:lang w:val="en-GB"/>
        </w:rPr>
        <w:t xml:space="preserve">requirements are: </w:t>
      </w:r>
      <w:r w:rsidR="00547E7F" w:rsidRPr="00F67CC4">
        <w:rPr>
          <w:rFonts w:cs="Calibri"/>
          <w:bCs/>
          <w:lang w:val="en-GB"/>
        </w:rPr>
        <w:t>(1</w:t>
      </w:r>
      <w:r w:rsidR="005155A2" w:rsidRPr="00F67CC4">
        <w:rPr>
          <w:rFonts w:cs="Calibri"/>
          <w:bCs/>
          <w:lang w:val="en-GB"/>
        </w:rPr>
        <w:t>) listed</w:t>
      </w:r>
      <w:r w:rsidR="004B6075" w:rsidRPr="00F67CC4">
        <w:rPr>
          <w:rFonts w:cs="Calibri"/>
          <w:bCs/>
          <w:lang w:val="en-GB"/>
        </w:rPr>
        <w:t xml:space="preserve"> </w:t>
      </w:r>
      <w:r w:rsidR="005155A2" w:rsidRPr="00F67CC4">
        <w:rPr>
          <w:rFonts w:cs="Calibri"/>
          <w:bCs/>
          <w:lang w:val="en-GB"/>
        </w:rPr>
        <w:t>during</w:t>
      </w:r>
      <w:r w:rsidR="00547E7F" w:rsidRPr="00F67CC4">
        <w:rPr>
          <w:rFonts w:cs="Calibri"/>
          <w:bCs/>
          <w:lang w:val="en-GB"/>
        </w:rPr>
        <w:t xml:space="preserve"> the </w:t>
      </w:r>
      <w:r w:rsidR="00850242">
        <w:rPr>
          <w:rFonts w:cs="Calibri"/>
          <w:bCs/>
          <w:lang w:val="en-GB"/>
        </w:rPr>
        <w:t xml:space="preserve">whole </w:t>
      </w:r>
      <w:r w:rsidR="00F4464A">
        <w:rPr>
          <w:rFonts w:cs="Calibri"/>
          <w:bCs/>
          <w:lang w:val="en-GB"/>
        </w:rPr>
        <w:t>period 2002</w:t>
      </w:r>
      <w:r w:rsidR="00547E7F" w:rsidRPr="00F67CC4">
        <w:rPr>
          <w:rFonts w:cs="Calibri"/>
          <w:bCs/>
          <w:lang w:val="en-GB"/>
        </w:rPr>
        <w:t xml:space="preserve"> – 2007 (2</w:t>
      </w:r>
      <w:r w:rsidR="005155A2" w:rsidRPr="00F67CC4">
        <w:rPr>
          <w:rFonts w:cs="Calibri"/>
          <w:bCs/>
          <w:lang w:val="en-GB"/>
        </w:rPr>
        <w:t>) non-financial company (</w:t>
      </w:r>
      <w:r w:rsidR="00547E7F" w:rsidRPr="00F67CC4">
        <w:rPr>
          <w:rFonts w:cs="Calibri"/>
          <w:bCs/>
          <w:lang w:val="en-GB"/>
        </w:rPr>
        <w:t>3</w:t>
      </w:r>
      <w:r w:rsidR="005155A2" w:rsidRPr="00F67CC4">
        <w:rPr>
          <w:rFonts w:cs="Calibri"/>
          <w:bCs/>
          <w:lang w:val="en-GB"/>
        </w:rPr>
        <w:t xml:space="preserve">) the use of </w:t>
      </w:r>
      <w:r w:rsidR="00850242">
        <w:rPr>
          <w:rFonts w:cs="Calibri"/>
          <w:bCs/>
          <w:lang w:val="en-GB"/>
        </w:rPr>
        <w:t>local</w:t>
      </w:r>
      <w:r w:rsidR="005155A2" w:rsidRPr="00F67CC4">
        <w:rPr>
          <w:rFonts w:cs="Calibri"/>
          <w:bCs/>
          <w:lang w:val="en-GB"/>
        </w:rPr>
        <w:t xml:space="preserve"> GAAP before the transition to IFRS (</w:t>
      </w:r>
      <w:r w:rsidR="00547E7F" w:rsidRPr="00F67CC4">
        <w:rPr>
          <w:rFonts w:cs="Calibri"/>
          <w:bCs/>
          <w:lang w:val="en-GB"/>
        </w:rPr>
        <w:t>4</w:t>
      </w:r>
      <w:r w:rsidR="005155A2" w:rsidRPr="00F67CC4">
        <w:rPr>
          <w:rFonts w:cs="Calibri"/>
          <w:bCs/>
          <w:lang w:val="en-GB"/>
        </w:rPr>
        <w:t xml:space="preserve">) </w:t>
      </w:r>
      <w:r w:rsidR="005155A2">
        <w:rPr>
          <w:rFonts w:cs="Calibri"/>
          <w:bCs/>
          <w:lang w:val="en-GB"/>
        </w:rPr>
        <w:t>t</w:t>
      </w:r>
      <w:r w:rsidR="005155A2" w:rsidRPr="005155A2">
        <w:rPr>
          <w:rFonts w:cs="Calibri"/>
          <w:bCs/>
          <w:lang w:val="en-GB"/>
        </w:rPr>
        <w:t xml:space="preserve">ransition from </w:t>
      </w:r>
      <w:r w:rsidR="00850242">
        <w:rPr>
          <w:rFonts w:cs="Calibri"/>
          <w:bCs/>
          <w:lang w:val="en-GB"/>
        </w:rPr>
        <w:t xml:space="preserve">local </w:t>
      </w:r>
      <w:r w:rsidR="005155A2" w:rsidRPr="005155A2">
        <w:rPr>
          <w:rFonts w:cs="Calibri"/>
          <w:bCs/>
          <w:lang w:val="en-GB"/>
        </w:rPr>
        <w:t>GAAP to IFRS in the year 2005</w:t>
      </w:r>
      <w:r w:rsidR="00E34EC5">
        <w:rPr>
          <w:rFonts w:cs="Calibri"/>
          <w:bCs/>
          <w:lang w:val="en-GB"/>
        </w:rPr>
        <w:t xml:space="preserve">. </w:t>
      </w:r>
      <w:r w:rsidR="00547E7F">
        <w:rPr>
          <w:rFonts w:cs="Calibri"/>
          <w:bCs/>
          <w:lang w:val="en-GB"/>
        </w:rPr>
        <w:t xml:space="preserve">After the </w:t>
      </w:r>
      <w:r w:rsidR="00BE0E9B">
        <w:rPr>
          <w:rFonts w:cs="Calibri"/>
          <w:bCs/>
          <w:lang w:val="en-GB"/>
        </w:rPr>
        <w:t xml:space="preserve">checking for these </w:t>
      </w:r>
      <w:r w:rsidR="00547E7F">
        <w:rPr>
          <w:rFonts w:cs="Calibri"/>
          <w:bCs/>
          <w:lang w:val="en-GB"/>
        </w:rPr>
        <w:t xml:space="preserve">requirements, the sample contains </w:t>
      </w:r>
      <w:r w:rsidR="008853C3">
        <w:rPr>
          <w:rFonts w:cs="Calibri"/>
          <w:bCs/>
          <w:lang w:val="en-GB"/>
        </w:rPr>
        <w:t>95</w:t>
      </w:r>
      <w:r w:rsidR="00547E7F">
        <w:rPr>
          <w:rFonts w:cs="Calibri"/>
          <w:bCs/>
          <w:lang w:val="en-GB"/>
        </w:rPr>
        <w:t xml:space="preserve"> companies. </w:t>
      </w:r>
    </w:p>
    <w:p w:rsidR="00520353" w:rsidRDefault="00506807" w:rsidP="00744939">
      <w:pPr>
        <w:spacing w:line="360" w:lineRule="auto"/>
        <w:rPr>
          <w:rFonts w:cs="Calibri"/>
          <w:bCs/>
          <w:lang w:val="en-GB"/>
        </w:rPr>
      </w:pPr>
      <w:r>
        <w:rPr>
          <w:rFonts w:cs="Calibri"/>
          <w:bCs/>
          <w:lang w:val="en-GB"/>
        </w:rPr>
        <w:t xml:space="preserve">The sample was reduced to 95 companies, but started with all listed companies from The Netherlands, Belgium and France. </w:t>
      </w:r>
      <w:r w:rsidR="00282521">
        <w:rPr>
          <w:rFonts w:cs="Calibri"/>
          <w:bCs/>
          <w:lang w:val="en-GB"/>
        </w:rPr>
        <w:t xml:space="preserve">Because the </w:t>
      </w:r>
      <w:r w:rsidR="00520353">
        <w:rPr>
          <w:rFonts w:cs="Calibri"/>
          <w:bCs/>
          <w:lang w:val="en-GB"/>
        </w:rPr>
        <w:t xml:space="preserve">research period </w:t>
      </w:r>
      <w:r w:rsidR="00282521">
        <w:rPr>
          <w:rFonts w:cs="Calibri"/>
          <w:bCs/>
          <w:lang w:val="en-GB"/>
        </w:rPr>
        <w:t>is 2002-2007, the compan</w:t>
      </w:r>
      <w:r w:rsidR="00BE0E9B">
        <w:rPr>
          <w:rFonts w:cs="Calibri"/>
          <w:bCs/>
          <w:lang w:val="en-GB"/>
        </w:rPr>
        <w:t>ies have to be listed during this</w:t>
      </w:r>
      <w:r w:rsidR="00282521">
        <w:rPr>
          <w:rFonts w:cs="Calibri"/>
          <w:bCs/>
          <w:lang w:val="en-GB"/>
        </w:rPr>
        <w:t xml:space="preserve"> period. </w:t>
      </w:r>
      <w:r w:rsidR="00BE0E9B">
        <w:rPr>
          <w:rFonts w:cs="Calibri"/>
          <w:bCs/>
          <w:lang w:val="en-GB"/>
        </w:rPr>
        <w:t>C</w:t>
      </w:r>
      <w:r w:rsidR="00190513">
        <w:rPr>
          <w:rFonts w:cs="Calibri"/>
          <w:bCs/>
          <w:lang w:val="en-GB"/>
        </w:rPr>
        <w:t xml:space="preserve">ompanies that </w:t>
      </w:r>
      <w:r w:rsidR="00282521">
        <w:rPr>
          <w:rFonts w:cs="Calibri"/>
          <w:bCs/>
          <w:lang w:val="en-GB"/>
        </w:rPr>
        <w:t>became listed</w:t>
      </w:r>
      <w:r w:rsidR="00F4464A">
        <w:rPr>
          <w:rFonts w:cs="Calibri"/>
          <w:bCs/>
          <w:lang w:val="en-GB"/>
        </w:rPr>
        <w:t xml:space="preserve"> after</w:t>
      </w:r>
      <w:r w:rsidR="00190513">
        <w:rPr>
          <w:rFonts w:cs="Calibri"/>
          <w:bCs/>
          <w:lang w:val="en-GB"/>
        </w:rPr>
        <w:t xml:space="preserve"> </w:t>
      </w:r>
      <w:r w:rsidR="00282521">
        <w:rPr>
          <w:rFonts w:cs="Calibri"/>
          <w:bCs/>
          <w:lang w:val="en-GB"/>
        </w:rPr>
        <w:t>2002</w:t>
      </w:r>
      <w:r w:rsidR="00190513">
        <w:rPr>
          <w:rFonts w:cs="Calibri"/>
          <w:bCs/>
          <w:lang w:val="en-GB"/>
        </w:rPr>
        <w:t xml:space="preserve"> or were not listed anymore in 2007 are executed from the sample. </w:t>
      </w:r>
      <w:r w:rsidR="00301CA4">
        <w:rPr>
          <w:rFonts w:cs="Calibri"/>
          <w:bCs/>
          <w:lang w:val="en-GB"/>
        </w:rPr>
        <w:t xml:space="preserve">After this </w:t>
      </w:r>
      <w:r>
        <w:rPr>
          <w:rFonts w:cs="Calibri"/>
          <w:bCs/>
          <w:lang w:val="en-GB"/>
        </w:rPr>
        <w:t xml:space="preserve">first </w:t>
      </w:r>
      <w:r w:rsidR="00301CA4">
        <w:rPr>
          <w:rFonts w:cs="Calibri"/>
          <w:bCs/>
          <w:lang w:val="en-GB"/>
        </w:rPr>
        <w:t>r</w:t>
      </w:r>
      <w:r w:rsidR="00BE0E9B">
        <w:rPr>
          <w:rFonts w:cs="Calibri"/>
          <w:bCs/>
          <w:lang w:val="en-GB"/>
        </w:rPr>
        <w:t>equirement, the sample cont</w:t>
      </w:r>
      <w:r>
        <w:rPr>
          <w:rFonts w:cs="Calibri"/>
          <w:bCs/>
          <w:lang w:val="en-GB"/>
        </w:rPr>
        <w:t>ained</w:t>
      </w:r>
      <w:r w:rsidR="00301CA4">
        <w:rPr>
          <w:rFonts w:cs="Calibri"/>
          <w:bCs/>
          <w:lang w:val="en-GB"/>
        </w:rPr>
        <w:t xml:space="preserve"> 408 companies. </w:t>
      </w:r>
    </w:p>
    <w:p w:rsidR="00030D33" w:rsidRPr="0049249A" w:rsidRDefault="00BE0E9B" w:rsidP="00744939">
      <w:pPr>
        <w:spacing w:line="360" w:lineRule="auto"/>
        <w:rPr>
          <w:rFonts w:cs="Calibri"/>
          <w:bCs/>
          <w:lang w:val="en-GB"/>
        </w:rPr>
      </w:pPr>
      <w:r>
        <w:rPr>
          <w:rFonts w:cs="Calibri"/>
          <w:bCs/>
          <w:lang w:val="en-GB"/>
        </w:rPr>
        <w:t>After</w:t>
      </w:r>
      <w:r w:rsidR="00190513">
        <w:rPr>
          <w:rFonts w:cs="Calibri"/>
          <w:bCs/>
          <w:lang w:val="en-GB"/>
        </w:rPr>
        <w:t xml:space="preserve"> check</w:t>
      </w:r>
      <w:r>
        <w:rPr>
          <w:rFonts w:cs="Calibri"/>
          <w:bCs/>
          <w:lang w:val="en-GB"/>
        </w:rPr>
        <w:t>ing</w:t>
      </w:r>
      <w:r w:rsidR="00190513">
        <w:rPr>
          <w:rFonts w:cs="Calibri"/>
          <w:bCs/>
          <w:lang w:val="en-GB"/>
        </w:rPr>
        <w:t xml:space="preserve"> on li</w:t>
      </w:r>
      <w:r>
        <w:rPr>
          <w:rFonts w:cs="Calibri"/>
          <w:bCs/>
          <w:lang w:val="en-GB"/>
        </w:rPr>
        <w:t>sted during the</w:t>
      </w:r>
      <w:r w:rsidR="00850242">
        <w:rPr>
          <w:rFonts w:cs="Calibri"/>
          <w:bCs/>
          <w:lang w:val="en-GB"/>
        </w:rPr>
        <w:t xml:space="preserve"> period</w:t>
      </w:r>
      <w:r>
        <w:rPr>
          <w:rFonts w:cs="Calibri"/>
          <w:bCs/>
          <w:lang w:val="en-GB"/>
        </w:rPr>
        <w:t xml:space="preserve"> 2002-2007</w:t>
      </w:r>
      <w:r w:rsidR="00850242">
        <w:rPr>
          <w:rFonts w:cs="Calibri"/>
          <w:bCs/>
          <w:lang w:val="en-GB"/>
        </w:rPr>
        <w:t>, the sample is</w:t>
      </w:r>
      <w:r w:rsidR="00190513">
        <w:rPr>
          <w:rFonts w:cs="Calibri"/>
          <w:bCs/>
          <w:lang w:val="en-GB"/>
        </w:rPr>
        <w:t xml:space="preserve"> check</w:t>
      </w:r>
      <w:r w:rsidR="00850242">
        <w:rPr>
          <w:rFonts w:cs="Calibri"/>
          <w:bCs/>
          <w:lang w:val="en-GB"/>
        </w:rPr>
        <w:t>ed</w:t>
      </w:r>
      <w:r w:rsidR="00190513">
        <w:rPr>
          <w:rFonts w:cs="Calibri"/>
          <w:bCs/>
          <w:lang w:val="en-GB"/>
        </w:rPr>
        <w:t xml:space="preserve"> on the SIC-code of </w:t>
      </w:r>
      <w:r w:rsidR="001F2203">
        <w:rPr>
          <w:rFonts w:cs="Calibri"/>
          <w:bCs/>
          <w:lang w:val="en-GB"/>
        </w:rPr>
        <w:t>the companies. Companies with</w:t>
      </w:r>
      <w:r w:rsidR="00190513">
        <w:rPr>
          <w:rFonts w:cs="Calibri"/>
          <w:bCs/>
          <w:lang w:val="en-GB"/>
        </w:rPr>
        <w:t xml:space="preserve"> SIC-codes 600-699 are banks, insurance companies and real estate </w:t>
      </w:r>
      <w:r w:rsidR="00190513">
        <w:rPr>
          <w:rFonts w:cs="Calibri"/>
          <w:bCs/>
          <w:lang w:val="en-GB"/>
        </w:rPr>
        <w:lastRenderedPageBreak/>
        <w:t>investors.</w:t>
      </w:r>
      <w:r w:rsidR="007257B3">
        <w:rPr>
          <w:rStyle w:val="FootnoteReference"/>
          <w:bCs/>
          <w:lang w:val="en-GB"/>
        </w:rPr>
        <w:footnoteReference w:id="5"/>
      </w:r>
      <w:r w:rsidR="00190513">
        <w:rPr>
          <w:rFonts w:cs="Calibri"/>
          <w:bCs/>
          <w:lang w:val="en-GB"/>
        </w:rPr>
        <w:t xml:space="preserve"> </w:t>
      </w:r>
      <w:r w:rsidR="00030D33" w:rsidRPr="00F67CC4">
        <w:rPr>
          <w:rFonts w:cs="Calibri"/>
          <w:bCs/>
          <w:lang w:val="en-GB"/>
        </w:rPr>
        <w:t>According to Heemskerk and van der Tas (2006) t</w:t>
      </w:r>
      <w:r w:rsidR="00394171" w:rsidRPr="00F67CC4">
        <w:rPr>
          <w:rFonts w:cs="Calibri"/>
          <w:bCs/>
          <w:lang w:val="en-GB"/>
        </w:rPr>
        <w:t xml:space="preserve">he </w:t>
      </w:r>
      <w:r w:rsidR="00030D33" w:rsidRPr="00F67CC4">
        <w:rPr>
          <w:rFonts w:cs="Calibri"/>
          <w:bCs/>
          <w:lang w:val="en-GB"/>
        </w:rPr>
        <w:t xml:space="preserve">accruals of </w:t>
      </w:r>
      <w:r w:rsidR="00394171" w:rsidRPr="00F67CC4">
        <w:rPr>
          <w:rFonts w:cs="Calibri"/>
          <w:bCs/>
          <w:lang w:val="en-GB"/>
        </w:rPr>
        <w:t xml:space="preserve">financial institutions </w:t>
      </w:r>
      <w:r w:rsidR="00030D33" w:rsidRPr="00F67CC4">
        <w:rPr>
          <w:rFonts w:cs="Calibri"/>
          <w:bCs/>
          <w:lang w:val="en-GB"/>
        </w:rPr>
        <w:t xml:space="preserve">differ too much from companies in other sectors. </w:t>
      </w:r>
      <w:r w:rsidR="003D5D78">
        <w:rPr>
          <w:rFonts w:cs="Calibri"/>
          <w:bCs/>
          <w:lang w:val="en-GB"/>
        </w:rPr>
        <w:t>Consequently</w:t>
      </w:r>
      <w:r w:rsidR="00030D33" w:rsidRPr="00F67CC4">
        <w:rPr>
          <w:rFonts w:cs="Calibri"/>
          <w:bCs/>
          <w:lang w:val="en-GB"/>
        </w:rPr>
        <w:t>,</w:t>
      </w:r>
      <w:r w:rsidR="00394171" w:rsidRPr="00F67CC4">
        <w:rPr>
          <w:rFonts w:cs="Calibri"/>
          <w:bCs/>
          <w:lang w:val="en-GB"/>
        </w:rPr>
        <w:t xml:space="preserve"> companies with</w:t>
      </w:r>
      <w:r w:rsidR="00030D33" w:rsidRPr="00F67CC4">
        <w:rPr>
          <w:rFonts w:cs="Calibri"/>
          <w:bCs/>
          <w:lang w:val="en-GB"/>
        </w:rPr>
        <w:t xml:space="preserve"> </w:t>
      </w:r>
      <w:r w:rsidR="00394171" w:rsidRPr="00F67CC4">
        <w:rPr>
          <w:rFonts w:cs="Calibri"/>
          <w:bCs/>
          <w:lang w:val="en-GB"/>
        </w:rPr>
        <w:t>SIC-code 600-699 are excluded from the sample.</w:t>
      </w:r>
      <w:r w:rsidR="00394171" w:rsidRPr="00F67CC4">
        <w:rPr>
          <w:rFonts w:cs="Calibri"/>
          <w:b/>
          <w:bCs/>
          <w:lang w:val="en-GB"/>
        </w:rPr>
        <w:t xml:space="preserve"> </w:t>
      </w:r>
      <w:r w:rsidR="0049249A">
        <w:rPr>
          <w:rFonts w:cs="Calibri"/>
          <w:bCs/>
          <w:lang w:val="en-GB"/>
        </w:rPr>
        <w:t>Because earlier requirements already eliminated all the companies with a SIC-code</w:t>
      </w:r>
      <w:r w:rsidR="00850242">
        <w:rPr>
          <w:rFonts w:cs="Calibri"/>
          <w:bCs/>
          <w:lang w:val="en-GB"/>
        </w:rPr>
        <w:t xml:space="preserve"> 600-699, this requirement</w:t>
      </w:r>
      <w:r w:rsidR="0049249A">
        <w:rPr>
          <w:rFonts w:cs="Calibri"/>
          <w:bCs/>
          <w:lang w:val="en-GB"/>
        </w:rPr>
        <w:t xml:space="preserve"> has not eliminated a co</w:t>
      </w:r>
      <w:r w:rsidR="00850242">
        <w:rPr>
          <w:rFonts w:cs="Calibri"/>
          <w:bCs/>
          <w:lang w:val="en-GB"/>
        </w:rPr>
        <w:t>m</w:t>
      </w:r>
      <w:r>
        <w:rPr>
          <w:rFonts w:cs="Calibri"/>
          <w:bCs/>
          <w:lang w:val="en-GB"/>
        </w:rPr>
        <w:t>pany; the sample still contain</w:t>
      </w:r>
      <w:r w:rsidR="00506807">
        <w:rPr>
          <w:rFonts w:cs="Calibri"/>
          <w:bCs/>
          <w:lang w:val="en-GB"/>
        </w:rPr>
        <w:t>ed</w:t>
      </w:r>
      <w:r w:rsidR="0049249A">
        <w:rPr>
          <w:rFonts w:cs="Calibri"/>
          <w:bCs/>
          <w:lang w:val="en-GB"/>
        </w:rPr>
        <w:t xml:space="preserve"> 408 companies. </w:t>
      </w:r>
    </w:p>
    <w:p w:rsidR="00030D33" w:rsidRDefault="00233E50" w:rsidP="00744939">
      <w:pPr>
        <w:spacing w:line="360" w:lineRule="auto"/>
        <w:rPr>
          <w:rFonts w:cs="Calibri"/>
          <w:bCs/>
          <w:lang w:val="en-GB"/>
        </w:rPr>
      </w:pPr>
      <w:r w:rsidRPr="00F67CC4">
        <w:rPr>
          <w:rFonts w:cs="Calibri"/>
          <w:bCs/>
          <w:lang w:val="en-GB"/>
        </w:rPr>
        <w:t xml:space="preserve">Because this research is about </w:t>
      </w:r>
      <w:r w:rsidR="00506807">
        <w:rPr>
          <w:rFonts w:cs="Calibri"/>
          <w:bCs/>
          <w:lang w:val="en-GB"/>
        </w:rPr>
        <w:t xml:space="preserve">the use of </w:t>
      </w:r>
      <w:r w:rsidRPr="00F67CC4">
        <w:rPr>
          <w:rFonts w:cs="Calibri"/>
          <w:bCs/>
          <w:lang w:val="en-GB"/>
        </w:rPr>
        <w:t>earnings management and the influence of the ne</w:t>
      </w:r>
      <w:r w:rsidR="00046191" w:rsidRPr="00F67CC4">
        <w:rPr>
          <w:rFonts w:cs="Calibri"/>
          <w:bCs/>
          <w:lang w:val="en-GB"/>
        </w:rPr>
        <w:t xml:space="preserve">w </w:t>
      </w:r>
      <w:r w:rsidR="00BE0E9B">
        <w:rPr>
          <w:rFonts w:cs="Calibri"/>
          <w:bCs/>
          <w:lang w:val="en-GB"/>
        </w:rPr>
        <w:t xml:space="preserve">accounting </w:t>
      </w:r>
      <w:r w:rsidR="00046191" w:rsidRPr="00F67CC4">
        <w:rPr>
          <w:rFonts w:cs="Calibri"/>
          <w:bCs/>
          <w:lang w:val="en-GB"/>
        </w:rPr>
        <w:t xml:space="preserve">standards IFRS, the transition from </w:t>
      </w:r>
      <w:r w:rsidR="00CB6500" w:rsidRPr="00F67CC4">
        <w:rPr>
          <w:rFonts w:cs="Calibri"/>
          <w:bCs/>
          <w:lang w:val="en-GB"/>
        </w:rPr>
        <w:t>local</w:t>
      </w:r>
      <w:r w:rsidR="00046191" w:rsidRPr="00F67CC4">
        <w:rPr>
          <w:rFonts w:cs="Calibri"/>
          <w:bCs/>
          <w:lang w:val="en-GB"/>
        </w:rPr>
        <w:t xml:space="preserve"> GAAP</w:t>
      </w:r>
      <w:r w:rsidRPr="00F67CC4">
        <w:rPr>
          <w:rFonts w:cs="Calibri"/>
          <w:bCs/>
          <w:lang w:val="en-GB"/>
        </w:rPr>
        <w:t xml:space="preserve"> to IFRS is of importance.</w:t>
      </w:r>
      <w:r w:rsidR="00046191" w:rsidRPr="00F67CC4">
        <w:rPr>
          <w:rFonts w:cs="Calibri"/>
          <w:bCs/>
          <w:lang w:val="en-GB"/>
        </w:rPr>
        <w:t xml:space="preserve"> </w:t>
      </w:r>
      <w:r w:rsidR="00BE0E9B">
        <w:rPr>
          <w:rFonts w:cs="Calibri"/>
          <w:bCs/>
          <w:lang w:val="en-GB"/>
        </w:rPr>
        <w:t>C</w:t>
      </w:r>
      <w:r w:rsidR="00CB6500" w:rsidRPr="00F67CC4">
        <w:rPr>
          <w:rFonts w:cs="Calibri"/>
          <w:bCs/>
          <w:lang w:val="en-GB"/>
        </w:rPr>
        <w:t xml:space="preserve">ompanies need to have </w:t>
      </w:r>
      <w:r w:rsidR="00BE0E9B">
        <w:rPr>
          <w:rFonts w:cs="Calibri"/>
          <w:bCs/>
          <w:lang w:val="en-GB"/>
        </w:rPr>
        <w:t>applied</w:t>
      </w:r>
      <w:r w:rsidR="00CB6500" w:rsidRPr="00F67CC4">
        <w:rPr>
          <w:rFonts w:cs="Calibri"/>
          <w:bCs/>
          <w:lang w:val="en-GB"/>
        </w:rPr>
        <w:t xml:space="preserve"> local </w:t>
      </w:r>
      <w:r w:rsidR="00030D33" w:rsidRPr="00F67CC4">
        <w:rPr>
          <w:rFonts w:cs="Calibri"/>
          <w:bCs/>
          <w:lang w:val="en-GB"/>
        </w:rPr>
        <w:t>GAAP till 2004 and mad</w:t>
      </w:r>
      <w:r w:rsidR="00CB6500" w:rsidRPr="00F67CC4">
        <w:rPr>
          <w:rFonts w:cs="Calibri"/>
          <w:bCs/>
          <w:lang w:val="en-GB"/>
        </w:rPr>
        <w:t>e a</w:t>
      </w:r>
      <w:r w:rsidR="00BE0E9B">
        <w:rPr>
          <w:rFonts w:cs="Calibri"/>
          <w:bCs/>
          <w:lang w:val="en-GB"/>
        </w:rPr>
        <w:t>n</w:t>
      </w:r>
      <w:r w:rsidR="00CB6500" w:rsidRPr="00F67CC4">
        <w:rPr>
          <w:rFonts w:cs="Calibri"/>
          <w:bCs/>
          <w:lang w:val="en-GB"/>
        </w:rPr>
        <w:t xml:space="preserve"> </w:t>
      </w:r>
      <w:r w:rsidR="00850242">
        <w:rPr>
          <w:rFonts w:cs="Calibri"/>
          <w:bCs/>
          <w:lang w:val="en-GB"/>
        </w:rPr>
        <w:t xml:space="preserve">obliged </w:t>
      </w:r>
      <w:r w:rsidR="00CB6500" w:rsidRPr="00F67CC4">
        <w:rPr>
          <w:rFonts w:cs="Calibri"/>
          <w:bCs/>
          <w:lang w:val="en-GB"/>
        </w:rPr>
        <w:t>transition</w:t>
      </w:r>
      <w:r w:rsidR="00BE0E9B">
        <w:rPr>
          <w:rFonts w:cs="Calibri"/>
          <w:bCs/>
          <w:lang w:val="en-GB"/>
        </w:rPr>
        <w:t xml:space="preserve"> to IFRS</w:t>
      </w:r>
      <w:r w:rsidR="00CB6500" w:rsidRPr="00F67CC4">
        <w:rPr>
          <w:rFonts w:cs="Calibri"/>
          <w:bCs/>
          <w:lang w:val="en-GB"/>
        </w:rPr>
        <w:t xml:space="preserve"> in 2005.</w:t>
      </w:r>
      <w:r w:rsidR="00301CA4">
        <w:rPr>
          <w:rFonts w:cs="Calibri"/>
          <w:bCs/>
          <w:lang w:val="en-GB"/>
        </w:rPr>
        <w:t xml:space="preserve"> The</w:t>
      </w:r>
      <w:r w:rsidR="00850242">
        <w:rPr>
          <w:rFonts w:cs="Calibri"/>
          <w:bCs/>
          <w:lang w:val="en-GB"/>
        </w:rPr>
        <w:t xml:space="preserve"> obliged</w:t>
      </w:r>
      <w:r w:rsidR="00301CA4">
        <w:rPr>
          <w:rFonts w:cs="Calibri"/>
          <w:bCs/>
          <w:lang w:val="en-GB"/>
        </w:rPr>
        <w:t xml:space="preserve"> transition from local GAAP to IFRS</w:t>
      </w:r>
      <w:r w:rsidR="00850242">
        <w:rPr>
          <w:rFonts w:cs="Calibri"/>
          <w:bCs/>
          <w:lang w:val="en-GB"/>
        </w:rPr>
        <w:t xml:space="preserve"> in 2005</w:t>
      </w:r>
      <w:r w:rsidR="00301CA4">
        <w:rPr>
          <w:rFonts w:cs="Calibri"/>
          <w:bCs/>
          <w:lang w:val="en-GB"/>
        </w:rPr>
        <w:t xml:space="preserve"> decreased the number of companies that meet all requirements to 283 companies.</w:t>
      </w:r>
    </w:p>
    <w:p w:rsidR="00BE0E9B" w:rsidRDefault="00301CA4" w:rsidP="00744939">
      <w:pPr>
        <w:spacing w:line="360" w:lineRule="auto"/>
        <w:rPr>
          <w:rFonts w:cs="Calibri"/>
          <w:bCs/>
          <w:lang w:val="en-GB"/>
        </w:rPr>
      </w:pPr>
      <w:r>
        <w:rPr>
          <w:rFonts w:cs="Calibri"/>
          <w:bCs/>
          <w:lang w:val="en-GB"/>
        </w:rPr>
        <w:t>The data of these 283 companies was attained by the Thomson One Banker database. Not all data of all companies was available, the companies of which not all data was available were removed from the sample. After this, the final s</w:t>
      </w:r>
      <w:r w:rsidR="0052794C">
        <w:rPr>
          <w:rFonts w:cs="Calibri"/>
          <w:bCs/>
          <w:lang w:val="en-GB"/>
        </w:rPr>
        <w:t>ample for this research contains</w:t>
      </w:r>
      <w:r>
        <w:rPr>
          <w:rFonts w:cs="Calibri"/>
          <w:bCs/>
          <w:lang w:val="en-GB"/>
        </w:rPr>
        <w:t xml:space="preserve"> 95 companies. </w:t>
      </w:r>
      <w:r w:rsidR="00CB6500" w:rsidRPr="00F67CC4">
        <w:rPr>
          <w:rFonts w:cs="Calibri"/>
          <w:bCs/>
          <w:lang w:val="en-GB"/>
        </w:rPr>
        <w:t>The distribution of these companies is 50 companies from The Netherlands, 5 from Belgium</w:t>
      </w:r>
      <w:r w:rsidR="004E763B" w:rsidRPr="00F67CC4">
        <w:rPr>
          <w:rFonts w:cs="Calibri"/>
          <w:bCs/>
          <w:lang w:val="en-GB"/>
        </w:rPr>
        <w:t xml:space="preserve"> and</w:t>
      </w:r>
      <w:r w:rsidR="00CB6500" w:rsidRPr="00F67CC4">
        <w:rPr>
          <w:rFonts w:cs="Calibri"/>
          <w:bCs/>
          <w:lang w:val="en-GB"/>
        </w:rPr>
        <w:t xml:space="preserve"> 40 from France. </w:t>
      </w:r>
      <w:r w:rsidR="00BE0E9B">
        <w:rPr>
          <w:rFonts w:cs="Calibri"/>
          <w:bCs/>
          <w:lang w:val="en-GB"/>
        </w:rPr>
        <w:t xml:space="preserve">This final sample </w:t>
      </w:r>
      <w:r w:rsidR="00E34EC5" w:rsidRPr="00F67CC4">
        <w:rPr>
          <w:rFonts w:cs="Calibri"/>
          <w:bCs/>
          <w:lang w:val="en-GB"/>
        </w:rPr>
        <w:t>will be used for the research</w:t>
      </w:r>
      <w:r w:rsidR="0052794C">
        <w:rPr>
          <w:rFonts w:cs="Calibri"/>
          <w:bCs/>
          <w:lang w:val="en-GB"/>
        </w:rPr>
        <w:t xml:space="preserve">; </w:t>
      </w:r>
      <w:r w:rsidR="00BE0E9B">
        <w:rPr>
          <w:rFonts w:cs="Calibri"/>
          <w:bCs/>
          <w:lang w:val="en-GB"/>
        </w:rPr>
        <w:t xml:space="preserve">a list of all companies in the sample </w:t>
      </w:r>
      <w:r w:rsidR="00506807">
        <w:rPr>
          <w:rFonts w:cs="Calibri"/>
          <w:bCs/>
          <w:lang w:val="en-GB"/>
        </w:rPr>
        <w:t>is presented</w:t>
      </w:r>
      <w:r w:rsidR="00BE0E9B">
        <w:rPr>
          <w:rFonts w:cs="Calibri"/>
          <w:bCs/>
          <w:lang w:val="en-GB"/>
        </w:rPr>
        <w:t xml:space="preserve"> in appendix 2 on page 99. </w:t>
      </w:r>
    </w:p>
    <w:p w:rsidR="00186767" w:rsidRPr="00F67CC4" w:rsidRDefault="00744939" w:rsidP="005B288A">
      <w:pPr>
        <w:spacing w:line="360" w:lineRule="auto"/>
        <w:rPr>
          <w:rFonts w:cs="Calibri"/>
          <w:bCs/>
          <w:lang w:val="en-GB"/>
        </w:rPr>
      </w:pPr>
      <w:r w:rsidRPr="00F67CC4">
        <w:rPr>
          <w:rFonts w:cs="Calibri"/>
          <w:b/>
          <w:bCs/>
          <w:lang w:val="en-GB"/>
        </w:rPr>
        <w:t>6.</w:t>
      </w:r>
      <w:r w:rsidR="00AB438D">
        <w:rPr>
          <w:rFonts w:cs="Calibri"/>
          <w:b/>
          <w:bCs/>
          <w:lang w:val="en-GB"/>
        </w:rPr>
        <w:t>5</w:t>
      </w:r>
      <w:r w:rsidRPr="00F67CC4">
        <w:rPr>
          <w:rFonts w:cs="Calibri"/>
          <w:b/>
          <w:bCs/>
          <w:lang w:val="en-GB"/>
        </w:rPr>
        <w:t xml:space="preserve"> Data attainability</w:t>
      </w:r>
      <w:r w:rsidR="00E74341" w:rsidRPr="00F67CC4">
        <w:rPr>
          <w:rFonts w:cs="Calibri"/>
          <w:b/>
          <w:bCs/>
          <w:lang w:val="en-GB"/>
        </w:rPr>
        <w:br/>
      </w:r>
      <w:r w:rsidR="00CC3F6E" w:rsidRPr="00F67CC4">
        <w:rPr>
          <w:rFonts w:cs="Calibri"/>
          <w:bCs/>
          <w:lang w:val="en-GB"/>
        </w:rPr>
        <w:t xml:space="preserve">All the data that is needed for this research can all be found in </w:t>
      </w:r>
      <w:r w:rsidR="002968BE" w:rsidRPr="00F67CC4">
        <w:rPr>
          <w:rFonts w:cs="Calibri"/>
          <w:bCs/>
          <w:lang w:val="en-GB"/>
        </w:rPr>
        <w:t xml:space="preserve">the </w:t>
      </w:r>
      <w:r w:rsidR="00CC3F6E" w:rsidRPr="00F67CC4">
        <w:rPr>
          <w:rFonts w:cs="Calibri"/>
          <w:bCs/>
          <w:lang w:val="en-GB"/>
        </w:rPr>
        <w:t>annual reports</w:t>
      </w:r>
      <w:r w:rsidR="002968BE" w:rsidRPr="00F67CC4">
        <w:rPr>
          <w:rFonts w:cs="Calibri"/>
          <w:bCs/>
          <w:lang w:val="en-GB"/>
        </w:rPr>
        <w:t xml:space="preserve"> of th</w:t>
      </w:r>
      <w:r w:rsidR="001A721F" w:rsidRPr="00F67CC4">
        <w:rPr>
          <w:rFonts w:cs="Calibri"/>
          <w:bCs/>
          <w:lang w:val="en-GB"/>
        </w:rPr>
        <w:t xml:space="preserve">e </w:t>
      </w:r>
      <w:r w:rsidR="008853C3" w:rsidRPr="00F67CC4">
        <w:rPr>
          <w:rFonts w:cs="Calibri"/>
          <w:bCs/>
          <w:lang w:val="en-GB"/>
        </w:rPr>
        <w:t>95</w:t>
      </w:r>
      <w:r w:rsidR="00141CE7" w:rsidRPr="00F67CC4">
        <w:rPr>
          <w:rFonts w:cs="Calibri"/>
          <w:bCs/>
          <w:lang w:val="en-GB"/>
        </w:rPr>
        <w:t xml:space="preserve"> </w:t>
      </w:r>
      <w:r w:rsidR="00506807">
        <w:rPr>
          <w:rFonts w:cs="Calibri"/>
          <w:bCs/>
          <w:lang w:val="en-GB"/>
        </w:rPr>
        <w:t xml:space="preserve">selected </w:t>
      </w:r>
      <w:r w:rsidR="00141CE7" w:rsidRPr="00F67CC4">
        <w:rPr>
          <w:rFonts w:cs="Calibri"/>
          <w:bCs/>
          <w:lang w:val="en-GB"/>
        </w:rPr>
        <w:t>companies</w:t>
      </w:r>
      <w:r w:rsidR="00032E92">
        <w:rPr>
          <w:rFonts w:cs="Calibri"/>
          <w:bCs/>
          <w:lang w:val="en-GB"/>
        </w:rPr>
        <w:t xml:space="preserve"> which are publicly available because all companies are </w:t>
      </w:r>
      <w:r w:rsidR="00506807">
        <w:rPr>
          <w:rFonts w:cs="Calibri"/>
          <w:bCs/>
          <w:lang w:val="en-GB"/>
        </w:rPr>
        <w:t>stock exchange quoted</w:t>
      </w:r>
      <w:r w:rsidR="00032E92">
        <w:rPr>
          <w:rFonts w:cs="Calibri"/>
          <w:bCs/>
          <w:lang w:val="en-GB"/>
        </w:rPr>
        <w:t xml:space="preserve">. </w:t>
      </w:r>
      <w:r w:rsidR="002968BE" w:rsidRPr="00F67CC4">
        <w:rPr>
          <w:rFonts w:cs="Calibri"/>
          <w:bCs/>
          <w:lang w:val="en-GB"/>
        </w:rPr>
        <w:t xml:space="preserve">In order to get easy access to all these data, the Thomson One Banker database </w:t>
      </w:r>
      <w:r w:rsidR="0052794C">
        <w:rPr>
          <w:rFonts w:cs="Calibri"/>
          <w:bCs/>
          <w:lang w:val="en-GB"/>
        </w:rPr>
        <w:t>is</w:t>
      </w:r>
      <w:r w:rsidR="002968BE" w:rsidRPr="00F67CC4">
        <w:rPr>
          <w:rFonts w:cs="Calibri"/>
          <w:bCs/>
          <w:lang w:val="en-GB"/>
        </w:rPr>
        <w:t xml:space="preserve"> used</w:t>
      </w:r>
      <w:r w:rsidR="00032E92">
        <w:rPr>
          <w:rFonts w:cs="Calibri"/>
          <w:bCs/>
          <w:lang w:val="en-GB"/>
        </w:rPr>
        <w:t xml:space="preserve">. </w:t>
      </w:r>
      <w:r w:rsidR="00D81246" w:rsidRPr="00D81246">
        <w:rPr>
          <w:rFonts w:cs="Calibri"/>
          <w:bCs/>
          <w:lang w:val="en-GB"/>
        </w:rPr>
        <w:t xml:space="preserve">Both the historical data that is used to determine </w:t>
      </w:r>
      <w:r w:rsidR="00AB4C2B">
        <w:rPr>
          <w:rFonts w:cs="Calibri"/>
          <w:bCs/>
          <w:lang w:val="en-GB"/>
        </w:rPr>
        <w:t xml:space="preserve">the regression </w:t>
      </w:r>
      <w:r w:rsidR="00D81246" w:rsidRPr="00D81246">
        <w:rPr>
          <w:rFonts w:cs="Calibri"/>
          <w:bCs/>
          <w:lang w:val="en-GB"/>
        </w:rPr>
        <w:t>coefficients as</w:t>
      </w:r>
      <w:r w:rsidR="00032E92">
        <w:rPr>
          <w:rFonts w:cs="Calibri"/>
          <w:bCs/>
          <w:lang w:val="en-GB"/>
        </w:rPr>
        <w:t xml:space="preserve"> the data </w:t>
      </w:r>
      <w:r w:rsidR="0052794C">
        <w:rPr>
          <w:rFonts w:cs="Calibri"/>
          <w:bCs/>
          <w:lang w:val="en-GB"/>
        </w:rPr>
        <w:t>for the</w:t>
      </w:r>
      <w:r w:rsidR="00D81246" w:rsidRPr="00D81246">
        <w:rPr>
          <w:rFonts w:cs="Calibri"/>
          <w:bCs/>
          <w:lang w:val="en-GB"/>
        </w:rPr>
        <w:t xml:space="preserve"> research </w:t>
      </w:r>
      <w:r w:rsidR="00AB4C2B">
        <w:rPr>
          <w:rFonts w:cs="Calibri"/>
          <w:bCs/>
          <w:lang w:val="en-GB"/>
        </w:rPr>
        <w:t xml:space="preserve">period </w:t>
      </w:r>
      <w:r w:rsidR="00506807">
        <w:rPr>
          <w:rFonts w:cs="Calibri"/>
          <w:bCs/>
          <w:lang w:val="en-GB"/>
        </w:rPr>
        <w:t>are available</w:t>
      </w:r>
      <w:r w:rsidR="00D81246" w:rsidRPr="00D81246">
        <w:rPr>
          <w:rFonts w:cs="Calibri"/>
          <w:bCs/>
          <w:lang w:val="en-GB"/>
        </w:rPr>
        <w:t xml:space="preserve"> in this database. </w:t>
      </w:r>
      <w:r w:rsidR="00186767" w:rsidRPr="00F67CC4">
        <w:rPr>
          <w:rFonts w:cs="Calibri"/>
          <w:bCs/>
          <w:lang w:val="en-GB"/>
        </w:rPr>
        <w:t xml:space="preserve">The Thomson One Banker database is the only database used to collect data; this decreases the quantity of </w:t>
      </w:r>
      <w:r w:rsidR="0057362C">
        <w:rPr>
          <w:rFonts w:cs="Calibri"/>
          <w:bCs/>
          <w:lang w:val="en-GB"/>
        </w:rPr>
        <w:t xml:space="preserve">the selected </w:t>
      </w:r>
      <w:r w:rsidR="00186767" w:rsidRPr="00F67CC4">
        <w:rPr>
          <w:rFonts w:cs="Calibri"/>
          <w:bCs/>
          <w:lang w:val="en-GB"/>
        </w:rPr>
        <w:t>companies because only companies with full data-disclosure are selected but it increases the quality of the sample because of the uniformity in the value</w:t>
      </w:r>
      <w:r w:rsidR="00AB4C2B" w:rsidRPr="00F67CC4">
        <w:rPr>
          <w:rFonts w:cs="Calibri"/>
          <w:bCs/>
          <w:lang w:val="en-GB"/>
        </w:rPr>
        <w:t xml:space="preserve"> determination</w:t>
      </w:r>
      <w:r w:rsidR="00186767" w:rsidRPr="00F67CC4">
        <w:rPr>
          <w:rFonts w:cs="Calibri"/>
          <w:bCs/>
          <w:lang w:val="en-GB"/>
        </w:rPr>
        <w:t xml:space="preserve"> of variables.</w:t>
      </w:r>
    </w:p>
    <w:p w:rsidR="00040801" w:rsidRDefault="00AB438D" w:rsidP="005B288A">
      <w:pPr>
        <w:spacing w:line="360" w:lineRule="auto"/>
        <w:rPr>
          <w:rFonts w:cs="Calibri"/>
          <w:bCs/>
          <w:lang w:val="en-GB"/>
        </w:rPr>
      </w:pPr>
      <w:r>
        <w:rPr>
          <w:rFonts w:cs="Calibri"/>
          <w:b/>
          <w:bCs/>
          <w:lang w:val="en-GB"/>
        </w:rPr>
        <w:t>6.6</w:t>
      </w:r>
      <w:r w:rsidR="00141CE7" w:rsidRPr="00F67CC4">
        <w:rPr>
          <w:rFonts w:cs="Calibri"/>
          <w:b/>
          <w:bCs/>
          <w:lang w:val="en-GB"/>
        </w:rPr>
        <w:t xml:space="preserve"> Summary</w:t>
      </w:r>
      <w:r w:rsidR="00141CE7" w:rsidRPr="00F67CC4">
        <w:rPr>
          <w:rFonts w:cs="Calibri"/>
          <w:b/>
          <w:bCs/>
          <w:lang w:val="en-GB"/>
        </w:rPr>
        <w:br/>
      </w:r>
      <w:r w:rsidR="00141CE7" w:rsidRPr="00F67CC4">
        <w:rPr>
          <w:rFonts w:cs="Calibri"/>
          <w:bCs/>
          <w:lang w:val="en-GB"/>
        </w:rPr>
        <w:t xml:space="preserve">In this chapter </w:t>
      </w:r>
      <w:r w:rsidR="005B288A" w:rsidRPr="00F67CC4">
        <w:rPr>
          <w:rFonts w:cs="Calibri"/>
          <w:bCs/>
          <w:lang w:val="en-GB"/>
        </w:rPr>
        <w:t>the research design</w:t>
      </w:r>
      <w:r w:rsidR="003F5707">
        <w:rPr>
          <w:rFonts w:cs="Calibri"/>
          <w:bCs/>
          <w:lang w:val="en-GB"/>
        </w:rPr>
        <w:t xml:space="preserve"> </w:t>
      </w:r>
      <w:r w:rsidR="005B288A" w:rsidRPr="00F67CC4">
        <w:rPr>
          <w:rFonts w:cs="Calibri"/>
          <w:bCs/>
          <w:lang w:val="en-GB"/>
        </w:rPr>
        <w:t xml:space="preserve">is </w:t>
      </w:r>
      <w:r w:rsidR="00FD57D0">
        <w:rPr>
          <w:rFonts w:cs="Calibri"/>
          <w:bCs/>
          <w:lang w:val="en-GB"/>
        </w:rPr>
        <w:t>commented</w:t>
      </w:r>
      <w:r w:rsidR="003F5707">
        <w:rPr>
          <w:rFonts w:cs="Calibri"/>
          <w:bCs/>
          <w:lang w:val="en-GB"/>
        </w:rPr>
        <w:t xml:space="preserve">, which is the answer </w:t>
      </w:r>
      <w:r w:rsidR="00C44A35">
        <w:rPr>
          <w:rFonts w:cs="Calibri"/>
          <w:bCs/>
          <w:lang w:val="en-GB"/>
        </w:rPr>
        <w:t>on sub-</w:t>
      </w:r>
      <w:r w:rsidR="003F5707">
        <w:rPr>
          <w:rFonts w:cs="Calibri"/>
          <w:bCs/>
          <w:lang w:val="en-GB"/>
        </w:rPr>
        <w:t>question 9. The</w:t>
      </w:r>
      <w:r w:rsidR="005B288A" w:rsidRPr="00F67CC4">
        <w:rPr>
          <w:rFonts w:cs="Calibri"/>
          <w:bCs/>
          <w:lang w:val="en-GB"/>
        </w:rPr>
        <w:t xml:space="preserve"> research design is about the models for determining </w:t>
      </w:r>
      <w:r w:rsidR="0057362C">
        <w:rPr>
          <w:rFonts w:cs="Calibri"/>
          <w:bCs/>
          <w:lang w:val="en-GB"/>
        </w:rPr>
        <w:t xml:space="preserve">the </w:t>
      </w:r>
      <w:r w:rsidR="005B288A" w:rsidRPr="00F67CC4">
        <w:rPr>
          <w:rFonts w:cs="Calibri"/>
          <w:bCs/>
          <w:lang w:val="en-GB"/>
        </w:rPr>
        <w:t xml:space="preserve">accruals-based and </w:t>
      </w:r>
      <w:r w:rsidR="0057362C">
        <w:rPr>
          <w:rFonts w:cs="Calibri"/>
          <w:bCs/>
          <w:lang w:val="en-GB"/>
        </w:rPr>
        <w:t xml:space="preserve">the </w:t>
      </w:r>
      <w:r w:rsidR="005B288A" w:rsidRPr="00F67CC4">
        <w:rPr>
          <w:rFonts w:cs="Calibri"/>
          <w:bCs/>
          <w:lang w:val="en-GB"/>
        </w:rPr>
        <w:t>real earnings management</w:t>
      </w:r>
      <w:r w:rsidR="00047046">
        <w:rPr>
          <w:rFonts w:cs="Calibri"/>
          <w:bCs/>
          <w:lang w:val="en-GB"/>
        </w:rPr>
        <w:t>, the multiple regress</w:t>
      </w:r>
      <w:r w:rsidR="002E409A">
        <w:rPr>
          <w:rFonts w:cs="Calibri"/>
          <w:bCs/>
          <w:lang w:val="en-GB"/>
        </w:rPr>
        <w:t>ions</w:t>
      </w:r>
      <w:r w:rsidR="00040801">
        <w:rPr>
          <w:rFonts w:cs="Calibri"/>
          <w:bCs/>
          <w:lang w:val="en-GB"/>
        </w:rPr>
        <w:t xml:space="preserve"> and the analysis of the results. In order to perform</w:t>
      </w:r>
      <w:r w:rsidR="00903073">
        <w:rPr>
          <w:rFonts w:cs="Calibri"/>
          <w:bCs/>
          <w:lang w:val="en-GB"/>
        </w:rPr>
        <w:t xml:space="preserve"> the </w:t>
      </w:r>
      <w:r w:rsidR="00040801">
        <w:rPr>
          <w:rFonts w:cs="Calibri"/>
          <w:bCs/>
          <w:lang w:val="en-GB"/>
        </w:rPr>
        <w:t xml:space="preserve">models and </w:t>
      </w:r>
      <w:r w:rsidR="00903073">
        <w:rPr>
          <w:rFonts w:cs="Calibri"/>
          <w:bCs/>
          <w:lang w:val="en-GB"/>
        </w:rPr>
        <w:t xml:space="preserve">the </w:t>
      </w:r>
      <w:r w:rsidR="00040801">
        <w:rPr>
          <w:rFonts w:cs="Calibri"/>
          <w:bCs/>
          <w:lang w:val="en-GB"/>
        </w:rPr>
        <w:t>regression</w:t>
      </w:r>
      <w:r w:rsidR="00903073">
        <w:rPr>
          <w:rFonts w:cs="Calibri"/>
          <w:bCs/>
          <w:lang w:val="en-GB"/>
        </w:rPr>
        <w:t>s</w:t>
      </w:r>
      <w:r w:rsidR="00040801">
        <w:rPr>
          <w:rFonts w:cs="Calibri"/>
          <w:bCs/>
          <w:lang w:val="en-GB"/>
        </w:rPr>
        <w:t>, data is necessary</w:t>
      </w:r>
      <w:r w:rsidR="00903073">
        <w:rPr>
          <w:rFonts w:cs="Calibri"/>
          <w:bCs/>
          <w:lang w:val="en-GB"/>
        </w:rPr>
        <w:t>. Only the data from companies that meet certain requirements is used</w:t>
      </w:r>
      <w:r w:rsidR="00040801">
        <w:rPr>
          <w:rFonts w:cs="Calibri"/>
          <w:bCs/>
          <w:lang w:val="en-GB"/>
        </w:rPr>
        <w:t>.</w:t>
      </w:r>
    </w:p>
    <w:p w:rsidR="005B288A" w:rsidRPr="00F67CC4" w:rsidRDefault="005B288A" w:rsidP="005B288A">
      <w:pPr>
        <w:spacing w:line="360" w:lineRule="auto"/>
        <w:rPr>
          <w:rFonts w:cs="Calibri"/>
          <w:bCs/>
          <w:lang w:val="en-GB"/>
        </w:rPr>
      </w:pPr>
      <w:r w:rsidRPr="00F67CC4">
        <w:rPr>
          <w:rFonts w:cs="Calibri"/>
          <w:bCs/>
          <w:lang w:val="en-GB"/>
        </w:rPr>
        <w:lastRenderedPageBreak/>
        <w:t xml:space="preserve">With the use of </w:t>
      </w:r>
      <w:r w:rsidR="0057362C">
        <w:rPr>
          <w:rFonts w:cs="Calibri"/>
          <w:bCs/>
          <w:lang w:val="en-GB"/>
        </w:rPr>
        <w:t xml:space="preserve">the Modified Jones Model (1995), </w:t>
      </w:r>
      <w:r w:rsidRPr="00F67CC4">
        <w:rPr>
          <w:rFonts w:cs="Calibri"/>
          <w:bCs/>
          <w:lang w:val="en-GB"/>
        </w:rPr>
        <w:t xml:space="preserve">historical data, </w:t>
      </w:r>
      <w:r w:rsidR="0052794C">
        <w:rPr>
          <w:rFonts w:cs="Calibri"/>
          <w:bCs/>
          <w:lang w:val="en-GB"/>
        </w:rPr>
        <w:t xml:space="preserve">regression </w:t>
      </w:r>
      <w:r w:rsidRPr="00F67CC4">
        <w:rPr>
          <w:rFonts w:cs="Calibri"/>
          <w:bCs/>
          <w:lang w:val="en-GB"/>
        </w:rPr>
        <w:t xml:space="preserve">coefficients </w:t>
      </w:r>
      <w:r w:rsidR="00047046">
        <w:rPr>
          <w:rFonts w:cs="Calibri"/>
          <w:bCs/>
          <w:lang w:val="en-GB"/>
        </w:rPr>
        <w:t>are</w:t>
      </w:r>
      <w:r w:rsidRPr="00F67CC4">
        <w:rPr>
          <w:rFonts w:cs="Calibri"/>
          <w:bCs/>
          <w:lang w:val="en-GB"/>
        </w:rPr>
        <w:t xml:space="preserve"> estimated to determine </w:t>
      </w:r>
      <w:r w:rsidR="0086306F" w:rsidRPr="00F67CC4">
        <w:rPr>
          <w:rFonts w:cs="Calibri"/>
          <w:bCs/>
          <w:lang w:val="en-GB"/>
        </w:rPr>
        <w:t xml:space="preserve">the amount of non-discretionary accruals. By subtraction these non-discretionary accruals of the total accruals, the </w:t>
      </w:r>
      <w:r w:rsidR="00047046">
        <w:rPr>
          <w:rFonts w:cs="Calibri"/>
          <w:bCs/>
          <w:lang w:val="en-GB"/>
        </w:rPr>
        <w:t xml:space="preserve">amount of </w:t>
      </w:r>
      <w:r w:rsidR="0086306F" w:rsidRPr="00F67CC4">
        <w:rPr>
          <w:rFonts w:cs="Calibri"/>
          <w:bCs/>
          <w:lang w:val="en-GB"/>
        </w:rPr>
        <w:t xml:space="preserve">discretionary accruals </w:t>
      </w:r>
      <w:r w:rsidR="00047046">
        <w:rPr>
          <w:rFonts w:cs="Calibri"/>
          <w:bCs/>
          <w:lang w:val="en-GB"/>
        </w:rPr>
        <w:t>is determined</w:t>
      </w:r>
      <w:r w:rsidR="0086306F" w:rsidRPr="00F67CC4">
        <w:rPr>
          <w:rFonts w:cs="Calibri"/>
          <w:bCs/>
          <w:lang w:val="en-GB"/>
        </w:rPr>
        <w:t xml:space="preserve"> which </w:t>
      </w:r>
      <w:r w:rsidR="00AB4C2B" w:rsidRPr="00F67CC4">
        <w:rPr>
          <w:rFonts w:cs="Calibri"/>
          <w:bCs/>
          <w:lang w:val="en-GB"/>
        </w:rPr>
        <w:t>is the indication of</w:t>
      </w:r>
      <w:r w:rsidR="0086306F" w:rsidRPr="00F67CC4">
        <w:rPr>
          <w:rFonts w:cs="Calibri"/>
          <w:bCs/>
          <w:lang w:val="en-GB"/>
        </w:rPr>
        <w:t xml:space="preserve"> </w:t>
      </w:r>
      <w:r w:rsidR="00AB4C2B" w:rsidRPr="00F67CC4">
        <w:rPr>
          <w:rFonts w:cs="Calibri"/>
          <w:bCs/>
          <w:lang w:val="en-GB"/>
        </w:rPr>
        <w:t xml:space="preserve">the use of </w:t>
      </w:r>
      <w:r w:rsidR="0052794C">
        <w:rPr>
          <w:rFonts w:cs="Calibri"/>
          <w:bCs/>
          <w:lang w:val="en-GB"/>
        </w:rPr>
        <w:t xml:space="preserve">accruals-based </w:t>
      </w:r>
      <w:r w:rsidR="00AB4C2B" w:rsidRPr="00F67CC4">
        <w:rPr>
          <w:rFonts w:cs="Calibri"/>
          <w:bCs/>
          <w:lang w:val="en-GB"/>
        </w:rPr>
        <w:t>earnings management.</w:t>
      </w:r>
    </w:p>
    <w:p w:rsidR="001F2203" w:rsidRDefault="0086306F" w:rsidP="005B288A">
      <w:pPr>
        <w:spacing w:line="360" w:lineRule="auto"/>
        <w:rPr>
          <w:rFonts w:cs="Calibri"/>
          <w:bCs/>
          <w:lang w:val="en-GB"/>
        </w:rPr>
      </w:pPr>
      <w:r w:rsidRPr="00F67CC4">
        <w:rPr>
          <w:rFonts w:cs="Calibri"/>
          <w:bCs/>
          <w:lang w:val="en-GB"/>
        </w:rPr>
        <w:t xml:space="preserve">Real earnings management is checked for </w:t>
      </w:r>
      <w:r w:rsidR="00AE4BA0" w:rsidRPr="00F67CC4">
        <w:rPr>
          <w:rFonts w:cs="Calibri"/>
          <w:bCs/>
          <w:lang w:val="en-GB"/>
        </w:rPr>
        <w:t xml:space="preserve">by </w:t>
      </w:r>
      <w:r w:rsidRPr="00F67CC4">
        <w:rPr>
          <w:rFonts w:cs="Calibri"/>
          <w:bCs/>
          <w:lang w:val="en-GB"/>
        </w:rPr>
        <w:t xml:space="preserve">the model </w:t>
      </w:r>
      <w:r w:rsidR="003D012C">
        <w:rPr>
          <w:rFonts w:cs="Calibri"/>
          <w:bCs/>
          <w:lang w:val="en-GB"/>
        </w:rPr>
        <w:t xml:space="preserve">developed by </w:t>
      </w:r>
      <w:r w:rsidRPr="00F67CC4">
        <w:rPr>
          <w:rFonts w:cs="Calibri"/>
          <w:bCs/>
          <w:lang w:val="en-GB"/>
        </w:rPr>
        <w:t xml:space="preserve">Roychowdhury (2006). </w:t>
      </w:r>
      <w:r w:rsidR="00AB4C2B" w:rsidRPr="00F67CC4">
        <w:rPr>
          <w:rFonts w:cs="Calibri"/>
          <w:bCs/>
          <w:lang w:val="en-GB"/>
        </w:rPr>
        <w:t xml:space="preserve">Roychowdhury (2006) uses the variables </w:t>
      </w:r>
      <w:r w:rsidR="003D012C">
        <w:rPr>
          <w:rFonts w:cs="Calibri"/>
          <w:bCs/>
          <w:lang w:val="en-GB"/>
        </w:rPr>
        <w:t>cash flow of o</w:t>
      </w:r>
      <w:r w:rsidR="00AB4C2B" w:rsidRPr="00AB4C2B">
        <w:rPr>
          <w:rFonts w:cs="Calibri"/>
          <w:bCs/>
          <w:lang w:val="en-GB"/>
        </w:rPr>
        <w:t>perations</w:t>
      </w:r>
      <w:r w:rsidR="003D012C">
        <w:rPr>
          <w:rFonts w:cs="Calibri"/>
          <w:bCs/>
          <w:lang w:val="en-GB"/>
        </w:rPr>
        <w:t xml:space="preserve"> (CFO)</w:t>
      </w:r>
      <w:r w:rsidR="00AB4C2B" w:rsidRPr="00AB4C2B">
        <w:rPr>
          <w:rFonts w:cs="Calibri"/>
          <w:bCs/>
          <w:lang w:val="en-GB"/>
        </w:rPr>
        <w:t>, Cost of Goods Sold</w:t>
      </w:r>
      <w:r w:rsidR="003D012C">
        <w:rPr>
          <w:rFonts w:cs="Calibri"/>
          <w:bCs/>
          <w:lang w:val="en-GB"/>
        </w:rPr>
        <w:t xml:space="preserve"> (COGS)</w:t>
      </w:r>
      <w:r w:rsidR="00AB4C2B" w:rsidRPr="00AB4C2B">
        <w:rPr>
          <w:rFonts w:cs="Calibri"/>
          <w:bCs/>
          <w:lang w:val="en-GB"/>
        </w:rPr>
        <w:t xml:space="preserve">, </w:t>
      </w:r>
      <w:r w:rsidR="003D012C">
        <w:rPr>
          <w:rFonts w:cs="Calibri"/>
          <w:bCs/>
          <w:lang w:val="en-GB"/>
        </w:rPr>
        <w:t>change in i</w:t>
      </w:r>
      <w:r w:rsidR="00AB4C2B" w:rsidRPr="00AB4C2B">
        <w:rPr>
          <w:rFonts w:cs="Calibri"/>
          <w:bCs/>
          <w:lang w:val="en-GB"/>
        </w:rPr>
        <w:t>nventory</w:t>
      </w:r>
      <w:r w:rsidR="003D012C">
        <w:rPr>
          <w:rFonts w:cs="Calibri"/>
          <w:bCs/>
          <w:lang w:val="en-GB"/>
        </w:rPr>
        <w:t xml:space="preserve"> (ΔINV)</w:t>
      </w:r>
      <w:r w:rsidR="0022786D">
        <w:rPr>
          <w:rFonts w:cs="Calibri"/>
          <w:bCs/>
          <w:lang w:val="en-GB"/>
        </w:rPr>
        <w:t>, production c</w:t>
      </w:r>
      <w:r w:rsidR="00AB4C2B" w:rsidRPr="00AB4C2B">
        <w:rPr>
          <w:rFonts w:cs="Calibri"/>
          <w:bCs/>
          <w:lang w:val="en-GB"/>
        </w:rPr>
        <w:t>osts</w:t>
      </w:r>
      <w:r w:rsidR="0022786D">
        <w:rPr>
          <w:rFonts w:cs="Calibri"/>
          <w:bCs/>
          <w:lang w:val="en-GB"/>
        </w:rPr>
        <w:t xml:space="preserve"> (PROD) and discretionary e</w:t>
      </w:r>
      <w:r w:rsidR="00AB4C2B" w:rsidRPr="00AB4C2B">
        <w:rPr>
          <w:rFonts w:cs="Calibri"/>
          <w:bCs/>
          <w:lang w:val="en-GB"/>
        </w:rPr>
        <w:t>xpenses</w:t>
      </w:r>
      <w:r w:rsidR="0022786D">
        <w:rPr>
          <w:rFonts w:cs="Calibri"/>
          <w:bCs/>
          <w:lang w:val="en-GB"/>
        </w:rPr>
        <w:t xml:space="preserve"> (DISEXP)</w:t>
      </w:r>
      <w:r w:rsidR="00AB4C2B">
        <w:rPr>
          <w:rFonts w:cs="Calibri"/>
          <w:bCs/>
          <w:lang w:val="en-GB"/>
        </w:rPr>
        <w:t xml:space="preserve"> to determine the use of real earnings management. Because of </w:t>
      </w:r>
      <w:r w:rsidR="00903073">
        <w:rPr>
          <w:rFonts w:cs="Calibri"/>
          <w:bCs/>
          <w:lang w:val="en-GB"/>
        </w:rPr>
        <w:t>a</w:t>
      </w:r>
      <w:r w:rsidR="00AB4C2B">
        <w:rPr>
          <w:rFonts w:cs="Calibri"/>
          <w:bCs/>
          <w:lang w:val="en-GB"/>
        </w:rPr>
        <w:t xml:space="preserve"> lack of information about </w:t>
      </w:r>
      <w:r w:rsidR="0057362C">
        <w:rPr>
          <w:rFonts w:cs="Calibri"/>
          <w:bCs/>
          <w:lang w:val="en-GB"/>
        </w:rPr>
        <w:t xml:space="preserve">the </w:t>
      </w:r>
      <w:r w:rsidR="00AB4C2B">
        <w:rPr>
          <w:rFonts w:cs="Calibri"/>
          <w:bCs/>
          <w:lang w:val="en-GB"/>
        </w:rPr>
        <w:t xml:space="preserve">discretionary expenses, </w:t>
      </w:r>
      <w:r w:rsidR="0057362C">
        <w:rPr>
          <w:rFonts w:cs="Calibri"/>
          <w:bCs/>
          <w:lang w:val="en-GB"/>
        </w:rPr>
        <w:t>the</w:t>
      </w:r>
      <w:r w:rsidR="00AB4C2B">
        <w:rPr>
          <w:rFonts w:cs="Calibri"/>
          <w:bCs/>
          <w:lang w:val="en-GB"/>
        </w:rPr>
        <w:t xml:space="preserve"> variable</w:t>
      </w:r>
      <w:r w:rsidR="0057362C">
        <w:rPr>
          <w:rFonts w:cs="Calibri"/>
          <w:bCs/>
          <w:lang w:val="en-GB"/>
        </w:rPr>
        <w:t xml:space="preserve"> discretionary expenses</w:t>
      </w:r>
      <w:r w:rsidR="00AB4C2B">
        <w:rPr>
          <w:rFonts w:cs="Calibri"/>
          <w:bCs/>
          <w:lang w:val="en-GB"/>
        </w:rPr>
        <w:t xml:space="preserve"> is left out in this research</w:t>
      </w:r>
      <w:r w:rsidR="00903073">
        <w:rPr>
          <w:rFonts w:cs="Calibri"/>
          <w:bCs/>
          <w:lang w:val="en-GB"/>
        </w:rPr>
        <w:t xml:space="preserve"> like Lippens (2010)</w:t>
      </w:r>
      <w:r w:rsidR="00AB4C2B">
        <w:rPr>
          <w:rFonts w:cs="Calibri"/>
          <w:bCs/>
          <w:lang w:val="en-GB"/>
        </w:rPr>
        <w:t xml:space="preserve">. For the variables </w:t>
      </w:r>
      <w:r w:rsidR="0022786D">
        <w:rPr>
          <w:rFonts w:cs="Calibri"/>
          <w:bCs/>
          <w:lang w:val="en-GB"/>
        </w:rPr>
        <w:t>CFO, COGS,</w:t>
      </w:r>
      <w:r w:rsidR="0022786D" w:rsidRPr="0022786D">
        <w:rPr>
          <w:rFonts w:cs="Calibri"/>
          <w:bCs/>
          <w:lang w:val="en-GB"/>
        </w:rPr>
        <w:t xml:space="preserve"> </w:t>
      </w:r>
      <w:r w:rsidR="0022786D">
        <w:rPr>
          <w:rFonts w:cs="Calibri"/>
          <w:bCs/>
          <w:lang w:val="en-GB"/>
        </w:rPr>
        <w:t>ΔINV and PROD</w:t>
      </w:r>
      <w:r w:rsidR="00AB4C2B">
        <w:rPr>
          <w:rFonts w:cs="Calibri"/>
          <w:bCs/>
          <w:lang w:val="en-GB"/>
        </w:rPr>
        <w:t xml:space="preserve"> is the </w:t>
      </w:r>
      <w:r w:rsidR="0022786D">
        <w:rPr>
          <w:rFonts w:cs="Calibri"/>
          <w:bCs/>
          <w:lang w:val="en-GB"/>
        </w:rPr>
        <w:t>‘</w:t>
      </w:r>
      <w:r w:rsidR="00AB4C2B">
        <w:rPr>
          <w:rFonts w:cs="Calibri"/>
          <w:bCs/>
          <w:lang w:val="en-GB"/>
        </w:rPr>
        <w:t>normal</w:t>
      </w:r>
      <w:r w:rsidR="0022786D">
        <w:rPr>
          <w:rFonts w:cs="Calibri"/>
          <w:bCs/>
          <w:lang w:val="en-GB"/>
        </w:rPr>
        <w:t>’</w:t>
      </w:r>
      <w:r w:rsidR="00AB4C2B">
        <w:rPr>
          <w:rFonts w:cs="Calibri"/>
          <w:bCs/>
          <w:lang w:val="en-GB"/>
        </w:rPr>
        <w:t xml:space="preserve"> level determined and compared to the actual level. </w:t>
      </w:r>
      <w:r w:rsidR="001F2203">
        <w:rPr>
          <w:rFonts w:cs="Calibri"/>
          <w:bCs/>
          <w:lang w:val="en-GB"/>
        </w:rPr>
        <w:t xml:space="preserve">The </w:t>
      </w:r>
      <w:r w:rsidR="0022786D">
        <w:rPr>
          <w:rFonts w:cs="Calibri"/>
          <w:bCs/>
          <w:lang w:val="en-GB"/>
        </w:rPr>
        <w:t xml:space="preserve">difference between </w:t>
      </w:r>
      <w:r w:rsidR="001F2203">
        <w:rPr>
          <w:rFonts w:cs="Calibri"/>
          <w:bCs/>
          <w:lang w:val="en-GB"/>
        </w:rPr>
        <w:t>the actual and</w:t>
      </w:r>
      <w:r w:rsidR="0057362C">
        <w:rPr>
          <w:rFonts w:cs="Calibri"/>
          <w:bCs/>
          <w:lang w:val="en-GB"/>
        </w:rPr>
        <w:t xml:space="preserve"> the</w:t>
      </w:r>
      <w:r w:rsidR="001F2203">
        <w:rPr>
          <w:rFonts w:cs="Calibri"/>
          <w:bCs/>
          <w:lang w:val="en-GB"/>
        </w:rPr>
        <w:t xml:space="preserve"> ‘normal’ level </w:t>
      </w:r>
      <w:r w:rsidR="0022786D">
        <w:rPr>
          <w:rFonts w:cs="Calibri"/>
          <w:bCs/>
          <w:lang w:val="en-GB"/>
        </w:rPr>
        <w:t>is indicative</w:t>
      </w:r>
      <w:r w:rsidR="001F2203">
        <w:rPr>
          <w:rFonts w:cs="Calibri"/>
          <w:bCs/>
          <w:lang w:val="en-GB"/>
        </w:rPr>
        <w:t xml:space="preserve"> for the amount of earnings management with this variable. The average amount of the four variables will be</w:t>
      </w:r>
      <w:r w:rsidR="00903073">
        <w:rPr>
          <w:rFonts w:cs="Calibri"/>
          <w:bCs/>
          <w:lang w:val="en-GB"/>
        </w:rPr>
        <w:t xml:space="preserve"> used as</w:t>
      </w:r>
      <w:r w:rsidR="001F2203">
        <w:rPr>
          <w:rFonts w:cs="Calibri"/>
          <w:bCs/>
          <w:lang w:val="en-GB"/>
        </w:rPr>
        <w:t xml:space="preserve"> the amount of earnings </w:t>
      </w:r>
      <w:r w:rsidR="00040801">
        <w:rPr>
          <w:rFonts w:cs="Calibri"/>
          <w:bCs/>
          <w:lang w:val="en-GB"/>
        </w:rPr>
        <w:t>management by real activities.</w:t>
      </w:r>
    </w:p>
    <w:p w:rsidR="001F2203" w:rsidRDefault="00040801" w:rsidP="005B288A">
      <w:pPr>
        <w:spacing w:line="360" w:lineRule="auto"/>
        <w:rPr>
          <w:rFonts w:cs="Calibri"/>
          <w:bCs/>
          <w:lang w:val="en-GB"/>
        </w:rPr>
      </w:pPr>
      <w:r>
        <w:rPr>
          <w:rFonts w:cs="Calibri"/>
          <w:bCs/>
          <w:lang w:val="en-GB"/>
        </w:rPr>
        <w:t xml:space="preserve">These </w:t>
      </w:r>
      <w:r w:rsidR="0052794C">
        <w:rPr>
          <w:rFonts w:cs="Calibri"/>
          <w:bCs/>
          <w:lang w:val="en-GB"/>
        </w:rPr>
        <w:t>indication value</w:t>
      </w:r>
      <w:r w:rsidR="00903073">
        <w:rPr>
          <w:rFonts w:cs="Calibri"/>
          <w:bCs/>
          <w:lang w:val="en-GB"/>
        </w:rPr>
        <w:t>s</w:t>
      </w:r>
      <w:r>
        <w:rPr>
          <w:rFonts w:cs="Calibri"/>
          <w:bCs/>
          <w:lang w:val="en-GB"/>
        </w:rPr>
        <w:t xml:space="preserve"> for the use of </w:t>
      </w:r>
      <w:r w:rsidR="0052794C">
        <w:rPr>
          <w:rFonts w:cs="Calibri"/>
          <w:bCs/>
          <w:lang w:val="en-GB"/>
        </w:rPr>
        <w:t xml:space="preserve">accruals-based and real </w:t>
      </w:r>
      <w:r>
        <w:rPr>
          <w:rFonts w:cs="Calibri"/>
          <w:bCs/>
          <w:lang w:val="en-GB"/>
        </w:rPr>
        <w:t xml:space="preserve">earnings management are </w:t>
      </w:r>
      <w:r w:rsidR="00903073">
        <w:rPr>
          <w:rFonts w:cs="Calibri"/>
          <w:bCs/>
          <w:lang w:val="en-GB"/>
        </w:rPr>
        <w:t xml:space="preserve">both </w:t>
      </w:r>
      <w:r>
        <w:rPr>
          <w:rFonts w:cs="Calibri"/>
          <w:bCs/>
          <w:lang w:val="en-GB"/>
        </w:rPr>
        <w:t xml:space="preserve">used as dependent variables in multiple regressions. </w:t>
      </w:r>
      <w:r w:rsidR="00DC67F1">
        <w:rPr>
          <w:rFonts w:cs="Calibri"/>
          <w:bCs/>
          <w:lang w:val="en-GB"/>
        </w:rPr>
        <w:t>Before the tw</w:t>
      </w:r>
      <w:r w:rsidR="001A0CB4">
        <w:rPr>
          <w:rFonts w:cs="Calibri"/>
          <w:bCs/>
          <w:lang w:val="en-GB"/>
        </w:rPr>
        <w:t>o methods are used separately,</w:t>
      </w:r>
      <w:r w:rsidR="00DC67F1">
        <w:rPr>
          <w:rFonts w:cs="Calibri"/>
          <w:bCs/>
          <w:lang w:val="en-GB"/>
        </w:rPr>
        <w:t xml:space="preserve"> the sum </w:t>
      </w:r>
      <w:r w:rsidR="001A0CB4">
        <w:rPr>
          <w:rFonts w:cs="Calibri"/>
          <w:bCs/>
          <w:lang w:val="en-GB"/>
        </w:rPr>
        <w:t xml:space="preserve">of both methods will be used as </w:t>
      </w:r>
      <w:r w:rsidR="00DC67F1">
        <w:rPr>
          <w:rFonts w:cs="Calibri"/>
          <w:bCs/>
          <w:lang w:val="en-GB"/>
        </w:rPr>
        <w:t>the total amount of earnings m</w:t>
      </w:r>
      <w:r w:rsidR="001A0CB4">
        <w:rPr>
          <w:rFonts w:cs="Calibri"/>
          <w:bCs/>
          <w:lang w:val="en-GB"/>
        </w:rPr>
        <w:t xml:space="preserve">anagement as dependent variable in a multiple regression. </w:t>
      </w:r>
      <w:r w:rsidR="0031395D">
        <w:rPr>
          <w:rFonts w:cs="Calibri"/>
          <w:bCs/>
          <w:lang w:val="en-GB"/>
        </w:rPr>
        <w:t>With the use of</w:t>
      </w:r>
      <w:r w:rsidR="0057362C">
        <w:rPr>
          <w:rFonts w:cs="Calibri"/>
          <w:bCs/>
          <w:lang w:val="en-GB"/>
        </w:rPr>
        <w:t xml:space="preserve"> the</w:t>
      </w:r>
      <w:r w:rsidR="0031395D">
        <w:rPr>
          <w:rFonts w:cs="Calibri"/>
          <w:bCs/>
          <w:lang w:val="en-GB"/>
        </w:rPr>
        <w:t xml:space="preserve"> multiple regressions, the influence of </w:t>
      </w:r>
      <w:r w:rsidR="0052794C">
        <w:rPr>
          <w:rFonts w:cs="Calibri"/>
          <w:bCs/>
          <w:lang w:val="en-GB"/>
        </w:rPr>
        <w:t>the</w:t>
      </w:r>
      <w:r w:rsidR="0031395D">
        <w:rPr>
          <w:rFonts w:cs="Calibri"/>
          <w:bCs/>
          <w:lang w:val="en-GB"/>
        </w:rPr>
        <w:t xml:space="preserve"> </w:t>
      </w:r>
      <w:r w:rsidR="00630C03">
        <w:rPr>
          <w:rFonts w:cs="Calibri"/>
          <w:bCs/>
          <w:lang w:val="en-GB"/>
        </w:rPr>
        <w:t xml:space="preserve">independent </w:t>
      </w:r>
      <w:r w:rsidR="0031395D">
        <w:rPr>
          <w:rFonts w:cs="Calibri"/>
          <w:bCs/>
          <w:lang w:val="en-GB"/>
        </w:rPr>
        <w:t xml:space="preserve">factors </w:t>
      </w:r>
      <w:r w:rsidR="0052794C">
        <w:rPr>
          <w:rFonts w:cs="Calibri"/>
          <w:bCs/>
          <w:lang w:val="en-GB"/>
        </w:rPr>
        <w:t xml:space="preserve">country, accounting standard and size </w:t>
      </w:r>
      <w:r w:rsidR="0031395D">
        <w:rPr>
          <w:rFonts w:cs="Calibri"/>
          <w:bCs/>
          <w:lang w:val="en-GB"/>
        </w:rPr>
        <w:t xml:space="preserve">on the use of earnings management is examined. </w:t>
      </w:r>
      <w:r w:rsidR="003A5220">
        <w:rPr>
          <w:rFonts w:cs="Calibri"/>
          <w:bCs/>
          <w:lang w:val="en-GB"/>
        </w:rPr>
        <w:t xml:space="preserve">Noticeable is </w:t>
      </w:r>
      <w:r w:rsidR="0057362C">
        <w:rPr>
          <w:rFonts w:cs="Calibri"/>
          <w:bCs/>
          <w:lang w:val="en-GB"/>
        </w:rPr>
        <w:t xml:space="preserve">the </w:t>
      </w:r>
      <w:r w:rsidR="00903073">
        <w:rPr>
          <w:rFonts w:cs="Calibri"/>
          <w:bCs/>
          <w:lang w:val="en-GB"/>
        </w:rPr>
        <w:t xml:space="preserve">use of </w:t>
      </w:r>
      <w:r w:rsidR="003A5220">
        <w:rPr>
          <w:rFonts w:cs="Calibri"/>
          <w:bCs/>
          <w:lang w:val="en-GB"/>
        </w:rPr>
        <w:t>t</w:t>
      </w:r>
      <w:r w:rsidR="001A0CB4">
        <w:rPr>
          <w:rFonts w:cs="Calibri"/>
          <w:bCs/>
          <w:lang w:val="en-GB"/>
        </w:rPr>
        <w:t>he independent variable country;</w:t>
      </w:r>
      <w:r w:rsidR="003A5220">
        <w:rPr>
          <w:rFonts w:cs="Calibri"/>
          <w:bCs/>
          <w:lang w:val="en-GB"/>
        </w:rPr>
        <w:t xml:space="preserve"> The Netherlands is compared </w:t>
      </w:r>
      <w:r w:rsidR="00903073">
        <w:rPr>
          <w:rFonts w:cs="Calibri"/>
          <w:bCs/>
          <w:lang w:val="en-GB"/>
        </w:rPr>
        <w:t>to</w:t>
      </w:r>
      <w:r w:rsidR="003A5220">
        <w:rPr>
          <w:rFonts w:cs="Calibri"/>
          <w:bCs/>
          <w:lang w:val="en-GB"/>
        </w:rPr>
        <w:t xml:space="preserve"> Belgium and France. The reason for this is the small amount of data from Belgium and the differences between The Netherlands </w:t>
      </w:r>
      <w:r w:rsidR="00903073">
        <w:rPr>
          <w:rFonts w:cs="Calibri"/>
          <w:bCs/>
          <w:lang w:val="en-GB"/>
        </w:rPr>
        <w:t>compared to</w:t>
      </w:r>
      <w:r w:rsidR="003A5220">
        <w:rPr>
          <w:rFonts w:cs="Calibri"/>
          <w:bCs/>
          <w:lang w:val="en-GB"/>
        </w:rPr>
        <w:t xml:space="preserve"> Belgium and France according to La Porta et al. (1998) when checking</w:t>
      </w:r>
      <w:r w:rsidR="00630C03">
        <w:rPr>
          <w:rFonts w:cs="Calibri"/>
          <w:bCs/>
          <w:lang w:val="en-GB"/>
        </w:rPr>
        <w:t xml:space="preserve"> the outcome of certain law-factors as </w:t>
      </w:r>
      <w:r w:rsidR="00FD57D0">
        <w:rPr>
          <w:rFonts w:cs="Calibri"/>
          <w:bCs/>
          <w:lang w:val="en-GB"/>
        </w:rPr>
        <w:t>commented</w:t>
      </w:r>
      <w:r w:rsidR="00630C03">
        <w:rPr>
          <w:rFonts w:cs="Calibri"/>
          <w:bCs/>
          <w:lang w:val="en-GB"/>
        </w:rPr>
        <w:t xml:space="preserve"> in section 4.3. </w:t>
      </w:r>
      <w:r w:rsidR="003A5220">
        <w:rPr>
          <w:rFonts w:cs="Calibri"/>
          <w:bCs/>
          <w:lang w:val="en-GB"/>
        </w:rPr>
        <w:t xml:space="preserve"> </w:t>
      </w:r>
    </w:p>
    <w:p w:rsidR="0052794C" w:rsidRDefault="00C62EE0" w:rsidP="005B288A">
      <w:pPr>
        <w:spacing w:line="360" w:lineRule="auto"/>
        <w:rPr>
          <w:rFonts w:cs="Calibri"/>
          <w:bCs/>
          <w:lang w:val="en-GB"/>
        </w:rPr>
      </w:pPr>
      <w:r w:rsidRPr="00F67CC4">
        <w:rPr>
          <w:rFonts w:cs="Calibri"/>
          <w:bCs/>
          <w:lang w:val="en-GB"/>
        </w:rPr>
        <w:t xml:space="preserve">The models described need input </w:t>
      </w:r>
      <w:r w:rsidR="0057362C">
        <w:rPr>
          <w:rFonts w:cs="Calibri"/>
          <w:bCs/>
          <w:lang w:val="en-GB"/>
        </w:rPr>
        <w:t>to be performed</w:t>
      </w:r>
      <w:r w:rsidRPr="00F67CC4">
        <w:rPr>
          <w:rFonts w:cs="Calibri"/>
          <w:bCs/>
          <w:lang w:val="en-GB"/>
        </w:rPr>
        <w:t xml:space="preserve">, which will be data from </w:t>
      </w:r>
      <w:r w:rsidR="0057362C">
        <w:rPr>
          <w:rFonts w:cs="Calibri"/>
          <w:bCs/>
          <w:lang w:val="en-GB"/>
        </w:rPr>
        <w:t xml:space="preserve">stock exchange quoted </w:t>
      </w:r>
      <w:r w:rsidR="00903073">
        <w:rPr>
          <w:rFonts w:cs="Calibri"/>
          <w:bCs/>
          <w:lang w:val="en-GB"/>
        </w:rPr>
        <w:t xml:space="preserve">companies from </w:t>
      </w:r>
      <w:r w:rsidRPr="00F67CC4">
        <w:rPr>
          <w:rFonts w:cs="Calibri"/>
          <w:bCs/>
          <w:lang w:val="en-GB"/>
        </w:rPr>
        <w:t>The Netherlands</w:t>
      </w:r>
      <w:r w:rsidR="00AB4C2B" w:rsidRPr="00F67CC4">
        <w:rPr>
          <w:rFonts w:cs="Calibri"/>
          <w:bCs/>
          <w:lang w:val="en-GB"/>
        </w:rPr>
        <w:t>, Belgium and France</w:t>
      </w:r>
      <w:r w:rsidRPr="00F67CC4">
        <w:rPr>
          <w:rFonts w:cs="Calibri"/>
          <w:bCs/>
          <w:lang w:val="en-GB"/>
        </w:rPr>
        <w:t xml:space="preserve">. </w:t>
      </w:r>
      <w:r w:rsidR="00AB4C2B" w:rsidRPr="00F67CC4">
        <w:rPr>
          <w:rFonts w:cs="Calibri"/>
          <w:bCs/>
          <w:lang w:val="en-GB"/>
        </w:rPr>
        <w:t>Not every company is suitable for this research, the</w:t>
      </w:r>
      <w:r w:rsidRPr="00F67CC4">
        <w:rPr>
          <w:rFonts w:cs="Calibri"/>
          <w:bCs/>
          <w:lang w:val="en-GB"/>
        </w:rPr>
        <w:t xml:space="preserve"> restrictions</w:t>
      </w:r>
      <w:r w:rsidR="0057362C">
        <w:rPr>
          <w:rFonts w:cs="Calibri"/>
          <w:bCs/>
          <w:lang w:val="en-GB"/>
        </w:rPr>
        <w:t xml:space="preserve"> the selected</w:t>
      </w:r>
      <w:r w:rsidRPr="00F67CC4">
        <w:rPr>
          <w:rFonts w:cs="Calibri"/>
          <w:bCs/>
          <w:lang w:val="en-GB"/>
        </w:rPr>
        <w:t xml:space="preserve"> companies need to comply are </w:t>
      </w:r>
      <w:r w:rsidR="00186767" w:rsidRPr="00AB4C2B">
        <w:rPr>
          <w:rFonts w:cs="Calibri"/>
          <w:bCs/>
          <w:lang w:val="en-GB"/>
        </w:rPr>
        <w:t>(1</w:t>
      </w:r>
      <w:r w:rsidRPr="00AB4C2B">
        <w:rPr>
          <w:rFonts w:cs="Calibri"/>
          <w:bCs/>
          <w:lang w:val="en-GB"/>
        </w:rPr>
        <w:t>) listed during the whole period 2002 – 2007 (</w:t>
      </w:r>
      <w:r w:rsidR="00186767" w:rsidRPr="00AB4C2B">
        <w:rPr>
          <w:rFonts w:cs="Calibri"/>
          <w:bCs/>
          <w:lang w:val="en-GB"/>
        </w:rPr>
        <w:t>2</w:t>
      </w:r>
      <w:r w:rsidRPr="00AB4C2B">
        <w:rPr>
          <w:rFonts w:cs="Calibri"/>
          <w:bCs/>
          <w:lang w:val="en-GB"/>
        </w:rPr>
        <w:t>) non-financial company (</w:t>
      </w:r>
      <w:r w:rsidR="00186767" w:rsidRPr="00AB4C2B">
        <w:rPr>
          <w:rFonts w:cs="Calibri"/>
          <w:bCs/>
          <w:lang w:val="en-GB"/>
        </w:rPr>
        <w:t>3</w:t>
      </w:r>
      <w:r w:rsidRPr="00AB4C2B">
        <w:rPr>
          <w:rFonts w:cs="Calibri"/>
          <w:bCs/>
          <w:lang w:val="en-GB"/>
        </w:rPr>
        <w:t xml:space="preserve">) the use of </w:t>
      </w:r>
      <w:r w:rsidR="00186767" w:rsidRPr="00AB4C2B">
        <w:rPr>
          <w:rFonts w:cs="Calibri"/>
          <w:bCs/>
          <w:lang w:val="en-GB"/>
        </w:rPr>
        <w:t>local</w:t>
      </w:r>
      <w:r w:rsidRPr="00AB4C2B">
        <w:rPr>
          <w:rFonts w:cs="Calibri"/>
          <w:bCs/>
          <w:lang w:val="en-GB"/>
        </w:rPr>
        <w:t xml:space="preserve"> GAAP before the transition to IFRS (</w:t>
      </w:r>
      <w:r w:rsidR="00186767" w:rsidRPr="00AB4C2B">
        <w:rPr>
          <w:rFonts w:cs="Calibri"/>
          <w:bCs/>
          <w:lang w:val="en-GB"/>
        </w:rPr>
        <w:t>4</w:t>
      </w:r>
      <w:r w:rsidRPr="00AB4C2B">
        <w:rPr>
          <w:rFonts w:cs="Calibri"/>
          <w:bCs/>
          <w:lang w:val="en-GB"/>
        </w:rPr>
        <w:t xml:space="preserve">) transition from GAAP to IFRS in the year 2005. </w:t>
      </w:r>
      <w:r w:rsidR="00AB4C2B">
        <w:rPr>
          <w:rFonts w:cs="Calibri"/>
          <w:bCs/>
          <w:lang w:val="en-GB"/>
        </w:rPr>
        <w:t xml:space="preserve">The data of </w:t>
      </w:r>
      <w:r w:rsidR="00291D7C">
        <w:rPr>
          <w:rFonts w:cs="Calibri"/>
          <w:bCs/>
          <w:lang w:val="en-GB"/>
        </w:rPr>
        <w:t>the companies</w:t>
      </w:r>
      <w:r w:rsidR="00AB4C2B">
        <w:rPr>
          <w:rFonts w:cs="Calibri"/>
          <w:bCs/>
          <w:lang w:val="en-GB"/>
        </w:rPr>
        <w:t xml:space="preserve"> </w:t>
      </w:r>
      <w:r w:rsidR="0052794C">
        <w:rPr>
          <w:rFonts w:cs="Calibri"/>
          <w:bCs/>
          <w:lang w:val="en-GB"/>
        </w:rPr>
        <w:t>is</w:t>
      </w:r>
      <w:r w:rsidR="00AB4C2B">
        <w:rPr>
          <w:rFonts w:cs="Calibri"/>
          <w:bCs/>
          <w:lang w:val="en-GB"/>
        </w:rPr>
        <w:t xml:space="preserve"> attained with the use of the Thomson One Banker database. When data of a company is missing, the company will be excluded from the sample instead of checking a</w:t>
      </w:r>
      <w:r w:rsidR="00630C03">
        <w:rPr>
          <w:rFonts w:cs="Calibri"/>
          <w:bCs/>
          <w:lang w:val="en-GB"/>
        </w:rPr>
        <w:t>nother database. The consequence of this</w:t>
      </w:r>
      <w:r w:rsidR="00AB4C2B">
        <w:rPr>
          <w:rFonts w:cs="Calibri"/>
          <w:bCs/>
          <w:lang w:val="en-GB"/>
        </w:rPr>
        <w:t xml:space="preserve"> is that the data sample </w:t>
      </w:r>
      <w:r w:rsidR="00630C03">
        <w:rPr>
          <w:rFonts w:cs="Calibri"/>
          <w:bCs/>
          <w:lang w:val="en-GB"/>
        </w:rPr>
        <w:t xml:space="preserve">is not large </w:t>
      </w:r>
      <w:r w:rsidR="00E85063">
        <w:rPr>
          <w:rFonts w:cs="Calibri"/>
          <w:bCs/>
          <w:lang w:val="en-GB"/>
        </w:rPr>
        <w:t xml:space="preserve">but </w:t>
      </w:r>
      <w:r w:rsidR="00630C03">
        <w:rPr>
          <w:rFonts w:cs="Calibri"/>
          <w:bCs/>
          <w:lang w:val="en-GB"/>
        </w:rPr>
        <w:t>it</w:t>
      </w:r>
      <w:r w:rsidR="00E85063">
        <w:rPr>
          <w:rFonts w:cs="Calibri"/>
          <w:bCs/>
          <w:lang w:val="en-GB"/>
        </w:rPr>
        <w:t xml:space="preserve"> increases the quality of the sample by the uniformity in the value determination of variables. The quality of the sample is of more importance than a larger sample</w:t>
      </w:r>
      <w:r w:rsidR="0052794C">
        <w:rPr>
          <w:rFonts w:cs="Calibri"/>
          <w:bCs/>
          <w:lang w:val="en-GB"/>
        </w:rPr>
        <w:t xml:space="preserve"> because the sample still contains 95 companies.</w:t>
      </w:r>
    </w:p>
    <w:p w:rsidR="0052794C" w:rsidRDefault="004E7D4D" w:rsidP="004E7D4D">
      <w:pPr>
        <w:spacing w:line="360" w:lineRule="auto"/>
        <w:rPr>
          <w:rFonts w:cs="Calibri"/>
          <w:bCs/>
          <w:lang w:val="en-GB"/>
        </w:rPr>
      </w:pPr>
      <w:r w:rsidRPr="00E10C09">
        <w:rPr>
          <w:rFonts w:cs="Calibri"/>
          <w:bCs/>
          <w:lang w:val="en-GB"/>
        </w:rPr>
        <w:lastRenderedPageBreak/>
        <w:t>With the use of the data of</w:t>
      </w:r>
      <w:r w:rsidR="0057362C">
        <w:rPr>
          <w:rFonts w:cs="Calibri"/>
          <w:bCs/>
          <w:lang w:val="en-GB"/>
        </w:rPr>
        <w:t xml:space="preserve"> the</w:t>
      </w:r>
      <w:r w:rsidRPr="00E10C09">
        <w:rPr>
          <w:rFonts w:cs="Calibri"/>
          <w:bCs/>
          <w:lang w:val="en-GB"/>
        </w:rPr>
        <w:t xml:space="preserve"> 95 </w:t>
      </w:r>
      <w:r w:rsidR="0057362C">
        <w:rPr>
          <w:rFonts w:cs="Calibri"/>
          <w:bCs/>
          <w:lang w:val="en-GB"/>
        </w:rPr>
        <w:t xml:space="preserve">selected </w:t>
      </w:r>
      <w:r w:rsidRPr="00E10C09">
        <w:rPr>
          <w:rFonts w:cs="Calibri"/>
          <w:bCs/>
          <w:lang w:val="en-GB"/>
        </w:rPr>
        <w:t xml:space="preserve">companies, the regression coefficients are determined and the multiple regressions performed. The regression coefficients for the determination of the non-discretionary accruals and the ‘normal’ level of real earnings management variables will be </w:t>
      </w:r>
      <w:r w:rsidR="00FD57D0">
        <w:rPr>
          <w:rFonts w:cs="Calibri"/>
          <w:bCs/>
          <w:lang w:val="en-GB"/>
        </w:rPr>
        <w:t>commented</w:t>
      </w:r>
      <w:r w:rsidRPr="00E10C09">
        <w:rPr>
          <w:rFonts w:cs="Calibri"/>
          <w:bCs/>
          <w:lang w:val="en-GB"/>
        </w:rPr>
        <w:t xml:space="preserve"> by checking the explanatory power of the independent variables by the adjusted R Square and the sign, </w:t>
      </w:r>
      <w:r w:rsidR="0057362C">
        <w:rPr>
          <w:rFonts w:cs="Calibri"/>
          <w:bCs/>
          <w:lang w:val="en-GB"/>
        </w:rPr>
        <w:t xml:space="preserve">the </w:t>
      </w:r>
      <w:r w:rsidRPr="00E10C09">
        <w:rPr>
          <w:rFonts w:cs="Calibri"/>
          <w:bCs/>
          <w:lang w:val="en-GB"/>
        </w:rPr>
        <w:t xml:space="preserve">size and </w:t>
      </w:r>
      <w:r w:rsidR="0057362C">
        <w:rPr>
          <w:rFonts w:cs="Calibri"/>
          <w:bCs/>
          <w:lang w:val="en-GB"/>
        </w:rPr>
        <w:t xml:space="preserve">the </w:t>
      </w:r>
      <w:r w:rsidRPr="00E10C09">
        <w:rPr>
          <w:rFonts w:cs="Calibri"/>
          <w:bCs/>
          <w:lang w:val="en-GB"/>
        </w:rPr>
        <w:t xml:space="preserve">significance of the coefficients.  By determining </w:t>
      </w:r>
      <w:r w:rsidR="00291D7C">
        <w:rPr>
          <w:rFonts w:cs="Calibri"/>
          <w:bCs/>
          <w:lang w:val="en-GB"/>
        </w:rPr>
        <w:t>the amount of non-discretionary accruals and the ‘normal’ level of the real earnings management variables</w:t>
      </w:r>
      <w:r w:rsidRPr="00E10C09">
        <w:rPr>
          <w:rFonts w:cs="Calibri"/>
          <w:bCs/>
          <w:lang w:val="en-GB"/>
        </w:rPr>
        <w:t xml:space="preserve">, the discretionary accruals and the difference between the ‘normal’ and actual level of the real earnings management variables can be determined that indicate </w:t>
      </w:r>
      <w:r w:rsidR="00291D7C">
        <w:rPr>
          <w:rFonts w:cs="Calibri"/>
          <w:bCs/>
          <w:lang w:val="en-GB"/>
        </w:rPr>
        <w:t xml:space="preserve">the use of earnings management. </w:t>
      </w:r>
      <w:r w:rsidR="00E10C09" w:rsidRPr="00E10C09">
        <w:rPr>
          <w:rFonts w:cs="Calibri"/>
          <w:bCs/>
          <w:lang w:val="en-GB"/>
        </w:rPr>
        <w:t xml:space="preserve">These two indications for the use of earnings management together with the sum of both methods </w:t>
      </w:r>
      <w:r w:rsidR="00291D7C">
        <w:rPr>
          <w:rFonts w:cs="Calibri"/>
          <w:bCs/>
          <w:lang w:val="en-GB"/>
        </w:rPr>
        <w:t xml:space="preserve">are </w:t>
      </w:r>
      <w:r w:rsidR="00E10C09" w:rsidRPr="00E10C09">
        <w:rPr>
          <w:rFonts w:cs="Calibri"/>
          <w:bCs/>
          <w:lang w:val="en-GB"/>
        </w:rPr>
        <w:t xml:space="preserve">used as dependent variables in </w:t>
      </w:r>
      <w:r w:rsidR="0057362C">
        <w:rPr>
          <w:rFonts w:cs="Calibri"/>
          <w:bCs/>
          <w:lang w:val="en-GB"/>
        </w:rPr>
        <w:t xml:space="preserve">the </w:t>
      </w:r>
      <w:r w:rsidR="00E10C09" w:rsidRPr="00E10C09">
        <w:rPr>
          <w:rFonts w:cs="Calibri"/>
          <w:bCs/>
          <w:lang w:val="en-GB"/>
        </w:rPr>
        <w:t>multiple regressi</w:t>
      </w:r>
      <w:r w:rsidR="0052794C">
        <w:rPr>
          <w:rFonts w:cs="Calibri"/>
          <w:bCs/>
          <w:lang w:val="en-GB"/>
        </w:rPr>
        <w:t>ons. The independent variables c</w:t>
      </w:r>
      <w:r w:rsidR="00E10C09" w:rsidRPr="00E10C09">
        <w:rPr>
          <w:rFonts w:cs="Calibri"/>
          <w:bCs/>
          <w:lang w:val="en-GB"/>
        </w:rPr>
        <w:t xml:space="preserve">ountry, </w:t>
      </w:r>
      <w:r w:rsidR="0052794C">
        <w:rPr>
          <w:rFonts w:cs="Calibri"/>
          <w:bCs/>
          <w:lang w:val="en-GB"/>
        </w:rPr>
        <w:t>a</w:t>
      </w:r>
      <w:r w:rsidR="00E10C09" w:rsidRPr="00E10C09">
        <w:rPr>
          <w:rFonts w:cs="Calibri"/>
          <w:bCs/>
          <w:lang w:val="en-GB"/>
        </w:rPr>
        <w:t xml:space="preserve">ccounting </w:t>
      </w:r>
      <w:r w:rsidR="0052794C">
        <w:rPr>
          <w:rFonts w:cs="Calibri"/>
          <w:bCs/>
          <w:lang w:val="en-GB"/>
        </w:rPr>
        <w:t>s</w:t>
      </w:r>
      <w:r w:rsidR="00E10C09" w:rsidRPr="00E10C09">
        <w:rPr>
          <w:rFonts w:cs="Calibri"/>
          <w:bCs/>
          <w:lang w:val="en-GB"/>
        </w:rPr>
        <w:t xml:space="preserve">tandard and </w:t>
      </w:r>
      <w:r w:rsidR="0052794C">
        <w:rPr>
          <w:rFonts w:cs="Calibri"/>
          <w:bCs/>
          <w:lang w:val="en-GB"/>
        </w:rPr>
        <w:t>s</w:t>
      </w:r>
      <w:r w:rsidR="00E10C09" w:rsidRPr="00E10C09">
        <w:rPr>
          <w:rFonts w:cs="Calibri"/>
          <w:bCs/>
          <w:lang w:val="en-GB"/>
        </w:rPr>
        <w:t>ize are used to test their influence on the use of earnings management in total, by accruals and by real activities. Befo</w:t>
      </w:r>
      <w:r w:rsidR="00D8648F">
        <w:rPr>
          <w:rFonts w:cs="Calibri"/>
          <w:bCs/>
          <w:lang w:val="en-GB"/>
        </w:rPr>
        <w:t>re the</w:t>
      </w:r>
      <w:r w:rsidR="00E10C09" w:rsidRPr="00E10C09">
        <w:rPr>
          <w:rFonts w:cs="Calibri"/>
          <w:bCs/>
          <w:lang w:val="en-GB"/>
        </w:rPr>
        <w:t xml:space="preserve"> influence</w:t>
      </w:r>
      <w:r w:rsidR="00D8648F">
        <w:rPr>
          <w:rFonts w:cs="Calibri"/>
          <w:bCs/>
          <w:lang w:val="en-GB"/>
        </w:rPr>
        <w:t xml:space="preserve"> of these independent variables</w:t>
      </w:r>
      <w:r w:rsidR="00E10C09" w:rsidRPr="00E10C09">
        <w:rPr>
          <w:rFonts w:cs="Calibri"/>
          <w:bCs/>
          <w:lang w:val="en-GB"/>
        </w:rPr>
        <w:t xml:space="preserve"> is checked, first the assumptions of multicollinearity and </w:t>
      </w:r>
      <w:r w:rsidR="0057362C">
        <w:rPr>
          <w:rFonts w:cs="Calibri"/>
          <w:bCs/>
          <w:lang w:val="en-GB"/>
        </w:rPr>
        <w:t xml:space="preserve">the </w:t>
      </w:r>
      <w:r w:rsidR="00E10C09" w:rsidRPr="00E10C09">
        <w:rPr>
          <w:rFonts w:cs="Calibri"/>
          <w:bCs/>
          <w:lang w:val="en-GB"/>
        </w:rPr>
        <w:t>normal distribution are checked</w:t>
      </w:r>
      <w:r w:rsidR="00D8648F">
        <w:rPr>
          <w:rFonts w:cs="Calibri"/>
          <w:bCs/>
          <w:lang w:val="en-GB"/>
        </w:rPr>
        <w:t xml:space="preserve"> at every multiple regression separately</w:t>
      </w:r>
      <w:r w:rsidR="00E10C09" w:rsidRPr="00E10C09">
        <w:rPr>
          <w:rFonts w:cs="Calibri"/>
          <w:bCs/>
          <w:lang w:val="en-GB"/>
        </w:rPr>
        <w:t xml:space="preserve"> by the table of Correlations, a histogram and a Normal Probability Plot. </w:t>
      </w:r>
      <w:r w:rsidR="00E10C09">
        <w:rPr>
          <w:rFonts w:cs="Calibri"/>
          <w:bCs/>
          <w:lang w:val="en-GB"/>
        </w:rPr>
        <w:t>After this, the Model Summary and</w:t>
      </w:r>
      <w:r w:rsidR="0057362C">
        <w:rPr>
          <w:rFonts w:cs="Calibri"/>
          <w:bCs/>
          <w:lang w:val="en-GB"/>
        </w:rPr>
        <w:t xml:space="preserve"> the</w:t>
      </w:r>
      <w:r w:rsidR="00E10C09">
        <w:rPr>
          <w:rFonts w:cs="Calibri"/>
          <w:bCs/>
          <w:lang w:val="en-GB"/>
        </w:rPr>
        <w:t xml:space="preserve"> ANOVA Table are </w:t>
      </w:r>
      <w:r w:rsidR="00291D7C">
        <w:rPr>
          <w:rFonts w:cs="Calibri"/>
          <w:bCs/>
          <w:lang w:val="en-GB"/>
        </w:rPr>
        <w:t>commented</w:t>
      </w:r>
      <w:r w:rsidR="00E10C09">
        <w:rPr>
          <w:rFonts w:cs="Calibri"/>
          <w:bCs/>
          <w:lang w:val="en-GB"/>
        </w:rPr>
        <w:t xml:space="preserve"> to </w:t>
      </w:r>
      <w:r w:rsidR="00EF6343">
        <w:rPr>
          <w:rFonts w:cs="Calibri"/>
          <w:bCs/>
          <w:lang w:val="en-GB"/>
        </w:rPr>
        <w:t xml:space="preserve">check the explanatory power of the independent variables and the significance of the model. </w:t>
      </w:r>
      <w:r w:rsidR="0052794C">
        <w:rPr>
          <w:rFonts w:cs="Calibri"/>
          <w:bCs/>
          <w:lang w:val="en-GB"/>
        </w:rPr>
        <w:t>Finally, the</w:t>
      </w:r>
      <w:r w:rsidR="00D8648F">
        <w:rPr>
          <w:rFonts w:cs="Calibri"/>
          <w:bCs/>
          <w:lang w:val="en-GB"/>
        </w:rPr>
        <w:t xml:space="preserve"> sign, </w:t>
      </w:r>
      <w:r w:rsidR="0057362C">
        <w:rPr>
          <w:rFonts w:cs="Calibri"/>
          <w:bCs/>
          <w:lang w:val="en-GB"/>
        </w:rPr>
        <w:t xml:space="preserve">the </w:t>
      </w:r>
      <w:r w:rsidR="00D8648F">
        <w:rPr>
          <w:rFonts w:cs="Calibri"/>
          <w:bCs/>
          <w:lang w:val="en-GB"/>
        </w:rPr>
        <w:t xml:space="preserve">size and </w:t>
      </w:r>
      <w:r w:rsidR="0057362C">
        <w:rPr>
          <w:rFonts w:cs="Calibri"/>
          <w:bCs/>
          <w:lang w:val="en-GB"/>
        </w:rPr>
        <w:t xml:space="preserve">the </w:t>
      </w:r>
      <w:r w:rsidR="00D8648F">
        <w:rPr>
          <w:rFonts w:cs="Calibri"/>
          <w:bCs/>
          <w:lang w:val="en-GB"/>
        </w:rPr>
        <w:t xml:space="preserve">significance of the coefficients of the independent variables are </w:t>
      </w:r>
      <w:r w:rsidR="00FD57D0">
        <w:rPr>
          <w:rFonts w:cs="Calibri"/>
          <w:bCs/>
          <w:lang w:val="en-GB"/>
        </w:rPr>
        <w:t>commented</w:t>
      </w:r>
      <w:r w:rsidR="0057362C">
        <w:rPr>
          <w:rFonts w:cs="Calibri"/>
          <w:bCs/>
          <w:lang w:val="en-GB"/>
        </w:rPr>
        <w:t xml:space="preserve"> in chapter 7</w:t>
      </w:r>
      <w:r w:rsidR="00535CAF">
        <w:rPr>
          <w:rFonts w:cs="Calibri"/>
          <w:bCs/>
          <w:lang w:val="en-GB"/>
        </w:rPr>
        <w:t xml:space="preserve"> to check whether hypothesis 1 and 2 are approved or rejected.</w:t>
      </w:r>
    </w:p>
    <w:p w:rsidR="00D8648F" w:rsidRDefault="00573529" w:rsidP="005B288A">
      <w:pPr>
        <w:spacing w:line="360" w:lineRule="auto"/>
        <w:rPr>
          <w:rFonts w:cs="Calibri"/>
          <w:bCs/>
          <w:lang w:val="en-GB"/>
        </w:rPr>
      </w:pPr>
      <w:r>
        <w:rPr>
          <w:rFonts w:cs="Calibri"/>
          <w:bCs/>
          <w:lang w:val="en-GB"/>
        </w:rPr>
        <w:t xml:space="preserve">In the next section, </w:t>
      </w:r>
      <w:r w:rsidR="007F7FBB">
        <w:rPr>
          <w:rFonts w:cs="Calibri"/>
          <w:bCs/>
          <w:lang w:val="en-GB"/>
        </w:rPr>
        <w:t xml:space="preserve">the research will be performed and </w:t>
      </w:r>
      <w:r w:rsidR="00291D7C">
        <w:rPr>
          <w:rFonts w:cs="Calibri"/>
          <w:bCs/>
          <w:lang w:val="en-GB"/>
        </w:rPr>
        <w:t>commented</w:t>
      </w:r>
      <w:r w:rsidR="007F7FBB">
        <w:rPr>
          <w:rFonts w:cs="Calibri"/>
          <w:bCs/>
          <w:lang w:val="en-GB"/>
        </w:rPr>
        <w:t>. First</w:t>
      </w:r>
      <w:r w:rsidR="00535CAF">
        <w:rPr>
          <w:rFonts w:cs="Calibri"/>
          <w:bCs/>
          <w:lang w:val="en-GB"/>
        </w:rPr>
        <w:t>,</w:t>
      </w:r>
      <w:r w:rsidR="007F7FBB">
        <w:rPr>
          <w:rFonts w:cs="Calibri"/>
          <w:bCs/>
          <w:lang w:val="en-GB"/>
        </w:rPr>
        <w:t xml:space="preserve"> regressions are performed to determine the values of coefficients that are necessary to determine the amount of non-discretionary accruals and the ‘normal’ level of real earnings manageme</w:t>
      </w:r>
      <w:r w:rsidR="00291D7C">
        <w:rPr>
          <w:rFonts w:cs="Calibri"/>
          <w:bCs/>
          <w:lang w:val="en-GB"/>
        </w:rPr>
        <w:t xml:space="preserve">nt </w:t>
      </w:r>
      <w:r w:rsidR="007F7FBB">
        <w:rPr>
          <w:rFonts w:cs="Calibri"/>
          <w:bCs/>
          <w:lang w:val="en-GB"/>
        </w:rPr>
        <w:t xml:space="preserve">indicative variables. </w:t>
      </w:r>
      <w:r w:rsidR="00D8648F">
        <w:rPr>
          <w:rFonts w:cs="Calibri"/>
          <w:bCs/>
          <w:lang w:val="en-GB"/>
        </w:rPr>
        <w:t xml:space="preserve">With the results that are </w:t>
      </w:r>
      <w:r w:rsidR="00FD57D0">
        <w:rPr>
          <w:rFonts w:cs="Calibri"/>
          <w:bCs/>
          <w:lang w:val="en-GB"/>
        </w:rPr>
        <w:t>commented</w:t>
      </w:r>
      <w:r w:rsidR="00D8648F">
        <w:rPr>
          <w:rFonts w:cs="Calibri"/>
          <w:bCs/>
          <w:lang w:val="en-GB"/>
        </w:rPr>
        <w:t xml:space="preserve"> in </w:t>
      </w:r>
      <w:r w:rsidR="00D66A95">
        <w:rPr>
          <w:rFonts w:cs="Calibri"/>
          <w:bCs/>
          <w:lang w:val="en-GB"/>
        </w:rPr>
        <w:t xml:space="preserve">section </w:t>
      </w:r>
      <w:r w:rsidR="00D8648F">
        <w:rPr>
          <w:rFonts w:cs="Calibri"/>
          <w:bCs/>
          <w:lang w:val="en-GB"/>
        </w:rPr>
        <w:t>7.2.1 and 7.2.2</w:t>
      </w:r>
      <w:r w:rsidR="00535CAF">
        <w:rPr>
          <w:rFonts w:cs="Calibri"/>
          <w:bCs/>
          <w:lang w:val="en-GB"/>
        </w:rPr>
        <w:t>,</w:t>
      </w:r>
      <w:r w:rsidR="00D8648F">
        <w:rPr>
          <w:rFonts w:cs="Calibri"/>
          <w:bCs/>
          <w:lang w:val="en-GB"/>
        </w:rPr>
        <w:t xml:space="preserve"> it is possible to determine the amount of earnings management by both accruals and real activities. I</w:t>
      </w:r>
      <w:r w:rsidR="00D66A95">
        <w:rPr>
          <w:rFonts w:cs="Calibri"/>
          <w:bCs/>
          <w:lang w:val="en-GB"/>
        </w:rPr>
        <w:t xml:space="preserve">n section 7.3 the results of the multiple regressions with the amount of accruals-based and real earnings management and the sum of both </w:t>
      </w:r>
      <w:r w:rsidR="00291D7C">
        <w:rPr>
          <w:rFonts w:cs="Calibri"/>
          <w:bCs/>
          <w:lang w:val="en-GB"/>
        </w:rPr>
        <w:t xml:space="preserve">methods as dependent variables are commented. </w:t>
      </w:r>
    </w:p>
    <w:p w:rsidR="00D8648F" w:rsidRDefault="00D8648F" w:rsidP="005B288A">
      <w:pPr>
        <w:spacing w:line="360" w:lineRule="auto"/>
        <w:rPr>
          <w:rFonts w:cs="Calibri"/>
          <w:bCs/>
          <w:lang w:val="en-GB"/>
        </w:rPr>
      </w:pPr>
    </w:p>
    <w:p w:rsidR="00D8648F" w:rsidRDefault="00D8648F" w:rsidP="005B288A">
      <w:pPr>
        <w:spacing w:line="360" w:lineRule="auto"/>
        <w:rPr>
          <w:rFonts w:cs="Calibri"/>
          <w:bCs/>
          <w:lang w:val="en-GB"/>
        </w:rPr>
      </w:pPr>
    </w:p>
    <w:p w:rsidR="004D0A55" w:rsidRPr="008C581E" w:rsidRDefault="008806B3" w:rsidP="004D0A55">
      <w:pPr>
        <w:spacing w:line="360" w:lineRule="auto"/>
        <w:rPr>
          <w:rFonts w:cs="Calibri"/>
          <w:b/>
          <w:bCs/>
          <w:sz w:val="24"/>
          <w:szCs w:val="24"/>
          <w:lang w:val="en-GB"/>
        </w:rPr>
      </w:pPr>
      <w:r w:rsidRPr="00F67CC4">
        <w:rPr>
          <w:rFonts w:cs="Calibri"/>
          <w:b/>
          <w:bCs/>
          <w:lang w:val="en-GB"/>
        </w:rPr>
        <w:br w:type="page"/>
      </w:r>
      <w:r w:rsidRPr="008C581E">
        <w:rPr>
          <w:rFonts w:cs="Calibri"/>
          <w:b/>
          <w:bCs/>
          <w:sz w:val="24"/>
          <w:szCs w:val="24"/>
          <w:lang w:val="en-GB"/>
        </w:rPr>
        <w:lastRenderedPageBreak/>
        <w:t xml:space="preserve">7 </w:t>
      </w:r>
      <w:r w:rsidR="00C70964" w:rsidRPr="008C581E">
        <w:rPr>
          <w:rFonts w:cs="Calibri"/>
          <w:b/>
          <w:bCs/>
          <w:sz w:val="24"/>
          <w:szCs w:val="24"/>
          <w:lang w:val="en-GB"/>
        </w:rPr>
        <w:t xml:space="preserve">The </w:t>
      </w:r>
      <w:r w:rsidR="0057362C">
        <w:rPr>
          <w:rFonts w:cs="Calibri"/>
          <w:b/>
          <w:bCs/>
          <w:sz w:val="24"/>
          <w:szCs w:val="24"/>
          <w:lang w:val="en-GB"/>
        </w:rPr>
        <w:t>results</w:t>
      </w:r>
    </w:p>
    <w:p w:rsidR="00C149EE" w:rsidRDefault="00C149EE" w:rsidP="00C149EE">
      <w:pPr>
        <w:spacing w:line="360" w:lineRule="auto"/>
        <w:rPr>
          <w:rFonts w:cs="Calibri"/>
          <w:bCs/>
          <w:lang w:val="en-GB"/>
        </w:rPr>
      </w:pPr>
      <w:r w:rsidRPr="00C149EE">
        <w:rPr>
          <w:b/>
          <w:lang w:val="en-GB"/>
        </w:rPr>
        <w:t>7.1 Introduction</w:t>
      </w:r>
      <w:r w:rsidRPr="00C149EE">
        <w:rPr>
          <w:b/>
          <w:lang w:val="en-GB"/>
        </w:rPr>
        <w:br/>
      </w:r>
      <w:r w:rsidR="0057362C">
        <w:rPr>
          <w:rFonts w:cs="Calibri"/>
          <w:bCs/>
          <w:lang w:val="en-GB"/>
        </w:rPr>
        <w:t xml:space="preserve">In the chapter before the </w:t>
      </w:r>
      <w:r w:rsidRPr="00F67CC4">
        <w:rPr>
          <w:rFonts w:cs="Calibri"/>
          <w:bCs/>
          <w:lang w:val="en-GB"/>
        </w:rPr>
        <w:t>research design has been determined</w:t>
      </w:r>
      <w:r w:rsidR="0057362C">
        <w:rPr>
          <w:rFonts w:cs="Calibri"/>
          <w:bCs/>
          <w:lang w:val="en-GB"/>
        </w:rPr>
        <w:t xml:space="preserve">. In this chapter the results will be presented. </w:t>
      </w:r>
      <w:r w:rsidRPr="00F67CC4">
        <w:rPr>
          <w:rFonts w:cs="Calibri"/>
          <w:bCs/>
          <w:lang w:val="en-GB"/>
        </w:rPr>
        <w:t xml:space="preserve">In section 7.2 </w:t>
      </w:r>
      <w:r>
        <w:rPr>
          <w:rFonts w:cs="Calibri"/>
          <w:bCs/>
          <w:lang w:val="en-GB"/>
        </w:rPr>
        <w:t>the regression coefficients for determining the amount of earnings management by both methods are</w:t>
      </w:r>
      <w:r w:rsidR="00454DA3">
        <w:rPr>
          <w:rFonts w:cs="Calibri"/>
          <w:bCs/>
          <w:lang w:val="en-GB"/>
        </w:rPr>
        <w:t xml:space="preserve"> determined and</w:t>
      </w:r>
      <w:r>
        <w:rPr>
          <w:rFonts w:cs="Calibri"/>
          <w:bCs/>
          <w:lang w:val="en-GB"/>
        </w:rPr>
        <w:t xml:space="preserve"> </w:t>
      </w:r>
      <w:r w:rsidR="00771B0E">
        <w:rPr>
          <w:rFonts w:cs="Calibri"/>
          <w:bCs/>
          <w:lang w:val="en-GB"/>
        </w:rPr>
        <w:t>commented</w:t>
      </w:r>
      <w:r>
        <w:rPr>
          <w:rFonts w:cs="Calibri"/>
          <w:bCs/>
          <w:lang w:val="en-GB"/>
        </w:rPr>
        <w:t xml:space="preserve">. In section 7.3 the multiple regressions are </w:t>
      </w:r>
      <w:r w:rsidR="00771B0E">
        <w:rPr>
          <w:rFonts w:cs="Calibri"/>
          <w:bCs/>
          <w:lang w:val="en-GB"/>
        </w:rPr>
        <w:t>commented</w:t>
      </w:r>
      <w:r>
        <w:rPr>
          <w:rFonts w:cs="Calibri"/>
          <w:bCs/>
          <w:lang w:val="en-GB"/>
        </w:rPr>
        <w:t xml:space="preserve"> to check</w:t>
      </w:r>
      <w:r w:rsidR="00454DA3">
        <w:rPr>
          <w:rFonts w:cs="Calibri"/>
          <w:bCs/>
          <w:lang w:val="en-GB"/>
        </w:rPr>
        <w:t xml:space="preserve"> on the</w:t>
      </w:r>
      <w:r>
        <w:rPr>
          <w:rFonts w:cs="Calibri"/>
          <w:bCs/>
          <w:lang w:val="en-GB"/>
        </w:rPr>
        <w:t xml:space="preserve"> influence of </w:t>
      </w:r>
      <w:r w:rsidR="008D30B9">
        <w:rPr>
          <w:rFonts w:cs="Calibri"/>
          <w:bCs/>
          <w:lang w:val="en-GB"/>
        </w:rPr>
        <w:t xml:space="preserve">the introduction of </w:t>
      </w:r>
      <w:r>
        <w:rPr>
          <w:rFonts w:cs="Calibri"/>
          <w:bCs/>
          <w:lang w:val="en-GB"/>
        </w:rPr>
        <w:t xml:space="preserve">IFRS, </w:t>
      </w:r>
      <w:r w:rsidR="00C6504C">
        <w:rPr>
          <w:rFonts w:cs="Calibri"/>
          <w:bCs/>
          <w:lang w:val="en-GB"/>
        </w:rPr>
        <w:t xml:space="preserve">the </w:t>
      </w:r>
      <w:r>
        <w:rPr>
          <w:rFonts w:cs="Calibri"/>
          <w:bCs/>
          <w:lang w:val="en-GB"/>
        </w:rPr>
        <w:t xml:space="preserve">different countries and the size of </w:t>
      </w:r>
      <w:r w:rsidR="0057362C">
        <w:rPr>
          <w:rFonts w:cs="Calibri"/>
          <w:bCs/>
          <w:lang w:val="en-GB"/>
        </w:rPr>
        <w:t xml:space="preserve">the selected </w:t>
      </w:r>
      <w:r>
        <w:rPr>
          <w:rFonts w:cs="Calibri"/>
          <w:bCs/>
          <w:lang w:val="en-GB"/>
        </w:rPr>
        <w:t xml:space="preserve">companies on the total amount </w:t>
      </w:r>
      <w:r w:rsidR="00454DA3">
        <w:rPr>
          <w:rFonts w:cs="Calibri"/>
          <w:bCs/>
          <w:lang w:val="en-GB"/>
        </w:rPr>
        <w:t xml:space="preserve">of earnings management </w:t>
      </w:r>
      <w:r w:rsidR="0057362C">
        <w:rPr>
          <w:rFonts w:cs="Calibri"/>
          <w:bCs/>
          <w:lang w:val="en-GB"/>
        </w:rPr>
        <w:t xml:space="preserve">and </w:t>
      </w:r>
      <w:r>
        <w:rPr>
          <w:rFonts w:cs="Calibri"/>
          <w:bCs/>
          <w:lang w:val="en-GB"/>
        </w:rPr>
        <w:t>the a</w:t>
      </w:r>
      <w:r w:rsidR="00454DA3">
        <w:rPr>
          <w:rFonts w:cs="Calibri"/>
          <w:bCs/>
          <w:lang w:val="en-GB"/>
        </w:rPr>
        <w:t xml:space="preserve">mounts of </w:t>
      </w:r>
      <w:r w:rsidR="0057362C">
        <w:rPr>
          <w:rFonts w:cs="Calibri"/>
          <w:bCs/>
          <w:lang w:val="en-GB"/>
        </w:rPr>
        <w:t xml:space="preserve">the use of </w:t>
      </w:r>
      <w:r w:rsidR="00454DA3">
        <w:rPr>
          <w:rFonts w:cs="Calibri"/>
          <w:bCs/>
          <w:lang w:val="en-GB"/>
        </w:rPr>
        <w:t>earnings management by</w:t>
      </w:r>
      <w:r>
        <w:rPr>
          <w:rFonts w:cs="Calibri"/>
          <w:bCs/>
          <w:lang w:val="en-GB"/>
        </w:rPr>
        <w:t xml:space="preserve"> the accruals-based and real method. </w:t>
      </w:r>
    </w:p>
    <w:p w:rsidR="00C171A4" w:rsidRDefault="00C149EE" w:rsidP="00C149EE">
      <w:pPr>
        <w:spacing w:line="360" w:lineRule="auto"/>
        <w:rPr>
          <w:lang w:val="en-GB"/>
        </w:rPr>
      </w:pPr>
      <w:r w:rsidRPr="00C149EE">
        <w:rPr>
          <w:b/>
          <w:lang w:val="en-GB"/>
        </w:rPr>
        <w:t xml:space="preserve">7.2 Regression Coefficients </w:t>
      </w:r>
      <w:r w:rsidRPr="00C149EE">
        <w:rPr>
          <w:b/>
          <w:lang w:val="en-GB"/>
        </w:rPr>
        <w:br/>
      </w:r>
      <w:r w:rsidR="00C171A4">
        <w:rPr>
          <w:lang w:val="en-GB"/>
        </w:rPr>
        <w:t>The first step in the process of checking the influ</w:t>
      </w:r>
      <w:r w:rsidR="00535CAF">
        <w:rPr>
          <w:lang w:val="en-GB"/>
        </w:rPr>
        <w:t>ence of the transition to IFRS o</w:t>
      </w:r>
      <w:r w:rsidR="00C171A4">
        <w:rPr>
          <w:lang w:val="en-GB"/>
        </w:rPr>
        <w:t>n the use of earnings management is the determination of regression coefficients. With the use of the regression coefficients</w:t>
      </w:r>
      <w:r w:rsidR="007D0FC2">
        <w:rPr>
          <w:lang w:val="en-GB"/>
        </w:rPr>
        <w:t>,</w:t>
      </w:r>
      <w:r w:rsidR="00672733">
        <w:rPr>
          <w:lang w:val="en-GB"/>
        </w:rPr>
        <w:t xml:space="preserve"> determined with the use of data</w:t>
      </w:r>
      <w:r w:rsidR="007D0FC2">
        <w:rPr>
          <w:lang w:val="en-GB"/>
        </w:rPr>
        <w:t xml:space="preserve"> from the period 1997-2001</w:t>
      </w:r>
      <w:r w:rsidR="00C171A4">
        <w:rPr>
          <w:lang w:val="en-GB"/>
        </w:rPr>
        <w:t xml:space="preserve">, the non-discretionary part of the accruals and the ‘normal’ level of the real earnings management indicating variables are determined. </w:t>
      </w:r>
    </w:p>
    <w:p w:rsidR="00C149EE" w:rsidRDefault="00C149EE" w:rsidP="00C149EE">
      <w:pPr>
        <w:spacing w:line="360" w:lineRule="auto"/>
        <w:rPr>
          <w:rFonts w:cs="Calibri"/>
          <w:bCs/>
          <w:lang w:val="en-GB"/>
        </w:rPr>
      </w:pPr>
      <w:r w:rsidRPr="00E652FA">
        <w:rPr>
          <w:rFonts w:cs="Calibri"/>
          <w:b/>
          <w:bCs/>
          <w:lang w:val="en-GB"/>
        </w:rPr>
        <w:t>7.2.1 Accruals-based earnings management coefficients</w:t>
      </w:r>
      <w:r>
        <w:rPr>
          <w:rFonts w:cs="Calibri"/>
          <w:bCs/>
          <w:u w:val="single"/>
          <w:lang w:val="en-GB"/>
        </w:rPr>
        <w:br/>
      </w:r>
      <w:r w:rsidRPr="00F67CC4">
        <w:rPr>
          <w:rFonts w:cs="Calibri"/>
          <w:bCs/>
          <w:lang w:val="en-GB"/>
        </w:rPr>
        <w:t xml:space="preserve">The </w:t>
      </w:r>
      <w:r>
        <w:rPr>
          <w:rFonts w:cs="Calibri"/>
          <w:bCs/>
          <w:lang w:val="en-GB"/>
        </w:rPr>
        <w:t>determination</w:t>
      </w:r>
      <w:r w:rsidRPr="00F67CC4">
        <w:rPr>
          <w:rFonts w:cs="Calibri"/>
          <w:bCs/>
          <w:lang w:val="en-GB"/>
        </w:rPr>
        <w:t xml:space="preserve"> of </w:t>
      </w:r>
      <w:r w:rsidR="001B742A">
        <w:rPr>
          <w:rFonts w:cs="Calibri"/>
          <w:bCs/>
          <w:lang w:val="en-GB"/>
        </w:rPr>
        <w:t xml:space="preserve">the use of </w:t>
      </w:r>
      <w:r w:rsidRPr="00F67CC4">
        <w:rPr>
          <w:rFonts w:cs="Calibri"/>
          <w:bCs/>
          <w:lang w:val="en-GB"/>
        </w:rPr>
        <w:t xml:space="preserve">accruals-based earnings management is </w:t>
      </w:r>
      <w:r w:rsidR="0057362C">
        <w:rPr>
          <w:rFonts w:cs="Calibri"/>
          <w:bCs/>
          <w:lang w:val="en-GB"/>
        </w:rPr>
        <w:t>performed</w:t>
      </w:r>
      <w:r w:rsidRPr="00F67CC4">
        <w:rPr>
          <w:rFonts w:cs="Calibri"/>
          <w:bCs/>
          <w:lang w:val="en-GB"/>
        </w:rPr>
        <w:t xml:space="preserve"> by </w:t>
      </w:r>
      <w:r>
        <w:rPr>
          <w:rFonts w:cs="Calibri"/>
          <w:bCs/>
          <w:lang w:val="en-GB"/>
        </w:rPr>
        <w:t>checking the amount of di</w:t>
      </w:r>
      <w:r w:rsidRPr="00F67CC4">
        <w:rPr>
          <w:rFonts w:cs="Calibri"/>
          <w:bCs/>
          <w:lang w:val="en-GB"/>
        </w:rPr>
        <w:t xml:space="preserve">scretionary accruals. </w:t>
      </w:r>
      <w:r>
        <w:rPr>
          <w:rFonts w:cs="Calibri"/>
          <w:bCs/>
          <w:lang w:val="en-GB"/>
        </w:rPr>
        <w:t xml:space="preserve">This amount is determined by the subtraction of the non-discretionary part of the accruals of the total amount of accruals. The total amount of </w:t>
      </w:r>
      <w:r w:rsidR="00454DA3">
        <w:rPr>
          <w:rFonts w:cs="Calibri"/>
          <w:bCs/>
          <w:lang w:val="en-GB"/>
        </w:rPr>
        <w:t>accruals is dete</w:t>
      </w:r>
      <w:r w:rsidR="00C6504C">
        <w:rPr>
          <w:rFonts w:cs="Calibri"/>
          <w:bCs/>
          <w:lang w:val="en-GB"/>
        </w:rPr>
        <w:t>rmined with formula 1 as</w:t>
      </w:r>
      <w:r w:rsidR="00454DA3">
        <w:rPr>
          <w:rFonts w:cs="Calibri"/>
          <w:bCs/>
          <w:lang w:val="en-GB"/>
        </w:rPr>
        <w:t xml:space="preserve"> </w:t>
      </w:r>
      <w:r w:rsidR="0057362C">
        <w:rPr>
          <w:rFonts w:cs="Calibri"/>
          <w:bCs/>
          <w:lang w:val="en-GB"/>
        </w:rPr>
        <w:t>signalled</w:t>
      </w:r>
      <w:r>
        <w:rPr>
          <w:rFonts w:cs="Calibri"/>
          <w:bCs/>
          <w:lang w:val="en-GB"/>
        </w:rPr>
        <w:t xml:space="preserve"> in section 6.2.1: </w:t>
      </w:r>
    </w:p>
    <w:p w:rsidR="00454DA3" w:rsidRPr="00F67CC4" w:rsidRDefault="00454DA3" w:rsidP="00454DA3">
      <w:pPr>
        <w:spacing w:line="360" w:lineRule="auto"/>
        <w:rPr>
          <w:rFonts w:cs="Calibri"/>
          <w:b/>
          <w:sz w:val="28"/>
          <w:szCs w:val="28"/>
          <w:lang w:val="en-GB"/>
        </w:rPr>
      </w:pPr>
      <w:r w:rsidRPr="00F67CC4">
        <w:rPr>
          <w:rFonts w:cs="Calibri"/>
          <w:b/>
          <w:sz w:val="28"/>
          <w:szCs w:val="28"/>
          <w:lang w:val="en-GB"/>
        </w:rPr>
        <w:t>TA</w:t>
      </w:r>
      <w:r w:rsidRPr="00F67CC4">
        <w:rPr>
          <w:rFonts w:cs="Calibri"/>
          <w:b/>
          <w:lang w:val="en-GB"/>
        </w:rPr>
        <w:t xml:space="preserve">i,t </w:t>
      </w:r>
      <w:r w:rsidRPr="00F67CC4">
        <w:rPr>
          <w:rFonts w:cs="Calibri"/>
          <w:b/>
          <w:sz w:val="28"/>
          <w:szCs w:val="28"/>
          <w:lang w:val="en-GB"/>
        </w:rPr>
        <w:t>=  [ ΔCA</w:t>
      </w:r>
      <w:r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 ΔCL</w:t>
      </w:r>
      <w:r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 ΔCASH</w:t>
      </w:r>
      <w:r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 ΔSTDL</w:t>
      </w:r>
      <w:r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 DEP</w:t>
      </w:r>
      <w:r w:rsidRPr="00F67CC4">
        <w:rPr>
          <w:rFonts w:cs="Calibri"/>
          <w:b/>
          <w:lang w:val="en-GB"/>
        </w:rPr>
        <w:t>i,</w:t>
      </w:r>
      <w:r w:rsidRPr="00F67CC4">
        <w:rPr>
          <w:rFonts w:cs="Calibri"/>
          <w:b/>
          <w:sz w:val="20"/>
          <w:szCs w:val="20"/>
          <w:lang w:val="en-GB"/>
        </w:rPr>
        <w:t>t</w:t>
      </w:r>
      <w:r w:rsidRPr="00F67CC4">
        <w:rPr>
          <w:rFonts w:cs="Calibri"/>
          <w:b/>
          <w:sz w:val="28"/>
          <w:szCs w:val="28"/>
          <w:lang w:val="en-GB"/>
        </w:rPr>
        <w:t xml:space="preserve"> ] / (A</w:t>
      </w:r>
      <w:r w:rsidRPr="00F67CC4">
        <w:rPr>
          <w:rFonts w:cs="Calibri"/>
          <w:b/>
          <w:lang w:val="en-GB"/>
        </w:rPr>
        <w:t>i,</w:t>
      </w:r>
      <w:r w:rsidRPr="00F67CC4">
        <w:rPr>
          <w:rFonts w:cs="Calibri"/>
          <w:b/>
          <w:sz w:val="20"/>
          <w:szCs w:val="20"/>
          <w:lang w:val="en-GB"/>
        </w:rPr>
        <w:t>t-1</w:t>
      </w:r>
      <w:r w:rsidRPr="00F67CC4">
        <w:rPr>
          <w:rFonts w:cs="Calibri"/>
          <w:b/>
          <w:sz w:val="28"/>
          <w:szCs w:val="28"/>
          <w:lang w:val="en-GB"/>
        </w:rPr>
        <w:t>)</w:t>
      </w:r>
      <w:r w:rsidRPr="00F67CC4">
        <w:rPr>
          <w:rFonts w:cs="Calibri"/>
          <w:b/>
          <w:sz w:val="28"/>
          <w:szCs w:val="28"/>
          <w:lang w:val="en-GB"/>
        </w:rPr>
        <w:tab/>
        <w:t>(1)</w:t>
      </w:r>
    </w:p>
    <w:p w:rsidR="00454DA3" w:rsidRPr="00F67CC4" w:rsidRDefault="00454DA3" w:rsidP="003E71A0">
      <w:pPr>
        <w:spacing w:line="360" w:lineRule="auto"/>
        <w:rPr>
          <w:rFonts w:cs="Calibri"/>
          <w:b/>
          <w:lang w:val="en-GB"/>
        </w:rPr>
      </w:pPr>
      <w:r>
        <w:rPr>
          <w:rFonts w:cs="Calibri"/>
          <w:b/>
          <w:lang w:val="en-GB"/>
        </w:rPr>
        <w:t>TA = total amount of accruals</w:t>
      </w:r>
      <w:r w:rsidR="003E71A0">
        <w:rPr>
          <w:rFonts w:cs="Calibri"/>
          <w:b/>
          <w:lang w:val="en-GB"/>
        </w:rPr>
        <w:br/>
      </w:r>
      <w:r w:rsidRPr="00F67CC4">
        <w:rPr>
          <w:rFonts w:cs="Calibri"/>
          <w:b/>
          <w:lang w:val="en-GB"/>
        </w:rPr>
        <w:t xml:space="preserve">ΔCA = change in current assets </w:t>
      </w:r>
      <w:r w:rsidR="003E71A0">
        <w:rPr>
          <w:rFonts w:cs="Calibri"/>
          <w:b/>
          <w:lang w:val="en-GB"/>
        </w:rPr>
        <w:br/>
      </w:r>
      <w:r w:rsidRPr="00F67CC4">
        <w:rPr>
          <w:rFonts w:cs="Calibri"/>
          <w:b/>
          <w:lang w:val="en-GB"/>
        </w:rPr>
        <w:t xml:space="preserve">ΔCL = change in current liabilities </w:t>
      </w:r>
      <w:r w:rsidR="003E71A0">
        <w:rPr>
          <w:rFonts w:cs="Calibri"/>
          <w:b/>
          <w:lang w:val="en-GB"/>
        </w:rPr>
        <w:br/>
      </w:r>
      <w:r w:rsidRPr="00F67CC4">
        <w:rPr>
          <w:rFonts w:cs="Calibri"/>
          <w:b/>
          <w:lang w:val="en-GB"/>
        </w:rPr>
        <w:t xml:space="preserve">ΔCASH = change in cash equivalents </w:t>
      </w:r>
      <w:r w:rsidR="003E71A0">
        <w:rPr>
          <w:rFonts w:cs="Calibri"/>
          <w:b/>
          <w:lang w:val="en-GB"/>
        </w:rPr>
        <w:br/>
      </w:r>
      <w:r w:rsidRPr="00F67CC4">
        <w:rPr>
          <w:rFonts w:cs="Calibri"/>
          <w:b/>
          <w:lang w:val="en-GB"/>
        </w:rPr>
        <w:t xml:space="preserve">ΔSTDL = change in debt included in current liabilities </w:t>
      </w:r>
      <w:r w:rsidR="003E71A0">
        <w:rPr>
          <w:rFonts w:cs="Calibri"/>
          <w:b/>
          <w:lang w:val="en-GB"/>
        </w:rPr>
        <w:br/>
      </w:r>
      <w:r w:rsidRPr="00F67CC4">
        <w:rPr>
          <w:rFonts w:cs="Calibri"/>
          <w:b/>
          <w:lang w:val="en-GB"/>
        </w:rPr>
        <w:t xml:space="preserve">DEP = depreciation and amortization expense </w:t>
      </w:r>
      <w:r w:rsidR="003E71A0">
        <w:rPr>
          <w:rFonts w:cs="Calibri"/>
          <w:b/>
          <w:lang w:val="en-GB"/>
        </w:rPr>
        <w:br/>
      </w:r>
      <w:r w:rsidRPr="00F67CC4">
        <w:rPr>
          <w:rFonts w:cs="Calibri"/>
          <w:b/>
          <w:lang w:val="en-GB"/>
        </w:rPr>
        <w:t>t = year index</w:t>
      </w:r>
      <w:r w:rsidR="003E71A0">
        <w:rPr>
          <w:rFonts w:cs="Calibri"/>
          <w:b/>
          <w:lang w:val="en-GB"/>
        </w:rPr>
        <w:br/>
      </w:r>
      <w:r w:rsidRPr="00F67CC4">
        <w:rPr>
          <w:rFonts w:cs="Calibri"/>
          <w:b/>
          <w:lang w:val="en-GB"/>
        </w:rPr>
        <w:t>i = firm index</w:t>
      </w:r>
    </w:p>
    <w:p w:rsidR="00E87D6B" w:rsidRPr="007E015C" w:rsidRDefault="00C149EE" w:rsidP="00C149EE">
      <w:pPr>
        <w:spacing w:line="360" w:lineRule="auto"/>
        <w:rPr>
          <w:rFonts w:cs="Calibri"/>
          <w:bCs/>
          <w:lang w:val="en-GB"/>
        </w:rPr>
      </w:pPr>
      <w:r>
        <w:rPr>
          <w:rFonts w:cs="Calibri"/>
          <w:bCs/>
          <w:lang w:val="en-GB"/>
        </w:rPr>
        <w:t xml:space="preserve">With the use of the total amount of accruals, the estimated regression coefficients for the non-discretionary accruals are determined. </w:t>
      </w:r>
      <w:r w:rsidRPr="00F67CC4">
        <w:rPr>
          <w:rFonts w:cs="Calibri"/>
          <w:bCs/>
          <w:lang w:val="en-GB"/>
        </w:rPr>
        <w:t>These regression coefficients are calculated with</w:t>
      </w:r>
      <w:r w:rsidR="00E87D6B">
        <w:rPr>
          <w:rFonts w:cs="Calibri"/>
          <w:bCs/>
          <w:lang w:val="en-GB"/>
        </w:rPr>
        <w:t xml:space="preserve"> data from </w:t>
      </w:r>
      <w:r w:rsidR="00E87D6B">
        <w:rPr>
          <w:rFonts w:cs="Calibri"/>
          <w:bCs/>
          <w:lang w:val="en-GB"/>
        </w:rPr>
        <w:lastRenderedPageBreak/>
        <w:t xml:space="preserve">the period 1997-2001 </w:t>
      </w:r>
      <w:r w:rsidR="00535CAF">
        <w:rPr>
          <w:rFonts w:cs="Calibri"/>
          <w:bCs/>
          <w:lang w:val="en-GB"/>
        </w:rPr>
        <w:t>and</w:t>
      </w:r>
      <w:r w:rsidRPr="00F67CC4">
        <w:rPr>
          <w:rFonts w:cs="Calibri"/>
          <w:bCs/>
          <w:lang w:val="en-GB"/>
        </w:rPr>
        <w:t xml:space="preserve"> SPSS</w:t>
      </w:r>
      <w:r w:rsidR="00E87D6B">
        <w:rPr>
          <w:rFonts w:cs="Calibri"/>
          <w:bCs/>
          <w:lang w:val="en-GB"/>
        </w:rPr>
        <w:t>. SPSS provides</w:t>
      </w:r>
      <w:r w:rsidRPr="00F67CC4">
        <w:rPr>
          <w:rFonts w:cs="Calibri"/>
          <w:bCs/>
          <w:lang w:val="en-GB"/>
        </w:rPr>
        <w:t xml:space="preserve"> more information about the test than just the regression coefficients</w:t>
      </w:r>
      <w:r>
        <w:rPr>
          <w:rFonts w:cs="Calibri"/>
          <w:bCs/>
          <w:lang w:val="en-GB"/>
        </w:rPr>
        <w:t xml:space="preserve">. </w:t>
      </w:r>
      <w:r w:rsidR="00E87D6B">
        <w:rPr>
          <w:rFonts w:cs="Calibri"/>
          <w:bCs/>
          <w:lang w:val="en-GB"/>
        </w:rPr>
        <w:t xml:space="preserve">In the text only the tables Summary and Coefficients </w:t>
      </w:r>
      <w:r w:rsidR="00C6504C">
        <w:rPr>
          <w:rFonts w:cs="Calibri"/>
          <w:bCs/>
          <w:lang w:val="en-GB"/>
        </w:rPr>
        <w:t xml:space="preserve">are </w:t>
      </w:r>
      <w:r w:rsidR="00E87D6B">
        <w:rPr>
          <w:rFonts w:cs="Calibri"/>
          <w:bCs/>
          <w:lang w:val="en-GB"/>
        </w:rPr>
        <w:t xml:space="preserve">provided; the ANOVA table </w:t>
      </w:r>
      <w:r w:rsidR="0057362C">
        <w:rPr>
          <w:rFonts w:cs="Calibri"/>
          <w:bCs/>
          <w:lang w:val="en-GB"/>
        </w:rPr>
        <w:t>is available</w:t>
      </w:r>
      <w:r w:rsidR="005773A4">
        <w:rPr>
          <w:rFonts w:cs="Calibri"/>
          <w:bCs/>
          <w:lang w:val="en-GB"/>
        </w:rPr>
        <w:t xml:space="preserve"> in </w:t>
      </w:r>
      <w:r w:rsidR="005773A4" w:rsidRPr="007E015C">
        <w:rPr>
          <w:rFonts w:cs="Calibri"/>
          <w:bCs/>
          <w:lang w:val="en-GB"/>
        </w:rPr>
        <w:t xml:space="preserve">appendix </w:t>
      </w:r>
      <w:r w:rsidR="0057362C">
        <w:rPr>
          <w:rFonts w:cs="Calibri"/>
          <w:bCs/>
          <w:lang w:val="en-GB"/>
        </w:rPr>
        <w:t>3</w:t>
      </w:r>
      <w:r w:rsidR="00672733">
        <w:rPr>
          <w:rFonts w:cs="Calibri"/>
          <w:bCs/>
          <w:lang w:val="en-GB"/>
        </w:rPr>
        <w:t xml:space="preserve">. </w:t>
      </w:r>
      <w:r w:rsidR="00E87D6B">
        <w:rPr>
          <w:rFonts w:cs="Calibri"/>
          <w:bCs/>
          <w:lang w:val="en-GB"/>
        </w:rPr>
        <w:t xml:space="preserve">For the determination of the amount of earnings management by real activities, </w:t>
      </w:r>
      <w:r w:rsidR="0057362C">
        <w:rPr>
          <w:rFonts w:cs="Calibri"/>
          <w:bCs/>
          <w:lang w:val="en-GB"/>
        </w:rPr>
        <w:t xml:space="preserve">next </w:t>
      </w:r>
      <w:r w:rsidR="00E87D6B">
        <w:rPr>
          <w:rFonts w:cs="Calibri"/>
          <w:bCs/>
          <w:lang w:val="en-GB"/>
        </w:rPr>
        <w:t xml:space="preserve">only the table </w:t>
      </w:r>
      <w:r w:rsidR="00E87D6B" w:rsidRPr="007E015C">
        <w:rPr>
          <w:rFonts w:cs="Calibri"/>
          <w:bCs/>
          <w:lang w:val="en-GB"/>
        </w:rPr>
        <w:t xml:space="preserve">Coefficients </w:t>
      </w:r>
      <w:r w:rsidR="00C6504C" w:rsidRPr="007E015C">
        <w:rPr>
          <w:rFonts w:cs="Calibri"/>
          <w:bCs/>
          <w:lang w:val="en-GB"/>
        </w:rPr>
        <w:t xml:space="preserve">will </w:t>
      </w:r>
      <w:r w:rsidR="00E87D6B" w:rsidRPr="007E015C">
        <w:rPr>
          <w:rFonts w:cs="Calibri"/>
          <w:bCs/>
          <w:lang w:val="en-GB"/>
        </w:rPr>
        <w:t xml:space="preserve">be </w:t>
      </w:r>
      <w:r w:rsidR="0057362C">
        <w:rPr>
          <w:rFonts w:cs="Calibri"/>
          <w:bCs/>
          <w:lang w:val="en-GB"/>
        </w:rPr>
        <w:t>provided</w:t>
      </w:r>
      <w:r w:rsidR="00E87D6B" w:rsidRPr="007E015C">
        <w:rPr>
          <w:rFonts w:cs="Calibri"/>
          <w:bCs/>
          <w:lang w:val="en-GB"/>
        </w:rPr>
        <w:t>; other results of S</w:t>
      </w:r>
      <w:r w:rsidR="005773A4" w:rsidRPr="007E015C">
        <w:rPr>
          <w:rFonts w:cs="Calibri"/>
          <w:bCs/>
          <w:lang w:val="en-GB"/>
        </w:rPr>
        <w:t xml:space="preserve">PSS </w:t>
      </w:r>
      <w:r w:rsidR="0057362C">
        <w:rPr>
          <w:rFonts w:cs="Calibri"/>
          <w:bCs/>
          <w:lang w:val="en-GB"/>
        </w:rPr>
        <w:t>are available</w:t>
      </w:r>
      <w:r w:rsidR="005773A4" w:rsidRPr="007E015C">
        <w:rPr>
          <w:rFonts w:cs="Calibri"/>
          <w:bCs/>
          <w:lang w:val="en-GB"/>
        </w:rPr>
        <w:t xml:space="preserve"> in ap</w:t>
      </w:r>
      <w:r w:rsidR="007E015C" w:rsidRPr="007E015C">
        <w:rPr>
          <w:rFonts w:cs="Calibri"/>
          <w:bCs/>
          <w:lang w:val="en-GB"/>
        </w:rPr>
        <w:t>pendix 3</w:t>
      </w:r>
      <w:r w:rsidR="00E87D6B" w:rsidRPr="007E015C">
        <w:rPr>
          <w:rFonts w:cs="Calibri"/>
          <w:bCs/>
          <w:lang w:val="en-GB"/>
        </w:rPr>
        <w:t xml:space="preserve">. </w:t>
      </w:r>
    </w:p>
    <w:tbl>
      <w:tblPr>
        <w:tblW w:w="578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0"/>
        <w:gridCol w:w="1010"/>
        <w:gridCol w:w="1077"/>
        <w:gridCol w:w="1456"/>
        <w:gridCol w:w="1456"/>
      </w:tblGrid>
      <w:tr w:rsidR="00C149EE" w:rsidRPr="007D74D0" w:rsidTr="00B353CB">
        <w:trPr>
          <w:jc w:val="center"/>
        </w:trPr>
        <w:tc>
          <w:tcPr>
            <w:tcW w:w="5789" w:type="dxa"/>
            <w:gridSpan w:val="5"/>
            <w:tcBorders>
              <w:top w:val="nil"/>
              <w:left w:val="nil"/>
              <w:bottom w:val="nil"/>
              <w:right w:val="nil"/>
            </w:tcBorders>
            <w:shd w:val="clear" w:color="auto" w:fill="FFFFFF"/>
            <w:vAlign w:val="center"/>
          </w:tcPr>
          <w:p w:rsidR="00C149EE" w:rsidRPr="007D74D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7D74D0">
              <w:rPr>
                <w:rFonts w:ascii="Arial" w:hAnsi="Arial"/>
                <w:b/>
                <w:bCs/>
                <w:color w:val="000000"/>
                <w:sz w:val="18"/>
                <w:szCs w:val="18"/>
              </w:rPr>
              <w:t>Model Summary</w:t>
            </w:r>
          </w:p>
        </w:tc>
      </w:tr>
      <w:tr w:rsidR="00C149EE" w:rsidRPr="0013388B" w:rsidTr="00B353CB">
        <w:trPr>
          <w:jc w:val="center"/>
        </w:trPr>
        <w:tc>
          <w:tcPr>
            <w:tcW w:w="790"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7D74D0" w:rsidRDefault="00C149EE" w:rsidP="00B353CB">
            <w:pPr>
              <w:autoSpaceDE w:val="0"/>
              <w:autoSpaceDN w:val="0"/>
              <w:adjustRightInd w:val="0"/>
              <w:spacing w:after="0" w:line="320" w:lineRule="atLeast"/>
              <w:ind w:left="60" w:right="60"/>
              <w:rPr>
                <w:rFonts w:ascii="Arial" w:hAnsi="Arial"/>
                <w:color w:val="000000"/>
                <w:sz w:val="18"/>
                <w:szCs w:val="18"/>
              </w:rPr>
            </w:pPr>
            <w:r w:rsidRPr="007D74D0">
              <w:rPr>
                <w:rFonts w:ascii="Arial" w:hAnsi="Arial"/>
                <w:color w:val="000000"/>
                <w:sz w:val="18"/>
                <w:szCs w:val="18"/>
              </w:rPr>
              <w:t>Model</w:t>
            </w:r>
          </w:p>
        </w:tc>
        <w:tc>
          <w:tcPr>
            <w:tcW w:w="1010" w:type="dxa"/>
            <w:tcBorders>
              <w:top w:val="single" w:sz="16" w:space="0" w:color="000000"/>
              <w:left w:val="single" w:sz="16" w:space="0" w:color="000000"/>
              <w:bottom w:val="single" w:sz="16" w:space="0" w:color="000000"/>
            </w:tcBorders>
            <w:shd w:val="clear" w:color="auto" w:fill="FFFFFF"/>
            <w:vAlign w:val="bottom"/>
          </w:tcPr>
          <w:p w:rsidR="00C149EE" w:rsidRPr="007D74D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7D74D0">
              <w:rPr>
                <w:rFonts w:ascii="Arial" w:hAnsi="Arial"/>
                <w:color w:val="000000"/>
                <w:sz w:val="18"/>
                <w:szCs w:val="18"/>
              </w:rPr>
              <w:t>R</w:t>
            </w:r>
          </w:p>
        </w:tc>
        <w:tc>
          <w:tcPr>
            <w:tcW w:w="1077" w:type="dxa"/>
            <w:tcBorders>
              <w:top w:val="single" w:sz="16" w:space="0" w:color="000000"/>
              <w:bottom w:val="single" w:sz="16" w:space="0" w:color="000000"/>
            </w:tcBorders>
            <w:shd w:val="clear" w:color="auto" w:fill="FFFFFF"/>
            <w:vAlign w:val="bottom"/>
          </w:tcPr>
          <w:p w:rsidR="00C149EE" w:rsidRPr="007D74D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7D74D0">
              <w:rPr>
                <w:rFonts w:ascii="Arial" w:hAnsi="Arial"/>
                <w:color w:val="000000"/>
                <w:sz w:val="18"/>
                <w:szCs w:val="18"/>
              </w:rPr>
              <w:t>R Square</w:t>
            </w:r>
          </w:p>
        </w:tc>
        <w:tc>
          <w:tcPr>
            <w:tcW w:w="1456" w:type="dxa"/>
            <w:tcBorders>
              <w:top w:val="single" w:sz="16" w:space="0" w:color="000000"/>
              <w:bottom w:val="single" w:sz="16" w:space="0" w:color="000000"/>
            </w:tcBorders>
            <w:shd w:val="clear" w:color="auto" w:fill="FFFFFF"/>
            <w:vAlign w:val="bottom"/>
          </w:tcPr>
          <w:p w:rsidR="00C149EE" w:rsidRPr="007D74D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7D74D0">
              <w:rPr>
                <w:rFonts w:ascii="Arial" w:hAnsi="Arial"/>
                <w:color w:val="000000"/>
                <w:sz w:val="18"/>
                <w:szCs w:val="18"/>
              </w:rPr>
              <w:t>Adjusted R Square</w:t>
            </w:r>
          </w:p>
        </w:tc>
        <w:tc>
          <w:tcPr>
            <w:tcW w:w="1456" w:type="dxa"/>
            <w:tcBorders>
              <w:top w:val="single" w:sz="16" w:space="0" w:color="000000"/>
              <w:bottom w:val="single" w:sz="16" w:space="0" w:color="000000"/>
              <w:right w:val="single" w:sz="16" w:space="0" w:color="000000"/>
            </w:tcBorders>
            <w:shd w:val="clear" w:color="auto" w:fill="FFFFFF"/>
            <w:vAlign w:val="bottom"/>
          </w:tcPr>
          <w:p w:rsidR="00C149EE" w:rsidRPr="00C149EE" w:rsidRDefault="00C149EE" w:rsidP="00B353CB">
            <w:pPr>
              <w:autoSpaceDE w:val="0"/>
              <w:autoSpaceDN w:val="0"/>
              <w:adjustRightInd w:val="0"/>
              <w:spacing w:after="0" w:line="320" w:lineRule="atLeast"/>
              <w:ind w:left="60" w:right="60"/>
              <w:jc w:val="center"/>
              <w:rPr>
                <w:rFonts w:ascii="Arial" w:hAnsi="Arial"/>
                <w:color w:val="000000"/>
                <w:sz w:val="18"/>
                <w:szCs w:val="18"/>
                <w:lang w:val="en-GB"/>
              </w:rPr>
            </w:pPr>
            <w:r w:rsidRPr="00C149EE">
              <w:rPr>
                <w:rFonts w:ascii="Arial" w:hAnsi="Arial"/>
                <w:color w:val="000000"/>
                <w:sz w:val="18"/>
                <w:szCs w:val="18"/>
                <w:lang w:val="en-GB"/>
              </w:rPr>
              <w:t>Std. Error of the Estimate</w:t>
            </w:r>
          </w:p>
        </w:tc>
      </w:tr>
      <w:tr w:rsidR="00C149EE" w:rsidRPr="007D74D0" w:rsidTr="00B353CB">
        <w:trPr>
          <w:jc w:val="center"/>
        </w:trPr>
        <w:tc>
          <w:tcPr>
            <w:tcW w:w="790" w:type="dxa"/>
            <w:tcBorders>
              <w:top w:val="single" w:sz="16" w:space="0" w:color="000000"/>
              <w:left w:val="single" w:sz="16" w:space="0" w:color="000000"/>
              <w:bottom w:val="single" w:sz="16" w:space="0" w:color="000000"/>
              <w:right w:val="single" w:sz="16" w:space="0" w:color="000000"/>
            </w:tcBorders>
            <w:shd w:val="clear" w:color="auto" w:fill="FFFFFF"/>
          </w:tcPr>
          <w:p w:rsidR="00C149EE" w:rsidRPr="007D74D0" w:rsidRDefault="00C149EE" w:rsidP="00B353CB">
            <w:pPr>
              <w:autoSpaceDE w:val="0"/>
              <w:autoSpaceDN w:val="0"/>
              <w:adjustRightInd w:val="0"/>
              <w:spacing w:after="0" w:line="320" w:lineRule="atLeast"/>
              <w:ind w:left="60" w:right="60"/>
              <w:rPr>
                <w:rFonts w:ascii="Arial" w:hAnsi="Arial"/>
                <w:color w:val="000000"/>
                <w:sz w:val="18"/>
                <w:szCs w:val="18"/>
              </w:rPr>
            </w:pPr>
            <w:r w:rsidRPr="007D74D0">
              <w:rPr>
                <w:rFonts w:ascii="Arial" w:hAnsi="Arial"/>
                <w:color w:val="000000"/>
                <w:sz w:val="18"/>
                <w:szCs w:val="18"/>
              </w:rPr>
              <w:t>1</w:t>
            </w:r>
          </w:p>
        </w:tc>
        <w:tc>
          <w:tcPr>
            <w:tcW w:w="1010" w:type="dxa"/>
            <w:tcBorders>
              <w:top w:val="single" w:sz="16" w:space="0" w:color="000000"/>
              <w:left w:val="single" w:sz="16" w:space="0" w:color="000000"/>
              <w:bottom w:val="single" w:sz="16" w:space="0" w:color="000000"/>
            </w:tcBorders>
            <w:shd w:val="clear" w:color="auto" w:fill="FFFFFF"/>
          </w:tcPr>
          <w:p w:rsidR="00C149EE" w:rsidRPr="007D74D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7D74D0">
              <w:rPr>
                <w:rFonts w:ascii="Arial" w:hAnsi="Arial"/>
                <w:color w:val="000000"/>
                <w:sz w:val="18"/>
                <w:szCs w:val="18"/>
              </w:rPr>
              <w:t>.544</w:t>
            </w:r>
            <w:r w:rsidRPr="007D74D0">
              <w:rPr>
                <w:rFonts w:ascii="Arial" w:hAnsi="Arial"/>
                <w:color w:val="000000"/>
                <w:sz w:val="18"/>
                <w:szCs w:val="18"/>
                <w:vertAlign w:val="superscript"/>
              </w:rPr>
              <w:t>a</w:t>
            </w:r>
          </w:p>
        </w:tc>
        <w:tc>
          <w:tcPr>
            <w:tcW w:w="1077" w:type="dxa"/>
            <w:tcBorders>
              <w:top w:val="single" w:sz="16" w:space="0" w:color="000000"/>
              <w:bottom w:val="single" w:sz="16" w:space="0" w:color="000000"/>
            </w:tcBorders>
            <w:shd w:val="clear" w:color="auto" w:fill="FFFFFF"/>
          </w:tcPr>
          <w:p w:rsidR="00C149EE" w:rsidRPr="007D74D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7D74D0">
              <w:rPr>
                <w:rFonts w:ascii="Arial" w:hAnsi="Arial"/>
                <w:color w:val="000000"/>
                <w:sz w:val="18"/>
                <w:szCs w:val="18"/>
              </w:rPr>
              <w:t>.296</w:t>
            </w:r>
          </w:p>
        </w:tc>
        <w:tc>
          <w:tcPr>
            <w:tcW w:w="1456" w:type="dxa"/>
            <w:tcBorders>
              <w:top w:val="single" w:sz="16" w:space="0" w:color="000000"/>
              <w:bottom w:val="single" w:sz="16" w:space="0" w:color="000000"/>
            </w:tcBorders>
            <w:shd w:val="clear" w:color="auto" w:fill="FFFFFF"/>
          </w:tcPr>
          <w:p w:rsidR="00C149EE" w:rsidRPr="007D74D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7D74D0">
              <w:rPr>
                <w:rFonts w:ascii="Arial" w:hAnsi="Arial"/>
                <w:color w:val="000000"/>
                <w:sz w:val="18"/>
                <w:szCs w:val="18"/>
              </w:rPr>
              <w:t>.291</w:t>
            </w:r>
          </w:p>
        </w:tc>
        <w:tc>
          <w:tcPr>
            <w:tcW w:w="1456" w:type="dxa"/>
            <w:tcBorders>
              <w:top w:val="single" w:sz="16" w:space="0" w:color="000000"/>
              <w:bottom w:val="single" w:sz="16" w:space="0" w:color="000000"/>
              <w:right w:val="single" w:sz="16" w:space="0" w:color="000000"/>
            </w:tcBorders>
            <w:shd w:val="clear" w:color="auto" w:fill="FFFFFF"/>
          </w:tcPr>
          <w:p w:rsidR="00C149EE" w:rsidRPr="007D74D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7D74D0">
              <w:rPr>
                <w:rFonts w:ascii="Arial" w:hAnsi="Arial"/>
                <w:color w:val="000000"/>
                <w:sz w:val="18"/>
                <w:szCs w:val="18"/>
              </w:rPr>
              <w:t>.16852</w:t>
            </w:r>
          </w:p>
        </w:tc>
      </w:tr>
      <w:tr w:rsidR="00C149EE" w:rsidRPr="0013388B" w:rsidTr="00B353CB">
        <w:trPr>
          <w:jc w:val="center"/>
        </w:trPr>
        <w:tc>
          <w:tcPr>
            <w:tcW w:w="5789" w:type="dxa"/>
            <w:gridSpan w:val="5"/>
            <w:tcBorders>
              <w:top w:val="nil"/>
              <w:left w:val="nil"/>
              <w:bottom w:val="nil"/>
              <w:right w:val="nil"/>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a. Predictors: (Constant), PPE / A (t-1), 1 / A / (t-1), Change S / A (t-1)</w:t>
            </w:r>
          </w:p>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p>
        </w:tc>
      </w:tr>
    </w:tbl>
    <w:p w:rsidR="0057362C" w:rsidRDefault="0057362C" w:rsidP="00C149EE">
      <w:pPr>
        <w:spacing w:line="360" w:lineRule="auto"/>
        <w:rPr>
          <w:lang w:val="en-GB"/>
        </w:rPr>
      </w:pPr>
      <w:r w:rsidRPr="00F67CC4">
        <w:rPr>
          <w:rFonts w:cs="Calibri"/>
          <w:bCs/>
          <w:lang w:val="en-GB"/>
        </w:rPr>
        <w:t xml:space="preserve">Important information </w:t>
      </w:r>
      <w:r>
        <w:rPr>
          <w:rFonts w:cs="Calibri"/>
          <w:bCs/>
          <w:lang w:val="en-GB"/>
        </w:rPr>
        <w:t>based on SPSS</w:t>
      </w:r>
      <w:r w:rsidRPr="00F67CC4">
        <w:rPr>
          <w:rFonts w:cs="Calibri"/>
          <w:bCs/>
          <w:lang w:val="en-GB"/>
        </w:rPr>
        <w:t xml:space="preserve"> is the reliability of the test and </w:t>
      </w:r>
      <w:r>
        <w:rPr>
          <w:rFonts w:cs="Calibri"/>
          <w:bCs/>
          <w:lang w:val="en-GB"/>
        </w:rPr>
        <w:t xml:space="preserve">the </w:t>
      </w:r>
      <w:r w:rsidRPr="00F67CC4">
        <w:rPr>
          <w:rFonts w:cs="Calibri"/>
          <w:bCs/>
          <w:lang w:val="en-GB"/>
        </w:rPr>
        <w:t xml:space="preserve">correlation between </w:t>
      </w:r>
      <w:r>
        <w:rPr>
          <w:rFonts w:cs="Calibri"/>
          <w:bCs/>
          <w:lang w:val="en-GB"/>
        </w:rPr>
        <w:t>the various</w:t>
      </w:r>
      <w:r w:rsidRPr="00F67CC4">
        <w:rPr>
          <w:rFonts w:cs="Calibri"/>
          <w:bCs/>
          <w:lang w:val="en-GB"/>
        </w:rPr>
        <w:t xml:space="preserve"> variables. </w:t>
      </w:r>
      <w:r>
        <w:rPr>
          <w:rFonts w:cs="Calibri"/>
          <w:bCs/>
          <w:lang w:val="en-GB"/>
        </w:rPr>
        <w:t>Based on</w:t>
      </w:r>
      <w:r w:rsidRPr="00F67CC4">
        <w:rPr>
          <w:rFonts w:cs="Calibri"/>
          <w:bCs/>
          <w:lang w:val="en-GB"/>
        </w:rPr>
        <w:t xml:space="preserve"> the </w:t>
      </w:r>
      <w:r>
        <w:rPr>
          <w:rFonts w:cs="Calibri"/>
          <w:bCs/>
          <w:lang w:val="en-GB"/>
        </w:rPr>
        <w:t xml:space="preserve">table </w:t>
      </w:r>
      <w:r w:rsidRPr="00F67CC4">
        <w:rPr>
          <w:rFonts w:cs="Calibri"/>
          <w:bCs/>
          <w:lang w:val="en-GB"/>
        </w:rPr>
        <w:t>Model Summary</w:t>
      </w:r>
      <w:r>
        <w:rPr>
          <w:rFonts w:cs="Calibri"/>
          <w:bCs/>
          <w:lang w:val="en-GB"/>
        </w:rPr>
        <w:t xml:space="preserve">, </w:t>
      </w:r>
      <w:r w:rsidRPr="00F67CC4">
        <w:rPr>
          <w:rFonts w:cs="Calibri"/>
          <w:bCs/>
          <w:lang w:val="en-GB"/>
        </w:rPr>
        <w:t>the correlation between the dependent and independent variable</w:t>
      </w:r>
      <w:r>
        <w:rPr>
          <w:rFonts w:cs="Calibri"/>
          <w:bCs/>
          <w:lang w:val="en-GB"/>
        </w:rPr>
        <w:t>s</w:t>
      </w:r>
      <w:r w:rsidRPr="00F67CC4">
        <w:rPr>
          <w:rFonts w:cs="Calibri"/>
          <w:bCs/>
          <w:lang w:val="en-GB"/>
        </w:rPr>
        <w:t xml:space="preserve"> which can be foun</w:t>
      </w:r>
      <w:r>
        <w:rPr>
          <w:rFonts w:cs="Calibri"/>
          <w:bCs/>
          <w:lang w:val="en-GB"/>
        </w:rPr>
        <w:t>d by checking the adjusted R Square is 0.291</w:t>
      </w:r>
      <w:r w:rsidRPr="00F67CC4">
        <w:rPr>
          <w:rFonts w:cs="Calibri"/>
          <w:bCs/>
          <w:lang w:val="en-GB"/>
        </w:rPr>
        <w:t xml:space="preserve">. </w:t>
      </w:r>
      <w:r>
        <w:rPr>
          <w:rFonts w:cs="Calibri"/>
          <w:bCs/>
          <w:lang w:val="en-GB"/>
        </w:rPr>
        <w:t>This value can be interpreted as 29.1%</w:t>
      </w:r>
      <w:r w:rsidRPr="00F67CC4">
        <w:rPr>
          <w:rFonts w:cs="Calibri"/>
          <w:bCs/>
          <w:lang w:val="en-GB"/>
        </w:rPr>
        <w:t xml:space="preserve"> of the amount of Total Accruals is explain</w:t>
      </w:r>
      <w:r>
        <w:rPr>
          <w:rFonts w:cs="Calibri"/>
          <w:bCs/>
          <w:lang w:val="en-GB"/>
        </w:rPr>
        <w:t>ed by the independent variables.</w:t>
      </w:r>
    </w:p>
    <w:p w:rsidR="00C149EE" w:rsidRDefault="00C149EE" w:rsidP="00C149EE">
      <w:pPr>
        <w:spacing w:line="360" w:lineRule="auto"/>
        <w:rPr>
          <w:lang w:val="en-GB"/>
        </w:rPr>
      </w:pPr>
      <w:r w:rsidRPr="00C149EE">
        <w:rPr>
          <w:lang w:val="en-GB"/>
        </w:rPr>
        <w:t xml:space="preserve">Next to the importance of the correlation between the dependent variable </w:t>
      </w:r>
      <w:r w:rsidR="008E4A7A">
        <w:rPr>
          <w:lang w:val="en-GB"/>
        </w:rPr>
        <w:t xml:space="preserve">and the independent variables, </w:t>
      </w:r>
      <w:r w:rsidRPr="00C149EE">
        <w:rPr>
          <w:lang w:val="en-GB"/>
        </w:rPr>
        <w:t xml:space="preserve">are the coefficients important for the determination of the non-discretionary part of the accruals. </w:t>
      </w:r>
    </w:p>
    <w:tbl>
      <w:tblPr>
        <w:tblW w:w="871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864"/>
        <w:gridCol w:w="1324"/>
        <w:gridCol w:w="1323"/>
        <w:gridCol w:w="1456"/>
        <w:gridCol w:w="1010"/>
        <w:gridCol w:w="1010"/>
      </w:tblGrid>
      <w:tr w:rsidR="00C149EE" w:rsidRPr="00E75771" w:rsidTr="00B353CB">
        <w:trPr>
          <w:jc w:val="center"/>
        </w:trPr>
        <w:tc>
          <w:tcPr>
            <w:tcW w:w="8714" w:type="dxa"/>
            <w:gridSpan w:val="7"/>
            <w:tcBorders>
              <w:top w:val="nil"/>
              <w:left w:val="nil"/>
              <w:bottom w:val="nil"/>
              <w:right w:val="nil"/>
            </w:tcBorders>
            <w:shd w:val="clear" w:color="auto" w:fill="FFFFFF"/>
            <w:vAlign w:val="center"/>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b/>
                <w:bCs/>
                <w:color w:val="000000"/>
                <w:sz w:val="18"/>
                <w:szCs w:val="18"/>
              </w:rPr>
              <w:t>Coefficients</w:t>
            </w:r>
            <w:r w:rsidRPr="00E75771">
              <w:rPr>
                <w:rFonts w:ascii="Arial" w:hAnsi="Arial"/>
                <w:b/>
                <w:bCs/>
                <w:color w:val="000000"/>
                <w:sz w:val="18"/>
                <w:szCs w:val="18"/>
                <w:vertAlign w:val="superscript"/>
              </w:rPr>
              <w:t>a</w:t>
            </w:r>
          </w:p>
        </w:tc>
      </w:tr>
      <w:tr w:rsidR="00C149EE" w:rsidRPr="00E75771" w:rsidTr="00B353CB">
        <w:trPr>
          <w:jc w:val="center"/>
        </w:trPr>
        <w:tc>
          <w:tcPr>
            <w:tcW w:w="2591"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rPr>
                <w:rFonts w:ascii="Arial" w:hAnsi="Arial"/>
                <w:color w:val="000000"/>
                <w:sz w:val="18"/>
                <w:szCs w:val="18"/>
              </w:rPr>
            </w:pPr>
            <w:r w:rsidRPr="00E75771">
              <w:rPr>
                <w:rFonts w:ascii="Arial" w:hAnsi="Arial"/>
                <w:color w:val="000000"/>
                <w:sz w:val="18"/>
                <w:szCs w:val="18"/>
              </w:rPr>
              <w:t>Model</w:t>
            </w:r>
          </w:p>
        </w:tc>
        <w:tc>
          <w:tcPr>
            <w:tcW w:w="2647" w:type="dxa"/>
            <w:gridSpan w:val="2"/>
            <w:tcBorders>
              <w:top w:val="single" w:sz="16" w:space="0" w:color="000000"/>
              <w:left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Unstandardized Coefficients</w:t>
            </w:r>
          </w:p>
        </w:tc>
        <w:tc>
          <w:tcPr>
            <w:tcW w:w="1456" w:type="dxa"/>
            <w:tcBorders>
              <w:top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Sig.</w:t>
            </w:r>
          </w:p>
        </w:tc>
      </w:tr>
      <w:tr w:rsidR="00C149EE" w:rsidRPr="00E75771" w:rsidTr="00B353CB">
        <w:trPr>
          <w:jc w:val="center"/>
        </w:trPr>
        <w:tc>
          <w:tcPr>
            <w:tcW w:w="2591"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E75771" w:rsidRDefault="00C149EE" w:rsidP="00B353CB">
            <w:pPr>
              <w:autoSpaceDE w:val="0"/>
              <w:autoSpaceDN w:val="0"/>
              <w:adjustRightInd w:val="0"/>
              <w:spacing w:after="0" w:line="240" w:lineRule="auto"/>
              <w:rPr>
                <w:rFonts w:ascii="Arial" w:hAnsi="Arial"/>
                <w:color w:val="000000"/>
                <w:sz w:val="18"/>
                <w:szCs w:val="18"/>
              </w:rPr>
            </w:pPr>
          </w:p>
        </w:tc>
        <w:tc>
          <w:tcPr>
            <w:tcW w:w="1324" w:type="dxa"/>
            <w:tcBorders>
              <w:left w:val="single" w:sz="16" w:space="0" w:color="000000"/>
              <w:bottom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B</w:t>
            </w:r>
          </w:p>
        </w:tc>
        <w:tc>
          <w:tcPr>
            <w:tcW w:w="1323" w:type="dxa"/>
            <w:tcBorders>
              <w:bottom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Std. Error</w:t>
            </w:r>
          </w:p>
        </w:tc>
        <w:tc>
          <w:tcPr>
            <w:tcW w:w="1456" w:type="dxa"/>
            <w:tcBorders>
              <w:bottom w:val="single" w:sz="16" w:space="0" w:color="000000"/>
            </w:tcBorders>
            <w:shd w:val="clear" w:color="auto" w:fill="FFFFFF"/>
            <w:vAlign w:val="bottom"/>
          </w:tcPr>
          <w:p w:rsidR="00C149EE" w:rsidRPr="00E75771"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E75771">
              <w:rPr>
                <w:rFonts w:ascii="Arial" w:hAnsi="Arial"/>
                <w:color w:val="000000"/>
                <w:sz w:val="18"/>
                <w:szCs w:val="18"/>
              </w:rPr>
              <w:t>Beta</w:t>
            </w:r>
          </w:p>
        </w:tc>
        <w:tc>
          <w:tcPr>
            <w:tcW w:w="1010" w:type="dxa"/>
            <w:vMerge/>
            <w:tcBorders>
              <w:top w:val="single" w:sz="16" w:space="0" w:color="000000"/>
              <w:bottom w:val="single" w:sz="16" w:space="0" w:color="000000"/>
            </w:tcBorders>
            <w:shd w:val="clear" w:color="auto" w:fill="FFFFFF"/>
            <w:vAlign w:val="bottom"/>
          </w:tcPr>
          <w:p w:rsidR="00C149EE" w:rsidRPr="00E75771" w:rsidRDefault="00C149EE" w:rsidP="00B353CB">
            <w:pPr>
              <w:autoSpaceDE w:val="0"/>
              <w:autoSpaceDN w:val="0"/>
              <w:adjustRightInd w:val="0"/>
              <w:spacing w:after="0" w:line="240" w:lineRule="auto"/>
              <w:rPr>
                <w:rFonts w:ascii="Arial" w:hAnsi="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C149EE" w:rsidRPr="00E75771" w:rsidRDefault="00C149EE" w:rsidP="00B353CB">
            <w:pPr>
              <w:autoSpaceDE w:val="0"/>
              <w:autoSpaceDN w:val="0"/>
              <w:adjustRightInd w:val="0"/>
              <w:spacing w:after="0" w:line="240" w:lineRule="auto"/>
              <w:rPr>
                <w:rFonts w:ascii="Arial" w:hAnsi="Arial"/>
                <w:color w:val="000000"/>
                <w:sz w:val="18"/>
                <w:szCs w:val="18"/>
              </w:rPr>
            </w:pPr>
          </w:p>
        </w:tc>
      </w:tr>
      <w:tr w:rsidR="00C149EE" w:rsidRPr="00E75771" w:rsidTr="00B353CB">
        <w:trP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C149EE" w:rsidRPr="00E75771" w:rsidRDefault="00C149EE" w:rsidP="00B353CB">
            <w:pPr>
              <w:autoSpaceDE w:val="0"/>
              <w:autoSpaceDN w:val="0"/>
              <w:adjustRightInd w:val="0"/>
              <w:spacing w:after="0" w:line="320" w:lineRule="atLeast"/>
              <w:ind w:left="60" w:right="60"/>
              <w:rPr>
                <w:rFonts w:ascii="Arial" w:hAnsi="Arial"/>
                <w:color w:val="000000"/>
                <w:sz w:val="18"/>
                <w:szCs w:val="18"/>
              </w:rPr>
            </w:pPr>
            <w:r w:rsidRPr="00E75771">
              <w:rPr>
                <w:rFonts w:ascii="Arial" w:hAnsi="Arial"/>
                <w:color w:val="000000"/>
                <w:sz w:val="18"/>
                <w:szCs w:val="18"/>
              </w:rPr>
              <w:t>1</w:t>
            </w:r>
          </w:p>
        </w:tc>
        <w:tc>
          <w:tcPr>
            <w:tcW w:w="1864" w:type="dxa"/>
            <w:tcBorders>
              <w:top w:val="single" w:sz="16" w:space="0" w:color="000000"/>
              <w:left w:val="nil"/>
              <w:bottom w:val="nil"/>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rPr>
                <w:rFonts w:ascii="Arial" w:hAnsi="Arial"/>
                <w:color w:val="000000"/>
                <w:sz w:val="18"/>
                <w:szCs w:val="18"/>
              </w:rPr>
            </w:pPr>
            <w:r w:rsidRPr="00E75771">
              <w:rPr>
                <w:rFonts w:ascii="Arial" w:hAnsi="Arial"/>
                <w:color w:val="000000"/>
                <w:sz w:val="18"/>
                <w:szCs w:val="18"/>
              </w:rPr>
              <w:t>(Constant)</w:t>
            </w:r>
          </w:p>
        </w:tc>
        <w:tc>
          <w:tcPr>
            <w:tcW w:w="1324" w:type="dxa"/>
            <w:tcBorders>
              <w:top w:val="single" w:sz="16" w:space="0" w:color="000000"/>
              <w:left w:val="single" w:sz="16" w:space="0" w:color="000000"/>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-.572</w:t>
            </w:r>
          </w:p>
        </w:tc>
        <w:tc>
          <w:tcPr>
            <w:tcW w:w="1323" w:type="dxa"/>
            <w:tcBorders>
              <w:top w:val="single" w:sz="16" w:space="0" w:color="000000"/>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.015</w:t>
            </w:r>
          </w:p>
        </w:tc>
        <w:tc>
          <w:tcPr>
            <w:tcW w:w="1456" w:type="dxa"/>
            <w:tcBorders>
              <w:top w:val="single" w:sz="16" w:space="0" w:color="000000"/>
              <w:bottom w:val="nil"/>
            </w:tcBorders>
            <w:shd w:val="clear" w:color="auto" w:fill="FFFFFF"/>
            <w:vAlign w:val="center"/>
          </w:tcPr>
          <w:p w:rsidR="00C149EE" w:rsidRPr="00E75771" w:rsidRDefault="00C149EE" w:rsidP="00B353CB">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-38.843</w:t>
            </w:r>
          </w:p>
        </w:tc>
        <w:tc>
          <w:tcPr>
            <w:tcW w:w="1010" w:type="dxa"/>
            <w:tcBorders>
              <w:top w:val="single" w:sz="16" w:space="0" w:color="000000"/>
              <w:bottom w:val="nil"/>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.000</w:t>
            </w:r>
          </w:p>
        </w:tc>
      </w:tr>
      <w:tr w:rsidR="00C149EE" w:rsidRPr="00E75771"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E75771" w:rsidRDefault="00C149EE" w:rsidP="00B353CB">
            <w:pPr>
              <w:autoSpaceDE w:val="0"/>
              <w:autoSpaceDN w:val="0"/>
              <w:adjustRightInd w:val="0"/>
              <w:spacing w:after="0" w:line="240" w:lineRule="auto"/>
              <w:rPr>
                <w:rFonts w:ascii="Arial" w:hAnsi="Arial"/>
                <w:color w:val="000000"/>
                <w:sz w:val="18"/>
                <w:szCs w:val="18"/>
              </w:rPr>
            </w:pPr>
          </w:p>
        </w:tc>
        <w:tc>
          <w:tcPr>
            <w:tcW w:w="1864" w:type="dxa"/>
            <w:tcBorders>
              <w:top w:val="nil"/>
              <w:left w:val="nil"/>
              <w:bottom w:val="nil"/>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rPr>
                <w:rFonts w:ascii="Arial" w:hAnsi="Arial"/>
                <w:color w:val="000000"/>
                <w:sz w:val="18"/>
                <w:szCs w:val="18"/>
              </w:rPr>
            </w:pPr>
            <w:r w:rsidRPr="00E75771">
              <w:rPr>
                <w:rFonts w:ascii="Arial" w:hAnsi="Arial"/>
                <w:color w:val="000000"/>
                <w:sz w:val="18"/>
                <w:szCs w:val="18"/>
              </w:rPr>
              <w:t>1</w:t>
            </w:r>
            <w:r>
              <w:rPr>
                <w:rFonts w:ascii="Arial" w:hAnsi="Arial"/>
                <w:color w:val="000000"/>
                <w:sz w:val="18"/>
                <w:szCs w:val="18"/>
              </w:rPr>
              <w:t xml:space="preserve"> / </w:t>
            </w:r>
            <w:r w:rsidRPr="00E75771">
              <w:rPr>
                <w:rFonts w:ascii="Arial" w:hAnsi="Arial"/>
                <w:color w:val="000000"/>
                <w:sz w:val="18"/>
                <w:szCs w:val="18"/>
              </w:rPr>
              <w:t>A</w:t>
            </w:r>
            <w:r>
              <w:rPr>
                <w:rFonts w:ascii="Arial" w:hAnsi="Arial"/>
                <w:color w:val="000000"/>
                <w:sz w:val="18"/>
                <w:szCs w:val="18"/>
              </w:rPr>
              <w:t xml:space="preserve"> (t-</w:t>
            </w:r>
            <w:r w:rsidRPr="00E75771">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3.420</w:t>
            </w:r>
          </w:p>
        </w:tc>
        <w:tc>
          <w:tcPr>
            <w:tcW w:w="1323" w:type="dxa"/>
            <w:tcBorders>
              <w:top w:val="nil"/>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.298</w:t>
            </w:r>
          </w:p>
        </w:tc>
        <w:tc>
          <w:tcPr>
            <w:tcW w:w="1456" w:type="dxa"/>
            <w:tcBorders>
              <w:top w:val="nil"/>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.444</w:t>
            </w:r>
          </w:p>
        </w:tc>
        <w:tc>
          <w:tcPr>
            <w:tcW w:w="1010" w:type="dxa"/>
            <w:tcBorders>
              <w:top w:val="nil"/>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11.475</w:t>
            </w:r>
          </w:p>
        </w:tc>
        <w:tc>
          <w:tcPr>
            <w:tcW w:w="1010" w:type="dxa"/>
            <w:tcBorders>
              <w:top w:val="nil"/>
              <w:bottom w:val="nil"/>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.000</w:t>
            </w:r>
          </w:p>
        </w:tc>
      </w:tr>
      <w:tr w:rsidR="00C149EE" w:rsidRPr="00E75771"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E75771" w:rsidRDefault="00C149EE" w:rsidP="00B353CB">
            <w:pPr>
              <w:autoSpaceDE w:val="0"/>
              <w:autoSpaceDN w:val="0"/>
              <w:adjustRightInd w:val="0"/>
              <w:spacing w:after="0" w:line="240" w:lineRule="auto"/>
              <w:rPr>
                <w:rFonts w:ascii="Arial" w:hAnsi="Arial"/>
                <w:color w:val="000000"/>
                <w:sz w:val="18"/>
                <w:szCs w:val="18"/>
              </w:rPr>
            </w:pPr>
          </w:p>
        </w:tc>
        <w:tc>
          <w:tcPr>
            <w:tcW w:w="1864" w:type="dxa"/>
            <w:tcBorders>
              <w:top w:val="nil"/>
              <w:left w:val="nil"/>
              <w:bottom w:val="nil"/>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 xml:space="preserve">Change </w:t>
            </w:r>
            <w:r w:rsidRPr="00E75771">
              <w:rPr>
                <w:rFonts w:ascii="Arial" w:hAnsi="Arial"/>
                <w:color w:val="000000"/>
                <w:sz w:val="18"/>
                <w:szCs w:val="18"/>
              </w:rPr>
              <w:t>S</w:t>
            </w:r>
            <w:r>
              <w:rPr>
                <w:rFonts w:ascii="Arial" w:hAnsi="Arial"/>
                <w:color w:val="000000"/>
                <w:sz w:val="18"/>
                <w:szCs w:val="18"/>
              </w:rPr>
              <w:t xml:space="preserve"> / A (t-</w:t>
            </w:r>
            <w:r w:rsidRPr="00E75771">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.044</w:t>
            </w:r>
          </w:p>
        </w:tc>
        <w:tc>
          <w:tcPr>
            <w:tcW w:w="1323" w:type="dxa"/>
            <w:tcBorders>
              <w:top w:val="nil"/>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.011</w:t>
            </w:r>
          </w:p>
        </w:tc>
        <w:tc>
          <w:tcPr>
            <w:tcW w:w="1456" w:type="dxa"/>
            <w:tcBorders>
              <w:top w:val="nil"/>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.155</w:t>
            </w:r>
          </w:p>
        </w:tc>
        <w:tc>
          <w:tcPr>
            <w:tcW w:w="1010" w:type="dxa"/>
            <w:tcBorders>
              <w:top w:val="nil"/>
              <w:bottom w:val="nil"/>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3.988</w:t>
            </w:r>
          </w:p>
        </w:tc>
        <w:tc>
          <w:tcPr>
            <w:tcW w:w="1010" w:type="dxa"/>
            <w:tcBorders>
              <w:top w:val="nil"/>
              <w:bottom w:val="nil"/>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.000</w:t>
            </w:r>
          </w:p>
        </w:tc>
      </w:tr>
      <w:tr w:rsidR="00C149EE" w:rsidRPr="00E75771"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E75771" w:rsidRDefault="00C149EE" w:rsidP="00B353CB">
            <w:pPr>
              <w:autoSpaceDE w:val="0"/>
              <w:autoSpaceDN w:val="0"/>
              <w:adjustRightInd w:val="0"/>
              <w:spacing w:after="0" w:line="240" w:lineRule="auto"/>
              <w:rPr>
                <w:rFonts w:ascii="Arial" w:hAnsi="Arial"/>
                <w:color w:val="000000"/>
                <w:sz w:val="18"/>
                <w:szCs w:val="18"/>
              </w:rPr>
            </w:pPr>
          </w:p>
        </w:tc>
        <w:tc>
          <w:tcPr>
            <w:tcW w:w="1864" w:type="dxa"/>
            <w:tcBorders>
              <w:top w:val="nil"/>
              <w:left w:val="nil"/>
              <w:bottom w:val="single" w:sz="16" w:space="0" w:color="000000"/>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PPE / A (t-</w:t>
            </w:r>
            <w:r w:rsidRPr="00E75771">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.248</w:t>
            </w:r>
          </w:p>
        </w:tc>
        <w:tc>
          <w:tcPr>
            <w:tcW w:w="1323" w:type="dxa"/>
            <w:tcBorders>
              <w:top w:val="nil"/>
              <w:bottom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.037</w:t>
            </w:r>
          </w:p>
        </w:tc>
        <w:tc>
          <w:tcPr>
            <w:tcW w:w="1456" w:type="dxa"/>
            <w:tcBorders>
              <w:top w:val="nil"/>
              <w:bottom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.258</w:t>
            </w:r>
          </w:p>
        </w:tc>
        <w:tc>
          <w:tcPr>
            <w:tcW w:w="1010" w:type="dxa"/>
            <w:tcBorders>
              <w:top w:val="nil"/>
              <w:bottom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6.661</w:t>
            </w:r>
          </w:p>
        </w:tc>
        <w:tc>
          <w:tcPr>
            <w:tcW w:w="1010" w:type="dxa"/>
            <w:tcBorders>
              <w:top w:val="nil"/>
              <w:bottom w:val="single" w:sz="16" w:space="0" w:color="000000"/>
              <w:right w:val="single" w:sz="16" w:space="0" w:color="000000"/>
            </w:tcBorders>
            <w:shd w:val="clear" w:color="auto" w:fill="FFFFFF"/>
          </w:tcPr>
          <w:p w:rsidR="00C149EE" w:rsidRPr="00E75771"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E75771">
              <w:rPr>
                <w:rFonts w:ascii="Arial" w:hAnsi="Arial"/>
                <w:color w:val="000000"/>
                <w:sz w:val="18"/>
                <w:szCs w:val="18"/>
              </w:rPr>
              <w:t>.000</w:t>
            </w:r>
          </w:p>
        </w:tc>
      </w:tr>
      <w:tr w:rsidR="00C149EE" w:rsidRPr="0013388B" w:rsidTr="00B353CB">
        <w:trPr>
          <w:jc w:val="center"/>
        </w:trPr>
        <w:tc>
          <w:tcPr>
            <w:tcW w:w="8714" w:type="dxa"/>
            <w:gridSpan w:val="7"/>
            <w:tcBorders>
              <w:top w:val="nil"/>
              <w:left w:val="nil"/>
              <w:bottom w:val="nil"/>
              <w:right w:val="nil"/>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a. Dependent Variable: TA / A (t-1)</w:t>
            </w:r>
          </w:p>
          <w:p w:rsidR="00C149EE" w:rsidRPr="00C149EE" w:rsidRDefault="00C149EE" w:rsidP="00B353CB">
            <w:pPr>
              <w:autoSpaceDE w:val="0"/>
              <w:autoSpaceDN w:val="0"/>
              <w:adjustRightInd w:val="0"/>
              <w:spacing w:after="0" w:line="320" w:lineRule="atLeast"/>
              <w:ind w:right="60"/>
              <w:rPr>
                <w:rFonts w:ascii="Arial" w:hAnsi="Arial"/>
                <w:color w:val="000000"/>
                <w:sz w:val="18"/>
                <w:szCs w:val="18"/>
                <w:lang w:val="en-GB"/>
              </w:rPr>
            </w:pPr>
          </w:p>
        </w:tc>
      </w:tr>
    </w:tbl>
    <w:p w:rsidR="0057362C" w:rsidRPr="00C149EE" w:rsidRDefault="0057362C" w:rsidP="0057362C">
      <w:pPr>
        <w:spacing w:line="360" w:lineRule="auto"/>
        <w:rPr>
          <w:lang w:val="en-GB"/>
        </w:rPr>
      </w:pPr>
      <w:r w:rsidRPr="008056D4">
        <w:rPr>
          <w:bCs/>
          <w:lang w:val="en-GB"/>
        </w:rPr>
        <w:t>The regression coefficients have been determined by checking for the coherence of the various</w:t>
      </w:r>
      <w:r>
        <w:rPr>
          <w:bCs/>
          <w:lang w:val="en-GB"/>
        </w:rPr>
        <w:t xml:space="preserve"> independent</w:t>
      </w:r>
      <w:r w:rsidRPr="008056D4">
        <w:rPr>
          <w:bCs/>
          <w:lang w:val="en-GB"/>
        </w:rPr>
        <w:t xml:space="preserve"> variables with the dependent vari</w:t>
      </w:r>
      <w:r>
        <w:rPr>
          <w:bCs/>
          <w:lang w:val="en-GB"/>
        </w:rPr>
        <w:t xml:space="preserve">able. </w:t>
      </w:r>
      <w:r w:rsidRPr="008056D4">
        <w:rPr>
          <w:bCs/>
          <w:lang w:val="en-GB"/>
        </w:rPr>
        <w:t xml:space="preserve">The determination of the regression coefficients has been executed with historical data, </w:t>
      </w:r>
      <w:r>
        <w:rPr>
          <w:bCs/>
          <w:lang w:val="en-GB"/>
        </w:rPr>
        <w:t>data from the</w:t>
      </w:r>
      <w:r w:rsidRPr="008056D4">
        <w:rPr>
          <w:bCs/>
          <w:lang w:val="en-GB"/>
        </w:rPr>
        <w:t xml:space="preserve"> period 19</w:t>
      </w:r>
      <w:r>
        <w:rPr>
          <w:bCs/>
          <w:lang w:val="en-GB"/>
        </w:rPr>
        <w:t xml:space="preserve">97-2001. </w:t>
      </w:r>
      <w:r w:rsidRPr="008056D4">
        <w:rPr>
          <w:bCs/>
          <w:lang w:val="en-GB"/>
        </w:rPr>
        <w:t xml:space="preserve">The results of the historical data will </w:t>
      </w:r>
      <w:r>
        <w:rPr>
          <w:bCs/>
          <w:lang w:val="en-GB"/>
        </w:rPr>
        <w:t>present</w:t>
      </w:r>
      <w:r w:rsidRPr="008056D4">
        <w:rPr>
          <w:bCs/>
          <w:lang w:val="en-GB"/>
        </w:rPr>
        <w:t xml:space="preserve"> a</w:t>
      </w:r>
      <w:r>
        <w:rPr>
          <w:bCs/>
          <w:lang w:val="en-GB"/>
        </w:rPr>
        <w:t>n</w:t>
      </w:r>
      <w:r w:rsidRPr="008056D4">
        <w:rPr>
          <w:bCs/>
          <w:lang w:val="en-GB"/>
        </w:rPr>
        <w:t xml:space="preserve"> estimation of the coherence of the variables for determining the non-discretionary accruals part</w:t>
      </w:r>
      <w:r>
        <w:rPr>
          <w:bCs/>
          <w:lang w:val="en-GB"/>
        </w:rPr>
        <w:t xml:space="preserve"> in the research period 2002-2007.  When</w:t>
      </w:r>
      <w:r w:rsidRPr="008056D4">
        <w:rPr>
          <w:bCs/>
          <w:lang w:val="en-GB"/>
        </w:rPr>
        <w:t xml:space="preserve"> </w:t>
      </w:r>
      <w:r>
        <w:rPr>
          <w:bCs/>
          <w:lang w:val="en-GB"/>
        </w:rPr>
        <w:t>investigating</w:t>
      </w:r>
      <w:r w:rsidRPr="008056D4">
        <w:rPr>
          <w:bCs/>
          <w:lang w:val="en-GB"/>
        </w:rPr>
        <w:t xml:space="preserve"> the outcome of the r</w:t>
      </w:r>
      <w:r>
        <w:rPr>
          <w:bCs/>
          <w:lang w:val="en-GB"/>
        </w:rPr>
        <w:t>egression, the coefficients α0, α1, α2 and α3 in column Beta (B) are respectively -0.572; 3.420</w:t>
      </w:r>
      <w:r w:rsidRPr="008056D4">
        <w:rPr>
          <w:bCs/>
          <w:lang w:val="en-GB"/>
        </w:rPr>
        <w:t xml:space="preserve">; </w:t>
      </w:r>
      <w:r>
        <w:rPr>
          <w:bCs/>
          <w:lang w:val="en-GB"/>
        </w:rPr>
        <w:lastRenderedPageBreak/>
        <w:t xml:space="preserve">0.044; and 0.248. This shows a positive slope exists of the independent variables on the dependent variable. </w:t>
      </w:r>
    </w:p>
    <w:p w:rsidR="0057362C" w:rsidRDefault="0057362C" w:rsidP="0057362C">
      <w:pPr>
        <w:spacing w:line="360" w:lineRule="auto"/>
        <w:rPr>
          <w:rFonts w:cs="Calibri"/>
          <w:bCs/>
          <w:lang w:val="en-GB"/>
        </w:rPr>
      </w:pPr>
      <w:r w:rsidRPr="00944B82">
        <w:rPr>
          <w:bCs/>
          <w:lang w:val="en-GB"/>
        </w:rPr>
        <w:t>Another important aspect of the table Coefficients is the significance of the variables. When check</w:t>
      </w:r>
      <w:r>
        <w:rPr>
          <w:bCs/>
          <w:lang w:val="en-GB"/>
        </w:rPr>
        <w:t xml:space="preserve">ing the table, </w:t>
      </w:r>
      <w:r w:rsidRPr="00944B82">
        <w:rPr>
          <w:bCs/>
          <w:lang w:val="en-GB"/>
        </w:rPr>
        <w:t>a significance of 0.000</w:t>
      </w:r>
      <w:r>
        <w:rPr>
          <w:bCs/>
          <w:lang w:val="en-GB"/>
        </w:rPr>
        <w:t xml:space="preserve"> exists</w:t>
      </w:r>
      <w:r w:rsidRPr="00944B82">
        <w:rPr>
          <w:bCs/>
          <w:lang w:val="en-GB"/>
        </w:rPr>
        <w:t xml:space="preserve"> for all variables. In the researches</w:t>
      </w:r>
      <w:r>
        <w:rPr>
          <w:bCs/>
          <w:lang w:val="en-GB"/>
        </w:rPr>
        <w:t xml:space="preserve"> commented in c</w:t>
      </w:r>
      <w:r w:rsidRPr="00944B82">
        <w:rPr>
          <w:bCs/>
          <w:lang w:val="en-GB"/>
        </w:rPr>
        <w:t xml:space="preserve">hapter 4, a significance level of 5% is used, when applicable. </w:t>
      </w:r>
      <w:r>
        <w:rPr>
          <w:bCs/>
          <w:lang w:val="en-GB"/>
        </w:rPr>
        <w:t>N</w:t>
      </w:r>
      <w:r w:rsidRPr="00944B82">
        <w:rPr>
          <w:bCs/>
          <w:lang w:val="en-GB"/>
        </w:rPr>
        <w:t>o reason</w:t>
      </w:r>
      <w:r>
        <w:rPr>
          <w:bCs/>
          <w:lang w:val="en-GB"/>
        </w:rPr>
        <w:t xml:space="preserve"> exists</w:t>
      </w:r>
      <w:r w:rsidRPr="00944B82">
        <w:rPr>
          <w:bCs/>
          <w:lang w:val="en-GB"/>
        </w:rPr>
        <w:t xml:space="preserve"> to change this level; the level of 5% (0.05) </w:t>
      </w:r>
      <w:r>
        <w:rPr>
          <w:bCs/>
          <w:lang w:val="en-GB"/>
        </w:rPr>
        <w:t xml:space="preserve">will </w:t>
      </w:r>
      <w:r w:rsidRPr="00944B82">
        <w:rPr>
          <w:bCs/>
          <w:lang w:val="en-GB"/>
        </w:rPr>
        <w:t xml:space="preserve">be used to test the significance. </w:t>
      </w:r>
      <w:r>
        <w:rPr>
          <w:bCs/>
          <w:lang w:val="en-GB"/>
        </w:rPr>
        <w:t>All variables with their coefficients appear to be significant.</w:t>
      </w:r>
    </w:p>
    <w:p w:rsidR="00672733" w:rsidRDefault="00C149EE" w:rsidP="00C149EE">
      <w:pPr>
        <w:spacing w:line="360" w:lineRule="auto"/>
        <w:rPr>
          <w:rFonts w:cs="Calibri"/>
          <w:bCs/>
          <w:lang w:val="en-GB"/>
        </w:rPr>
      </w:pPr>
      <w:r>
        <w:rPr>
          <w:rFonts w:cs="Calibri"/>
          <w:bCs/>
          <w:lang w:val="en-GB"/>
        </w:rPr>
        <w:t xml:space="preserve">The coefficients that are found in this regression analysis are used to determine the non-discretionary part of the accruals. </w:t>
      </w:r>
      <w:r w:rsidR="00672733">
        <w:rPr>
          <w:rFonts w:cs="Calibri"/>
          <w:bCs/>
          <w:lang w:val="en-GB"/>
        </w:rPr>
        <w:t xml:space="preserve">In order to determine this non-discretionary part, the coefficients are combined with the outcome of the independent variables. The value of the independent variables is determined by using data from the period 2002-2007. The combination of coefficients and independent variables will </w:t>
      </w:r>
      <w:r w:rsidR="00676E01">
        <w:rPr>
          <w:rFonts w:cs="Calibri"/>
          <w:bCs/>
          <w:lang w:val="en-GB"/>
        </w:rPr>
        <w:t>present</w:t>
      </w:r>
      <w:r w:rsidR="00672733">
        <w:rPr>
          <w:rFonts w:cs="Calibri"/>
          <w:bCs/>
          <w:lang w:val="en-GB"/>
        </w:rPr>
        <w:t xml:space="preserve"> the non-discretionary part of the accruals for the period 2002-2007. </w:t>
      </w:r>
      <w:r w:rsidR="00D37F4E">
        <w:rPr>
          <w:rFonts w:cs="Calibri"/>
          <w:bCs/>
          <w:lang w:val="en-GB"/>
        </w:rPr>
        <w:t>But because the discretionary part of the accruals is the indicator for</w:t>
      </w:r>
      <w:r w:rsidR="00676E01">
        <w:rPr>
          <w:rFonts w:cs="Calibri"/>
          <w:bCs/>
          <w:lang w:val="en-GB"/>
        </w:rPr>
        <w:t xml:space="preserve"> the use of</w:t>
      </w:r>
      <w:r w:rsidR="00D37F4E">
        <w:rPr>
          <w:rFonts w:cs="Calibri"/>
          <w:bCs/>
          <w:lang w:val="en-GB"/>
        </w:rPr>
        <w:t xml:space="preserve"> earnings management, the non-discretionary part of the accruals, which just has been determined, is subtracted from the total amount of accruals. The amount of </w:t>
      </w:r>
      <w:r w:rsidR="00676E01">
        <w:rPr>
          <w:rFonts w:cs="Calibri"/>
          <w:bCs/>
          <w:lang w:val="en-GB"/>
        </w:rPr>
        <w:t xml:space="preserve">the </w:t>
      </w:r>
      <w:r w:rsidR="00D37F4E">
        <w:rPr>
          <w:rFonts w:cs="Calibri"/>
          <w:bCs/>
          <w:lang w:val="en-GB"/>
        </w:rPr>
        <w:t xml:space="preserve">discretionary accruals is used as dependent variable in a multiple regression to check the influence of the independent variables country, accounting standard and size. But before the multiple regressions are </w:t>
      </w:r>
      <w:r w:rsidR="00FD57D0">
        <w:rPr>
          <w:rFonts w:cs="Calibri"/>
          <w:bCs/>
          <w:lang w:val="en-GB"/>
        </w:rPr>
        <w:t>commented</w:t>
      </w:r>
      <w:r w:rsidR="00D37F4E">
        <w:rPr>
          <w:rFonts w:cs="Calibri"/>
          <w:bCs/>
          <w:lang w:val="en-GB"/>
        </w:rPr>
        <w:t xml:space="preserve"> will first the regression coefficients of the real earnings management indicating variables be </w:t>
      </w:r>
      <w:r w:rsidR="00FD57D0">
        <w:rPr>
          <w:rFonts w:cs="Calibri"/>
          <w:bCs/>
          <w:lang w:val="en-GB"/>
        </w:rPr>
        <w:t>commented</w:t>
      </w:r>
      <w:r w:rsidR="00D37F4E">
        <w:rPr>
          <w:rFonts w:cs="Calibri"/>
          <w:bCs/>
          <w:lang w:val="en-GB"/>
        </w:rPr>
        <w:t xml:space="preserve">. </w:t>
      </w:r>
    </w:p>
    <w:p w:rsidR="00C149EE" w:rsidRDefault="00C149EE" w:rsidP="00C149EE">
      <w:pPr>
        <w:spacing w:line="360" w:lineRule="auto"/>
        <w:rPr>
          <w:rFonts w:cs="Calibri"/>
          <w:bCs/>
          <w:lang w:val="en-GB"/>
        </w:rPr>
      </w:pPr>
      <w:r w:rsidRPr="00E652FA">
        <w:rPr>
          <w:rFonts w:cs="Calibri"/>
          <w:b/>
          <w:bCs/>
          <w:lang w:val="en-GB"/>
        </w:rPr>
        <w:t>7.2.2 Real earnings management coefficients</w:t>
      </w:r>
      <w:r>
        <w:rPr>
          <w:rFonts w:cs="Calibri"/>
          <w:bCs/>
          <w:u w:val="single"/>
          <w:lang w:val="en-GB"/>
        </w:rPr>
        <w:br/>
      </w:r>
      <w:r>
        <w:rPr>
          <w:rFonts w:cs="Calibri"/>
          <w:bCs/>
          <w:lang w:val="en-GB"/>
        </w:rPr>
        <w:t xml:space="preserve">The method of managing earnings by adjusting real activities is the other method that will be used to determine the </w:t>
      </w:r>
      <w:r w:rsidR="00D37F4E">
        <w:rPr>
          <w:rFonts w:cs="Calibri"/>
          <w:bCs/>
          <w:lang w:val="en-GB"/>
        </w:rPr>
        <w:t>use</w:t>
      </w:r>
      <w:r>
        <w:rPr>
          <w:rFonts w:cs="Calibri"/>
          <w:bCs/>
          <w:lang w:val="en-GB"/>
        </w:rPr>
        <w:t xml:space="preserve"> of earnings management. Like Lippens (2010), the</w:t>
      </w:r>
      <w:r w:rsidR="001D138A">
        <w:rPr>
          <w:rFonts w:cs="Calibri"/>
          <w:bCs/>
          <w:lang w:val="en-GB"/>
        </w:rPr>
        <w:t xml:space="preserve"> variables</w:t>
      </w:r>
      <w:r>
        <w:rPr>
          <w:rFonts w:cs="Calibri"/>
          <w:bCs/>
          <w:lang w:val="en-GB"/>
        </w:rPr>
        <w:t xml:space="preserve"> cash flow of operatio</w:t>
      </w:r>
      <w:r w:rsidR="003D2A83">
        <w:rPr>
          <w:rFonts w:cs="Calibri"/>
          <w:bCs/>
          <w:lang w:val="en-GB"/>
        </w:rPr>
        <w:t xml:space="preserve">ns, costs of goods sold, change in </w:t>
      </w:r>
      <w:r>
        <w:rPr>
          <w:rFonts w:cs="Calibri"/>
          <w:bCs/>
          <w:lang w:val="en-GB"/>
        </w:rPr>
        <w:t xml:space="preserve">inventory and production costs </w:t>
      </w:r>
      <w:r w:rsidR="001D138A">
        <w:rPr>
          <w:rFonts w:cs="Calibri"/>
          <w:bCs/>
          <w:lang w:val="en-GB"/>
        </w:rPr>
        <w:t xml:space="preserve">are used </w:t>
      </w:r>
      <w:r>
        <w:rPr>
          <w:rFonts w:cs="Calibri"/>
          <w:bCs/>
          <w:lang w:val="en-GB"/>
        </w:rPr>
        <w:t xml:space="preserve">as indicators for </w:t>
      </w:r>
      <w:r w:rsidR="00676E01">
        <w:rPr>
          <w:rFonts w:cs="Calibri"/>
          <w:bCs/>
          <w:lang w:val="en-GB"/>
        </w:rPr>
        <w:t xml:space="preserve">the use of </w:t>
      </w:r>
      <w:r>
        <w:rPr>
          <w:rFonts w:cs="Calibri"/>
          <w:bCs/>
          <w:lang w:val="en-GB"/>
        </w:rPr>
        <w:t xml:space="preserve">real earnings management. </w:t>
      </w:r>
    </w:p>
    <w:p w:rsidR="00D37F4E" w:rsidRDefault="00D37F4E" w:rsidP="00C149EE">
      <w:pPr>
        <w:spacing w:line="360" w:lineRule="auto"/>
        <w:rPr>
          <w:rFonts w:cs="Calibri"/>
          <w:bCs/>
          <w:lang w:val="en-GB"/>
        </w:rPr>
      </w:pPr>
      <w:r>
        <w:rPr>
          <w:rFonts w:cs="Calibri"/>
          <w:bCs/>
          <w:lang w:val="en-GB"/>
        </w:rPr>
        <w:t xml:space="preserve">In contrast to the regression with the accruals-based method, will </w:t>
      </w:r>
      <w:r w:rsidR="00676E01">
        <w:rPr>
          <w:rFonts w:cs="Calibri"/>
          <w:bCs/>
          <w:lang w:val="en-GB"/>
        </w:rPr>
        <w:t xml:space="preserve">next </w:t>
      </w:r>
      <w:r>
        <w:rPr>
          <w:rFonts w:cs="Calibri"/>
          <w:bCs/>
          <w:lang w:val="en-GB"/>
        </w:rPr>
        <w:t xml:space="preserve">only the table Coefficients be </w:t>
      </w:r>
      <w:r w:rsidR="00676E01">
        <w:rPr>
          <w:rFonts w:cs="Calibri"/>
          <w:bCs/>
          <w:lang w:val="en-GB"/>
        </w:rPr>
        <w:t>present</w:t>
      </w:r>
      <w:r>
        <w:rPr>
          <w:rFonts w:cs="Calibri"/>
          <w:bCs/>
          <w:lang w:val="en-GB"/>
        </w:rPr>
        <w:t xml:space="preserve">, the rest of the results </w:t>
      </w:r>
      <w:r w:rsidR="00676E01">
        <w:rPr>
          <w:rFonts w:cs="Calibri"/>
          <w:bCs/>
          <w:lang w:val="en-GB"/>
        </w:rPr>
        <w:t>are available</w:t>
      </w:r>
      <w:r w:rsidR="00604094">
        <w:rPr>
          <w:rFonts w:cs="Calibri"/>
          <w:bCs/>
          <w:lang w:val="en-GB"/>
        </w:rPr>
        <w:t xml:space="preserve"> in appendix 3</w:t>
      </w:r>
      <w:r>
        <w:rPr>
          <w:rFonts w:cs="Calibri"/>
          <w:bCs/>
          <w:lang w:val="en-GB"/>
        </w:rPr>
        <w:t xml:space="preserve">. But like the previous regression, will the explanatory power of the test, the coefficients and the significance of the coefficients be </w:t>
      </w:r>
      <w:r w:rsidR="00FD57D0">
        <w:rPr>
          <w:rFonts w:cs="Calibri"/>
          <w:bCs/>
          <w:lang w:val="en-GB"/>
        </w:rPr>
        <w:t>commented</w:t>
      </w:r>
      <w:r>
        <w:rPr>
          <w:rFonts w:cs="Calibri"/>
          <w:bCs/>
          <w:lang w:val="en-GB"/>
        </w:rPr>
        <w:t>. The coefficients, determined with historical data from the period 1997-2001, that are found by the regressions will be used to determine the ‘normal’ level of the</w:t>
      </w:r>
      <w:r w:rsidR="00676E01">
        <w:rPr>
          <w:rFonts w:cs="Calibri"/>
          <w:bCs/>
          <w:lang w:val="en-GB"/>
        </w:rPr>
        <w:t xml:space="preserve"> use of</w:t>
      </w:r>
      <w:r>
        <w:rPr>
          <w:rFonts w:cs="Calibri"/>
          <w:bCs/>
          <w:lang w:val="en-GB"/>
        </w:rPr>
        <w:t xml:space="preserve"> real earnings management indicating variables for the period 2002-2007. </w:t>
      </w:r>
      <w:r w:rsidR="00C0696B">
        <w:rPr>
          <w:rFonts w:cs="Calibri"/>
          <w:bCs/>
          <w:lang w:val="en-GB"/>
        </w:rPr>
        <w:t xml:space="preserve">The difference between the ‘normal’ and the actual level of the variable is used as dependent variable in the multiple regression that is </w:t>
      </w:r>
      <w:r w:rsidR="00FD57D0">
        <w:rPr>
          <w:rFonts w:cs="Calibri"/>
          <w:bCs/>
          <w:lang w:val="en-GB"/>
        </w:rPr>
        <w:t>commented</w:t>
      </w:r>
      <w:r w:rsidR="00C0696B">
        <w:rPr>
          <w:rFonts w:cs="Calibri"/>
          <w:bCs/>
          <w:lang w:val="en-GB"/>
        </w:rPr>
        <w:t xml:space="preserve"> in the next section. Before this, the results of the regressions are </w:t>
      </w:r>
      <w:r w:rsidR="00FD57D0">
        <w:rPr>
          <w:rFonts w:cs="Calibri"/>
          <w:bCs/>
          <w:lang w:val="en-GB"/>
        </w:rPr>
        <w:t>commented</w:t>
      </w:r>
      <w:r w:rsidR="00C0696B">
        <w:rPr>
          <w:rFonts w:cs="Calibri"/>
          <w:bCs/>
          <w:lang w:val="en-GB"/>
        </w:rPr>
        <w:t>.</w:t>
      </w:r>
    </w:p>
    <w:p w:rsidR="00C149EE" w:rsidRDefault="00C149EE" w:rsidP="00C149EE">
      <w:pPr>
        <w:spacing w:line="360" w:lineRule="auto"/>
        <w:rPr>
          <w:rFonts w:cs="Calibri"/>
          <w:bCs/>
          <w:lang w:val="en-GB"/>
        </w:rPr>
      </w:pPr>
      <w:r>
        <w:rPr>
          <w:rFonts w:cs="Calibri"/>
          <w:b/>
          <w:bCs/>
          <w:lang w:val="en-GB"/>
        </w:rPr>
        <w:lastRenderedPageBreak/>
        <w:t>Cash Flow from Operations</w:t>
      </w:r>
      <w:r>
        <w:rPr>
          <w:rFonts w:cs="Calibri"/>
          <w:b/>
          <w:bCs/>
          <w:lang w:val="en-GB"/>
        </w:rPr>
        <w:br/>
      </w:r>
      <w:r>
        <w:rPr>
          <w:rFonts w:cs="Calibri"/>
          <w:bCs/>
          <w:lang w:val="en-GB"/>
        </w:rPr>
        <w:t>The first indicator for</w:t>
      </w:r>
      <w:r w:rsidR="001D138A">
        <w:rPr>
          <w:rFonts w:cs="Calibri"/>
          <w:bCs/>
          <w:lang w:val="en-GB"/>
        </w:rPr>
        <w:t xml:space="preserve"> the use of</w:t>
      </w:r>
      <w:r>
        <w:rPr>
          <w:rFonts w:cs="Calibri"/>
          <w:bCs/>
          <w:lang w:val="en-GB"/>
        </w:rPr>
        <w:t xml:space="preserve"> real earnings management that will be </w:t>
      </w:r>
      <w:r w:rsidR="001D138A">
        <w:rPr>
          <w:rFonts w:cs="Calibri"/>
          <w:bCs/>
          <w:lang w:val="en-GB"/>
        </w:rPr>
        <w:t>commented</w:t>
      </w:r>
      <w:r>
        <w:rPr>
          <w:rFonts w:cs="Calibri"/>
          <w:bCs/>
          <w:lang w:val="en-GB"/>
        </w:rPr>
        <w:t xml:space="preserve"> is the cash flow of operations. The outcome o</w:t>
      </w:r>
      <w:r w:rsidR="00781154">
        <w:rPr>
          <w:rFonts w:cs="Calibri"/>
          <w:bCs/>
          <w:lang w:val="en-GB"/>
        </w:rPr>
        <w:t>f SPSS shows a R Square of 0.081</w:t>
      </w:r>
      <w:r>
        <w:rPr>
          <w:rFonts w:cs="Calibri"/>
          <w:bCs/>
          <w:lang w:val="en-GB"/>
        </w:rPr>
        <w:t xml:space="preserve">, which </w:t>
      </w:r>
      <w:r w:rsidR="00676E01">
        <w:rPr>
          <w:rFonts w:cs="Calibri"/>
          <w:bCs/>
          <w:lang w:val="en-GB"/>
        </w:rPr>
        <w:t>implies</w:t>
      </w:r>
      <w:r>
        <w:rPr>
          <w:rFonts w:cs="Calibri"/>
          <w:bCs/>
          <w:lang w:val="en-GB"/>
        </w:rPr>
        <w:t xml:space="preserve"> that the correlation between the cash flow of</w:t>
      </w:r>
      <w:r w:rsidR="00B36003">
        <w:rPr>
          <w:rFonts w:cs="Calibri"/>
          <w:bCs/>
          <w:lang w:val="en-GB"/>
        </w:rPr>
        <w:t xml:space="preserve"> operations with the variables Change in </w:t>
      </w:r>
      <w:r>
        <w:rPr>
          <w:rFonts w:cs="Calibri"/>
          <w:bCs/>
          <w:lang w:val="en-GB"/>
        </w:rPr>
        <w:t xml:space="preserve">Sales / A (t-1); 1 / A </w:t>
      </w:r>
      <w:r w:rsidR="00781154">
        <w:rPr>
          <w:rFonts w:cs="Calibri"/>
          <w:bCs/>
          <w:lang w:val="en-GB"/>
        </w:rPr>
        <w:t>(t-1) and Sales / A (t-1) is 8,1</w:t>
      </w:r>
      <w:r>
        <w:rPr>
          <w:rFonts w:cs="Calibri"/>
          <w:bCs/>
          <w:lang w:val="en-GB"/>
        </w:rPr>
        <w:t>%, whi</w:t>
      </w:r>
      <w:r w:rsidR="001D138A">
        <w:rPr>
          <w:rFonts w:cs="Calibri"/>
          <w:bCs/>
          <w:lang w:val="en-GB"/>
        </w:rPr>
        <w:t xml:space="preserve">ch is a low percentage. When </w:t>
      </w:r>
      <w:r w:rsidR="00676E01">
        <w:rPr>
          <w:rFonts w:cs="Calibri"/>
          <w:bCs/>
          <w:lang w:val="en-GB"/>
        </w:rPr>
        <w:t>investigating</w:t>
      </w:r>
      <w:r w:rsidR="001D138A">
        <w:rPr>
          <w:rFonts w:cs="Calibri"/>
          <w:bCs/>
          <w:lang w:val="en-GB"/>
        </w:rPr>
        <w:t xml:space="preserve"> the ANOVA-table,</w:t>
      </w:r>
      <w:r>
        <w:rPr>
          <w:rFonts w:cs="Calibri"/>
          <w:bCs/>
          <w:lang w:val="en-GB"/>
        </w:rPr>
        <w:t xml:space="preserve"> a significance of 0.000</w:t>
      </w:r>
      <w:r w:rsidR="001D138A">
        <w:rPr>
          <w:rFonts w:cs="Calibri"/>
          <w:bCs/>
          <w:lang w:val="en-GB"/>
        </w:rPr>
        <w:t xml:space="preserve"> is noted</w:t>
      </w:r>
      <w:r>
        <w:rPr>
          <w:rFonts w:cs="Calibri"/>
          <w:bCs/>
          <w:lang w:val="en-GB"/>
        </w:rPr>
        <w:t xml:space="preserve">. This shows that </w:t>
      </w:r>
      <w:r w:rsidR="00676E01">
        <w:rPr>
          <w:rFonts w:cs="Calibri"/>
          <w:bCs/>
          <w:lang w:val="en-GB"/>
        </w:rPr>
        <w:t>a</w:t>
      </w:r>
      <w:r>
        <w:rPr>
          <w:rFonts w:cs="Calibri"/>
          <w:bCs/>
          <w:lang w:val="en-GB"/>
        </w:rPr>
        <w:t xml:space="preserve"> significant relationship </w:t>
      </w:r>
      <w:r w:rsidR="00676E01">
        <w:rPr>
          <w:rFonts w:cs="Calibri"/>
          <w:bCs/>
          <w:lang w:val="en-GB"/>
        </w:rPr>
        <w:t xml:space="preserve">exists </w:t>
      </w:r>
      <w:r>
        <w:rPr>
          <w:rFonts w:cs="Calibri"/>
          <w:bCs/>
          <w:lang w:val="en-GB"/>
        </w:rPr>
        <w:t xml:space="preserve">between the dependent variable and one or more of the independent variables. </w:t>
      </w:r>
    </w:p>
    <w:tbl>
      <w:tblPr>
        <w:tblW w:w="871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1864"/>
        <w:gridCol w:w="1324"/>
        <w:gridCol w:w="1323"/>
        <w:gridCol w:w="1456"/>
        <w:gridCol w:w="1010"/>
        <w:gridCol w:w="1010"/>
      </w:tblGrid>
      <w:tr w:rsidR="00C149EE" w:rsidRPr="00AB4290" w:rsidTr="00B353CB">
        <w:trPr>
          <w:jc w:val="center"/>
        </w:trPr>
        <w:tc>
          <w:tcPr>
            <w:tcW w:w="8714" w:type="dxa"/>
            <w:gridSpan w:val="7"/>
            <w:tcBorders>
              <w:top w:val="nil"/>
              <w:left w:val="nil"/>
              <w:bottom w:val="nil"/>
              <w:right w:val="nil"/>
            </w:tcBorders>
            <w:shd w:val="clear" w:color="auto" w:fill="FFFFFF"/>
            <w:vAlign w:val="center"/>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b/>
                <w:bCs/>
                <w:color w:val="000000"/>
                <w:sz w:val="18"/>
                <w:szCs w:val="18"/>
              </w:rPr>
              <w:t>Coefficients</w:t>
            </w:r>
            <w:r w:rsidRPr="00AB4290">
              <w:rPr>
                <w:rFonts w:ascii="Arial" w:hAnsi="Arial"/>
                <w:b/>
                <w:bCs/>
                <w:color w:val="000000"/>
                <w:sz w:val="18"/>
                <w:szCs w:val="18"/>
                <w:vertAlign w:val="superscript"/>
              </w:rPr>
              <w:t>a</w:t>
            </w:r>
          </w:p>
        </w:tc>
      </w:tr>
      <w:tr w:rsidR="00C149EE" w:rsidRPr="00AB4290" w:rsidTr="00B353CB">
        <w:trPr>
          <w:jc w:val="center"/>
        </w:trPr>
        <w:tc>
          <w:tcPr>
            <w:tcW w:w="2591"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Model</w:t>
            </w:r>
          </w:p>
        </w:tc>
        <w:tc>
          <w:tcPr>
            <w:tcW w:w="2647" w:type="dxa"/>
            <w:gridSpan w:val="2"/>
            <w:tcBorders>
              <w:top w:val="single" w:sz="16" w:space="0" w:color="000000"/>
              <w:left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Unstandardized Coefficients</w:t>
            </w:r>
          </w:p>
        </w:tc>
        <w:tc>
          <w:tcPr>
            <w:tcW w:w="1456" w:type="dxa"/>
            <w:tcBorders>
              <w:top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Sig.</w:t>
            </w:r>
          </w:p>
        </w:tc>
      </w:tr>
      <w:tr w:rsidR="00C149EE" w:rsidRPr="00AB4290" w:rsidTr="00B353CB">
        <w:trPr>
          <w:jc w:val="center"/>
        </w:trPr>
        <w:tc>
          <w:tcPr>
            <w:tcW w:w="2591"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324" w:type="dxa"/>
            <w:tcBorders>
              <w:left w:val="single" w:sz="16" w:space="0" w:color="000000"/>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B</w:t>
            </w:r>
          </w:p>
        </w:tc>
        <w:tc>
          <w:tcPr>
            <w:tcW w:w="1323" w:type="dxa"/>
            <w:tcBorders>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Std. Error</w:t>
            </w:r>
          </w:p>
        </w:tc>
        <w:tc>
          <w:tcPr>
            <w:tcW w:w="1456" w:type="dxa"/>
            <w:tcBorders>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Beta</w:t>
            </w:r>
          </w:p>
        </w:tc>
        <w:tc>
          <w:tcPr>
            <w:tcW w:w="1010" w:type="dxa"/>
            <w:vMerge/>
            <w:tcBorders>
              <w:top w:val="single" w:sz="16" w:space="0" w:color="000000"/>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r>
      <w:tr w:rsidR="00C149EE" w:rsidRPr="00AB4290" w:rsidTr="00B353CB">
        <w:trP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1</w:t>
            </w:r>
          </w:p>
        </w:tc>
        <w:tc>
          <w:tcPr>
            <w:tcW w:w="1864" w:type="dxa"/>
            <w:tcBorders>
              <w:top w:val="single" w:sz="16" w:space="0" w:color="000000"/>
              <w:left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(Constant)</w:t>
            </w:r>
          </w:p>
        </w:tc>
        <w:tc>
          <w:tcPr>
            <w:tcW w:w="1324" w:type="dxa"/>
            <w:tcBorders>
              <w:top w:val="single" w:sz="16" w:space="0" w:color="000000"/>
              <w:left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.105</w:t>
            </w:r>
          </w:p>
        </w:tc>
        <w:tc>
          <w:tcPr>
            <w:tcW w:w="1323" w:type="dxa"/>
            <w:tcBorders>
              <w:top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.011</w:t>
            </w:r>
          </w:p>
        </w:tc>
        <w:tc>
          <w:tcPr>
            <w:tcW w:w="1456" w:type="dxa"/>
            <w:tcBorders>
              <w:top w:val="single" w:sz="16" w:space="0" w:color="000000"/>
              <w:bottom w:val="nil"/>
            </w:tcBorders>
            <w:shd w:val="clear" w:color="auto" w:fill="FFFFFF"/>
            <w:vAlign w:val="center"/>
          </w:tcPr>
          <w:p w:rsidR="00C149EE" w:rsidRPr="00AB4290" w:rsidRDefault="00C149EE" w:rsidP="00B353CB">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9.293</w:t>
            </w:r>
          </w:p>
        </w:tc>
        <w:tc>
          <w:tcPr>
            <w:tcW w:w="1010" w:type="dxa"/>
            <w:tcBorders>
              <w:top w:val="single" w:sz="16" w:space="0" w:color="000000"/>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.000</w:t>
            </w:r>
          </w:p>
        </w:tc>
      </w:tr>
      <w:tr w:rsidR="00C149EE" w:rsidRPr="00AB429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864" w:type="dxa"/>
            <w:tcBorders>
              <w:top w:val="nil"/>
              <w:left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1 / A (t-</w:t>
            </w:r>
            <w:r w:rsidRPr="00AB429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.144</w:t>
            </w:r>
          </w:p>
        </w:tc>
        <w:tc>
          <w:tcPr>
            <w:tcW w:w="1323"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.211</w:t>
            </w:r>
          </w:p>
        </w:tc>
        <w:tc>
          <w:tcPr>
            <w:tcW w:w="1456"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.030</w:t>
            </w:r>
          </w:p>
        </w:tc>
        <w:tc>
          <w:tcPr>
            <w:tcW w:w="1010"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.680</w:t>
            </w:r>
          </w:p>
        </w:tc>
        <w:tc>
          <w:tcPr>
            <w:tcW w:w="1010" w:type="dxa"/>
            <w:tcBorders>
              <w:top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.497</w:t>
            </w:r>
          </w:p>
        </w:tc>
      </w:tr>
      <w:tr w:rsidR="00C149EE" w:rsidRPr="00AB429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864" w:type="dxa"/>
            <w:tcBorders>
              <w:top w:val="nil"/>
              <w:left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 xml:space="preserve">S / </w:t>
            </w:r>
            <w:r w:rsidRPr="00AB4290">
              <w:rPr>
                <w:rFonts w:ascii="Arial" w:hAnsi="Arial"/>
                <w:color w:val="000000"/>
                <w:sz w:val="18"/>
                <w:szCs w:val="18"/>
              </w:rPr>
              <w:t>A</w:t>
            </w:r>
            <w:r>
              <w:rPr>
                <w:rFonts w:ascii="Arial" w:hAnsi="Arial"/>
                <w:color w:val="000000"/>
                <w:sz w:val="18"/>
                <w:szCs w:val="18"/>
              </w:rPr>
              <w:t xml:space="preserve"> (</w:t>
            </w:r>
            <w:r w:rsidRPr="00AB4290">
              <w:rPr>
                <w:rFonts w:ascii="Arial" w:hAnsi="Arial"/>
                <w:color w:val="000000"/>
                <w:sz w:val="18"/>
                <w:szCs w:val="18"/>
              </w:rPr>
              <w:t>t</w:t>
            </w:r>
            <w:r>
              <w:rPr>
                <w:rFonts w:ascii="Arial" w:hAnsi="Arial"/>
                <w:color w:val="000000"/>
                <w:sz w:val="18"/>
                <w:szCs w:val="18"/>
              </w:rPr>
              <w:t>-</w:t>
            </w:r>
            <w:r w:rsidRPr="00AB429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-.009</w:t>
            </w:r>
          </w:p>
        </w:tc>
        <w:tc>
          <w:tcPr>
            <w:tcW w:w="1323"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.007</w:t>
            </w:r>
          </w:p>
        </w:tc>
        <w:tc>
          <w:tcPr>
            <w:tcW w:w="1456"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-.085</w:t>
            </w:r>
          </w:p>
        </w:tc>
        <w:tc>
          <w:tcPr>
            <w:tcW w:w="1010"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-1.332</w:t>
            </w:r>
          </w:p>
        </w:tc>
        <w:tc>
          <w:tcPr>
            <w:tcW w:w="1010" w:type="dxa"/>
            <w:tcBorders>
              <w:top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.184</w:t>
            </w:r>
          </w:p>
        </w:tc>
      </w:tr>
      <w:tr w:rsidR="00C149EE" w:rsidRPr="00AB429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864" w:type="dxa"/>
            <w:tcBorders>
              <w:top w:val="nil"/>
              <w:left w:val="nil"/>
              <w:bottom w:val="single" w:sz="16" w:space="0" w:color="000000"/>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 xml:space="preserve">Change </w:t>
            </w:r>
            <w:r w:rsidRPr="00AB4290">
              <w:rPr>
                <w:rFonts w:ascii="Arial" w:hAnsi="Arial"/>
                <w:color w:val="000000"/>
                <w:sz w:val="18"/>
                <w:szCs w:val="18"/>
              </w:rPr>
              <w:t>S</w:t>
            </w:r>
            <w:r>
              <w:rPr>
                <w:rFonts w:ascii="Arial" w:hAnsi="Arial"/>
                <w:color w:val="000000"/>
                <w:sz w:val="18"/>
                <w:szCs w:val="18"/>
              </w:rPr>
              <w:t xml:space="preserve"> / </w:t>
            </w:r>
            <w:r w:rsidRPr="00AB4290">
              <w:rPr>
                <w:rFonts w:ascii="Arial" w:hAnsi="Arial"/>
                <w:color w:val="000000"/>
                <w:sz w:val="18"/>
                <w:szCs w:val="18"/>
              </w:rPr>
              <w:t>A</w:t>
            </w:r>
            <w:r>
              <w:rPr>
                <w:rFonts w:ascii="Arial" w:hAnsi="Arial"/>
                <w:color w:val="000000"/>
                <w:sz w:val="18"/>
                <w:szCs w:val="18"/>
              </w:rPr>
              <w:t xml:space="preserve"> (</w:t>
            </w:r>
            <w:r w:rsidRPr="00AB4290">
              <w:rPr>
                <w:rFonts w:ascii="Arial" w:hAnsi="Arial"/>
                <w:color w:val="000000"/>
                <w:sz w:val="18"/>
                <w:szCs w:val="18"/>
              </w:rPr>
              <w:t>t</w:t>
            </w:r>
            <w:r>
              <w:rPr>
                <w:rFonts w:ascii="Arial" w:hAnsi="Arial"/>
                <w:color w:val="000000"/>
                <w:sz w:val="18"/>
                <w:szCs w:val="18"/>
              </w:rPr>
              <w:t>-</w:t>
            </w:r>
            <w:r w:rsidRPr="00AB429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.061</w:t>
            </w:r>
          </w:p>
        </w:tc>
        <w:tc>
          <w:tcPr>
            <w:tcW w:w="1323" w:type="dxa"/>
            <w:tcBorders>
              <w:top w:val="nil"/>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.011</w:t>
            </w:r>
          </w:p>
        </w:tc>
        <w:tc>
          <w:tcPr>
            <w:tcW w:w="1456" w:type="dxa"/>
            <w:tcBorders>
              <w:top w:val="nil"/>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.347</w:t>
            </w:r>
          </w:p>
        </w:tc>
        <w:tc>
          <w:tcPr>
            <w:tcW w:w="1010" w:type="dxa"/>
            <w:tcBorders>
              <w:top w:val="nil"/>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5.476</w:t>
            </w:r>
          </w:p>
        </w:tc>
        <w:tc>
          <w:tcPr>
            <w:tcW w:w="1010" w:type="dxa"/>
            <w:tcBorders>
              <w:top w:val="nil"/>
              <w:bottom w:val="single" w:sz="16" w:space="0" w:color="000000"/>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.000</w:t>
            </w:r>
          </w:p>
        </w:tc>
      </w:tr>
      <w:tr w:rsidR="00C149EE" w:rsidRPr="0013388B" w:rsidTr="00B353CB">
        <w:trPr>
          <w:jc w:val="center"/>
        </w:trPr>
        <w:tc>
          <w:tcPr>
            <w:tcW w:w="8714" w:type="dxa"/>
            <w:gridSpan w:val="7"/>
            <w:tcBorders>
              <w:top w:val="nil"/>
              <w:left w:val="nil"/>
              <w:bottom w:val="nil"/>
              <w:right w:val="nil"/>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a. Dependent Variable: CFO / A (t-1)</w:t>
            </w:r>
          </w:p>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p>
          <w:p w:rsidR="00C149EE" w:rsidRPr="00C149EE" w:rsidRDefault="00C149EE" w:rsidP="00B353CB">
            <w:pPr>
              <w:autoSpaceDE w:val="0"/>
              <w:autoSpaceDN w:val="0"/>
              <w:adjustRightInd w:val="0"/>
              <w:spacing w:after="0" w:line="320" w:lineRule="atLeast"/>
              <w:ind w:right="60"/>
              <w:rPr>
                <w:rFonts w:ascii="Arial" w:hAnsi="Arial"/>
                <w:b/>
                <w:color w:val="000000"/>
                <w:sz w:val="18"/>
                <w:szCs w:val="18"/>
                <w:u w:val="single"/>
                <w:lang w:val="en-GB"/>
              </w:rPr>
            </w:pPr>
          </w:p>
        </w:tc>
      </w:tr>
    </w:tbl>
    <w:p w:rsidR="00676E01" w:rsidRDefault="00676E01" w:rsidP="00676E01">
      <w:pPr>
        <w:spacing w:line="360" w:lineRule="auto"/>
        <w:rPr>
          <w:rFonts w:cs="Calibri"/>
          <w:bCs/>
          <w:lang w:val="en-GB"/>
        </w:rPr>
      </w:pPr>
      <w:r>
        <w:rPr>
          <w:rFonts w:cs="Calibri"/>
          <w:bCs/>
          <w:lang w:val="en-GB"/>
        </w:rPr>
        <w:t>The result of SPSS of most importance is the table with the coefficients. When checking this table, first the significance of the independent variables is checked. Only a significant relationship exists between CFO and Change in Sales, both scaled by Assets (t-1) (0.000). The relationships of CFO with the other two variables, 1 / Assets (t-1) and Sales / Assets (t-1) are not significant (resp. 0.497 and 0.184).</w:t>
      </w:r>
    </w:p>
    <w:p w:rsidR="00676E01" w:rsidRDefault="00676E01" w:rsidP="00676E01">
      <w:pPr>
        <w:spacing w:line="360" w:lineRule="auto"/>
        <w:rPr>
          <w:rStyle w:val="Emphasis"/>
          <w:b/>
          <w:i w:val="0"/>
          <w:lang w:val="en-GB"/>
        </w:rPr>
      </w:pPr>
      <w:r>
        <w:rPr>
          <w:rFonts w:cs="Calibri"/>
          <w:bCs/>
          <w:lang w:val="en-GB"/>
        </w:rPr>
        <w:t>Next to the significance of the variables, the B-values are in addition of importance. The regression in SPSS has determined the coefficients that will be used to determine the ‘normal’ level of cash flow of operations. The table shows the values α0 0.105; α1 0.144; α2 -0.009; and α3 0.061. With the determined coefficients, it is possible to determine the ‘normal’ level of the cash flow from operations in the period 2002-2007.</w:t>
      </w:r>
    </w:p>
    <w:p w:rsidR="00C149EE" w:rsidRPr="003D2A83" w:rsidRDefault="00C149EE" w:rsidP="00C149EE">
      <w:pPr>
        <w:spacing w:line="360" w:lineRule="auto"/>
        <w:rPr>
          <w:rStyle w:val="Emphasis"/>
          <w:i w:val="0"/>
          <w:lang w:val="en-GB"/>
        </w:rPr>
      </w:pPr>
      <w:r w:rsidRPr="00C149EE">
        <w:rPr>
          <w:rStyle w:val="Emphasis"/>
          <w:b/>
          <w:i w:val="0"/>
          <w:lang w:val="en-GB"/>
        </w:rPr>
        <w:t>Costs of Goods Sold</w:t>
      </w:r>
      <w:r w:rsidRPr="00C149EE">
        <w:rPr>
          <w:rStyle w:val="Emphasis"/>
          <w:i w:val="0"/>
          <w:lang w:val="en-GB"/>
        </w:rPr>
        <w:br/>
      </w:r>
      <w:r w:rsidRPr="003D2A83">
        <w:rPr>
          <w:rStyle w:val="Emphasis"/>
          <w:i w:val="0"/>
          <w:lang w:val="en-GB"/>
        </w:rPr>
        <w:t xml:space="preserve">The second variable </w:t>
      </w:r>
      <w:r w:rsidR="001162C2">
        <w:rPr>
          <w:rStyle w:val="Emphasis"/>
          <w:i w:val="0"/>
          <w:lang w:val="en-GB"/>
        </w:rPr>
        <w:t>for</w:t>
      </w:r>
      <w:r w:rsidRPr="003D2A83">
        <w:rPr>
          <w:rStyle w:val="Emphasis"/>
          <w:i w:val="0"/>
          <w:lang w:val="en-GB"/>
        </w:rPr>
        <w:t xml:space="preserve"> determining </w:t>
      </w:r>
      <w:r w:rsidR="001162C2">
        <w:rPr>
          <w:rStyle w:val="Emphasis"/>
          <w:i w:val="0"/>
          <w:lang w:val="en-GB"/>
        </w:rPr>
        <w:t xml:space="preserve">the use of </w:t>
      </w:r>
      <w:r w:rsidRPr="003D2A83">
        <w:rPr>
          <w:rStyle w:val="Emphasis"/>
          <w:i w:val="0"/>
          <w:lang w:val="en-GB"/>
        </w:rPr>
        <w:t xml:space="preserve">real earnings management is the costs of goods sold (COGS). Like the cash flow of operations, will the regression of the model of COGS </w:t>
      </w:r>
      <w:r w:rsidR="001162C2">
        <w:rPr>
          <w:rStyle w:val="Emphasis"/>
          <w:i w:val="0"/>
          <w:lang w:val="en-GB"/>
        </w:rPr>
        <w:t>be commented</w:t>
      </w:r>
      <w:r w:rsidRPr="003D2A83">
        <w:rPr>
          <w:rStyle w:val="Emphasis"/>
          <w:i w:val="0"/>
          <w:lang w:val="en-GB"/>
        </w:rPr>
        <w:t>. Notable about the model summary of the regression for the COGS is the hi</w:t>
      </w:r>
      <w:r w:rsidR="001162C2">
        <w:rPr>
          <w:rStyle w:val="Emphasis"/>
          <w:i w:val="0"/>
          <w:lang w:val="en-GB"/>
        </w:rPr>
        <w:t xml:space="preserve">gh </w:t>
      </w:r>
      <w:r w:rsidR="00676E01">
        <w:rPr>
          <w:rStyle w:val="Emphasis"/>
          <w:i w:val="0"/>
          <w:lang w:val="en-GB"/>
        </w:rPr>
        <w:t xml:space="preserve">value of the R Square: 0.957;  </w:t>
      </w:r>
      <w:r w:rsidR="003D2A83">
        <w:rPr>
          <w:rStyle w:val="Emphasis"/>
          <w:i w:val="0"/>
          <w:lang w:val="en-GB"/>
        </w:rPr>
        <w:t>a high correlation of 95.</w:t>
      </w:r>
      <w:r w:rsidRPr="003D2A83">
        <w:rPr>
          <w:rStyle w:val="Emphasis"/>
          <w:i w:val="0"/>
          <w:lang w:val="en-GB"/>
        </w:rPr>
        <w:t xml:space="preserve">7% </w:t>
      </w:r>
      <w:r w:rsidR="00676E01">
        <w:rPr>
          <w:rStyle w:val="Emphasis"/>
          <w:i w:val="0"/>
          <w:lang w:val="en-GB"/>
        </w:rPr>
        <w:t xml:space="preserve">exists </w:t>
      </w:r>
      <w:r w:rsidRPr="003D2A83">
        <w:rPr>
          <w:rStyle w:val="Emphasis"/>
          <w:i w:val="0"/>
          <w:lang w:val="en-GB"/>
        </w:rPr>
        <w:t xml:space="preserve">between COGS and the independent variables Sales / Assets </w:t>
      </w:r>
      <w:r w:rsidRPr="003D2A83">
        <w:rPr>
          <w:rStyle w:val="Emphasis"/>
          <w:i w:val="0"/>
          <w:lang w:val="en-GB"/>
        </w:rPr>
        <w:lastRenderedPageBreak/>
        <w:t xml:space="preserve">(t-1) and 1 / Assets (t-1). The ANOVA table shows a significant relation between the COGS and one or more of the independent variables (0.000). </w:t>
      </w:r>
    </w:p>
    <w:tbl>
      <w:tblPr>
        <w:tblW w:w="8108"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1258"/>
        <w:gridCol w:w="1324"/>
        <w:gridCol w:w="1322"/>
        <w:gridCol w:w="1456"/>
        <w:gridCol w:w="1010"/>
        <w:gridCol w:w="1010"/>
      </w:tblGrid>
      <w:tr w:rsidR="00C149EE" w:rsidRPr="00AB4290" w:rsidTr="00B353CB">
        <w:trPr>
          <w:jc w:val="center"/>
        </w:trPr>
        <w:tc>
          <w:tcPr>
            <w:tcW w:w="8108" w:type="dxa"/>
            <w:gridSpan w:val="7"/>
            <w:tcBorders>
              <w:top w:val="nil"/>
              <w:left w:val="nil"/>
              <w:bottom w:val="nil"/>
              <w:right w:val="nil"/>
            </w:tcBorders>
            <w:shd w:val="clear" w:color="auto" w:fill="FFFFFF"/>
            <w:vAlign w:val="center"/>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C149EE">
              <w:rPr>
                <w:rFonts w:ascii="Times New Roman" w:hAnsi="Times New Roman" w:cs="Times New Roman"/>
                <w:sz w:val="24"/>
                <w:szCs w:val="24"/>
                <w:lang w:val="en-GB"/>
              </w:rPr>
              <w:br w:type="page"/>
            </w:r>
            <w:r w:rsidRPr="00AB4290">
              <w:rPr>
                <w:rFonts w:ascii="Arial" w:hAnsi="Arial"/>
                <w:b/>
                <w:bCs/>
                <w:color w:val="000000"/>
                <w:sz w:val="18"/>
                <w:szCs w:val="18"/>
              </w:rPr>
              <w:t>Coefficients</w:t>
            </w:r>
            <w:r w:rsidRPr="00AB4290">
              <w:rPr>
                <w:rFonts w:ascii="Arial" w:hAnsi="Arial"/>
                <w:b/>
                <w:bCs/>
                <w:color w:val="000000"/>
                <w:sz w:val="18"/>
                <w:szCs w:val="18"/>
                <w:vertAlign w:val="superscript"/>
              </w:rPr>
              <w:t>a</w:t>
            </w:r>
          </w:p>
        </w:tc>
      </w:tr>
      <w:tr w:rsidR="00C149EE" w:rsidRPr="00AB4290" w:rsidTr="00B353CB">
        <w:trPr>
          <w:jc w:val="center"/>
        </w:trPr>
        <w:tc>
          <w:tcPr>
            <w:tcW w:w="198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Model</w:t>
            </w:r>
          </w:p>
        </w:tc>
        <w:tc>
          <w:tcPr>
            <w:tcW w:w="2646" w:type="dxa"/>
            <w:gridSpan w:val="2"/>
            <w:tcBorders>
              <w:top w:val="single" w:sz="16" w:space="0" w:color="000000"/>
              <w:left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Unstandardized Coefficients</w:t>
            </w:r>
          </w:p>
        </w:tc>
        <w:tc>
          <w:tcPr>
            <w:tcW w:w="1456" w:type="dxa"/>
            <w:tcBorders>
              <w:top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Sig.</w:t>
            </w:r>
          </w:p>
        </w:tc>
      </w:tr>
      <w:tr w:rsidR="00C149EE" w:rsidRPr="00AB4290" w:rsidTr="00B353CB">
        <w:trPr>
          <w:jc w:val="center"/>
        </w:trPr>
        <w:tc>
          <w:tcPr>
            <w:tcW w:w="1986"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324" w:type="dxa"/>
            <w:tcBorders>
              <w:left w:val="single" w:sz="16" w:space="0" w:color="000000"/>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B</w:t>
            </w:r>
          </w:p>
        </w:tc>
        <w:tc>
          <w:tcPr>
            <w:tcW w:w="1322" w:type="dxa"/>
            <w:tcBorders>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Std. Error</w:t>
            </w:r>
          </w:p>
        </w:tc>
        <w:tc>
          <w:tcPr>
            <w:tcW w:w="1456" w:type="dxa"/>
            <w:tcBorders>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AB4290">
              <w:rPr>
                <w:rFonts w:ascii="Arial" w:hAnsi="Arial"/>
                <w:color w:val="000000"/>
                <w:sz w:val="18"/>
                <w:szCs w:val="18"/>
              </w:rPr>
              <w:t>Beta</w:t>
            </w:r>
          </w:p>
        </w:tc>
        <w:tc>
          <w:tcPr>
            <w:tcW w:w="1010" w:type="dxa"/>
            <w:vMerge/>
            <w:tcBorders>
              <w:top w:val="single" w:sz="16" w:space="0" w:color="000000"/>
              <w:bottom w:val="single" w:sz="16" w:space="0" w:color="000000"/>
            </w:tcBorders>
            <w:shd w:val="clear" w:color="auto" w:fill="FFFFFF"/>
            <w:vAlign w:val="bottom"/>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r>
      <w:tr w:rsidR="00C149EE" w:rsidRPr="00AB4290" w:rsidTr="00B353CB">
        <w:trPr>
          <w:jc w:val="center"/>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1</w:t>
            </w:r>
          </w:p>
        </w:tc>
        <w:tc>
          <w:tcPr>
            <w:tcW w:w="1258" w:type="dxa"/>
            <w:tcBorders>
              <w:top w:val="single" w:sz="16" w:space="0" w:color="000000"/>
              <w:left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(Constant)</w:t>
            </w:r>
          </w:p>
        </w:tc>
        <w:tc>
          <w:tcPr>
            <w:tcW w:w="1324" w:type="dxa"/>
            <w:tcBorders>
              <w:top w:val="single" w:sz="16" w:space="0" w:color="000000"/>
              <w:left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-.166</w:t>
            </w:r>
          </w:p>
        </w:tc>
        <w:tc>
          <w:tcPr>
            <w:tcW w:w="1322" w:type="dxa"/>
            <w:tcBorders>
              <w:top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.019</w:t>
            </w:r>
          </w:p>
        </w:tc>
        <w:tc>
          <w:tcPr>
            <w:tcW w:w="1456" w:type="dxa"/>
            <w:tcBorders>
              <w:top w:val="single" w:sz="16" w:space="0" w:color="000000"/>
              <w:bottom w:val="nil"/>
            </w:tcBorders>
            <w:shd w:val="clear" w:color="auto" w:fill="FFFFFF"/>
            <w:vAlign w:val="center"/>
          </w:tcPr>
          <w:p w:rsidR="00C149EE" w:rsidRPr="00AB4290" w:rsidRDefault="00C149EE" w:rsidP="00B353CB">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-8.848</w:t>
            </w:r>
          </w:p>
        </w:tc>
        <w:tc>
          <w:tcPr>
            <w:tcW w:w="1010" w:type="dxa"/>
            <w:tcBorders>
              <w:top w:val="single" w:sz="16" w:space="0" w:color="000000"/>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.000</w:t>
            </w:r>
          </w:p>
        </w:tc>
      </w:tr>
      <w:tr w:rsidR="00C149EE" w:rsidRPr="00AB4290" w:rsidTr="00B353CB">
        <w:trPr>
          <w:jc w:val="center"/>
        </w:trPr>
        <w:tc>
          <w:tcPr>
            <w:tcW w:w="728" w:type="dxa"/>
            <w:vMerge/>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258" w:type="dxa"/>
            <w:tcBorders>
              <w:top w:val="nil"/>
              <w:left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1 / A (t-</w:t>
            </w:r>
            <w:r w:rsidRPr="00AB429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-.206</w:t>
            </w:r>
          </w:p>
        </w:tc>
        <w:tc>
          <w:tcPr>
            <w:tcW w:w="1322"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.403</w:t>
            </w:r>
          </w:p>
        </w:tc>
        <w:tc>
          <w:tcPr>
            <w:tcW w:w="1456"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-.005</w:t>
            </w:r>
          </w:p>
        </w:tc>
        <w:tc>
          <w:tcPr>
            <w:tcW w:w="1010" w:type="dxa"/>
            <w:tcBorders>
              <w:top w:val="nil"/>
              <w:bottom w:val="nil"/>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-.511</w:t>
            </w:r>
          </w:p>
        </w:tc>
        <w:tc>
          <w:tcPr>
            <w:tcW w:w="1010" w:type="dxa"/>
            <w:tcBorders>
              <w:top w:val="nil"/>
              <w:bottom w:val="nil"/>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.610</w:t>
            </w:r>
          </w:p>
        </w:tc>
      </w:tr>
      <w:tr w:rsidR="00C149EE" w:rsidRPr="00AB4290" w:rsidTr="00B353CB">
        <w:trPr>
          <w:jc w:val="center"/>
        </w:trPr>
        <w:tc>
          <w:tcPr>
            <w:tcW w:w="728" w:type="dxa"/>
            <w:vMerge/>
            <w:tcBorders>
              <w:top w:val="single" w:sz="16" w:space="0" w:color="000000"/>
              <w:left w:val="single" w:sz="16" w:space="0" w:color="000000"/>
              <w:bottom w:val="single" w:sz="16" w:space="0" w:color="000000"/>
              <w:right w:val="nil"/>
            </w:tcBorders>
            <w:shd w:val="clear" w:color="auto" w:fill="FFFFFF"/>
          </w:tcPr>
          <w:p w:rsidR="00C149EE" w:rsidRPr="00AB4290" w:rsidRDefault="00C149EE" w:rsidP="00B353CB">
            <w:pPr>
              <w:autoSpaceDE w:val="0"/>
              <w:autoSpaceDN w:val="0"/>
              <w:adjustRightInd w:val="0"/>
              <w:spacing w:after="0" w:line="240" w:lineRule="auto"/>
              <w:rPr>
                <w:rFonts w:ascii="Arial" w:hAnsi="Arial"/>
                <w:color w:val="000000"/>
                <w:sz w:val="18"/>
                <w:szCs w:val="18"/>
              </w:rPr>
            </w:pPr>
          </w:p>
        </w:tc>
        <w:tc>
          <w:tcPr>
            <w:tcW w:w="1258" w:type="dxa"/>
            <w:tcBorders>
              <w:top w:val="nil"/>
              <w:left w:val="nil"/>
              <w:bottom w:val="single" w:sz="16" w:space="0" w:color="000000"/>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rPr>
                <w:rFonts w:ascii="Arial" w:hAnsi="Arial"/>
                <w:color w:val="000000"/>
                <w:sz w:val="18"/>
                <w:szCs w:val="18"/>
              </w:rPr>
            </w:pPr>
            <w:r w:rsidRPr="00AB4290">
              <w:rPr>
                <w:rFonts w:ascii="Arial" w:hAnsi="Arial"/>
                <w:color w:val="000000"/>
                <w:sz w:val="18"/>
                <w:szCs w:val="18"/>
              </w:rPr>
              <w:t>S</w:t>
            </w:r>
            <w:r>
              <w:rPr>
                <w:rFonts w:ascii="Arial" w:hAnsi="Arial"/>
                <w:color w:val="000000"/>
                <w:sz w:val="18"/>
                <w:szCs w:val="18"/>
              </w:rPr>
              <w:t xml:space="preserve"> / </w:t>
            </w:r>
            <w:r w:rsidRPr="00AB4290">
              <w:rPr>
                <w:rFonts w:ascii="Arial" w:hAnsi="Arial"/>
                <w:color w:val="000000"/>
                <w:sz w:val="18"/>
                <w:szCs w:val="18"/>
              </w:rPr>
              <w:t>A</w:t>
            </w:r>
            <w:r>
              <w:rPr>
                <w:rFonts w:ascii="Arial" w:hAnsi="Arial"/>
                <w:color w:val="000000"/>
                <w:sz w:val="18"/>
                <w:szCs w:val="18"/>
              </w:rPr>
              <w:t xml:space="preserve"> (</w:t>
            </w:r>
            <w:r w:rsidRPr="00AB4290">
              <w:rPr>
                <w:rFonts w:ascii="Arial" w:hAnsi="Arial"/>
                <w:color w:val="000000"/>
                <w:sz w:val="18"/>
                <w:szCs w:val="18"/>
              </w:rPr>
              <w:t>t</w:t>
            </w:r>
            <w:r>
              <w:rPr>
                <w:rFonts w:ascii="Arial" w:hAnsi="Arial"/>
                <w:color w:val="000000"/>
                <w:sz w:val="18"/>
                <w:szCs w:val="18"/>
              </w:rPr>
              <w:t>-</w:t>
            </w:r>
            <w:r w:rsidRPr="00AB429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.896</w:t>
            </w:r>
          </w:p>
        </w:tc>
        <w:tc>
          <w:tcPr>
            <w:tcW w:w="1322" w:type="dxa"/>
            <w:tcBorders>
              <w:top w:val="nil"/>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.009</w:t>
            </w:r>
          </w:p>
        </w:tc>
        <w:tc>
          <w:tcPr>
            <w:tcW w:w="1456" w:type="dxa"/>
            <w:tcBorders>
              <w:top w:val="nil"/>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.979</w:t>
            </w:r>
          </w:p>
        </w:tc>
        <w:tc>
          <w:tcPr>
            <w:tcW w:w="1010" w:type="dxa"/>
            <w:tcBorders>
              <w:top w:val="nil"/>
              <w:bottom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102.770</w:t>
            </w:r>
          </w:p>
        </w:tc>
        <w:tc>
          <w:tcPr>
            <w:tcW w:w="1010" w:type="dxa"/>
            <w:tcBorders>
              <w:top w:val="nil"/>
              <w:bottom w:val="single" w:sz="16" w:space="0" w:color="000000"/>
              <w:right w:val="single" w:sz="16" w:space="0" w:color="000000"/>
            </w:tcBorders>
            <w:shd w:val="clear" w:color="auto" w:fill="FFFFFF"/>
          </w:tcPr>
          <w:p w:rsidR="00C149EE" w:rsidRPr="00AB429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AB4290">
              <w:rPr>
                <w:rFonts w:ascii="Arial" w:hAnsi="Arial"/>
                <w:color w:val="000000"/>
                <w:sz w:val="18"/>
                <w:szCs w:val="18"/>
              </w:rPr>
              <w:t>.000</w:t>
            </w:r>
          </w:p>
        </w:tc>
      </w:tr>
      <w:tr w:rsidR="00C149EE" w:rsidRPr="0013388B" w:rsidTr="00B353CB">
        <w:trPr>
          <w:jc w:val="center"/>
        </w:trPr>
        <w:tc>
          <w:tcPr>
            <w:tcW w:w="8108" w:type="dxa"/>
            <w:gridSpan w:val="7"/>
            <w:tcBorders>
              <w:top w:val="nil"/>
              <w:left w:val="nil"/>
              <w:bottom w:val="nil"/>
              <w:right w:val="nil"/>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a. Dependent Variable: CGOS / A (t-1)</w:t>
            </w:r>
          </w:p>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p>
        </w:tc>
      </w:tr>
    </w:tbl>
    <w:p w:rsidR="00676E01" w:rsidRDefault="00676E01" w:rsidP="00C149EE">
      <w:pPr>
        <w:spacing w:line="360" w:lineRule="auto"/>
        <w:rPr>
          <w:rFonts w:cs="Calibri"/>
          <w:b/>
          <w:bCs/>
          <w:lang w:val="en-GB"/>
        </w:rPr>
      </w:pPr>
      <w:r w:rsidRPr="003D2A83">
        <w:rPr>
          <w:rStyle w:val="Emphasis"/>
          <w:i w:val="0"/>
          <w:lang w:val="en-GB"/>
        </w:rPr>
        <w:t xml:space="preserve">The table of coefficients </w:t>
      </w:r>
      <w:r>
        <w:rPr>
          <w:rStyle w:val="Emphasis"/>
          <w:i w:val="0"/>
          <w:lang w:val="en-GB"/>
        </w:rPr>
        <w:t>indicates</w:t>
      </w:r>
      <w:r w:rsidRPr="003D2A83">
        <w:rPr>
          <w:rStyle w:val="Emphasis"/>
          <w:i w:val="0"/>
          <w:lang w:val="en-GB"/>
        </w:rPr>
        <w:t xml:space="preserve"> a significant relation between the COGS and the Sales, both </w:t>
      </w:r>
      <w:r>
        <w:rPr>
          <w:rStyle w:val="Emphasis"/>
          <w:i w:val="0"/>
          <w:lang w:val="en-GB"/>
        </w:rPr>
        <w:t>scaled</w:t>
      </w:r>
      <w:r w:rsidRPr="003D2A83">
        <w:rPr>
          <w:rStyle w:val="Emphasis"/>
          <w:i w:val="0"/>
          <w:lang w:val="en-GB"/>
        </w:rPr>
        <w:t xml:space="preserve"> by Assets (t-1), but no significant relationship with the variable 1 </w:t>
      </w:r>
      <w:r>
        <w:rPr>
          <w:rStyle w:val="Emphasis"/>
          <w:i w:val="0"/>
          <w:lang w:val="en-GB"/>
        </w:rPr>
        <w:t xml:space="preserve">/ Assets (t-1) (0.610). </w:t>
      </w:r>
      <w:r w:rsidRPr="003D2A83">
        <w:rPr>
          <w:rStyle w:val="Emphasis"/>
          <w:i w:val="0"/>
          <w:lang w:val="en-GB"/>
        </w:rPr>
        <w:t xml:space="preserve">For determining the ‘normal’ level of COGS, the following coefficients will be used: </w:t>
      </w:r>
      <w:r w:rsidRPr="003D2A83">
        <w:rPr>
          <w:rFonts w:cs="Calibri"/>
          <w:bCs/>
          <w:lang w:val="en-GB"/>
        </w:rPr>
        <w:t>α0 -0.166; a1 -0.206 and α2 0.896.</w:t>
      </w:r>
    </w:p>
    <w:p w:rsidR="00C149EE" w:rsidRPr="00C149EE" w:rsidRDefault="00C149EE" w:rsidP="00C149EE">
      <w:pPr>
        <w:spacing w:line="360" w:lineRule="auto"/>
        <w:rPr>
          <w:rFonts w:cs="Calibri"/>
          <w:bCs/>
          <w:lang w:val="en-GB"/>
        </w:rPr>
      </w:pPr>
      <w:r w:rsidRPr="00C149EE">
        <w:rPr>
          <w:rFonts w:cs="Calibri"/>
          <w:b/>
          <w:bCs/>
          <w:lang w:val="en-GB"/>
        </w:rPr>
        <w:t>Inventory</w:t>
      </w:r>
      <w:r w:rsidRPr="00C149EE">
        <w:rPr>
          <w:rFonts w:cs="Calibri"/>
          <w:b/>
          <w:bCs/>
          <w:lang w:val="en-GB"/>
        </w:rPr>
        <w:br/>
      </w:r>
      <w:r w:rsidRPr="00C149EE">
        <w:rPr>
          <w:rFonts w:cs="Calibri"/>
          <w:bCs/>
          <w:lang w:val="en-GB"/>
        </w:rPr>
        <w:t xml:space="preserve">The model summary of the regression </w:t>
      </w:r>
      <w:r w:rsidR="00676E01">
        <w:rPr>
          <w:rFonts w:cs="Calibri"/>
          <w:bCs/>
          <w:lang w:val="en-GB"/>
        </w:rPr>
        <w:t>performed</w:t>
      </w:r>
      <w:r w:rsidRPr="00C149EE">
        <w:rPr>
          <w:rFonts w:cs="Calibri"/>
          <w:bCs/>
          <w:lang w:val="en-GB"/>
        </w:rPr>
        <w:t xml:space="preserve"> with the </w:t>
      </w:r>
      <w:r w:rsidR="00DE3F6C">
        <w:rPr>
          <w:rFonts w:cs="Calibri"/>
          <w:bCs/>
          <w:lang w:val="en-GB"/>
        </w:rPr>
        <w:t xml:space="preserve">dependent </w:t>
      </w:r>
      <w:r w:rsidRPr="00C149EE">
        <w:rPr>
          <w:rFonts w:cs="Calibri"/>
          <w:bCs/>
          <w:lang w:val="en-GB"/>
        </w:rPr>
        <w:t>variable</w:t>
      </w:r>
      <w:r w:rsidR="003D2A83">
        <w:rPr>
          <w:rFonts w:cs="Calibri"/>
          <w:bCs/>
          <w:lang w:val="en-GB"/>
        </w:rPr>
        <w:t xml:space="preserve"> change in </w:t>
      </w:r>
      <w:r w:rsidRPr="00C149EE">
        <w:rPr>
          <w:rFonts w:cs="Calibri"/>
          <w:bCs/>
          <w:lang w:val="en-GB"/>
        </w:rPr>
        <w:t xml:space="preserve">inventory and the corresponding independent variables </w:t>
      </w:r>
      <w:r w:rsidR="001162C2">
        <w:rPr>
          <w:rFonts w:cs="Calibri"/>
          <w:bCs/>
          <w:lang w:val="en-GB"/>
        </w:rPr>
        <w:t>indicates</w:t>
      </w:r>
      <w:r w:rsidRPr="00C149EE">
        <w:rPr>
          <w:rFonts w:cs="Calibri"/>
          <w:bCs/>
          <w:lang w:val="en-GB"/>
        </w:rPr>
        <w:t xml:space="preserve"> a correlation of 28.</w:t>
      </w:r>
      <w:r w:rsidR="00781154">
        <w:rPr>
          <w:rFonts w:cs="Calibri"/>
          <w:bCs/>
          <w:lang w:val="en-GB"/>
        </w:rPr>
        <w:t>1</w:t>
      </w:r>
      <w:r w:rsidRPr="00C149EE">
        <w:rPr>
          <w:rFonts w:cs="Calibri"/>
          <w:bCs/>
          <w:lang w:val="en-GB"/>
        </w:rPr>
        <w:t xml:space="preserve">% between the dependent variable inventory and the independent variables change in sales, change in sales (t-1) and 1 / Assets (t-1). </w:t>
      </w:r>
    </w:p>
    <w:p w:rsidR="00C149EE" w:rsidRPr="00C149EE" w:rsidRDefault="00C149EE" w:rsidP="00C149EE">
      <w:pPr>
        <w:spacing w:line="360" w:lineRule="auto"/>
        <w:rPr>
          <w:rFonts w:cs="Calibri"/>
          <w:bCs/>
          <w:lang w:val="en-GB"/>
        </w:rPr>
      </w:pPr>
      <w:r w:rsidRPr="00C149EE">
        <w:rPr>
          <w:rFonts w:cs="Calibri"/>
          <w:bCs/>
          <w:lang w:val="en-GB"/>
        </w:rPr>
        <w:t xml:space="preserve">The ANOVA table shows a significant relation (Sig. 0.000) between the dependent variable change in Inventory / Assets (t-1) and the predictors Change in Sales / Assets (t-1), Change in Sales (t-1) / Assets (t-1) and 1 / Assets (t-1). </w:t>
      </w:r>
    </w:p>
    <w:tbl>
      <w:tblPr>
        <w:tblW w:w="89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2122"/>
        <w:gridCol w:w="1324"/>
        <w:gridCol w:w="1323"/>
        <w:gridCol w:w="1456"/>
        <w:gridCol w:w="1010"/>
        <w:gridCol w:w="1010"/>
      </w:tblGrid>
      <w:tr w:rsidR="00C149EE" w:rsidRPr="00445422" w:rsidTr="00676E01">
        <w:trPr>
          <w:jc w:val="center"/>
        </w:trPr>
        <w:tc>
          <w:tcPr>
            <w:tcW w:w="8972" w:type="dxa"/>
            <w:gridSpan w:val="7"/>
            <w:tcBorders>
              <w:top w:val="nil"/>
              <w:left w:val="nil"/>
              <w:bottom w:val="nil"/>
              <w:right w:val="nil"/>
            </w:tcBorders>
            <w:shd w:val="clear" w:color="auto" w:fill="FFFFFF"/>
            <w:vAlign w:val="center"/>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b/>
                <w:bCs/>
                <w:color w:val="000000"/>
                <w:sz w:val="18"/>
                <w:szCs w:val="18"/>
              </w:rPr>
              <w:t>Coefficients</w:t>
            </w:r>
            <w:r w:rsidRPr="00445422">
              <w:rPr>
                <w:rFonts w:ascii="Arial" w:hAnsi="Arial"/>
                <w:b/>
                <w:bCs/>
                <w:color w:val="000000"/>
                <w:sz w:val="18"/>
                <w:szCs w:val="18"/>
                <w:vertAlign w:val="superscript"/>
              </w:rPr>
              <w:t>a</w:t>
            </w:r>
          </w:p>
        </w:tc>
      </w:tr>
      <w:tr w:rsidR="00C149EE" w:rsidRPr="00445422" w:rsidTr="00676E01">
        <w:trPr>
          <w:jc w:val="center"/>
        </w:trPr>
        <w:tc>
          <w:tcPr>
            <w:tcW w:w="284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rPr>
                <w:rFonts w:ascii="Arial" w:hAnsi="Arial"/>
                <w:color w:val="000000"/>
                <w:sz w:val="18"/>
                <w:szCs w:val="18"/>
              </w:rPr>
            </w:pPr>
            <w:r w:rsidRPr="00445422">
              <w:rPr>
                <w:rFonts w:ascii="Arial" w:hAnsi="Arial"/>
                <w:color w:val="000000"/>
                <w:sz w:val="18"/>
                <w:szCs w:val="18"/>
              </w:rPr>
              <w:t>Model</w:t>
            </w:r>
          </w:p>
        </w:tc>
        <w:tc>
          <w:tcPr>
            <w:tcW w:w="2647" w:type="dxa"/>
            <w:gridSpan w:val="2"/>
            <w:tcBorders>
              <w:top w:val="single" w:sz="16" w:space="0" w:color="000000"/>
              <w:left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Unstandardized Coefficients</w:t>
            </w:r>
          </w:p>
        </w:tc>
        <w:tc>
          <w:tcPr>
            <w:tcW w:w="1456" w:type="dxa"/>
            <w:tcBorders>
              <w:top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Sig.</w:t>
            </w:r>
          </w:p>
        </w:tc>
      </w:tr>
      <w:tr w:rsidR="00C149EE" w:rsidRPr="00445422" w:rsidTr="00676E01">
        <w:trPr>
          <w:jc w:val="center"/>
        </w:trPr>
        <w:tc>
          <w:tcPr>
            <w:tcW w:w="2849"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445422" w:rsidRDefault="00C149EE" w:rsidP="00B353CB">
            <w:pPr>
              <w:autoSpaceDE w:val="0"/>
              <w:autoSpaceDN w:val="0"/>
              <w:adjustRightInd w:val="0"/>
              <w:spacing w:after="0" w:line="240" w:lineRule="auto"/>
              <w:rPr>
                <w:rFonts w:ascii="Arial" w:hAnsi="Arial"/>
                <w:color w:val="000000"/>
                <w:sz w:val="18"/>
                <w:szCs w:val="18"/>
              </w:rPr>
            </w:pPr>
          </w:p>
        </w:tc>
        <w:tc>
          <w:tcPr>
            <w:tcW w:w="1324" w:type="dxa"/>
            <w:tcBorders>
              <w:left w:val="single" w:sz="16" w:space="0" w:color="000000"/>
              <w:bottom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B</w:t>
            </w:r>
          </w:p>
        </w:tc>
        <w:tc>
          <w:tcPr>
            <w:tcW w:w="1323" w:type="dxa"/>
            <w:tcBorders>
              <w:bottom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Std. Error</w:t>
            </w:r>
          </w:p>
        </w:tc>
        <w:tc>
          <w:tcPr>
            <w:tcW w:w="1456" w:type="dxa"/>
            <w:tcBorders>
              <w:bottom w:val="single" w:sz="16" w:space="0" w:color="000000"/>
            </w:tcBorders>
            <w:shd w:val="clear" w:color="auto" w:fill="FFFFFF"/>
            <w:vAlign w:val="bottom"/>
          </w:tcPr>
          <w:p w:rsidR="00C149EE" w:rsidRPr="00445422"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445422">
              <w:rPr>
                <w:rFonts w:ascii="Arial" w:hAnsi="Arial"/>
                <w:color w:val="000000"/>
                <w:sz w:val="18"/>
                <w:szCs w:val="18"/>
              </w:rPr>
              <w:t>Beta</w:t>
            </w:r>
          </w:p>
        </w:tc>
        <w:tc>
          <w:tcPr>
            <w:tcW w:w="1010" w:type="dxa"/>
            <w:vMerge/>
            <w:tcBorders>
              <w:top w:val="single" w:sz="16" w:space="0" w:color="000000"/>
              <w:bottom w:val="single" w:sz="16" w:space="0" w:color="000000"/>
            </w:tcBorders>
            <w:shd w:val="clear" w:color="auto" w:fill="FFFFFF"/>
            <w:vAlign w:val="bottom"/>
          </w:tcPr>
          <w:p w:rsidR="00C149EE" w:rsidRPr="00445422" w:rsidRDefault="00C149EE" w:rsidP="00B353CB">
            <w:pPr>
              <w:autoSpaceDE w:val="0"/>
              <w:autoSpaceDN w:val="0"/>
              <w:adjustRightInd w:val="0"/>
              <w:spacing w:after="0" w:line="240" w:lineRule="auto"/>
              <w:rPr>
                <w:rFonts w:ascii="Arial" w:hAnsi="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C149EE" w:rsidRPr="00445422" w:rsidRDefault="00C149EE" w:rsidP="00B353CB">
            <w:pPr>
              <w:autoSpaceDE w:val="0"/>
              <w:autoSpaceDN w:val="0"/>
              <w:adjustRightInd w:val="0"/>
              <w:spacing w:after="0" w:line="240" w:lineRule="auto"/>
              <w:rPr>
                <w:rFonts w:ascii="Arial" w:hAnsi="Arial"/>
                <w:color w:val="000000"/>
                <w:sz w:val="18"/>
                <w:szCs w:val="18"/>
              </w:rPr>
            </w:pPr>
          </w:p>
        </w:tc>
      </w:tr>
      <w:tr w:rsidR="00C149EE" w:rsidRPr="00445422" w:rsidTr="00676E01">
        <w:trP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C149EE" w:rsidRPr="00445422" w:rsidRDefault="00C149EE" w:rsidP="00B353CB">
            <w:pPr>
              <w:autoSpaceDE w:val="0"/>
              <w:autoSpaceDN w:val="0"/>
              <w:adjustRightInd w:val="0"/>
              <w:spacing w:after="0" w:line="320" w:lineRule="atLeast"/>
              <w:ind w:left="60" w:right="60"/>
              <w:rPr>
                <w:rFonts w:ascii="Arial" w:hAnsi="Arial"/>
                <w:color w:val="000000"/>
                <w:sz w:val="18"/>
                <w:szCs w:val="18"/>
              </w:rPr>
            </w:pPr>
            <w:r w:rsidRPr="00445422">
              <w:rPr>
                <w:rFonts w:ascii="Arial" w:hAnsi="Arial"/>
                <w:color w:val="000000"/>
                <w:sz w:val="18"/>
                <w:szCs w:val="18"/>
              </w:rPr>
              <w:t>1</w:t>
            </w:r>
          </w:p>
        </w:tc>
        <w:tc>
          <w:tcPr>
            <w:tcW w:w="2122" w:type="dxa"/>
            <w:tcBorders>
              <w:top w:val="single" w:sz="16" w:space="0" w:color="000000"/>
              <w:left w:val="nil"/>
              <w:bottom w:val="nil"/>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rPr>
                <w:rFonts w:ascii="Arial" w:hAnsi="Arial"/>
                <w:color w:val="000000"/>
                <w:sz w:val="18"/>
                <w:szCs w:val="18"/>
              </w:rPr>
            </w:pPr>
            <w:r w:rsidRPr="00445422">
              <w:rPr>
                <w:rFonts w:ascii="Arial" w:hAnsi="Arial"/>
                <w:color w:val="000000"/>
                <w:sz w:val="18"/>
                <w:szCs w:val="18"/>
              </w:rPr>
              <w:t>(Constant)</w:t>
            </w:r>
          </w:p>
        </w:tc>
        <w:tc>
          <w:tcPr>
            <w:tcW w:w="1324" w:type="dxa"/>
            <w:tcBorders>
              <w:top w:val="single" w:sz="16" w:space="0" w:color="000000"/>
              <w:left w:val="single" w:sz="16" w:space="0" w:color="000000"/>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.006</w:t>
            </w:r>
          </w:p>
        </w:tc>
        <w:tc>
          <w:tcPr>
            <w:tcW w:w="1323" w:type="dxa"/>
            <w:tcBorders>
              <w:top w:val="single" w:sz="16" w:space="0" w:color="000000"/>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.003</w:t>
            </w:r>
          </w:p>
        </w:tc>
        <w:tc>
          <w:tcPr>
            <w:tcW w:w="1456" w:type="dxa"/>
            <w:tcBorders>
              <w:top w:val="single" w:sz="16" w:space="0" w:color="000000"/>
              <w:bottom w:val="nil"/>
            </w:tcBorders>
            <w:shd w:val="clear" w:color="auto" w:fill="FFFFFF"/>
            <w:vAlign w:val="center"/>
          </w:tcPr>
          <w:p w:rsidR="00C149EE" w:rsidRPr="00445422" w:rsidRDefault="00C149EE" w:rsidP="00B353CB">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1.774</w:t>
            </w:r>
          </w:p>
        </w:tc>
        <w:tc>
          <w:tcPr>
            <w:tcW w:w="1010" w:type="dxa"/>
            <w:tcBorders>
              <w:top w:val="single" w:sz="16" w:space="0" w:color="000000"/>
              <w:bottom w:val="nil"/>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.077</w:t>
            </w:r>
          </w:p>
        </w:tc>
      </w:tr>
      <w:tr w:rsidR="00C149EE" w:rsidRPr="00445422" w:rsidTr="00676E01">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445422"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nil"/>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rPr>
                <w:rFonts w:ascii="Arial" w:hAnsi="Arial"/>
                <w:color w:val="000000"/>
                <w:sz w:val="18"/>
                <w:szCs w:val="18"/>
              </w:rPr>
            </w:pPr>
            <w:r w:rsidRPr="00445422">
              <w:rPr>
                <w:rFonts w:ascii="Arial" w:hAnsi="Arial"/>
                <w:color w:val="000000"/>
                <w:sz w:val="18"/>
                <w:szCs w:val="18"/>
              </w:rPr>
              <w:t>1</w:t>
            </w:r>
            <w:r>
              <w:rPr>
                <w:rFonts w:ascii="Arial" w:hAnsi="Arial"/>
                <w:color w:val="000000"/>
                <w:sz w:val="18"/>
                <w:szCs w:val="18"/>
              </w:rPr>
              <w:t xml:space="preserve"> / </w:t>
            </w:r>
            <w:r w:rsidRPr="00445422">
              <w:rPr>
                <w:rFonts w:ascii="Arial" w:hAnsi="Arial"/>
                <w:color w:val="000000"/>
                <w:sz w:val="18"/>
                <w:szCs w:val="18"/>
              </w:rPr>
              <w:t>A</w:t>
            </w:r>
            <w:r>
              <w:rPr>
                <w:rFonts w:ascii="Arial" w:hAnsi="Arial"/>
                <w:color w:val="000000"/>
                <w:sz w:val="18"/>
                <w:szCs w:val="18"/>
              </w:rPr>
              <w:t xml:space="preserve"> (</w:t>
            </w:r>
            <w:r w:rsidRPr="00445422">
              <w:rPr>
                <w:rFonts w:ascii="Arial" w:hAnsi="Arial"/>
                <w:color w:val="000000"/>
                <w:sz w:val="18"/>
                <w:szCs w:val="18"/>
              </w:rPr>
              <w:t>t</w:t>
            </w:r>
            <w:r>
              <w:rPr>
                <w:rFonts w:ascii="Arial" w:hAnsi="Arial"/>
                <w:color w:val="000000"/>
                <w:sz w:val="18"/>
                <w:szCs w:val="18"/>
              </w:rPr>
              <w:t>-</w:t>
            </w:r>
            <w:r w:rsidRPr="00445422">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-.057</w:t>
            </w:r>
          </w:p>
        </w:tc>
        <w:tc>
          <w:tcPr>
            <w:tcW w:w="1323" w:type="dxa"/>
            <w:tcBorders>
              <w:top w:val="nil"/>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.115</w:t>
            </w:r>
          </w:p>
        </w:tc>
        <w:tc>
          <w:tcPr>
            <w:tcW w:w="1456" w:type="dxa"/>
            <w:tcBorders>
              <w:top w:val="nil"/>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-.019</w:t>
            </w:r>
          </w:p>
        </w:tc>
        <w:tc>
          <w:tcPr>
            <w:tcW w:w="1010" w:type="dxa"/>
            <w:tcBorders>
              <w:top w:val="nil"/>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-.494</w:t>
            </w:r>
          </w:p>
        </w:tc>
        <w:tc>
          <w:tcPr>
            <w:tcW w:w="1010" w:type="dxa"/>
            <w:tcBorders>
              <w:top w:val="nil"/>
              <w:bottom w:val="nil"/>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.622</w:t>
            </w:r>
          </w:p>
        </w:tc>
      </w:tr>
      <w:tr w:rsidR="00C149EE" w:rsidRPr="00445422" w:rsidTr="00676E01">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445422"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nil"/>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 xml:space="preserve">Change </w:t>
            </w:r>
            <w:r w:rsidRPr="00445422">
              <w:rPr>
                <w:rFonts w:ascii="Arial" w:hAnsi="Arial"/>
                <w:color w:val="000000"/>
                <w:sz w:val="18"/>
                <w:szCs w:val="18"/>
              </w:rPr>
              <w:t>S</w:t>
            </w:r>
            <w:r>
              <w:rPr>
                <w:rFonts w:ascii="Arial" w:hAnsi="Arial"/>
                <w:color w:val="000000"/>
                <w:sz w:val="18"/>
                <w:szCs w:val="18"/>
              </w:rPr>
              <w:t xml:space="preserve"> / </w:t>
            </w:r>
            <w:r w:rsidRPr="00445422">
              <w:rPr>
                <w:rFonts w:ascii="Arial" w:hAnsi="Arial"/>
                <w:color w:val="000000"/>
                <w:sz w:val="18"/>
                <w:szCs w:val="18"/>
              </w:rPr>
              <w:t>A</w:t>
            </w:r>
            <w:r>
              <w:rPr>
                <w:rFonts w:ascii="Arial" w:hAnsi="Arial"/>
                <w:color w:val="000000"/>
                <w:sz w:val="18"/>
                <w:szCs w:val="18"/>
              </w:rPr>
              <w:t xml:space="preserve"> (</w:t>
            </w:r>
            <w:r w:rsidRPr="00445422">
              <w:rPr>
                <w:rFonts w:ascii="Arial" w:hAnsi="Arial"/>
                <w:color w:val="000000"/>
                <w:sz w:val="18"/>
                <w:szCs w:val="18"/>
              </w:rPr>
              <w:t>t</w:t>
            </w:r>
            <w:r>
              <w:rPr>
                <w:rFonts w:ascii="Arial" w:hAnsi="Arial"/>
                <w:color w:val="000000"/>
                <w:sz w:val="18"/>
                <w:szCs w:val="18"/>
              </w:rPr>
              <w:t>-</w:t>
            </w:r>
            <w:r w:rsidRPr="00445422">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.058</w:t>
            </w:r>
          </w:p>
        </w:tc>
        <w:tc>
          <w:tcPr>
            <w:tcW w:w="1323" w:type="dxa"/>
            <w:tcBorders>
              <w:top w:val="nil"/>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.004</w:t>
            </w:r>
          </w:p>
        </w:tc>
        <w:tc>
          <w:tcPr>
            <w:tcW w:w="1456" w:type="dxa"/>
            <w:tcBorders>
              <w:top w:val="nil"/>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.538</w:t>
            </w:r>
          </w:p>
        </w:tc>
        <w:tc>
          <w:tcPr>
            <w:tcW w:w="1010" w:type="dxa"/>
            <w:tcBorders>
              <w:top w:val="nil"/>
              <w:bottom w:val="nil"/>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13.701</w:t>
            </w:r>
          </w:p>
        </w:tc>
        <w:tc>
          <w:tcPr>
            <w:tcW w:w="1010" w:type="dxa"/>
            <w:tcBorders>
              <w:top w:val="nil"/>
              <w:bottom w:val="nil"/>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.000</w:t>
            </w:r>
          </w:p>
        </w:tc>
      </w:tr>
      <w:tr w:rsidR="00C149EE" w:rsidRPr="00445422" w:rsidTr="00676E01">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445422"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single" w:sz="16" w:space="0" w:color="000000"/>
              <w:right w:val="single" w:sz="16" w:space="0" w:color="000000"/>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Change S (t-1) / A (t-1)</w:t>
            </w:r>
          </w:p>
        </w:tc>
        <w:tc>
          <w:tcPr>
            <w:tcW w:w="1324" w:type="dxa"/>
            <w:tcBorders>
              <w:top w:val="nil"/>
              <w:left w:val="single" w:sz="16" w:space="0" w:color="000000"/>
              <w:bottom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-.008</w:t>
            </w:r>
          </w:p>
        </w:tc>
        <w:tc>
          <w:tcPr>
            <w:tcW w:w="1323" w:type="dxa"/>
            <w:tcBorders>
              <w:top w:val="nil"/>
              <w:bottom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.007</w:t>
            </w:r>
          </w:p>
        </w:tc>
        <w:tc>
          <w:tcPr>
            <w:tcW w:w="1456" w:type="dxa"/>
            <w:tcBorders>
              <w:top w:val="nil"/>
              <w:bottom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-.043</w:t>
            </w:r>
          </w:p>
        </w:tc>
        <w:tc>
          <w:tcPr>
            <w:tcW w:w="1010" w:type="dxa"/>
            <w:tcBorders>
              <w:top w:val="nil"/>
              <w:bottom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-1.100</w:t>
            </w:r>
          </w:p>
        </w:tc>
        <w:tc>
          <w:tcPr>
            <w:tcW w:w="1010" w:type="dxa"/>
            <w:tcBorders>
              <w:top w:val="nil"/>
              <w:bottom w:val="single" w:sz="16" w:space="0" w:color="000000"/>
              <w:right w:val="single" w:sz="16" w:space="0" w:color="000000"/>
            </w:tcBorders>
            <w:shd w:val="clear" w:color="auto" w:fill="FFFFFF"/>
          </w:tcPr>
          <w:p w:rsidR="00C149EE" w:rsidRPr="00445422"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445422">
              <w:rPr>
                <w:rFonts w:ascii="Arial" w:hAnsi="Arial"/>
                <w:color w:val="000000"/>
                <w:sz w:val="18"/>
                <w:szCs w:val="18"/>
              </w:rPr>
              <w:t>.272</w:t>
            </w:r>
          </w:p>
        </w:tc>
      </w:tr>
      <w:tr w:rsidR="00C149EE" w:rsidRPr="0013388B" w:rsidTr="00676E01">
        <w:trPr>
          <w:jc w:val="center"/>
        </w:trPr>
        <w:tc>
          <w:tcPr>
            <w:tcW w:w="8972" w:type="dxa"/>
            <w:gridSpan w:val="7"/>
            <w:tcBorders>
              <w:top w:val="nil"/>
              <w:left w:val="nil"/>
              <w:bottom w:val="nil"/>
              <w:right w:val="nil"/>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a. Dependent Variable: Change INV / A (t-1)</w:t>
            </w:r>
          </w:p>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p>
        </w:tc>
      </w:tr>
    </w:tbl>
    <w:p w:rsidR="00676E01" w:rsidRDefault="00676E01" w:rsidP="00C149EE">
      <w:pPr>
        <w:spacing w:line="360" w:lineRule="auto"/>
        <w:rPr>
          <w:rStyle w:val="Strong"/>
          <w:lang w:val="en-GB"/>
        </w:rPr>
      </w:pPr>
    </w:p>
    <w:p w:rsidR="00676E01" w:rsidRDefault="00676E01" w:rsidP="00676E01">
      <w:pPr>
        <w:spacing w:line="360" w:lineRule="auto"/>
        <w:rPr>
          <w:rFonts w:cs="Calibri"/>
          <w:bCs/>
          <w:lang w:val="en-GB"/>
        </w:rPr>
      </w:pPr>
      <w:r>
        <w:rPr>
          <w:rFonts w:cs="Calibri"/>
          <w:bCs/>
          <w:lang w:val="en-GB"/>
        </w:rPr>
        <w:lastRenderedPageBreak/>
        <w:t>The c</w:t>
      </w:r>
      <w:r w:rsidRPr="00C149EE">
        <w:rPr>
          <w:rFonts w:cs="Calibri"/>
          <w:bCs/>
          <w:lang w:val="en-GB"/>
        </w:rPr>
        <w:t xml:space="preserve">oefficients table shows </w:t>
      </w:r>
      <w:r>
        <w:rPr>
          <w:rFonts w:cs="Calibri"/>
          <w:bCs/>
          <w:lang w:val="en-GB"/>
        </w:rPr>
        <w:t xml:space="preserve">that one coefficient is </w:t>
      </w:r>
      <w:r w:rsidRPr="00C149EE">
        <w:rPr>
          <w:rFonts w:cs="Calibri"/>
          <w:bCs/>
          <w:lang w:val="en-GB"/>
        </w:rPr>
        <w:t>significant and</w:t>
      </w:r>
      <w:r>
        <w:rPr>
          <w:rFonts w:cs="Calibri"/>
          <w:bCs/>
          <w:lang w:val="en-GB"/>
        </w:rPr>
        <w:t xml:space="preserve"> two are</w:t>
      </w:r>
      <w:r w:rsidRPr="00C149EE">
        <w:rPr>
          <w:rFonts w:cs="Calibri"/>
          <w:bCs/>
          <w:lang w:val="en-GB"/>
        </w:rPr>
        <w:t xml:space="preserve"> not. </w:t>
      </w:r>
      <w:r>
        <w:rPr>
          <w:rFonts w:cs="Calibri"/>
          <w:bCs/>
          <w:lang w:val="en-GB"/>
        </w:rPr>
        <w:t>O</w:t>
      </w:r>
      <w:r w:rsidRPr="00C149EE">
        <w:rPr>
          <w:rFonts w:cs="Calibri"/>
          <w:bCs/>
          <w:lang w:val="en-GB"/>
        </w:rPr>
        <w:t>nly the variable change in Sales / Assets (t-1) is significant with a significance level of 0.000. The other variables are not signi</w:t>
      </w:r>
      <w:r>
        <w:rPr>
          <w:rFonts w:cs="Calibri"/>
          <w:bCs/>
          <w:lang w:val="en-GB"/>
        </w:rPr>
        <w:t>ficant with values of 0.272 and 0.622</w:t>
      </w:r>
      <w:r w:rsidRPr="00C149EE">
        <w:rPr>
          <w:rFonts w:cs="Calibri"/>
          <w:bCs/>
          <w:lang w:val="en-GB"/>
        </w:rPr>
        <w:t>. The other aspect of the Coefficients table is the B-value of the variables</w:t>
      </w:r>
      <w:r>
        <w:rPr>
          <w:rFonts w:cs="Calibri"/>
          <w:bCs/>
          <w:lang w:val="en-GB"/>
        </w:rPr>
        <w:t>; the coefficients of the independent variables</w:t>
      </w:r>
      <w:r w:rsidRPr="00C149EE">
        <w:rPr>
          <w:rFonts w:cs="Calibri"/>
          <w:bCs/>
          <w:lang w:val="en-GB"/>
        </w:rPr>
        <w:t xml:space="preserve">. The coefficients that are used for the determination of the normal level of inventory are </w:t>
      </w:r>
      <w:r>
        <w:rPr>
          <w:rFonts w:cs="Calibri"/>
          <w:bCs/>
        </w:rPr>
        <w:t>α</w:t>
      </w:r>
      <w:r w:rsidRPr="00C149EE">
        <w:rPr>
          <w:rFonts w:cs="Calibri"/>
          <w:bCs/>
          <w:lang w:val="en-GB"/>
        </w:rPr>
        <w:t xml:space="preserve">0 is 0.006; </w:t>
      </w:r>
      <w:r>
        <w:rPr>
          <w:rFonts w:cs="Calibri"/>
          <w:bCs/>
        </w:rPr>
        <w:t>α</w:t>
      </w:r>
      <w:r w:rsidRPr="00C149EE">
        <w:rPr>
          <w:rFonts w:cs="Calibri"/>
          <w:bCs/>
          <w:lang w:val="en-GB"/>
        </w:rPr>
        <w:t xml:space="preserve">1 is -0.057; </w:t>
      </w:r>
      <w:r>
        <w:rPr>
          <w:rFonts w:cs="Calibri"/>
          <w:bCs/>
        </w:rPr>
        <w:t>α</w:t>
      </w:r>
      <w:r w:rsidRPr="00C149EE">
        <w:rPr>
          <w:rFonts w:cs="Calibri"/>
          <w:bCs/>
          <w:lang w:val="en-GB"/>
        </w:rPr>
        <w:t xml:space="preserve">3 is 0.058 and </w:t>
      </w:r>
      <w:r>
        <w:rPr>
          <w:rFonts w:cs="Calibri"/>
          <w:bCs/>
        </w:rPr>
        <w:t>α</w:t>
      </w:r>
      <w:r w:rsidRPr="00C149EE">
        <w:rPr>
          <w:rFonts w:cs="Calibri"/>
          <w:bCs/>
          <w:lang w:val="en-GB"/>
        </w:rPr>
        <w:t xml:space="preserve">4 is -0.08. </w:t>
      </w:r>
    </w:p>
    <w:p w:rsidR="00C149EE" w:rsidRPr="00C149EE" w:rsidRDefault="00C149EE" w:rsidP="00C149EE">
      <w:pPr>
        <w:spacing w:line="360" w:lineRule="auto"/>
        <w:rPr>
          <w:rStyle w:val="Strong"/>
          <w:b w:val="0"/>
          <w:lang w:val="en-GB"/>
        </w:rPr>
      </w:pPr>
      <w:r w:rsidRPr="00C149EE">
        <w:rPr>
          <w:rStyle w:val="Strong"/>
          <w:lang w:val="en-GB"/>
        </w:rPr>
        <w:t>Production Costs</w:t>
      </w:r>
      <w:r w:rsidRPr="00C149EE">
        <w:rPr>
          <w:rStyle w:val="Strong"/>
          <w:lang w:val="en-GB"/>
        </w:rPr>
        <w:br/>
      </w:r>
      <w:r w:rsidRPr="00C149EE">
        <w:rPr>
          <w:rStyle w:val="Strong"/>
          <w:b w:val="0"/>
          <w:lang w:val="en-GB"/>
        </w:rPr>
        <w:t>The last variable that is used for the determination of the use of real earnings managem</w:t>
      </w:r>
      <w:r w:rsidR="002225E6">
        <w:rPr>
          <w:rStyle w:val="Strong"/>
          <w:b w:val="0"/>
          <w:lang w:val="en-GB"/>
        </w:rPr>
        <w:t xml:space="preserve">ent is production costs. Like </w:t>
      </w:r>
      <w:r w:rsidR="003D2A83">
        <w:rPr>
          <w:rStyle w:val="Strong"/>
          <w:b w:val="0"/>
          <w:lang w:val="en-GB"/>
        </w:rPr>
        <w:t>with</w:t>
      </w:r>
      <w:r w:rsidRPr="00C149EE">
        <w:rPr>
          <w:rStyle w:val="Strong"/>
          <w:b w:val="0"/>
          <w:lang w:val="en-GB"/>
        </w:rPr>
        <w:t xml:space="preserve"> the variable COGS, </w:t>
      </w:r>
      <w:r w:rsidR="002225E6">
        <w:rPr>
          <w:rStyle w:val="Strong"/>
          <w:b w:val="0"/>
          <w:lang w:val="en-GB"/>
        </w:rPr>
        <w:t>a</w:t>
      </w:r>
      <w:r w:rsidR="00781154">
        <w:rPr>
          <w:rStyle w:val="Strong"/>
          <w:b w:val="0"/>
          <w:lang w:val="en-GB"/>
        </w:rPr>
        <w:t xml:space="preserve"> high value of </w:t>
      </w:r>
      <w:r w:rsidR="00676E01">
        <w:rPr>
          <w:rStyle w:val="Strong"/>
          <w:b w:val="0"/>
          <w:lang w:val="en-GB"/>
        </w:rPr>
        <w:t xml:space="preserve">the </w:t>
      </w:r>
      <w:r w:rsidR="00781154">
        <w:rPr>
          <w:rStyle w:val="Strong"/>
          <w:b w:val="0"/>
          <w:lang w:val="en-GB"/>
        </w:rPr>
        <w:t>R Square (0.956</w:t>
      </w:r>
      <w:r w:rsidRPr="00C149EE">
        <w:rPr>
          <w:rStyle w:val="Strong"/>
          <w:b w:val="0"/>
          <w:lang w:val="en-GB"/>
        </w:rPr>
        <w:t>)</w:t>
      </w:r>
      <w:r w:rsidR="00676E01">
        <w:rPr>
          <w:rStyle w:val="Strong"/>
          <w:b w:val="0"/>
          <w:lang w:val="en-GB"/>
        </w:rPr>
        <w:t xml:space="preserve"> exists</w:t>
      </w:r>
      <w:r w:rsidRPr="00C149EE">
        <w:rPr>
          <w:rStyle w:val="Strong"/>
          <w:b w:val="0"/>
          <w:lang w:val="en-GB"/>
        </w:rPr>
        <w:t>, which i</w:t>
      </w:r>
      <w:r w:rsidR="003D2A83">
        <w:rPr>
          <w:rStyle w:val="Strong"/>
          <w:b w:val="0"/>
          <w:lang w:val="en-GB"/>
        </w:rPr>
        <w:t>ndicates a high correlation (95.</w:t>
      </w:r>
      <w:r w:rsidR="00781154">
        <w:rPr>
          <w:rStyle w:val="Strong"/>
          <w:b w:val="0"/>
          <w:lang w:val="en-GB"/>
        </w:rPr>
        <w:t>6</w:t>
      </w:r>
      <w:r w:rsidRPr="00C149EE">
        <w:rPr>
          <w:rStyle w:val="Strong"/>
          <w:b w:val="0"/>
          <w:lang w:val="en-GB"/>
        </w:rPr>
        <w:t xml:space="preserve">%) between the production costs and the variables that are used as independent variables for the production costs. These variables are Change in Sales (t-1), 1 / Assets (t-1), Change in Sales / Assets (t-1) and Sales / Assets (t-1). The ANOVA table shows a significant relationship (sig. 0.000) between the dependent variable Production Costs and the independent variables, which are just </w:t>
      </w:r>
      <w:r w:rsidR="003D5D78">
        <w:rPr>
          <w:rStyle w:val="Strong"/>
          <w:b w:val="0"/>
          <w:lang w:val="en-GB"/>
        </w:rPr>
        <w:t>signalled</w:t>
      </w:r>
      <w:r w:rsidRPr="00C149EE">
        <w:rPr>
          <w:rStyle w:val="Strong"/>
          <w:b w:val="0"/>
          <w:lang w:val="en-GB"/>
        </w:rPr>
        <w:t xml:space="preserve">. </w:t>
      </w:r>
    </w:p>
    <w:tbl>
      <w:tblPr>
        <w:tblW w:w="897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2122"/>
        <w:gridCol w:w="1324"/>
        <w:gridCol w:w="1323"/>
        <w:gridCol w:w="1456"/>
        <w:gridCol w:w="1010"/>
        <w:gridCol w:w="1010"/>
      </w:tblGrid>
      <w:tr w:rsidR="00C149EE" w:rsidRPr="00BC4B50" w:rsidTr="00B353CB">
        <w:trPr>
          <w:jc w:val="center"/>
        </w:trPr>
        <w:tc>
          <w:tcPr>
            <w:tcW w:w="8972" w:type="dxa"/>
            <w:gridSpan w:val="7"/>
            <w:tcBorders>
              <w:top w:val="nil"/>
              <w:left w:val="nil"/>
              <w:bottom w:val="nil"/>
              <w:right w:val="nil"/>
            </w:tcBorders>
            <w:shd w:val="clear" w:color="auto" w:fill="FFFFFF"/>
            <w:vAlign w:val="center"/>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b/>
                <w:bCs/>
                <w:color w:val="000000"/>
                <w:sz w:val="18"/>
                <w:szCs w:val="18"/>
              </w:rPr>
              <w:t>Coefficients</w:t>
            </w:r>
            <w:r w:rsidRPr="00BC4B50">
              <w:rPr>
                <w:rFonts w:ascii="Arial" w:hAnsi="Arial"/>
                <w:b/>
                <w:bCs/>
                <w:color w:val="000000"/>
                <w:sz w:val="18"/>
                <w:szCs w:val="18"/>
                <w:vertAlign w:val="superscript"/>
              </w:rPr>
              <w:t>a</w:t>
            </w:r>
          </w:p>
        </w:tc>
      </w:tr>
      <w:tr w:rsidR="00C149EE" w:rsidRPr="00BC4B50" w:rsidTr="00B353CB">
        <w:trPr>
          <w:jc w:val="center"/>
        </w:trPr>
        <w:tc>
          <w:tcPr>
            <w:tcW w:w="2849"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rPr>
                <w:rFonts w:ascii="Arial" w:hAnsi="Arial"/>
                <w:color w:val="000000"/>
                <w:sz w:val="18"/>
                <w:szCs w:val="18"/>
              </w:rPr>
            </w:pPr>
            <w:r w:rsidRPr="00BC4B50">
              <w:rPr>
                <w:rFonts w:ascii="Arial" w:hAnsi="Arial"/>
                <w:color w:val="000000"/>
                <w:sz w:val="18"/>
                <w:szCs w:val="18"/>
              </w:rPr>
              <w:t>Model</w:t>
            </w:r>
          </w:p>
        </w:tc>
        <w:tc>
          <w:tcPr>
            <w:tcW w:w="2647" w:type="dxa"/>
            <w:gridSpan w:val="2"/>
            <w:tcBorders>
              <w:top w:val="single" w:sz="16" w:space="0" w:color="000000"/>
              <w:left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Unstandardized Coefficients</w:t>
            </w:r>
          </w:p>
        </w:tc>
        <w:tc>
          <w:tcPr>
            <w:tcW w:w="1456" w:type="dxa"/>
            <w:tcBorders>
              <w:top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Sig.</w:t>
            </w:r>
          </w:p>
        </w:tc>
      </w:tr>
      <w:tr w:rsidR="00C149EE" w:rsidRPr="00BC4B50" w:rsidTr="00B353CB">
        <w:trPr>
          <w:jc w:val="center"/>
        </w:trPr>
        <w:tc>
          <w:tcPr>
            <w:tcW w:w="2849"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c>
          <w:tcPr>
            <w:tcW w:w="1324" w:type="dxa"/>
            <w:tcBorders>
              <w:left w:val="single" w:sz="16" w:space="0" w:color="000000"/>
              <w:bottom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B</w:t>
            </w:r>
          </w:p>
        </w:tc>
        <w:tc>
          <w:tcPr>
            <w:tcW w:w="1323" w:type="dxa"/>
            <w:tcBorders>
              <w:bottom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Std. Error</w:t>
            </w:r>
          </w:p>
        </w:tc>
        <w:tc>
          <w:tcPr>
            <w:tcW w:w="1456" w:type="dxa"/>
            <w:tcBorders>
              <w:bottom w:val="single" w:sz="16" w:space="0" w:color="000000"/>
            </w:tcBorders>
            <w:shd w:val="clear" w:color="auto" w:fill="FFFFFF"/>
            <w:vAlign w:val="bottom"/>
          </w:tcPr>
          <w:p w:rsidR="00C149EE" w:rsidRPr="00BC4B50" w:rsidRDefault="00C149EE" w:rsidP="00B353CB">
            <w:pPr>
              <w:autoSpaceDE w:val="0"/>
              <w:autoSpaceDN w:val="0"/>
              <w:adjustRightInd w:val="0"/>
              <w:spacing w:after="0" w:line="320" w:lineRule="atLeast"/>
              <w:ind w:left="60" w:right="60"/>
              <w:jc w:val="center"/>
              <w:rPr>
                <w:rFonts w:ascii="Arial" w:hAnsi="Arial"/>
                <w:color w:val="000000"/>
                <w:sz w:val="18"/>
                <w:szCs w:val="18"/>
              </w:rPr>
            </w:pPr>
            <w:r w:rsidRPr="00BC4B50">
              <w:rPr>
                <w:rFonts w:ascii="Arial" w:hAnsi="Arial"/>
                <w:color w:val="000000"/>
                <w:sz w:val="18"/>
                <w:szCs w:val="18"/>
              </w:rPr>
              <w:t>Beta</w:t>
            </w:r>
          </w:p>
        </w:tc>
        <w:tc>
          <w:tcPr>
            <w:tcW w:w="1010" w:type="dxa"/>
            <w:vMerge/>
            <w:tcBorders>
              <w:top w:val="single" w:sz="16" w:space="0" w:color="000000"/>
              <w:bottom w:val="single" w:sz="16" w:space="0" w:color="000000"/>
            </w:tcBorders>
            <w:shd w:val="clear" w:color="auto" w:fill="FFFFFF"/>
            <w:vAlign w:val="bottom"/>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r>
      <w:tr w:rsidR="00C149EE" w:rsidRPr="00BC4B50" w:rsidTr="00B353CB">
        <w:trPr>
          <w:jc w:val="center"/>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C149EE" w:rsidRPr="00BC4B50" w:rsidRDefault="00C149EE" w:rsidP="00B353CB">
            <w:pPr>
              <w:autoSpaceDE w:val="0"/>
              <w:autoSpaceDN w:val="0"/>
              <w:adjustRightInd w:val="0"/>
              <w:spacing w:after="0" w:line="320" w:lineRule="atLeast"/>
              <w:ind w:left="60" w:right="60"/>
              <w:rPr>
                <w:rFonts w:ascii="Arial" w:hAnsi="Arial"/>
                <w:color w:val="000000"/>
                <w:sz w:val="18"/>
                <w:szCs w:val="18"/>
              </w:rPr>
            </w:pPr>
            <w:r w:rsidRPr="00BC4B50">
              <w:rPr>
                <w:rFonts w:ascii="Arial" w:hAnsi="Arial"/>
                <w:color w:val="000000"/>
                <w:sz w:val="18"/>
                <w:szCs w:val="18"/>
              </w:rPr>
              <w:t>1</w:t>
            </w:r>
          </w:p>
        </w:tc>
        <w:tc>
          <w:tcPr>
            <w:tcW w:w="2122" w:type="dxa"/>
            <w:tcBorders>
              <w:top w:val="single" w:sz="16" w:space="0" w:color="000000"/>
              <w:left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rPr>
                <w:rFonts w:ascii="Arial" w:hAnsi="Arial"/>
                <w:color w:val="000000"/>
                <w:sz w:val="18"/>
                <w:szCs w:val="18"/>
              </w:rPr>
            </w:pPr>
            <w:r w:rsidRPr="00BC4B50">
              <w:rPr>
                <w:rFonts w:ascii="Arial" w:hAnsi="Arial"/>
                <w:color w:val="000000"/>
                <w:sz w:val="18"/>
                <w:szCs w:val="18"/>
              </w:rPr>
              <w:t>(Constant)</w:t>
            </w:r>
          </w:p>
        </w:tc>
        <w:tc>
          <w:tcPr>
            <w:tcW w:w="1324" w:type="dxa"/>
            <w:tcBorders>
              <w:top w:val="single" w:sz="16" w:space="0" w:color="000000"/>
              <w:left w:val="single" w:sz="16" w:space="0" w:color="000000"/>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-.216</w:t>
            </w:r>
          </w:p>
        </w:tc>
        <w:tc>
          <w:tcPr>
            <w:tcW w:w="1323" w:type="dxa"/>
            <w:tcBorders>
              <w:top w:val="single" w:sz="16" w:space="0" w:color="000000"/>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.023</w:t>
            </w:r>
          </w:p>
        </w:tc>
        <w:tc>
          <w:tcPr>
            <w:tcW w:w="1456" w:type="dxa"/>
            <w:tcBorders>
              <w:top w:val="single" w:sz="16" w:space="0" w:color="000000"/>
              <w:bottom w:val="nil"/>
            </w:tcBorders>
            <w:shd w:val="clear" w:color="auto" w:fill="FFFFFF"/>
            <w:vAlign w:val="center"/>
          </w:tcPr>
          <w:p w:rsidR="00C149EE" w:rsidRPr="00BC4B50" w:rsidRDefault="00C149EE" w:rsidP="00B353CB">
            <w:pPr>
              <w:autoSpaceDE w:val="0"/>
              <w:autoSpaceDN w:val="0"/>
              <w:adjustRightInd w:val="0"/>
              <w:spacing w:after="0" w:line="240" w:lineRule="auto"/>
              <w:jc w:val="center"/>
              <w:rPr>
                <w:rFonts w:ascii="Times New Roman" w:hAnsi="Times New Roman" w:cs="Times New Roman"/>
                <w:sz w:val="24"/>
                <w:szCs w:val="24"/>
              </w:rPr>
            </w:pPr>
          </w:p>
        </w:tc>
        <w:tc>
          <w:tcPr>
            <w:tcW w:w="1010" w:type="dxa"/>
            <w:tcBorders>
              <w:top w:val="single" w:sz="16" w:space="0" w:color="000000"/>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-9.545</w:t>
            </w:r>
          </w:p>
        </w:tc>
        <w:tc>
          <w:tcPr>
            <w:tcW w:w="1010" w:type="dxa"/>
            <w:tcBorders>
              <w:top w:val="single" w:sz="16" w:space="0" w:color="000000"/>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.000</w:t>
            </w:r>
          </w:p>
        </w:tc>
      </w:tr>
      <w:tr w:rsidR="00C149EE" w:rsidRPr="00BC4B5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rPr>
                <w:rFonts w:ascii="Arial" w:hAnsi="Arial"/>
                <w:color w:val="000000"/>
                <w:sz w:val="18"/>
                <w:szCs w:val="18"/>
              </w:rPr>
            </w:pPr>
            <w:r w:rsidRPr="00BC4B50">
              <w:rPr>
                <w:rFonts w:ascii="Arial" w:hAnsi="Arial"/>
                <w:color w:val="000000"/>
                <w:sz w:val="18"/>
                <w:szCs w:val="18"/>
              </w:rPr>
              <w:t>1</w:t>
            </w:r>
            <w:r>
              <w:rPr>
                <w:rFonts w:ascii="Arial" w:hAnsi="Arial"/>
                <w:color w:val="000000"/>
                <w:sz w:val="18"/>
                <w:szCs w:val="18"/>
              </w:rPr>
              <w:t xml:space="preserve"> / </w:t>
            </w:r>
            <w:r w:rsidRPr="00BC4B50">
              <w:rPr>
                <w:rFonts w:ascii="Arial" w:hAnsi="Arial"/>
                <w:color w:val="000000"/>
                <w:sz w:val="18"/>
                <w:szCs w:val="18"/>
              </w:rPr>
              <w:t>A</w:t>
            </w:r>
            <w:r>
              <w:rPr>
                <w:rFonts w:ascii="Arial" w:hAnsi="Arial"/>
                <w:color w:val="000000"/>
                <w:sz w:val="18"/>
                <w:szCs w:val="18"/>
              </w:rPr>
              <w:t xml:space="preserve"> (</w:t>
            </w:r>
            <w:r w:rsidRPr="00BC4B50">
              <w:rPr>
                <w:rFonts w:ascii="Arial" w:hAnsi="Arial"/>
                <w:color w:val="000000"/>
                <w:sz w:val="18"/>
                <w:szCs w:val="18"/>
              </w:rPr>
              <w:t>t</w:t>
            </w:r>
            <w:r>
              <w:rPr>
                <w:rFonts w:ascii="Arial" w:hAnsi="Arial"/>
                <w:color w:val="000000"/>
                <w:sz w:val="18"/>
                <w:szCs w:val="18"/>
              </w:rPr>
              <w:t>-</w:t>
            </w:r>
            <w:r w:rsidRPr="00BC4B5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-.434</w:t>
            </w:r>
          </w:p>
        </w:tc>
        <w:tc>
          <w:tcPr>
            <w:tcW w:w="1323"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.422</w:t>
            </w:r>
          </w:p>
        </w:tc>
        <w:tc>
          <w:tcPr>
            <w:tcW w:w="1456"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-.010</w:t>
            </w:r>
          </w:p>
        </w:tc>
        <w:tc>
          <w:tcPr>
            <w:tcW w:w="1010"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-1.028</w:t>
            </w:r>
          </w:p>
        </w:tc>
        <w:tc>
          <w:tcPr>
            <w:tcW w:w="1010" w:type="dxa"/>
            <w:tcBorders>
              <w:top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.304</w:t>
            </w:r>
          </w:p>
        </w:tc>
      </w:tr>
      <w:tr w:rsidR="00C149EE" w:rsidRPr="00BC4B5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 / A (t-</w:t>
            </w:r>
            <w:r w:rsidRPr="00BC4B5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.950</w:t>
            </w:r>
          </w:p>
        </w:tc>
        <w:tc>
          <w:tcPr>
            <w:tcW w:w="1323"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.013</w:t>
            </w:r>
          </w:p>
        </w:tc>
        <w:tc>
          <w:tcPr>
            <w:tcW w:w="1456"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1.011</w:t>
            </w:r>
          </w:p>
        </w:tc>
        <w:tc>
          <w:tcPr>
            <w:tcW w:w="1010"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70.853</w:t>
            </w:r>
          </w:p>
        </w:tc>
        <w:tc>
          <w:tcPr>
            <w:tcW w:w="1010" w:type="dxa"/>
            <w:tcBorders>
              <w:top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.000</w:t>
            </w:r>
          </w:p>
        </w:tc>
      </w:tr>
      <w:tr w:rsidR="00C149EE" w:rsidRPr="00BC4B5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rPr>
                <w:rFonts w:ascii="Arial" w:hAnsi="Arial"/>
                <w:color w:val="000000"/>
                <w:sz w:val="18"/>
                <w:szCs w:val="18"/>
              </w:rPr>
            </w:pPr>
            <w:r w:rsidRPr="00BC4B50">
              <w:rPr>
                <w:rFonts w:ascii="Arial" w:hAnsi="Arial"/>
                <w:color w:val="000000"/>
                <w:sz w:val="18"/>
                <w:szCs w:val="18"/>
              </w:rPr>
              <w:t>Change</w:t>
            </w:r>
            <w:r>
              <w:rPr>
                <w:rFonts w:ascii="Arial" w:hAnsi="Arial"/>
                <w:color w:val="000000"/>
                <w:sz w:val="18"/>
                <w:szCs w:val="18"/>
              </w:rPr>
              <w:t xml:space="preserve"> </w:t>
            </w:r>
            <w:r w:rsidRPr="00BC4B50">
              <w:rPr>
                <w:rFonts w:ascii="Arial" w:hAnsi="Arial"/>
                <w:color w:val="000000"/>
                <w:sz w:val="18"/>
                <w:szCs w:val="18"/>
              </w:rPr>
              <w:t>S</w:t>
            </w:r>
            <w:r>
              <w:rPr>
                <w:rFonts w:ascii="Arial" w:hAnsi="Arial"/>
                <w:color w:val="000000"/>
                <w:sz w:val="18"/>
                <w:szCs w:val="18"/>
              </w:rPr>
              <w:t xml:space="preserve"> / </w:t>
            </w:r>
            <w:r w:rsidRPr="00BC4B50">
              <w:rPr>
                <w:rFonts w:ascii="Arial" w:hAnsi="Arial"/>
                <w:color w:val="000000"/>
                <w:sz w:val="18"/>
                <w:szCs w:val="18"/>
              </w:rPr>
              <w:t>A</w:t>
            </w:r>
            <w:r>
              <w:rPr>
                <w:rFonts w:ascii="Arial" w:hAnsi="Arial"/>
                <w:color w:val="000000"/>
                <w:sz w:val="18"/>
                <w:szCs w:val="18"/>
              </w:rPr>
              <w:t xml:space="preserve"> (</w:t>
            </w:r>
            <w:r w:rsidRPr="00BC4B50">
              <w:rPr>
                <w:rFonts w:ascii="Arial" w:hAnsi="Arial"/>
                <w:color w:val="000000"/>
                <w:sz w:val="18"/>
                <w:szCs w:val="18"/>
              </w:rPr>
              <w:t>t</w:t>
            </w:r>
            <w:r>
              <w:rPr>
                <w:rFonts w:ascii="Arial" w:hAnsi="Arial"/>
                <w:color w:val="000000"/>
                <w:sz w:val="18"/>
                <w:szCs w:val="18"/>
              </w:rPr>
              <w:t>-</w:t>
            </w:r>
            <w:r w:rsidRPr="00BC4B50">
              <w:rPr>
                <w:rFonts w:ascii="Arial" w:hAnsi="Arial"/>
                <w:color w:val="000000"/>
                <w:sz w:val="18"/>
                <w:szCs w:val="18"/>
              </w:rPr>
              <w:t>1</w:t>
            </w:r>
            <w:r>
              <w:rPr>
                <w:rFonts w:ascii="Arial" w:hAnsi="Arial"/>
                <w:color w:val="000000"/>
                <w:sz w:val="18"/>
                <w:szCs w:val="18"/>
              </w:rPr>
              <w:t>)</w:t>
            </w:r>
          </w:p>
        </w:tc>
        <w:tc>
          <w:tcPr>
            <w:tcW w:w="1324" w:type="dxa"/>
            <w:tcBorders>
              <w:top w:val="nil"/>
              <w:left w:val="single" w:sz="16" w:space="0" w:color="000000"/>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-.055</w:t>
            </w:r>
          </w:p>
        </w:tc>
        <w:tc>
          <w:tcPr>
            <w:tcW w:w="1323"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.022</w:t>
            </w:r>
          </w:p>
        </w:tc>
        <w:tc>
          <w:tcPr>
            <w:tcW w:w="1456"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-.035</w:t>
            </w:r>
          </w:p>
        </w:tc>
        <w:tc>
          <w:tcPr>
            <w:tcW w:w="1010" w:type="dxa"/>
            <w:tcBorders>
              <w:top w:val="nil"/>
              <w:bottom w:val="nil"/>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-2.485</w:t>
            </w:r>
          </w:p>
        </w:tc>
        <w:tc>
          <w:tcPr>
            <w:tcW w:w="1010" w:type="dxa"/>
            <w:tcBorders>
              <w:top w:val="nil"/>
              <w:bottom w:val="nil"/>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.013</w:t>
            </w:r>
          </w:p>
        </w:tc>
      </w:tr>
      <w:tr w:rsidR="00C149EE" w:rsidRPr="00BC4B50" w:rsidTr="00B353CB">
        <w:trPr>
          <w:jc w:val="center"/>
        </w:trPr>
        <w:tc>
          <w:tcPr>
            <w:tcW w:w="727" w:type="dxa"/>
            <w:vMerge/>
            <w:tcBorders>
              <w:top w:val="single" w:sz="16" w:space="0" w:color="000000"/>
              <w:left w:val="single" w:sz="16" w:space="0" w:color="000000"/>
              <w:bottom w:val="single" w:sz="16" w:space="0" w:color="000000"/>
              <w:right w:val="nil"/>
            </w:tcBorders>
            <w:shd w:val="clear" w:color="auto" w:fill="FFFFFF"/>
          </w:tcPr>
          <w:p w:rsidR="00C149EE" w:rsidRPr="00BC4B50" w:rsidRDefault="00C149EE" w:rsidP="00B353CB">
            <w:pPr>
              <w:autoSpaceDE w:val="0"/>
              <w:autoSpaceDN w:val="0"/>
              <w:adjustRightInd w:val="0"/>
              <w:spacing w:after="0" w:line="240" w:lineRule="auto"/>
              <w:rPr>
                <w:rFonts w:ascii="Arial" w:hAnsi="Arial"/>
                <w:color w:val="000000"/>
                <w:sz w:val="18"/>
                <w:szCs w:val="18"/>
              </w:rPr>
            </w:pPr>
          </w:p>
        </w:tc>
        <w:tc>
          <w:tcPr>
            <w:tcW w:w="2122" w:type="dxa"/>
            <w:tcBorders>
              <w:top w:val="nil"/>
              <w:left w:val="nil"/>
              <w:bottom w:val="single" w:sz="16" w:space="0" w:color="000000"/>
              <w:right w:val="single" w:sz="16" w:space="0" w:color="000000"/>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Change S (t-1) / A (t-1)</w:t>
            </w:r>
          </w:p>
        </w:tc>
        <w:tc>
          <w:tcPr>
            <w:tcW w:w="1324" w:type="dxa"/>
            <w:tcBorders>
              <w:top w:val="nil"/>
              <w:left w:val="single" w:sz="16" w:space="0" w:color="000000"/>
              <w:bottom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-.093</w:t>
            </w:r>
          </w:p>
        </w:tc>
        <w:tc>
          <w:tcPr>
            <w:tcW w:w="1323" w:type="dxa"/>
            <w:tcBorders>
              <w:top w:val="nil"/>
              <w:bottom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.027</w:t>
            </w:r>
          </w:p>
        </w:tc>
        <w:tc>
          <w:tcPr>
            <w:tcW w:w="1456" w:type="dxa"/>
            <w:tcBorders>
              <w:top w:val="nil"/>
              <w:bottom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-.034</w:t>
            </w:r>
          </w:p>
        </w:tc>
        <w:tc>
          <w:tcPr>
            <w:tcW w:w="1010" w:type="dxa"/>
            <w:tcBorders>
              <w:top w:val="nil"/>
              <w:bottom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-3.452</w:t>
            </w:r>
          </w:p>
        </w:tc>
        <w:tc>
          <w:tcPr>
            <w:tcW w:w="1010" w:type="dxa"/>
            <w:tcBorders>
              <w:top w:val="nil"/>
              <w:bottom w:val="single" w:sz="16" w:space="0" w:color="000000"/>
              <w:right w:val="single" w:sz="16" w:space="0" w:color="000000"/>
            </w:tcBorders>
            <w:shd w:val="clear" w:color="auto" w:fill="FFFFFF"/>
          </w:tcPr>
          <w:p w:rsidR="00C149EE" w:rsidRPr="00BC4B50" w:rsidRDefault="00C149EE" w:rsidP="00B353CB">
            <w:pPr>
              <w:autoSpaceDE w:val="0"/>
              <w:autoSpaceDN w:val="0"/>
              <w:adjustRightInd w:val="0"/>
              <w:spacing w:after="0" w:line="320" w:lineRule="atLeast"/>
              <w:ind w:left="60" w:right="60"/>
              <w:jc w:val="right"/>
              <w:rPr>
                <w:rFonts w:ascii="Arial" w:hAnsi="Arial"/>
                <w:color w:val="000000"/>
                <w:sz w:val="18"/>
                <w:szCs w:val="18"/>
              </w:rPr>
            </w:pPr>
            <w:r w:rsidRPr="00BC4B50">
              <w:rPr>
                <w:rFonts w:ascii="Arial" w:hAnsi="Arial"/>
                <w:color w:val="000000"/>
                <w:sz w:val="18"/>
                <w:szCs w:val="18"/>
              </w:rPr>
              <w:t>.001</w:t>
            </w:r>
          </w:p>
        </w:tc>
      </w:tr>
      <w:tr w:rsidR="00C149EE" w:rsidRPr="0013388B" w:rsidTr="00B353CB">
        <w:trPr>
          <w:jc w:val="center"/>
        </w:trPr>
        <w:tc>
          <w:tcPr>
            <w:tcW w:w="8972" w:type="dxa"/>
            <w:gridSpan w:val="7"/>
            <w:tcBorders>
              <w:top w:val="nil"/>
              <w:left w:val="nil"/>
              <w:bottom w:val="nil"/>
              <w:right w:val="nil"/>
            </w:tcBorders>
            <w:shd w:val="clear" w:color="auto" w:fill="FFFFFF"/>
          </w:tcPr>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r w:rsidRPr="00C149EE">
              <w:rPr>
                <w:rFonts w:ascii="Arial" w:hAnsi="Arial"/>
                <w:color w:val="000000"/>
                <w:sz w:val="18"/>
                <w:szCs w:val="18"/>
                <w:lang w:val="en-GB"/>
              </w:rPr>
              <w:t>a. Dependent Variable: PROD / A (t-1)</w:t>
            </w:r>
          </w:p>
          <w:p w:rsidR="00C149EE" w:rsidRPr="00C149EE" w:rsidRDefault="00C149EE" w:rsidP="00B353CB">
            <w:pPr>
              <w:autoSpaceDE w:val="0"/>
              <w:autoSpaceDN w:val="0"/>
              <w:adjustRightInd w:val="0"/>
              <w:spacing w:after="0" w:line="320" w:lineRule="atLeast"/>
              <w:ind w:left="60" w:right="60"/>
              <w:rPr>
                <w:rFonts w:ascii="Arial" w:hAnsi="Arial"/>
                <w:color w:val="000000"/>
                <w:sz w:val="18"/>
                <w:szCs w:val="18"/>
                <w:lang w:val="en-GB"/>
              </w:rPr>
            </w:pPr>
          </w:p>
        </w:tc>
      </w:tr>
    </w:tbl>
    <w:p w:rsidR="00676E01" w:rsidRDefault="00676E01" w:rsidP="00C149EE">
      <w:pPr>
        <w:spacing w:line="360" w:lineRule="auto"/>
        <w:rPr>
          <w:rFonts w:cs="Calibri"/>
          <w:bCs/>
          <w:lang w:val="en-GB"/>
        </w:rPr>
      </w:pPr>
      <w:r w:rsidRPr="00C149EE">
        <w:rPr>
          <w:rStyle w:val="Strong"/>
          <w:b w:val="0"/>
          <w:lang w:val="en-GB"/>
        </w:rPr>
        <w:t xml:space="preserve">The table Coefficients shows that three variables and their coefficients are significant and one is not significant. Only the variable 1 / Assets (t-1) is not significant (0.304), the variables Sales / Assets (t-1) (0.000); Change in Sales / Assets (t-1) (0.013) and Change in Sales (t-1) / Assets (t-1) (0.001) are significant. </w:t>
      </w:r>
      <w:r>
        <w:rPr>
          <w:rStyle w:val="Strong"/>
          <w:b w:val="0"/>
          <w:lang w:val="en-GB"/>
        </w:rPr>
        <w:t xml:space="preserve">The coefficients of the independent variables are: </w:t>
      </w:r>
      <w:r w:rsidRPr="00C149EE">
        <w:rPr>
          <w:rStyle w:val="Strong"/>
          <w:b w:val="0"/>
          <w:lang w:val="en-GB"/>
        </w:rPr>
        <w:t xml:space="preserve"> 1 / Assets (t-1) -0.434; Sales / Assets (t-1) 0.950; Change in Sales / Assets (t-1) -0.055 and Change in Sales (t-1) / Assets (t-1) -0.093.</w:t>
      </w:r>
    </w:p>
    <w:p w:rsidR="00C149EE" w:rsidRPr="009A011F" w:rsidRDefault="009A011F" w:rsidP="00C149EE">
      <w:pPr>
        <w:spacing w:line="360" w:lineRule="auto"/>
        <w:rPr>
          <w:rFonts w:cs="Calibri"/>
          <w:b/>
          <w:bCs/>
          <w:lang w:val="en-GB"/>
        </w:rPr>
      </w:pPr>
      <w:r w:rsidRPr="009A011F">
        <w:rPr>
          <w:rFonts w:cs="Calibri"/>
          <w:bCs/>
          <w:lang w:val="en-GB"/>
        </w:rPr>
        <w:t>With the coefficients that are found in the regressions, the ‘normal’ level of the variables cash flow of operations, costs of goods sold, and change in inventory and production costs will be determined.</w:t>
      </w:r>
      <w:r>
        <w:rPr>
          <w:rFonts w:cs="Calibri"/>
          <w:b/>
          <w:bCs/>
          <w:lang w:val="en-GB"/>
        </w:rPr>
        <w:t xml:space="preserve"> </w:t>
      </w:r>
      <w:r w:rsidR="003D5D78">
        <w:rPr>
          <w:rFonts w:cs="Calibri"/>
          <w:bCs/>
          <w:lang w:val="en-GB"/>
        </w:rPr>
        <w:t>This</w:t>
      </w:r>
      <w:r w:rsidR="00C0696B">
        <w:rPr>
          <w:rFonts w:cs="Calibri"/>
          <w:bCs/>
          <w:lang w:val="en-GB"/>
        </w:rPr>
        <w:t xml:space="preserve"> ‘normal’ level </w:t>
      </w:r>
      <w:r w:rsidR="003D5D78">
        <w:rPr>
          <w:rFonts w:cs="Calibri"/>
          <w:bCs/>
          <w:lang w:val="en-GB"/>
        </w:rPr>
        <w:t>is</w:t>
      </w:r>
      <w:r w:rsidR="00C0696B">
        <w:rPr>
          <w:rFonts w:cs="Calibri"/>
          <w:bCs/>
          <w:lang w:val="en-GB"/>
        </w:rPr>
        <w:t xml:space="preserve"> compared to the actual levels; the difference is indicative for the use of real earnings management. </w:t>
      </w:r>
    </w:p>
    <w:p w:rsidR="00C0696B" w:rsidRDefault="009A011F" w:rsidP="00C149EE">
      <w:pPr>
        <w:spacing w:line="360" w:lineRule="auto"/>
        <w:rPr>
          <w:rFonts w:cs="Calibri"/>
          <w:bCs/>
          <w:lang w:val="en-GB"/>
        </w:rPr>
      </w:pPr>
      <w:r>
        <w:rPr>
          <w:rFonts w:cs="Calibri"/>
          <w:bCs/>
          <w:lang w:val="en-GB"/>
        </w:rPr>
        <w:lastRenderedPageBreak/>
        <w:t xml:space="preserve">The difference between </w:t>
      </w:r>
      <w:r w:rsidR="00C0696B">
        <w:rPr>
          <w:rFonts w:cs="Calibri"/>
          <w:bCs/>
          <w:lang w:val="en-GB"/>
        </w:rPr>
        <w:t xml:space="preserve">the ‘normal’ and actual level of the real earnings management indicating variables </w:t>
      </w:r>
      <w:r>
        <w:rPr>
          <w:rFonts w:cs="Calibri"/>
          <w:bCs/>
          <w:lang w:val="en-GB"/>
        </w:rPr>
        <w:t xml:space="preserve">will </w:t>
      </w:r>
      <w:r w:rsidR="00C0696B">
        <w:rPr>
          <w:rFonts w:cs="Calibri"/>
          <w:bCs/>
          <w:lang w:val="en-GB"/>
        </w:rPr>
        <w:t>be used as dependent variable in a multiple regression in the next section. But before both methods are used as dependent variables separate</w:t>
      </w:r>
      <w:r w:rsidR="0059173E">
        <w:rPr>
          <w:rFonts w:cs="Calibri"/>
          <w:bCs/>
          <w:lang w:val="en-GB"/>
        </w:rPr>
        <w:t>ly, will the sum of both methods</w:t>
      </w:r>
      <w:r w:rsidR="00C0696B">
        <w:rPr>
          <w:rFonts w:cs="Calibri"/>
          <w:bCs/>
          <w:lang w:val="en-GB"/>
        </w:rPr>
        <w:t xml:space="preserve"> indicating the total amount of</w:t>
      </w:r>
      <w:r w:rsidR="00676E01">
        <w:rPr>
          <w:rFonts w:cs="Calibri"/>
          <w:bCs/>
          <w:lang w:val="en-GB"/>
        </w:rPr>
        <w:t xml:space="preserve"> the use of</w:t>
      </w:r>
      <w:r w:rsidR="00C0696B">
        <w:rPr>
          <w:rFonts w:cs="Calibri"/>
          <w:bCs/>
          <w:lang w:val="en-GB"/>
        </w:rPr>
        <w:t xml:space="preserve"> earnings management, be used as dependent variable in a multiple regression. </w:t>
      </w:r>
      <w:r w:rsidR="00382DBA">
        <w:rPr>
          <w:rFonts w:cs="Calibri"/>
          <w:bCs/>
          <w:lang w:val="en-GB"/>
        </w:rPr>
        <w:t xml:space="preserve">Further explanation and the outcomes of the multiple regression will be </w:t>
      </w:r>
      <w:r w:rsidR="00FD57D0">
        <w:rPr>
          <w:rFonts w:cs="Calibri"/>
          <w:bCs/>
          <w:lang w:val="en-GB"/>
        </w:rPr>
        <w:t>commented</w:t>
      </w:r>
      <w:r w:rsidR="00382DBA">
        <w:rPr>
          <w:rFonts w:cs="Calibri"/>
          <w:bCs/>
          <w:lang w:val="en-GB"/>
        </w:rPr>
        <w:t xml:space="preserve"> in the next section.</w:t>
      </w:r>
    </w:p>
    <w:p w:rsidR="00C149EE" w:rsidRPr="00C149EE" w:rsidRDefault="00C149EE" w:rsidP="00FD7804">
      <w:pPr>
        <w:spacing w:line="360" w:lineRule="auto"/>
        <w:rPr>
          <w:lang w:val="en-GB"/>
        </w:rPr>
      </w:pPr>
      <w:r w:rsidRPr="00C149EE">
        <w:rPr>
          <w:b/>
          <w:lang w:val="en-GB"/>
        </w:rPr>
        <w:t>7.3 Multiple regressions</w:t>
      </w:r>
      <w:r w:rsidRPr="00C149EE">
        <w:rPr>
          <w:b/>
          <w:lang w:val="en-GB"/>
        </w:rPr>
        <w:br/>
      </w:r>
      <w:r w:rsidR="000B08E7">
        <w:rPr>
          <w:lang w:val="en-GB"/>
        </w:rPr>
        <w:t>Multiple regression analyse</w:t>
      </w:r>
      <w:r w:rsidRPr="00C149EE">
        <w:rPr>
          <w:lang w:val="en-GB"/>
        </w:rPr>
        <w:t>s indicate the influence of independent variables on a dependent variable</w:t>
      </w:r>
      <w:r w:rsidR="00451796">
        <w:rPr>
          <w:lang w:val="en-GB"/>
        </w:rPr>
        <w:t xml:space="preserve"> (De Vocht 2007, p</w:t>
      </w:r>
      <w:r w:rsidR="000B08E7">
        <w:rPr>
          <w:lang w:val="en-GB"/>
        </w:rPr>
        <w:t xml:space="preserve"> </w:t>
      </w:r>
      <w:r w:rsidR="00451796">
        <w:rPr>
          <w:lang w:val="en-GB"/>
        </w:rPr>
        <w:t>198)</w:t>
      </w:r>
      <w:r w:rsidRPr="00C149EE">
        <w:rPr>
          <w:lang w:val="en-GB"/>
        </w:rPr>
        <w:t>. In this research, the tota</w:t>
      </w:r>
      <w:r w:rsidR="007F7FBB">
        <w:rPr>
          <w:lang w:val="en-GB"/>
        </w:rPr>
        <w:t xml:space="preserve">l amount of earnings management, </w:t>
      </w:r>
      <w:r w:rsidRPr="00C149EE">
        <w:rPr>
          <w:lang w:val="en-GB"/>
        </w:rPr>
        <w:t xml:space="preserve">the amount of </w:t>
      </w:r>
      <w:r w:rsidR="00362A89">
        <w:rPr>
          <w:lang w:val="en-GB"/>
        </w:rPr>
        <w:t xml:space="preserve">earnings management </w:t>
      </w:r>
      <w:r w:rsidR="000B08E7">
        <w:rPr>
          <w:lang w:val="en-GB"/>
        </w:rPr>
        <w:t>by</w:t>
      </w:r>
      <w:r w:rsidR="00362A89">
        <w:rPr>
          <w:lang w:val="en-GB"/>
        </w:rPr>
        <w:t xml:space="preserve"> </w:t>
      </w:r>
      <w:r w:rsidRPr="00C149EE">
        <w:rPr>
          <w:lang w:val="en-GB"/>
        </w:rPr>
        <w:t>accruals</w:t>
      </w:r>
      <w:r w:rsidR="000B08E7">
        <w:rPr>
          <w:lang w:val="en-GB"/>
        </w:rPr>
        <w:t xml:space="preserve"> a</w:t>
      </w:r>
      <w:r w:rsidR="00362A89">
        <w:rPr>
          <w:lang w:val="en-GB"/>
        </w:rPr>
        <w:t>nd</w:t>
      </w:r>
      <w:r w:rsidR="007F7FBB">
        <w:rPr>
          <w:lang w:val="en-GB"/>
        </w:rPr>
        <w:t xml:space="preserve"> </w:t>
      </w:r>
      <w:r w:rsidRPr="00C149EE">
        <w:rPr>
          <w:lang w:val="en-GB"/>
        </w:rPr>
        <w:t>real</w:t>
      </w:r>
      <w:r w:rsidR="000B08E7">
        <w:rPr>
          <w:lang w:val="en-GB"/>
        </w:rPr>
        <w:t xml:space="preserve"> activities</w:t>
      </w:r>
      <w:r w:rsidRPr="00C149EE">
        <w:rPr>
          <w:lang w:val="en-GB"/>
        </w:rPr>
        <w:t xml:space="preserve"> are use</w:t>
      </w:r>
      <w:r w:rsidR="00362A89">
        <w:rPr>
          <w:lang w:val="en-GB"/>
        </w:rPr>
        <w:t xml:space="preserve">d as </w:t>
      </w:r>
      <w:r w:rsidRPr="00C149EE">
        <w:rPr>
          <w:lang w:val="en-GB"/>
        </w:rPr>
        <w:t xml:space="preserve">dependent variables. </w:t>
      </w:r>
      <w:r w:rsidR="007F7FBB">
        <w:rPr>
          <w:lang w:val="en-GB"/>
        </w:rPr>
        <w:t>The independent variables a</w:t>
      </w:r>
      <w:r w:rsidRPr="00C149EE">
        <w:rPr>
          <w:lang w:val="en-GB"/>
        </w:rPr>
        <w:t xml:space="preserve">ccounting standards, country and size are used to </w:t>
      </w:r>
      <w:r w:rsidR="007F7FBB">
        <w:rPr>
          <w:lang w:val="en-GB"/>
        </w:rPr>
        <w:t>test whether and</w:t>
      </w:r>
      <w:r w:rsidR="00451796">
        <w:rPr>
          <w:lang w:val="en-GB"/>
        </w:rPr>
        <w:t>,</w:t>
      </w:r>
      <w:r w:rsidR="007F7FBB">
        <w:rPr>
          <w:lang w:val="en-GB"/>
        </w:rPr>
        <w:t xml:space="preserve"> if so</w:t>
      </w:r>
      <w:r w:rsidR="00451796">
        <w:rPr>
          <w:lang w:val="en-GB"/>
        </w:rPr>
        <w:t>,</w:t>
      </w:r>
      <w:r w:rsidR="007F7FBB">
        <w:rPr>
          <w:lang w:val="en-GB"/>
        </w:rPr>
        <w:t xml:space="preserve"> how much influence </w:t>
      </w:r>
      <w:r w:rsidR="002225E6">
        <w:rPr>
          <w:lang w:val="en-GB"/>
        </w:rPr>
        <w:t>the variables</w:t>
      </w:r>
      <w:r w:rsidR="007F7FBB">
        <w:rPr>
          <w:lang w:val="en-GB"/>
        </w:rPr>
        <w:t xml:space="preserve"> have</w:t>
      </w:r>
      <w:r w:rsidRPr="00C149EE">
        <w:rPr>
          <w:lang w:val="en-GB"/>
        </w:rPr>
        <w:t xml:space="preserve"> on the </w:t>
      </w:r>
      <w:r w:rsidR="007F7FBB">
        <w:rPr>
          <w:lang w:val="en-GB"/>
        </w:rPr>
        <w:t xml:space="preserve">different </w:t>
      </w:r>
      <w:r w:rsidRPr="00C149EE">
        <w:rPr>
          <w:lang w:val="en-GB"/>
        </w:rPr>
        <w:t xml:space="preserve">dependent variables. </w:t>
      </w:r>
    </w:p>
    <w:p w:rsidR="002529B0" w:rsidRDefault="00C149EE" w:rsidP="00FD7804">
      <w:pPr>
        <w:spacing w:line="360" w:lineRule="auto"/>
        <w:rPr>
          <w:lang w:val="en-GB"/>
        </w:rPr>
      </w:pPr>
      <w:r w:rsidRPr="00C149EE">
        <w:rPr>
          <w:lang w:val="en-GB"/>
        </w:rPr>
        <w:t xml:space="preserve">Before the multiple regression analyses are performed, some assumptions have to be met. The first assumption is about the sample size; </w:t>
      </w:r>
      <w:r w:rsidR="00B17A0D">
        <w:rPr>
          <w:lang w:val="en-GB"/>
        </w:rPr>
        <w:t xml:space="preserve">according to Tabarnick and Fiddel (1996), </w:t>
      </w:r>
      <w:r w:rsidRPr="00C149EE">
        <w:rPr>
          <w:lang w:val="en-GB"/>
        </w:rPr>
        <w:t>the s</w:t>
      </w:r>
      <w:r w:rsidR="00B17A0D">
        <w:rPr>
          <w:lang w:val="en-GB"/>
        </w:rPr>
        <w:t xml:space="preserve">ample size of a multiple regression </w:t>
      </w:r>
      <w:r w:rsidR="00451796">
        <w:rPr>
          <w:lang w:val="en-GB"/>
        </w:rPr>
        <w:t xml:space="preserve">should exceed 50 plus 8 times </w:t>
      </w:r>
      <w:r w:rsidRPr="00C149EE">
        <w:rPr>
          <w:lang w:val="en-GB"/>
        </w:rPr>
        <w:t xml:space="preserve">the number of independent </w:t>
      </w:r>
      <w:r w:rsidRPr="00AD71C9">
        <w:rPr>
          <w:lang w:val="en-GB"/>
        </w:rPr>
        <w:t>variables</w:t>
      </w:r>
      <w:r w:rsidR="002529B0" w:rsidRPr="00AD71C9">
        <w:rPr>
          <w:lang w:val="en-GB"/>
        </w:rPr>
        <w:t xml:space="preserve"> (Tabarnick</w:t>
      </w:r>
      <w:r w:rsidR="00AD71C9" w:rsidRPr="00AD71C9">
        <w:rPr>
          <w:lang w:val="en-GB"/>
        </w:rPr>
        <w:t xml:space="preserve"> and Fidell</w:t>
      </w:r>
      <w:r w:rsidR="002529B0" w:rsidRPr="00AD71C9">
        <w:rPr>
          <w:lang w:val="en-GB"/>
        </w:rPr>
        <w:t xml:space="preserve"> </w:t>
      </w:r>
      <w:r w:rsidR="00AD71C9">
        <w:rPr>
          <w:lang w:val="en-GB"/>
        </w:rPr>
        <w:t>1996</w:t>
      </w:r>
      <w:r w:rsidR="00AD71C9" w:rsidRPr="00AD71C9">
        <w:rPr>
          <w:lang w:val="en-GB"/>
        </w:rPr>
        <w:t>, p</w:t>
      </w:r>
      <w:r w:rsidR="002225E6">
        <w:rPr>
          <w:lang w:val="en-GB"/>
        </w:rPr>
        <w:t xml:space="preserve"> </w:t>
      </w:r>
      <w:r w:rsidR="00AD71C9" w:rsidRPr="00AD71C9">
        <w:rPr>
          <w:lang w:val="en-GB"/>
        </w:rPr>
        <w:t>132</w:t>
      </w:r>
      <w:r w:rsidR="002529B0" w:rsidRPr="00AD71C9">
        <w:rPr>
          <w:lang w:val="en-GB"/>
        </w:rPr>
        <w:t>)</w:t>
      </w:r>
      <w:r w:rsidRPr="00AD71C9">
        <w:rPr>
          <w:lang w:val="en-GB"/>
        </w:rPr>
        <w:t>.</w:t>
      </w:r>
      <w:r w:rsidRPr="00C149EE">
        <w:rPr>
          <w:lang w:val="en-GB"/>
        </w:rPr>
        <w:t xml:space="preserve"> The size of the sample is 95, which exceeds </w:t>
      </w:r>
      <w:r w:rsidR="00344E60">
        <w:rPr>
          <w:lang w:val="en-GB"/>
        </w:rPr>
        <w:t>the required number</w:t>
      </w:r>
      <w:r w:rsidRPr="00C149EE">
        <w:rPr>
          <w:lang w:val="en-GB"/>
        </w:rPr>
        <w:t xml:space="preserve"> of 74. </w:t>
      </w:r>
      <w:r w:rsidR="0068108C">
        <w:rPr>
          <w:lang w:val="en-GB"/>
        </w:rPr>
        <w:t>Other assumptions that have to be met are:</w:t>
      </w:r>
    </w:p>
    <w:p w:rsidR="0068108C" w:rsidRDefault="0068108C" w:rsidP="00FD7804">
      <w:pPr>
        <w:numPr>
          <w:ilvl w:val="0"/>
          <w:numId w:val="21"/>
        </w:numPr>
        <w:spacing w:line="360" w:lineRule="auto"/>
        <w:rPr>
          <w:lang w:val="en-GB"/>
        </w:rPr>
      </w:pPr>
      <w:r>
        <w:rPr>
          <w:lang w:val="en-GB"/>
        </w:rPr>
        <w:t>All variables are interval- or ratio scaled variables</w:t>
      </w:r>
    </w:p>
    <w:p w:rsidR="0068108C" w:rsidRDefault="0068108C" w:rsidP="00FD7804">
      <w:pPr>
        <w:numPr>
          <w:ilvl w:val="0"/>
          <w:numId w:val="21"/>
        </w:numPr>
        <w:spacing w:line="360" w:lineRule="auto"/>
        <w:rPr>
          <w:lang w:val="en-GB"/>
        </w:rPr>
      </w:pPr>
      <w:r>
        <w:rPr>
          <w:lang w:val="en-GB"/>
        </w:rPr>
        <w:t>The</w:t>
      </w:r>
      <w:r w:rsidR="0074596A">
        <w:rPr>
          <w:lang w:val="en-GB"/>
        </w:rPr>
        <w:t>re</w:t>
      </w:r>
      <w:r>
        <w:rPr>
          <w:lang w:val="en-GB"/>
        </w:rPr>
        <w:t xml:space="preserve"> is a theoretical causal relation between the dependent and independent variables</w:t>
      </w:r>
    </w:p>
    <w:p w:rsidR="0068108C" w:rsidRDefault="0068108C" w:rsidP="00FD7804">
      <w:pPr>
        <w:numPr>
          <w:ilvl w:val="0"/>
          <w:numId w:val="21"/>
        </w:numPr>
        <w:spacing w:line="360" w:lineRule="auto"/>
        <w:rPr>
          <w:lang w:val="en-GB"/>
        </w:rPr>
      </w:pPr>
      <w:r>
        <w:rPr>
          <w:lang w:val="en-GB"/>
        </w:rPr>
        <w:t>The model is linear</w:t>
      </w:r>
    </w:p>
    <w:p w:rsidR="0068108C" w:rsidRDefault="0068108C" w:rsidP="00FD7804">
      <w:pPr>
        <w:numPr>
          <w:ilvl w:val="0"/>
          <w:numId w:val="21"/>
        </w:numPr>
        <w:spacing w:line="360" w:lineRule="auto"/>
        <w:rPr>
          <w:lang w:val="en-GB"/>
        </w:rPr>
      </w:pPr>
      <w:r>
        <w:rPr>
          <w:lang w:val="en-GB"/>
        </w:rPr>
        <w:t xml:space="preserve">There is no multicollinearity </w:t>
      </w:r>
    </w:p>
    <w:p w:rsidR="0068108C" w:rsidRDefault="0068108C" w:rsidP="00FD7804">
      <w:pPr>
        <w:numPr>
          <w:ilvl w:val="0"/>
          <w:numId w:val="21"/>
        </w:numPr>
        <w:spacing w:line="360" w:lineRule="auto"/>
        <w:rPr>
          <w:lang w:val="en-GB"/>
        </w:rPr>
      </w:pPr>
      <w:r>
        <w:rPr>
          <w:lang w:val="en-GB"/>
        </w:rPr>
        <w:t>For every combination of values of the independent variables is the population a normal distribution of the dependent variable, where these normal distributions have the same variance (De Vocht 2009, p</w:t>
      </w:r>
      <w:r w:rsidR="002225E6">
        <w:rPr>
          <w:lang w:val="en-GB"/>
        </w:rPr>
        <w:t xml:space="preserve"> </w:t>
      </w:r>
      <w:r>
        <w:rPr>
          <w:lang w:val="en-GB"/>
        </w:rPr>
        <w:t>199)</w:t>
      </w:r>
    </w:p>
    <w:p w:rsidR="00451796" w:rsidRDefault="0059173E" w:rsidP="00FD7804">
      <w:pPr>
        <w:spacing w:line="360" w:lineRule="auto"/>
        <w:rPr>
          <w:lang w:val="en-GB"/>
        </w:rPr>
      </w:pPr>
      <w:r>
        <w:rPr>
          <w:lang w:val="en-GB"/>
        </w:rPr>
        <w:t>The first assumption</w:t>
      </w:r>
      <w:r w:rsidR="00382DBA">
        <w:rPr>
          <w:lang w:val="en-GB"/>
        </w:rPr>
        <w:t xml:space="preserve"> is about</w:t>
      </w:r>
      <w:r w:rsidR="002225E6">
        <w:rPr>
          <w:lang w:val="en-GB"/>
        </w:rPr>
        <w:t xml:space="preserve"> the variables; </w:t>
      </w:r>
      <w:r w:rsidR="00382DBA">
        <w:rPr>
          <w:lang w:val="en-GB"/>
        </w:rPr>
        <w:t xml:space="preserve">all variables </w:t>
      </w:r>
      <w:r w:rsidR="002225E6">
        <w:rPr>
          <w:lang w:val="en-GB"/>
        </w:rPr>
        <w:t>should be interval- or ratio scaled</w:t>
      </w:r>
      <w:r w:rsidR="00382DBA">
        <w:rPr>
          <w:lang w:val="en-GB"/>
        </w:rPr>
        <w:t>.</w:t>
      </w:r>
      <w:r w:rsidR="00451796">
        <w:rPr>
          <w:lang w:val="en-GB"/>
        </w:rPr>
        <w:t xml:space="preserve"> </w:t>
      </w:r>
      <w:r w:rsidR="00382DBA">
        <w:rPr>
          <w:lang w:val="en-GB"/>
        </w:rPr>
        <w:t>W</w:t>
      </w:r>
      <w:r w:rsidR="00451796">
        <w:rPr>
          <w:lang w:val="en-GB"/>
        </w:rPr>
        <w:t xml:space="preserve">hen a variable </w:t>
      </w:r>
      <w:r w:rsidR="00382DBA">
        <w:rPr>
          <w:lang w:val="en-GB"/>
        </w:rPr>
        <w:t>is</w:t>
      </w:r>
      <w:r w:rsidR="00451796">
        <w:rPr>
          <w:lang w:val="en-GB"/>
        </w:rPr>
        <w:t xml:space="preserve"> not interval- or </w:t>
      </w:r>
      <w:r w:rsidR="00FD57D0">
        <w:rPr>
          <w:lang w:val="en-GB"/>
        </w:rPr>
        <w:t>ratio scaled like the variable c</w:t>
      </w:r>
      <w:r w:rsidR="00451796">
        <w:rPr>
          <w:lang w:val="en-GB"/>
        </w:rPr>
        <w:t xml:space="preserve">ountry, the values of the variable are changed into ratios by replacing names by numbers. According to earlier conducted, related researches, the variables that are tested should have a relation. The regressions will tell us more about the influence and relation between the dependent and independent variables. </w:t>
      </w:r>
    </w:p>
    <w:p w:rsidR="004C44FD" w:rsidRDefault="006B7106" w:rsidP="00FD7804">
      <w:pPr>
        <w:spacing w:line="360" w:lineRule="auto"/>
        <w:rPr>
          <w:lang w:val="en-GB"/>
        </w:rPr>
      </w:pPr>
      <w:r>
        <w:rPr>
          <w:lang w:val="en-GB"/>
        </w:rPr>
        <w:lastRenderedPageBreak/>
        <w:t>The sample will be tested on outliers by checking for data that exceeds three times the standard deviations</w:t>
      </w:r>
      <w:r w:rsidR="00344E60">
        <w:rPr>
          <w:lang w:val="en-GB"/>
        </w:rPr>
        <w:t>, like SPSS suggests</w:t>
      </w:r>
      <w:r>
        <w:rPr>
          <w:lang w:val="en-GB"/>
        </w:rPr>
        <w:t xml:space="preserve">. </w:t>
      </w:r>
      <w:r w:rsidR="008270E1">
        <w:rPr>
          <w:lang w:val="en-GB"/>
        </w:rPr>
        <w:t xml:space="preserve">By determining the mean and standard deviation of the samples, the outliers are determined and eliminated from the sample. </w:t>
      </w:r>
      <w:r w:rsidR="00FE51C3">
        <w:rPr>
          <w:lang w:val="en-GB"/>
        </w:rPr>
        <w:t xml:space="preserve">In order to create a data set that is sufficient for performing the multiple regressions, </w:t>
      </w:r>
      <w:r w:rsidR="004C44FD">
        <w:rPr>
          <w:lang w:val="en-GB"/>
        </w:rPr>
        <w:t xml:space="preserve">the </w:t>
      </w:r>
      <w:r w:rsidR="0059173E">
        <w:rPr>
          <w:lang w:val="en-GB"/>
        </w:rPr>
        <w:t>mean</w:t>
      </w:r>
      <w:r w:rsidR="004C44FD">
        <w:rPr>
          <w:lang w:val="en-GB"/>
        </w:rPr>
        <w:t xml:space="preserve"> value and standard dev</w:t>
      </w:r>
      <w:r w:rsidR="00B35251">
        <w:rPr>
          <w:lang w:val="en-GB"/>
        </w:rPr>
        <w:t>iation of the relevant dataset are</w:t>
      </w:r>
      <w:r w:rsidR="004C44FD">
        <w:rPr>
          <w:lang w:val="en-GB"/>
        </w:rPr>
        <w:t xml:space="preserve"> determined. The val</w:t>
      </w:r>
      <w:r w:rsidR="00B35251">
        <w:rPr>
          <w:lang w:val="en-GB"/>
        </w:rPr>
        <w:t>ues of the dataset that exceed three</w:t>
      </w:r>
      <w:r w:rsidR="004C44FD">
        <w:rPr>
          <w:lang w:val="en-GB"/>
        </w:rPr>
        <w:t xml:space="preserve"> times the standard deviation are excluded from the dataset.</w:t>
      </w:r>
    </w:p>
    <w:p w:rsidR="0090751F" w:rsidRDefault="008D761D" w:rsidP="00FD7804">
      <w:pPr>
        <w:spacing w:line="360" w:lineRule="auto"/>
        <w:rPr>
          <w:lang w:val="en-GB"/>
        </w:rPr>
      </w:pPr>
      <w:r>
        <w:rPr>
          <w:lang w:val="en-GB"/>
        </w:rPr>
        <w:t xml:space="preserve">By elimination this values from the total of 570 company-years, </w:t>
      </w:r>
      <w:r w:rsidR="004C44FD" w:rsidRPr="00601CB1">
        <w:rPr>
          <w:lang w:val="en-GB"/>
        </w:rPr>
        <w:t>530</w:t>
      </w:r>
      <w:r w:rsidR="00344E60" w:rsidRPr="00601CB1">
        <w:rPr>
          <w:lang w:val="en-GB"/>
        </w:rPr>
        <w:t xml:space="preserve"> company-</w:t>
      </w:r>
      <w:r w:rsidR="00FE51C3" w:rsidRPr="00601CB1">
        <w:rPr>
          <w:lang w:val="en-GB"/>
        </w:rPr>
        <w:t>years</w:t>
      </w:r>
      <w:r w:rsidR="00706E60">
        <w:rPr>
          <w:lang w:val="en-GB"/>
        </w:rPr>
        <w:t xml:space="preserve"> are used</w:t>
      </w:r>
      <w:r w:rsidR="00FE51C3" w:rsidRPr="00601CB1">
        <w:rPr>
          <w:lang w:val="en-GB"/>
        </w:rPr>
        <w:t xml:space="preserve"> for </w:t>
      </w:r>
      <w:r w:rsidR="00706E60">
        <w:rPr>
          <w:lang w:val="en-GB"/>
        </w:rPr>
        <w:t xml:space="preserve">the regression with </w:t>
      </w:r>
      <w:r w:rsidR="00FE51C3" w:rsidRPr="00601CB1">
        <w:rPr>
          <w:lang w:val="en-GB"/>
        </w:rPr>
        <w:t>the total amount</w:t>
      </w:r>
      <w:r w:rsidR="00706E60">
        <w:rPr>
          <w:lang w:val="en-GB"/>
        </w:rPr>
        <w:t xml:space="preserve"> of earnings management</w:t>
      </w:r>
      <w:r w:rsidR="00FE51C3" w:rsidRPr="00601CB1">
        <w:rPr>
          <w:lang w:val="en-GB"/>
        </w:rPr>
        <w:t>, 53</w:t>
      </w:r>
      <w:r w:rsidR="004C44FD" w:rsidRPr="00601CB1">
        <w:rPr>
          <w:lang w:val="en-GB"/>
        </w:rPr>
        <w:t>4</w:t>
      </w:r>
      <w:r w:rsidR="00344E60" w:rsidRPr="00601CB1">
        <w:rPr>
          <w:lang w:val="en-GB"/>
        </w:rPr>
        <w:t xml:space="preserve"> company-</w:t>
      </w:r>
      <w:r w:rsidR="00FE51C3" w:rsidRPr="00601CB1">
        <w:rPr>
          <w:lang w:val="en-GB"/>
        </w:rPr>
        <w:t xml:space="preserve">years for the accruals-based method and 529 </w:t>
      </w:r>
      <w:r w:rsidR="00344E60" w:rsidRPr="00601CB1">
        <w:rPr>
          <w:lang w:val="en-GB"/>
        </w:rPr>
        <w:t>company-</w:t>
      </w:r>
      <w:r w:rsidR="00706E60">
        <w:rPr>
          <w:lang w:val="en-GB"/>
        </w:rPr>
        <w:t>years for the real method</w:t>
      </w:r>
      <w:r w:rsidR="0059173E">
        <w:rPr>
          <w:lang w:val="en-GB"/>
        </w:rPr>
        <w:t xml:space="preserve"> as dependent variable</w:t>
      </w:r>
      <w:r w:rsidR="00FE51C3" w:rsidRPr="00601CB1">
        <w:rPr>
          <w:lang w:val="en-GB"/>
        </w:rPr>
        <w:t xml:space="preserve">. </w:t>
      </w:r>
      <w:r w:rsidR="004C44FD" w:rsidRPr="00601CB1">
        <w:rPr>
          <w:lang w:val="en-GB"/>
        </w:rPr>
        <w:t>The</w:t>
      </w:r>
      <w:r w:rsidR="004C44FD">
        <w:rPr>
          <w:lang w:val="en-GB"/>
        </w:rPr>
        <w:t xml:space="preserve"> </w:t>
      </w:r>
      <w:r w:rsidR="00FE51C3">
        <w:rPr>
          <w:lang w:val="en-GB"/>
        </w:rPr>
        <w:t>results</w:t>
      </w:r>
      <w:r w:rsidR="00736406">
        <w:rPr>
          <w:lang w:val="en-GB"/>
        </w:rPr>
        <w:t xml:space="preserve"> </w:t>
      </w:r>
      <w:r w:rsidR="00FE51C3">
        <w:rPr>
          <w:lang w:val="en-GB"/>
        </w:rPr>
        <w:t>of the three multiple regressions</w:t>
      </w:r>
      <w:r w:rsidR="00736406">
        <w:rPr>
          <w:lang w:val="en-GB"/>
        </w:rPr>
        <w:t xml:space="preserve"> provided by SPSS</w:t>
      </w:r>
      <w:r w:rsidR="00FE51C3">
        <w:rPr>
          <w:lang w:val="en-GB"/>
        </w:rPr>
        <w:t xml:space="preserve"> are </w:t>
      </w:r>
      <w:r w:rsidR="00FD57D0">
        <w:rPr>
          <w:lang w:val="en-GB"/>
        </w:rPr>
        <w:t>commented</w:t>
      </w:r>
      <w:r w:rsidR="00FE51C3">
        <w:rPr>
          <w:lang w:val="en-GB"/>
        </w:rPr>
        <w:t xml:space="preserve"> in the next sections.</w:t>
      </w:r>
      <w:r w:rsidR="00736406">
        <w:rPr>
          <w:lang w:val="en-GB"/>
        </w:rPr>
        <w:t xml:space="preserve"> </w:t>
      </w:r>
      <w:r w:rsidR="00706E60">
        <w:rPr>
          <w:lang w:val="en-GB"/>
        </w:rPr>
        <w:t xml:space="preserve">Before the results of a regression are </w:t>
      </w:r>
      <w:r w:rsidR="00FD57D0">
        <w:rPr>
          <w:lang w:val="en-GB"/>
        </w:rPr>
        <w:t>commented</w:t>
      </w:r>
      <w:r w:rsidR="00706E60">
        <w:rPr>
          <w:lang w:val="en-GB"/>
        </w:rPr>
        <w:t xml:space="preserve"> will the assumptions of multicollinearity and normal distribution be </w:t>
      </w:r>
      <w:r w:rsidR="00FD57D0">
        <w:rPr>
          <w:lang w:val="en-GB"/>
        </w:rPr>
        <w:t>commented</w:t>
      </w:r>
      <w:r w:rsidR="00706E60">
        <w:rPr>
          <w:lang w:val="en-GB"/>
        </w:rPr>
        <w:t xml:space="preserve">. </w:t>
      </w:r>
      <w:r w:rsidR="0090751F">
        <w:rPr>
          <w:lang w:val="en-GB"/>
        </w:rPr>
        <w:t xml:space="preserve">When the correlation between the variables exceeds 0.9, multicollinearity is present which influences the outcome of the test negatively. The normal distribution is of the dataset is checked by a histogram and a normal </w:t>
      </w:r>
      <w:r w:rsidR="00FD7804">
        <w:rPr>
          <w:lang w:val="en-GB"/>
        </w:rPr>
        <w:t>probability</w:t>
      </w:r>
      <w:r w:rsidR="0090751F">
        <w:rPr>
          <w:lang w:val="en-GB"/>
        </w:rPr>
        <w:t xml:space="preserve"> plot. </w:t>
      </w:r>
    </w:p>
    <w:p w:rsidR="00676079" w:rsidRDefault="00676079" w:rsidP="00FD7804">
      <w:pPr>
        <w:spacing w:line="360" w:lineRule="auto"/>
        <w:rPr>
          <w:lang w:val="en-GB"/>
        </w:rPr>
      </w:pPr>
      <w:r>
        <w:rPr>
          <w:lang w:val="en-GB"/>
        </w:rPr>
        <w:t xml:space="preserve">After these assumptions have been </w:t>
      </w:r>
      <w:r w:rsidR="00FD57D0">
        <w:rPr>
          <w:lang w:val="en-GB"/>
        </w:rPr>
        <w:t>commented</w:t>
      </w:r>
      <w:r>
        <w:rPr>
          <w:lang w:val="en-GB"/>
        </w:rPr>
        <w:t xml:space="preserve">, the outcome of the model is </w:t>
      </w:r>
      <w:r w:rsidR="00FD57D0">
        <w:rPr>
          <w:lang w:val="en-GB"/>
        </w:rPr>
        <w:t>commented</w:t>
      </w:r>
      <w:r>
        <w:rPr>
          <w:lang w:val="en-GB"/>
        </w:rPr>
        <w:t xml:space="preserve">. What do the tables Model Summary, ANOVA and Coefficients </w:t>
      </w:r>
      <w:r w:rsidR="008D761D">
        <w:rPr>
          <w:lang w:val="en-GB"/>
        </w:rPr>
        <w:t>express</w:t>
      </w:r>
      <w:r>
        <w:rPr>
          <w:lang w:val="en-GB"/>
        </w:rPr>
        <w:t xml:space="preserve"> about the correlation and the significance of both the total test as the coefficients of the independent variables. </w:t>
      </w:r>
      <w:r w:rsidR="004C44FD">
        <w:rPr>
          <w:lang w:val="en-GB"/>
        </w:rPr>
        <w:t xml:space="preserve">Not all results will be </w:t>
      </w:r>
      <w:r w:rsidR="00FD57D0">
        <w:rPr>
          <w:lang w:val="en-GB"/>
        </w:rPr>
        <w:t>commented</w:t>
      </w:r>
      <w:r w:rsidR="004C44FD">
        <w:rPr>
          <w:lang w:val="en-GB"/>
        </w:rPr>
        <w:t xml:space="preserve"> including the tables and figures belonging to the</w:t>
      </w:r>
      <w:r>
        <w:rPr>
          <w:lang w:val="en-GB"/>
        </w:rPr>
        <w:t>se</w:t>
      </w:r>
      <w:r w:rsidR="004C44FD">
        <w:rPr>
          <w:lang w:val="en-GB"/>
        </w:rPr>
        <w:t xml:space="preserve"> results. </w:t>
      </w:r>
      <w:r w:rsidR="008D761D">
        <w:rPr>
          <w:lang w:val="en-GB"/>
        </w:rPr>
        <w:t>When the table or figure are</w:t>
      </w:r>
      <w:r>
        <w:rPr>
          <w:lang w:val="en-GB"/>
        </w:rPr>
        <w:t xml:space="preserve"> not included in the text, there will be referred to the relevant table or figure that </w:t>
      </w:r>
      <w:r w:rsidR="008D761D">
        <w:rPr>
          <w:lang w:val="en-GB"/>
        </w:rPr>
        <w:t>is available</w:t>
      </w:r>
      <w:r>
        <w:rPr>
          <w:lang w:val="en-GB"/>
        </w:rPr>
        <w:t xml:space="preserve"> in </w:t>
      </w:r>
      <w:r w:rsidRPr="007E015C">
        <w:rPr>
          <w:lang w:val="en-GB"/>
        </w:rPr>
        <w:t xml:space="preserve">appendix 3. </w:t>
      </w:r>
      <w:r w:rsidR="00D57616">
        <w:rPr>
          <w:lang w:val="en-GB"/>
        </w:rPr>
        <w:t xml:space="preserve">The results of the multiple regressions, will </w:t>
      </w:r>
      <w:r w:rsidR="008D761D">
        <w:rPr>
          <w:lang w:val="en-GB"/>
        </w:rPr>
        <w:t>present an</w:t>
      </w:r>
      <w:r w:rsidR="00D57616">
        <w:rPr>
          <w:lang w:val="en-GB"/>
        </w:rPr>
        <w:t xml:space="preserve"> overview on the influence of the independent variables country, accounting standard and size on the use of accruals-based, real and the total amount of earnings management. </w:t>
      </w:r>
    </w:p>
    <w:p w:rsidR="00086859" w:rsidRDefault="00086859" w:rsidP="00FD7804">
      <w:pPr>
        <w:spacing w:line="360" w:lineRule="auto"/>
        <w:rPr>
          <w:lang w:val="en-GB"/>
        </w:rPr>
      </w:pPr>
      <w:r>
        <w:rPr>
          <w:lang w:val="en-GB"/>
        </w:rPr>
        <w:t xml:space="preserve">In the next sections, the results of the multiple regressions are </w:t>
      </w:r>
      <w:r w:rsidR="00FD57D0">
        <w:rPr>
          <w:lang w:val="en-GB"/>
        </w:rPr>
        <w:t>commented</w:t>
      </w:r>
      <w:r>
        <w:rPr>
          <w:lang w:val="en-GB"/>
        </w:rPr>
        <w:t>.</w:t>
      </w:r>
    </w:p>
    <w:p w:rsidR="00731720" w:rsidRDefault="00C149EE" w:rsidP="00FD7804">
      <w:pPr>
        <w:spacing w:line="360" w:lineRule="auto"/>
        <w:rPr>
          <w:lang w:val="en-GB"/>
        </w:rPr>
      </w:pPr>
      <w:r w:rsidRPr="00C149EE">
        <w:rPr>
          <w:b/>
          <w:lang w:val="en-GB"/>
        </w:rPr>
        <w:t>7.3.1 Total amount of Earnings management</w:t>
      </w:r>
      <w:r w:rsidRPr="00C149EE">
        <w:rPr>
          <w:b/>
          <w:lang w:val="en-GB"/>
        </w:rPr>
        <w:br/>
      </w:r>
      <w:r w:rsidR="00731720">
        <w:rPr>
          <w:lang w:val="en-GB"/>
        </w:rPr>
        <w:t xml:space="preserve">The first multiple regression is about the influence of </w:t>
      </w:r>
      <w:r w:rsidR="00144202">
        <w:rPr>
          <w:lang w:val="en-GB"/>
        </w:rPr>
        <w:t>the variables country, a</w:t>
      </w:r>
      <w:r w:rsidR="00706E60">
        <w:rPr>
          <w:lang w:val="en-GB"/>
        </w:rPr>
        <w:t xml:space="preserve">ccounting </w:t>
      </w:r>
      <w:r w:rsidR="00144202">
        <w:rPr>
          <w:lang w:val="en-GB"/>
        </w:rPr>
        <w:t>s</w:t>
      </w:r>
      <w:r w:rsidR="00731720">
        <w:rPr>
          <w:lang w:val="en-GB"/>
        </w:rPr>
        <w:t xml:space="preserve">tandard and </w:t>
      </w:r>
      <w:r w:rsidR="00144202">
        <w:rPr>
          <w:lang w:val="en-GB"/>
        </w:rPr>
        <w:t>s</w:t>
      </w:r>
      <w:r w:rsidR="00706E60">
        <w:rPr>
          <w:lang w:val="en-GB"/>
        </w:rPr>
        <w:t xml:space="preserve">ize on the dependent variable </w:t>
      </w:r>
      <w:r w:rsidR="00144202">
        <w:rPr>
          <w:lang w:val="en-GB"/>
        </w:rPr>
        <w:t>t</w:t>
      </w:r>
      <w:r w:rsidR="00731720">
        <w:rPr>
          <w:lang w:val="en-GB"/>
        </w:rPr>
        <w:t xml:space="preserve">otal </w:t>
      </w:r>
      <w:r w:rsidR="00144202">
        <w:rPr>
          <w:lang w:val="en-GB"/>
        </w:rPr>
        <w:t>a</w:t>
      </w:r>
      <w:r w:rsidR="00706E60">
        <w:rPr>
          <w:lang w:val="en-GB"/>
        </w:rPr>
        <w:t xml:space="preserve">mount of </w:t>
      </w:r>
      <w:r w:rsidR="00144202">
        <w:rPr>
          <w:lang w:val="en-GB"/>
        </w:rPr>
        <w:t>e</w:t>
      </w:r>
      <w:r w:rsidR="00731720">
        <w:rPr>
          <w:lang w:val="en-GB"/>
        </w:rPr>
        <w:t xml:space="preserve">arnings </w:t>
      </w:r>
      <w:r w:rsidR="00144202">
        <w:rPr>
          <w:lang w:val="en-GB"/>
        </w:rPr>
        <w:t>m</w:t>
      </w:r>
      <w:r w:rsidR="00731720">
        <w:rPr>
          <w:lang w:val="en-GB"/>
        </w:rPr>
        <w:t xml:space="preserve">anagement. </w:t>
      </w:r>
      <w:r w:rsidR="008D761D">
        <w:rPr>
          <w:lang w:val="en-GB"/>
        </w:rPr>
        <w:t>The</w:t>
      </w:r>
      <w:r w:rsidR="00706E60">
        <w:rPr>
          <w:lang w:val="en-GB"/>
        </w:rPr>
        <w:t xml:space="preserve"> dataset of 530 company-years is first screened on the assumptions of multicollinearity and normal distribution. </w:t>
      </w:r>
      <w:r w:rsidR="00B20832">
        <w:rPr>
          <w:lang w:val="en-GB"/>
        </w:rPr>
        <w:t xml:space="preserve">As </w:t>
      </w:r>
      <w:r w:rsidR="008D761D">
        <w:rPr>
          <w:lang w:val="en-GB"/>
        </w:rPr>
        <w:t xml:space="preserve">available </w:t>
      </w:r>
      <w:r w:rsidR="00B20832">
        <w:rPr>
          <w:lang w:val="en-GB"/>
        </w:rPr>
        <w:t xml:space="preserve">in </w:t>
      </w:r>
      <w:r w:rsidR="00B20832" w:rsidRPr="007E015C">
        <w:rPr>
          <w:lang w:val="en-GB"/>
        </w:rPr>
        <w:t xml:space="preserve">appendix </w:t>
      </w:r>
      <w:r w:rsidR="008D761D">
        <w:rPr>
          <w:lang w:val="en-GB"/>
        </w:rPr>
        <w:t>3</w:t>
      </w:r>
      <w:r w:rsidR="00B20832">
        <w:rPr>
          <w:lang w:val="en-GB"/>
        </w:rPr>
        <w:t>, the correlations between the various variables show no value higher than 0.9 which indic</w:t>
      </w:r>
      <w:r w:rsidR="00706E60">
        <w:rPr>
          <w:lang w:val="en-GB"/>
        </w:rPr>
        <w:t>ates no multicollinearity. T</w:t>
      </w:r>
      <w:r w:rsidR="00B20832">
        <w:rPr>
          <w:lang w:val="en-GB"/>
        </w:rPr>
        <w:t>he distribution of the dataset</w:t>
      </w:r>
      <w:r w:rsidR="00706E60">
        <w:rPr>
          <w:lang w:val="en-GB"/>
        </w:rPr>
        <w:t xml:space="preserve"> appears not to be entirely normal distributed. </w:t>
      </w:r>
      <w:r w:rsidR="00F06A4F">
        <w:rPr>
          <w:lang w:val="en-GB"/>
        </w:rPr>
        <w:t xml:space="preserve">The sample is skewed, which could influence the results that are found in the multiple regression. </w:t>
      </w:r>
    </w:p>
    <w:p w:rsidR="00F06A4F" w:rsidRDefault="008D761D" w:rsidP="00FD7804">
      <w:pPr>
        <w:spacing w:line="360" w:lineRule="auto"/>
        <w:rPr>
          <w:lang w:val="en-GB"/>
        </w:rPr>
      </w:pPr>
      <w:r>
        <w:rPr>
          <w:lang w:val="en-GB"/>
        </w:rPr>
        <w:lastRenderedPageBreak/>
        <w:t>Before</w:t>
      </w:r>
      <w:r w:rsidR="00F06A4F">
        <w:rPr>
          <w:lang w:val="en-GB"/>
        </w:rPr>
        <w:t xml:space="preserve"> the assumptions have been </w:t>
      </w:r>
      <w:r w:rsidR="00FD57D0">
        <w:rPr>
          <w:lang w:val="en-GB"/>
        </w:rPr>
        <w:t>commented</w:t>
      </w:r>
      <w:r w:rsidR="00F06A4F">
        <w:rPr>
          <w:lang w:val="en-GB"/>
        </w:rPr>
        <w:t>,</w:t>
      </w:r>
      <w:r>
        <w:rPr>
          <w:lang w:val="en-GB"/>
        </w:rPr>
        <w:t xml:space="preserve"> next</w:t>
      </w:r>
      <w:r w:rsidR="00F06A4F">
        <w:rPr>
          <w:lang w:val="en-GB"/>
        </w:rPr>
        <w:t xml:space="preserve"> the strength of the model and the regression coefficients </w:t>
      </w:r>
      <w:r>
        <w:rPr>
          <w:lang w:val="en-GB"/>
        </w:rPr>
        <w:t>will</w:t>
      </w:r>
      <w:r w:rsidR="00F06A4F">
        <w:rPr>
          <w:lang w:val="en-GB"/>
        </w:rPr>
        <w:t xml:space="preserve"> </w:t>
      </w:r>
      <w:r>
        <w:rPr>
          <w:lang w:val="en-GB"/>
        </w:rPr>
        <w:t>be commented</w:t>
      </w:r>
      <w:r w:rsidR="00F06A4F">
        <w:rPr>
          <w:lang w:val="en-GB"/>
        </w:rPr>
        <w:t xml:space="preserve">. </w:t>
      </w:r>
      <w:r w:rsidR="00FD7804">
        <w:rPr>
          <w:lang w:val="en-GB"/>
        </w:rPr>
        <w:t xml:space="preserve">The Model Summary indicates by the </w:t>
      </w:r>
      <w:r w:rsidR="00F25D44">
        <w:rPr>
          <w:lang w:val="en-GB"/>
        </w:rPr>
        <w:t xml:space="preserve">Adjusted </w:t>
      </w:r>
      <w:r w:rsidR="00FD7804">
        <w:rPr>
          <w:lang w:val="en-GB"/>
        </w:rPr>
        <w:t xml:space="preserve">R Square that a low percentage </w:t>
      </w:r>
      <w:r w:rsidR="00781154">
        <w:rPr>
          <w:lang w:val="en-GB"/>
        </w:rPr>
        <w:t>(5.1</w:t>
      </w:r>
      <w:r w:rsidR="00FD7804">
        <w:rPr>
          <w:lang w:val="en-GB"/>
        </w:rPr>
        <w:t>%) of the variance of the total amount of earnings management is explaine</w:t>
      </w:r>
      <w:r w:rsidR="00F25D44">
        <w:rPr>
          <w:lang w:val="en-GB"/>
        </w:rPr>
        <w:t>d by the independent variables c</w:t>
      </w:r>
      <w:r w:rsidR="00FD7804">
        <w:rPr>
          <w:lang w:val="en-GB"/>
        </w:rPr>
        <w:t xml:space="preserve">ountry, </w:t>
      </w:r>
      <w:r w:rsidR="00F25D44">
        <w:rPr>
          <w:lang w:val="en-GB"/>
        </w:rPr>
        <w:t>a</w:t>
      </w:r>
      <w:r w:rsidR="00FD7804">
        <w:rPr>
          <w:lang w:val="en-GB"/>
        </w:rPr>
        <w:t xml:space="preserve">ccounting </w:t>
      </w:r>
      <w:r w:rsidR="00F25D44">
        <w:rPr>
          <w:lang w:val="en-GB"/>
        </w:rPr>
        <w:t>s</w:t>
      </w:r>
      <w:r w:rsidR="00FD7804">
        <w:rPr>
          <w:lang w:val="en-GB"/>
        </w:rPr>
        <w:t xml:space="preserve">tandard and </w:t>
      </w:r>
      <w:r w:rsidR="00F25D44">
        <w:rPr>
          <w:lang w:val="en-GB"/>
        </w:rPr>
        <w:t>s</w:t>
      </w:r>
      <w:r w:rsidR="00FD7804">
        <w:rPr>
          <w:lang w:val="en-GB"/>
        </w:rPr>
        <w:t xml:space="preserve">ize. </w:t>
      </w:r>
    </w:p>
    <w:tbl>
      <w:tblPr>
        <w:tblW w:w="64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4"/>
        <w:gridCol w:w="1119"/>
        <w:gridCol w:w="1193"/>
        <w:gridCol w:w="1612"/>
        <w:gridCol w:w="1612"/>
      </w:tblGrid>
      <w:tr w:rsidR="00FD7804" w:rsidRPr="000D3EB5" w:rsidTr="00ED0DE9">
        <w:tc>
          <w:tcPr>
            <w:tcW w:w="6407" w:type="dxa"/>
            <w:gridSpan w:val="5"/>
            <w:tcBorders>
              <w:top w:val="nil"/>
              <w:left w:val="nil"/>
              <w:bottom w:val="nil"/>
              <w:right w:val="nil"/>
            </w:tcBorders>
            <w:shd w:val="clear" w:color="auto" w:fill="FFFFFF"/>
            <w:vAlign w:val="center"/>
          </w:tcPr>
          <w:p w:rsidR="00FD7804" w:rsidRPr="000D3EB5" w:rsidRDefault="00FD7804" w:rsidP="00FD7804">
            <w:pPr>
              <w:autoSpaceDE w:val="0"/>
              <w:autoSpaceDN w:val="0"/>
              <w:adjustRightInd w:val="0"/>
              <w:spacing w:after="0" w:line="360" w:lineRule="auto"/>
              <w:ind w:left="60" w:right="60"/>
              <w:jc w:val="center"/>
              <w:rPr>
                <w:rFonts w:ascii="Arial" w:hAnsi="Arial"/>
                <w:color w:val="000000"/>
                <w:sz w:val="18"/>
                <w:szCs w:val="18"/>
              </w:rPr>
            </w:pPr>
            <w:r w:rsidRPr="000D3EB5">
              <w:rPr>
                <w:rFonts w:ascii="Arial" w:hAnsi="Arial"/>
                <w:b/>
                <w:bCs/>
                <w:color w:val="000000"/>
                <w:sz w:val="18"/>
                <w:szCs w:val="18"/>
              </w:rPr>
              <w:t>Model Summary</w:t>
            </w:r>
            <w:r w:rsidRPr="000D3EB5">
              <w:rPr>
                <w:rFonts w:ascii="Arial" w:hAnsi="Arial"/>
                <w:b/>
                <w:bCs/>
                <w:color w:val="000000"/>
                <w:sz w:val="18"/>
                <w:szCs w:val="18"/>
                <w:vertAlign w:val="superscript"/>
              </w:rPr>
              <w:t>b</w:t>
            </w:r>
          </w:p>
        </w:tc>
      </w:tr>
      <w:tr w:rsidR="00FD7804" w:rsidRPr="0013388B" w:rsidTr="00ED0DE9">
        <w:tc>
          <w:tcPr>
            <w:tcW w:w="87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FD7804" w:rsidRPr="000D3EB5" w:rsidRDefault="00FD7804" w:rsidP="00FD7804">
            <w:pPr>
              <w:autoSpaceDE w:val="0"/>
              <w:autoSpaceDN w:val="0"/>
              <w:adjustRightInd w:val="0"/>
              <w:spacing w:after="0" w:line="360" w:lineRule="auto"/>
              <w:ind w:left="60" w:right="60"/>
              <w:rPr>
                <w:rFonts w:ascii="Arial" w:hAnsi="Arial"/>
                <w:color w:val="000000"/>
                <w:sz w:val="18"/>
                <w:szCs w:val="18"/>
              </w:rPr>
            </w:pPr>
            <w:r w:rsidRPr="000D3EB5">
              <w:rPr>
                <w:rFonts w:ascii="Arial" w:hAnsi="Arial"/>
                <w:color w:val="000000"/>
                <w:sz w:val="18"/>
                <w:szCs w:val="18"/>
              </w:rPr>
              <w:t>Model</w:t>
            </w:r>
          </w:p>
        </w:tc>
        <w:tc>
          <w:tcPr>
            <w:tcW w:w="1118" w:type="dxa"/>
            <w:tcBorders>
              <w:top w:val="single" w:sz="16" w:space="0" w:color="000000"/>
              <w:left w:val="single" w:sz="16" w:space="0" w:color="000000"/>
              <w:bottom w:val="single" w:sz="16" w:space="0" w:color="000000"/>
            </w:tcBorders>
            <w:shd w:val="clear" w:color="auto" w:fill="FFFFFF"/>
            <w:vAlign w:val="bottom"/>
          </w:tcPr>
          <w:p w:rsidR="00FD7804" w:rsidRPr="000D3EB5" w:rsidRDefault="00FD7804" w:rsidP="00FD7804">
            <w:pPr>
              <w:autoSpaceDE w:val="0"/>
              <w:autoSpaceDN w:val="0"/>
              <w:adjustRightInd w:val="0"/>
              <w:spacing w:after="0" w:line="360" w:lineRule="auto"/>
              <w:ind w:left="60" w:right="60"/>
              <w:jc w:val="center"/>
              <w:rPr>
                <w:rFonts w:ascii="Arial" w:hAnsi="Arial"/>
                <w:color w:val="000000"/>
                <w:sz w:val="18"/>
                <w:szCs w:val="18"/>
              </w:rPr>
            </w:pPr>
            <w:r w:rsidRPr="000D3EB5">
              <w:rPr>
                <w:rFonts w:ascii="Arial" w:hAnsi="Arial"/>
                <w:color w:val="000000"/>
                <w:sz w:val="18"/>
                <w:szCs w:val="18"/>
              </w:rPr>
              <w:t>R</w:t>
            </w:r>
          </w:p>
        </w:tc>
        <w:tc>
          <w:tcPr>
            <w:tcW w:w="1192" w:type="dxa"/>
            <w:tcBorders>
              <w:top w:val="single" w:sz="16" w:space="0" w:color="000000"/>
              <w:bottom w:val="single" w:sz="16" w:space="0" w:color="000000"/>
            </w:tcBorders>
            <w:shd w:val="clear" w:color="auto" w:fill="FFFFFF"/>
            <w:vAlign w:val="bottom"/>
          </w:tcPr>
          <w:p w:rsidR="00FD7804" w:rsidRPr="000D3EB5" w:rsidRDefault="00FD7804" w:rsidP="00FD7804">
            <w:pPr>
              <w:autoSpaceDE w:val="0"/>
              <w:autoSpaceDN w:val="0"/>
              <w:adjustRightInd w:val="0"/>
              <w:spacing w:after="0" w:line="360" w:lineRule="auto"/>
              <w:ind w:left="60" w:right="60"/>
              <w:jc w:val="center"/>
              <w:rPr>
                <w:rFonts w:ascii="Arial" w:hAnsi="Arial"/>
                <w:color w:val="000000"/>
                <w:sz w:val="18"/>
                <w:szCs w:val="18"/>
              </w:rPr>
            </w:pPr>
            <w:r w:rsidRPr="000D3EB5">
              <w:rPr>
                <w:rFonts w:ascii="Arial" w:hAnsi="Arial"/>
                <w:color w:val="000000"/>
                <w:sz w:val="18"/>
                <w:szCs w:val="18"/>
              </w:rPr>
              <w:t>R Square</w:t>
            </w:r>
          </w:p>
        </w:tc>
        <w:tc>
          <w:tcPr>
            <w:tcW w:w="1611" w:type="dxa"/>
            <w:tcBorders>
              <w:top w:val="single" w:sz="16" w:space="0" w:color="000000"/>
              <w:bottom w:val="single" w:sz="16" w:space="0" w:color="000000"/>
            </w:tcBorders>
            <w:shd w:val="clear" w:color="auto" w:fill="FFFFFF"/>
            <w:vAlign w:val="bottom"/>
          </w:tcPr>
          <w:p w:rsidR="00FD7804" w:rsidRPr="000D3EB5" w:rsidRDefault="00FD7804" w:rsidP="00FD7804">
            <w:pPr>
              <w:autoSpaceDE w:val="0"/>
              <w:autoSpaceDN w:val="0"/>
              <w:adjustRightInd w:val="0"/>
              <w:spacing w:after="0" w:line="360" w:lineRule="auto"/>
              <w:ind w:left="60" w:right="60"/>
              <w:jc w:val="center"/>
              <w:rPr>
                <w:rFonts w:ascii="Arial" w:hAnsi="Arial"/>
                <w:color w:val="000000"/>
                <w:sz w:val="18"/>
                <w:szCs w:val="18"/>
              </w:rPr>
            </w:pPr>
            <w:r w:rsidRPr="000D3EB5">
              <w:rPr>
                <w:rFonts w:ascii="Arial" w:hAnsi="Arial"/>
                <w:color w:val="000000"/>
                <w:sz w:val="18"/>
                <w:szCs w:val="18"/>
              </w:rPr>
              <w:t>Adjusted R Square</w:t>
            </w:r>
          </w:p>
        </w:tc>
        <w:tc>
          <w:tcPr>
            <w:tcW w:w="1611" w:type="dxa"/>
            <w:tcBorders>
              <w:top w:val="single" w:sz="16" w:space="0" w:color="000000"/>
              <w:bottom w:val="single" w:sz="16" w:space="0" w:color="000000"/>
              <w:right w:val="single" w:sz="16" w:space="0" w:color="000000"/>
            </w:tcBorders>
            <w:shd w:val="clear" w:color="auto" w:fill="FFFFFF"/>
            <w:vAlign w:val="bottom"/>
          </w:tcPr>
          <w:p w:rsidR="00FD7804" w:rsidRPr="00FD7804" w:rsidRDefault="00FD7804" w:rsidP="00FD7804">
            <w:pPr>
              <w:autoSpaceDE w:val="0"/>
              <w:autoSpaceDN w:val="0"/>
              <w:adjustRightInd w:val="0"/>
              <w:spacing w:after="0" w:line="360" w:lineRule="auto"/>
              <w:ind w:left="60" w:right="60"/>
              <w:jc w:val="center"/>
              <w:rPr>
                <w:rFonts w:ascii="Arial" w:hAnsi="Arial"/>
                <w:color w:val="000000"/>
                <w:sz w:val="18"/>
                <w:szCs w:val="18"/>
                <w:lang w:val="en-US"/>
              </w:rPr>
            </w:pPr>
            <w:r w:rsidRPr="00FD7804">
              <w:rPr>
                <w:rFonts w:ascii="Arial" w:hAnsi="Arial"/>
                <w:color w:val="000000"/>
                <w:sz w:val="18"/>
                <w:szCs w:val="18"/>
                <w:lang w:val="en-US"/>
              </w:rPr>
              <w:t>Std. Error of the Estimate</w:t>
            </w:r>
          </w:p>
        </w:tc>
      </w:tr>
      <w:tr w:rsidR="00FD7804" w:rsidRPr="000D3EB5" w:rsidTr="00ED0DE9">
        <w:tc>
          <w:tcPr>
            <w:tcW w:w="875" w:type="dxa"/>
            <w:tcBorders>
              <w:top w:val="single" w:sz="16" w:space="0" w:color="000000"/>
              <w:left w:val="single" w:sz="16" w:space="0" w:color="000000"/>
              <w:bottom w:val="single" w:sz="16" w:space="0" w:color="000000"/>
              <w:right w:val="single" w:sz="16" w:space="0" w:color="000000"/>
            </w:tcBorders>
            <w:shd w:val="clear" w:color="auto" w:fill="FFFFFF"/>
          </w:tcPr>
          <w:p w:rsidR="00FD7804" w:rsidRPr="000D3EB5" w:rsidRDefault="00FD7804" w:rsidP="00FD7804">
            <w:pPr>
              <w:autoSpaceDE w:val="0"/>
              <w:autoSpaceDN w:val="0"/>
              <w:adjustRightInd w:val="0"/>
              <w:spacing w:after="0" w:line="360" w:lineRule="auto"/>
              <w:ind w:left="60" w:right="60"/>
              <w:rPr>
                <w:rFonts w:ascii="Arial" w:hAnsi="Arial"/>
                <w:color w:val="000000"/>
                <w:sz w:val="18"/>
                <w:szCs w:val="18"/>
              </w:rPr>
            </w:pPr>
            <w:r w:rsidRPr="000D3EB5">
              <w:rPr>
                <w:rFonts w:ascii="Arial" w:hAnsi="Arial"/>
                <w:color w:val="000000"/>
                <w:sz w:val="18"/>
                <w:szCs w:val="18"/>
              </w:rPr>
              <w:t>1</w:t>
            </w:r>
          </w:p>
        </w:tc>
        <w:tc>
          <w:tcPr>
            <w:tcW w:w="1118" w:type="dxa"/>
            <w:tcBorders>
              <w:top w:val="single" w:sz="16" w:space="0" w:color="000000"/>
              <w:left w:val="single" w:sz="16" w:space="0" w:color="000000"/>
              <w:bottom w:val="single" w:sz="16" w:space="0" w:color="000000"/>
            </w:tcBorders>
            <w:shd w:val="clear" w:color="auto" w:fill="FFFFFF"/>
          </w:tcPr>
          <w:p w:rsidR="00FD7804" w:rsidRPr="000D3EB5" w:rsidRDefault="00FD7804" w:rsidP="00FD7804">
            <w:pPr>
              <w:autoSpaceDE w:val="0"/>
              <w:autoSpaceDN w:val="0"/>
              <w:adjustRightInd w:val="0"/>
              <w:spacing w:after="0" w:line="360" w:lineRule="auto"/>
              <w:ind w:left="60" w:right="60"/>
              <w:jc w:val="right"/>
              <w:rPr>
                <w:rFonts w:ascii="Arial" w:hAnsi="Arial"/>
                <w:color w:val="000000"/>
                <w:sz w:val="18"/>
                <w:szCs w:val="18"/>
              </w:rPr>
            </w:pPr>
            <w:r w:rsidRPr="000D3EB5">
              <w:rPr>
                <w:rFonts w:ascii="Arial" w:hAnsi="Arial"/>
                <w:color w:val="000000"/>
                <w:sz w:val="18"/>
                <w:szCs w:val="18"/>
              </w:rPr>
              <w:t>.237</w:t>
            </w:r>
            <w:r w:rsidRPr="000D3EB5">
              <w:rPr>
                <w:rFonts w:ascii="Arial" w:hAnsi="Arial"/>
                <w:color w:val="000000"/>
                <w:sz w:val="18"/>
                <w:szCs w:val="18"/>
                <w:vertAlign w:val="superscript"/>
              </w:rPr>
              <w:t>a</w:t>
            </w:r>
          </w:p>
        </w:tc>
        <w:tc>
          <w:tcPr>
            <w:tcW w:w="1192" w:type="dxa"/>
            <w:tcBorders>
              <w:top w:val="single" w:sz="16" w:space="0" w:color="000000"/>
              <w:bottom w:val="single" w:sz="16" w:space="0" w:color="000000"/>
            </w:tcBorders>
            <w:shd w:val="clear" w:color="auto" w:fill="FFFFFF"/>
          </w:tcPr>
          <w:p w:rsidR="00FD7804" w:rsidRPr="000D3EB5" w:rsidRDefault="00FD7804" w:rsidP="00FD7804">
            <w:pPr>
              <w:autoSpaceDE w:val="0"/>
              <w:autoSpaceDN w:val="0"/>
              <w:adjustRightInd w:val="0"/>
              <w:spacing w:after="0" w:line="360" w:lineRule="auto"/>
              <w:ind w:left="60" w:right="60"/>
              <w:jc w:val="right"/>
              <w:rPr>
                <w:rFonts w:ascii="Arial" w:hAnsi="Arial"/>
                <w:color w:val="000000"/>
                <w:sz w:val="18"/>
                <w:szCs w:val="18"/>
              </w:rPr>
            </w:pPr>
            <w:r w:rsidRPr="000D3EB5">
              <w:rPr>
                <w:rFonts w:ascii="Arial" w:hAnsi="Arial"/>
                <w:color w:val="000000"/>
                <w:sz w:val="18"/>
                <w:szCs w:val="18"/>
              </w:rPr>
              <w:t>.056</w:t>
            </w:r>
          </w:p>
        </w:tc>
        <w:tc>
          <w:tcPr>
            <w:tcW w:w="1611" w:type="dxa"/>
            <w:tcBorders>
              <w:top w:val="single" w:sz="16" w:space="0" w:color="000000"/>
              <w:bottom w:val="single" w:sz="16" w:space="0" w:color="000000"/>
            </w:tcBorders>
            <w:shd w:val="clear" w:color="auto" w:fill="FFFFFF"/>
          </w:tcPr>
          <w:p w:rsidR="00FD7804" w:rsidRPr="000D3EB5" w:rsidRDefault="00FD7804" w:rsidP="00FD7804">
            <w:pPr>
              <w:autoSpaceDE w:val="0"/>
              <w:autoSpaceDN w:val="0"/>
              <w:adjustRightInd w:val="0"/>
              <w:spacing w:after="0" w:line="360" w:lineRule="auto"/>
              <w:ind w:left="60" w:right="60"/>
              <w:jc w:val="right"/>
              <w:rPr>
                <w:rFonts w:ascii="Arial" w:hAnsi="Arial"/>
                <w:color w:val="000000"/>
                <w:sz w:val="18"/>
                <w:szCs w:val="18"/>
              </w:rPr>
            </w:pPr>
            <w:r w:rsidRPr="000D3EB5">
              <w:rPr>
                <w:rFonts w:ascii="Arial" w:hAnsi="Arial"/>
                <w:color w:val="000000"/>
                <w:sz w:val="18"/>
                <w:szCs w:val="18"/>
              </w:rPr>
              <w:t>.051</w:t>
            </w:r>
          </w:p>
        </w:tc>
        <w:tc>
          <w:tcPr>
            <w:tcW w:w="1611" w:type="dxa"/>
            <w:tcBorders>
              <w:top w:val="single" w:sz="16" w:space="0" w:color="000000"/>
              <w:bottom w:val="single" w:sz="16" w:space="0" w:color="000000"/>
              <w:right w:val="single" w:sz="16" w:space="0" w:color="000000"/>
            </w:tcBorders>
            <w:shd w:val="clear" w:color="auto" w:fill="FFFFFF"/>
          </w:tcPr>
          <w:p w:rsidR="00FD7804" w:rsidRPr="000D3EB5" w:rsidRDefault="00FD7804" w:rsidP="00FD7804">
            <w:pPr>
              <w:autoSpaceDE w:val="0"/>
              <w:autoSpaceDN w:val="0"/>
              <w:adjustRightInd w:val="0"/>
              <w:spacing w:after="0" w:line="360" w:lineRule="auto"/>
              <w:ind w:left="60" w:right="60"/>
              <w:jc w:val="right"/>
              <w:rPr>
                <w:rFonts w:ascii="Arial" w:hAnsi="Arial"/>
                <w:color w:val="000000"/>
                <w:sz w:val="18"/>
                <w:szCs w:val="18"/>
              </w:rPr>
            </w:pPr>
            <w:r w:rsidRPr="000D3EB5">
              <w:rPr>
                <w:rFonts w:ascii="Arial" w:hAnsi="Arial"/>
                <w:color w:val="000000"/>
                <w:sz w:val="18"/>
                <w:szCs w:val="18"/>
              </w:rPr>
              <w:t>.11047</w:t>
            </w:r>
          </w:p>
        </w:tc>
      </w:tr>
      <w:tr w:rsidR="00FD7804" w:rsidRPr="0013388B" w:rsidTr="00ED0DE9">
        <w:tc>
          <w:tcPr>
            <w:tcW w:w="6407" w:type="dxa"/>
            <w:gridSpan w:val="5"/>
            <w:tcBorders>
              <w:top w:val="nil"/>
              <w:left w:val="nil"/>
              <w:bottom w:val="nil"/>
              <w:right w:val="nil"/>
            </w:tcBorders>
            <w:shd w:val="clear" w:color="auto" w:fill="FFFFFF"/>
          </w:tcPr>
          <w:p w:rsidR="00FD7804" w:rsidRPr="00FD7804" w:rsidRDefault="00FD7804" w:rsidP="00FD7804">
            <w:pPr>
              <w:autoSpaceDE w:val="0"/>
              <w:autoSpaceDN w:val="0"/>
              <w:adjustRightInd w:val="0"/>
              <w:spacing w:after="0" w:line="360" w:lineRule="auto"/>
              <w:ind w:left="60" w:right="60"/>
              <w:rPr>
                <w:rFonts w:ascii="Arial" w:hAnsi="Arial"/>
                <w:color w:val="000000"/>
                <w:sz w:val="18"/>
                <w:szCs w:val="18"/>
                <w:lang w:val="en-US"/>
              </w:rPr>
            </w:pPr>
            <w:r w:rsidRPr="00FD7804">
              <w:rPr>
                <w:rFonts w:ascii="Arial" w:hAnsi="Arial"/>
                <w:color w:val="000000"/>
                <w:sz w:val="18"/>
                <w:szCs w:val="18"/>
                <w:lang w:val="en-US"/>
              </w:rPr>
              <w:t>a. Predictors: (Constant), Country, Accounting Standard, Size</w:t>
            </w:r>
          </w:p>
          <w:p w:rsidR="00FD7804" w:rsidRPr="00FD7804" w:rsidRDefault="00FD7804" w:rsidP="00FD7804">
            <w:pPr>
              <w:autoSpaceDE w:val="0"/>
              <w:autoSpaceDN w:val="0"/>
              <w:adjustRightInd w:val="0"/>
              <w:spacing w:after="0" w:line="360" w:lineRule="auto"/>
              <w:ind w:left="60" w:right="60"/>
              <w:rPr>
                <w:rFonts w:ascii="Arial" w:hAnsi="Arial"/>
                <w:color w:val="000000"/>
                <w:sz w:val="18"/>
                <w:szCs w:val="18"/>
                <w:lang w:val="en-US"/>
              </w:rPr>
            </w:pPr>
            <w:r w:rsidRPr="00FD7804">
              <w:rPr>
                <w:rFonts w:ascii="Arial" w:hAnsi="Arial"/>
                <w:color w:val="000000"/>
                <w:sz w:val="18"/>
                <w:szCs w:val="18"/>
                <w:lang w:val="en-US"/>
              </w:rPr>
              <w:t>b. Dependent Variable: Total Earnings Management</w:t>
            </w:r>
          </w:p>
          <w:p w:rsidR="00FD7804" w:rsidRPr="00FD7804" w:rsidRDefault="00FD7804" w:rsidP="00FD7804">
            <w:pPr>
              <w:autoSpaceDE w:val="0"/>
              <w:autoSpaceDN w:val="0"/>
              <w:adjustRightInd w:val="0"/>
              <w:spacing w:after="0" w:line="360" w:lineRule="auto"/>
              <w:ind w:left="60" w:right="60"/>
              <w:rPr>
                <w:rFonts w:ascii="Arial" w:hAnsi="Arial"/>
                <w:color w:val="000000"/>
                <w:sz w:val="18"/>
                <w:szCs w:val="18"/>
                <w:lang w:val="en-US"/>
              </w:rPr>
            </w:pPr>
          </w:p>
        </w:tc>
      </w:tr>
    </w:tbl>
    <w:p w:rsidR="00F06A4F" w:rsidRDefault="00FD7804" w:rsidP="00FD7804">
      <w:pPr>
        <w:spacing w:line="360" w:lineRule="auto"/>
        <w:rPr>
          <w:lang w:val="en-US"/>
        </w:rPr>
      </w:pPr>
      <w:r>
        <w:rPr>
          <w:lang w:val="en-US"/>
        </w:rPr>
        <w:t>The next aspect of the multiple regression</w:t>
      </w:r>
      <w:r w:rsidR="008D761D">
        <w:rPr>
          <w:lang w:val="en-US"/>
        </w:rPr>
        <w:t>s</w:t>
      </w:r>
      <w:r>
        <w:rPr>
          <w:lang w:val="en-US"/>
        </w:rPr>
        <w:t xml:space="preserve"> that will be </w:t>
      </w:r>
      <w:r w:rsidR="00FD57D0">
        <w:rPr>
          <w:lang w:val="en-US"/>
        </w:rPr>
        <w:t>commented</w:t>
      </w:r>
      <w:r>
        <w:rPr>
          <w:lang w:val="en-US"/>
        </w:rPr>
        <w:t xml:space="preserve"> is the outcome of the variance-analysis in the ANOVA table. </w:t>
      </w:r>
      <w:r w:rsidR="00601CB1">
        <w:rPr>
          <w:lang w:val="en-US"/>
        </w:rPr>
        <w:t xml:space="preserve">With this analysis, the significance of the total model is tested. The F-test shows that the total model is significant (0.000). </w:t>
      </w:r>
    </w:p>
    <w:tbl>
      <w:tblPr>
        <w:tblW w:w="87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6"/>
        <w:gridCol w:w="1409"/>
        <w:gridCol w:w="1611"/>
        <w:gridCol w:w="1117"/>
        <w:gridCol w:w="1547"/>
        <w:gridCol w:w="1119"/>
        <w:gridCol w:w="1119"/>
      </w:tblGrid>
      <w:tr w:rsidR="00601CB1" w:rsidRPr="000D3EB5" w:rsidTr="00601CB1">
        <w:tc>
          <w:tcPr>
            <w:tcW w:w="8728" w:type="dxa"/>
            <w:gridSpan w:val="7"/>
            <w:tcBorders>
              <w:top w:val="nil"/>
              <w:left w:val="nil"/>
              <w:bottom w:val="nil"/>
              <w:right w:val="nil"/>
            </w:tcBorders>
            <w:shd w:val="clear" w:color="auto" w:fill="FFFFFF"/>
            <w:vAlign w:val="center"/>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ANOVA</w:t>
            </w:r>
            <w:r w:rsidRPr="000D3EB5">
              <w:rPr>
                <w:rFonts w:ascii="Arial" w:hAnsi="Arial"/>
                <w:b/>
                <w:bCs/>
                <w:color w:val="000000"/>
                <w:sz w:val="18"/>
                <w:szCs w:val="18"/>
                <w:vertAlign w:val="superscript"/>
              </w:rPr>
              <w:t>b</w:t>
            </w:r>
          </w:p>
        </w:tc>
      </w:tr>
      <w:tr w:rsidR="00601CB1" w:rsidRPr="000D3EB5" w:rsidTr="00601CB1">
        <w:tc>
          <w:tcPr>
            <w:tcW w:w="221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Sum of Squares</w:t>
            </w:r>
          </w:p>
        </w:tc>
        <w:tc>
          <w:tcPr>
            <w:tcW w:w="1117" w:type="dxa"/>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df</w:t>
            </w:r>
          </w:p>
        </w:tc>
        <w:tc>
          <w:tcPr>
            <w:tcW w:w="1547" w:type="dxa"/>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 Square</w:t>
            </w:r>
          </w:p>
        </w:tc>
        <w:tc>
          <w:tcPr>
            <w:tcW w:w="1119" w:type="dxa"/>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F</w:t>
            </w:r>
          </w:p>
        </w:tc>
        <w:tc>
          <w:tcPr>
            <w:tcW w:w="1119" w:type="dxa"/>
            <w:tcBorders>
              <w:top w:val="single" w:sz="16" w:space="0" w:color="000000"/>
              <w:bottom w:val="single" w:sz="16" w:space="0" w:color="000000"/>
              <w:right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r>
      <w:tr w:rsidR="00601CB1" w:rsidRPr="000D3EB5" w:rsidTr="00601CB1">
        <w:tc>
          <w:tcPr>
            <w:tcW w:w="806" w:type="dxa"/>
            <w:vMerge w:val="restart"/>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409" w:type="dxa"/>
            <w:tcBorders>
              <w:top w:val="single" w:sz="16" w:space="0" w:color="000000"/>
              <w:left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Regression</w:t>
            </w:r>
          </w:p>
        </w:tc>
        <w:tc>
          <w:tcPr>
            <w:tcW w:w="1611" w:type="dxa"/>
            <w:tcBorders>
              <w:top w:val="single" w:sz="16" w:space="0" w:color="000000"/>
              <w:left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.381</w:t>
            </w:r>
          </w:p>
        </w:tc>
        <w:tc>
          <w:tcPr>
            <w:tcW w:w="1117" w:type="dxa"/>
            <w:tcBorders>
              <w:top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w:t>
            </w:r>
          </w:p>
        </w:tc>
        <w:tc>
          <w:tcPr>
            <w:tcW w:w="1547" w:type="dxa"/>
            <w:tcBorders>
              <w:top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.127</w:t>
            </w:r>
          </w:p>
        </w:tc>
        <w:tc>
          <w:tcPr>
            <w:tcW w:w="1119" w:type="dxa"/>
            <w:tcBorders>
              <w:top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10.398</w:t>
            </w:r>
          </w:p>
        </w:tc>
        <w:tc>
          <w:tcPr>
            <w:tcW w:w="1119" w:type="dxa"/>
            <w:tcBorders>
              <w:top w:val="single" w:sz="16" w:space="0" w:color="000000"/>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r w:rsidRPr="000D3EB5">
              <w:rPr>
                <w:rFonts w:ascii="Arial" w:hAnsi="Arial"/>
                <w:color w:val="000000"/>
                <w:sz w:val="18"/>
                <w:szCs w:val="18"/>
                <w:vertAlign w:val="superscript"/>
              </w:rPr>
              <w:t>a</w:t>
            </w:r>
          </w:p>
        </w:tc>
      </w:tr>
      <w:tr w:rsidR="00601CB1" w:rsidRPr="000D3EB5" w:rsidTr="00601CB1">
        <w:tc>
          <w:tcPr>
            <w:tcW w:w="806" w:type="dxa"/>
            <w:vMerge/>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240" w:lineRule="auto"/>
              <w:rPr>
                <w:rFonts w:ascii="Arial" w:hAnsi="Arial"/>
                <w:color w:val="000000"/>
                <w:sz w:val="18"/>
                <w:szCs w:val="18"/>
              </w:rPr>
            </w:pPr>
          </w:p>
        </w:tc>
        <w:tc>
          <w:tcPr>
            <w:tcW w:w="1409" w:type="dxa"/>
            <w:tcBorders>
              <w:top w:val="nil"/>
              <w:left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Residual</w:t>
            </w:r>
          </w:p>
        </w:tc>
        <w:tc>
          <w:tcPr>
            <w:tcW w:w="1611" w:type="dxa"/>
            <w:tcBorders>
              <w:top w:val="nil"/>
              <w:left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6.419</w:t>
            </w:r>
          </w:p>
        </w:tc>
        <w:tc>
          <w:tcPr>
            <w:tcW w:w="1117"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526</w:t>
            </w:r>
          </w:p>
        </w:tc>
        <w:tc>
          <w:tcPr>
            <w:tcW w:w="1547"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.012</w:t>
            </w:r>
          </w:p>
        </w:tc>
        <w:tc>
          <w:tcPr>
            <w:tcW w:w="1119" w:type="dxa"/>
            <w:tcBorders>
              <w:top w:val="nil"/>
              <w:bottom w:val="nil"/>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nil"/>
              <w:right w:val="single" w:sz="16" w:space="0" w:color="000000"/>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r>
      <w:tr w:rsidR="00601CB1" w:rsidRPr="000D3EB5" w:rsidTr="00601CB1">
        <w:tc>
          <w:tcPr>
            <w:tcW w:w="806" w:type="dxa"/>
            <w:vMerge/>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240" w:lineRule="auto"/>
              <w:rPr>
                <w:rFonts w:ascii="Times New Roman" w:hAnsi="Times New Roman" w:cs="Times New Roman"/>
                <w:sz w:val="24"/>
                <w:szCs w:val="24"/>
              </w:rPr>
            </w:pPr>
          </w:p>
        </w:tc>
        <w:tc>
          <w:tcPr>
            <w:tcW w:w="1409" w:type="dxa"/>
            <w:tcBorders>
              <w:top w:val="nil"/>
              <w:left w:val="nil"/>
              <w:bottom w:val="single" w:sz="16" w:space="0" w:color="000000"/>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Total</w:t>
            </w:r>
          </w:p>
        </w:tc>
        <w:tc>
          <w:tcPr>
            <w:tcW w:w="1611" w:type="dxa"/>
            <w:tcBorders>
              <w:top w:val="nil"/>
              <w:left w:val="single" w:sz="16" w:space="0" w:color="000000"/>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6.799</w:t>
            </w:r>
          </w:p>
        </w:tc>
        <w:tc>
          <w:tcPr>
            <w:tcW w:w="1117"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529</w:t>
            </w:r>
          </w:p>
        </w:tc>
        <w:tc>
          <w:tcPr>
            <w:tcW w:w="1547" w:type="dxa"/>
            <w:tcBorders>
              <w:top w:val="nil"/>
              <w:bottom w:val="single" w:sz="16" w:space="0" w:color="000000"/>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right w:val="single" w:sz="16" w:space="0" w:color="000000"/>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r>
      <w:tr w:rsidR="00601CB1" w:rsidRPr="0013388B" w:rsidTr="00601CB1">
        <w:tc>
          <w:tcPr>
            <w:tcW w:w="8728" w:type="dxa"/>
            <w:gridSpan w:val="7"/>
            <w:tcBorders>
              <w:top w:val="nil"/>
              <w:left w:val="nil"/>
              <w:bottom w:val="nil"/>
              <w:right w:val="nil"/>
            </w:tcBorders>
            <w:shd w:val="clear" w:color="auto" w:fill="FFFFFF"/>
          </w:tcPr>
          <w:p w:rsidR="00601CB1" w:rsidRPr="00601CB1" w:rsidRDefault="00601CB1" w:rsidP="00ED0DE9">
            <w:pPr>
              <w:autoSpaceDE w:val="0"/>
              <w:autoSpaceDN w:val="0"/>
              <w:adjustRightInd w:val="0"/>
              <w:spacing w:after="0" w:line="320" w:lineRule="atLeast"/>
              <w:ind w:left="60" w:right="60"/>
              <w:rPr>
                <w:rFonts w:ascii="Arial" w:hAnsi="Arial"/>
                <w:color w:val="000000"/>
                <w:sz w:val="18"/>
                <w:szCs w:val="18"/>
                <w:lang w:val="en-US"/>
              </w:rPr>
            </w:pPr>
            <w:r w:rsidRPr="00601CB1">
              <w:rPr>
                <w:rFonts w:ascii="Arial" w:hAnsi="Arial"/>
                <w:color w:val="000000"/>
                <w:sz w:val="18"/>
                <w:szCs w:val="18"/>
                <w:lang w:val="en-US"/>
              </w:rPr>
              <w:t>a. Predictors: (Constant), Country, Accounting Standard, Size</w:t>
            </w:r>
          </w:p>
          <w:p w:rsidR="00601CB1" w:rsidRPr="00601CB1" w:rsidRDefault="00601CB1" w:rsidP="00ED0DE9">
            <w:pPr>
              <w:autoSpaceDE w:val="0"/>
              <w:autoSpaceDN w:val="0"/>
              <w:adjustRightInd w:val="0"/>
              <w:spacing w:after="0" w:line="320" w:lineRule="atLeast"/>
              <w:ind w:left="60" w:right="60"/>
              <w:rPr>
                <w:rFonts w:ascii="Arial" w:hAnsi="Arial"/>
                <w:color w:val="000000"/>
                <w:sz w:val="18"/>
                <w:szCs w:val="18"/>
                <w:lang w:val="en-US"/>
              </w:rPr>
            </w:pPr>
            <w:r w:rsidRPr="00601CB1">
              <w:rPr>
                <w:rFonts w:ascii="Arial" w:hAnsi="Arial"/>
                <w:color w:val="000000"/>
                <w:sz w:val="18"/>
                <w:szCs w:val="18"/>
                <w:lang w:val="en-US"/>
              </w:rPr>
              <w:t>b. Dependent Variable: Total Earnings Management</w:t>
            </w:r>
          </w:p>
          <w:p w:rsidR="00601CB1" w:rsidRPr="00601CB1" w:rsidRDefault="00601CB1" w:rsidP="00ED0DE9">
            <w:pPr>
              <w:autoSpaceDE w:val="0"/>
              <w:autoSpaceDN w:val="0"/>
              <w:adjustRightInd w:val="0"/>
              <w:spacing w:after="0" w:line="320" w:lineRule="atLeast"/>
              <w:ind w:left="60" w:right="60"/>
              <w:rPr>
                <w:rFonts w:ascii="Arial" w:hAnsi="Arial"/>
                <w:color w:val="000000"/>
                <w:sz w:val="18"/>
                <w:szCs w:val="18"/>
                <w:lang w:val="en-US"/>
              </w:rPr>
            </w:pPr>
          </w:p>
        </w:tc>
      </w:tr>
    </w:tbl>
    <w:p w:rsidR="00C62924" w:rsidRDefault="008D761D" w:rsidP="00C149EE">
      <w:pPr>
        <w:spacing w:line="360" w:lineRule="auto"/>
        <w:rPr>
          <w:lang w:val="en-US"/>
        </w:rPr>
      </w:pPr>
      <w:r>
        <w:rPr>
          <w:lang w:val="en-US"/>
        </w:rPr>
        <w:t>Before has been determined</w:t>
      </w:r>
      <w:r w:rsidR="000E1791">
        <w:rPr>
          <w:lang w:val="en-US"/>
        </w:rPr>
        <w:t xml:space="preserve"> the total model</w:t>
      </w:r>
      <w:r w:rsidR="00601CB1">
        <w:rPr>
          <w:lang w:val="en-US"/>
        </w:rPr>
        <w:t xml:space="preserve"> is significant, </w:t>
      </w:r>
      <w:r>
        <w:rPr>
          <w:lang w:val="en-US"/>
        </w:rPr>
        <w:t>next</w:t>
      </w:r>
      <w:r w:rsidR="00601CB1">
        <w:rPr>
          <w:lang w:val="en-US"/>
        </w:rPr>
        <w:t xml:space="preserve"> the question </w:t>
      </w:r>
      <w:r>
        <w:rPr>
          <w:lang w:val="en-US"/>
        </w:rPr>
        <w:t xml:space="preserve">is </w:t>
      </w:r>
      <w:r w:rsidR="00601CB1">
        <w:rPr>
          <w:lang w:val="en-US"/>
        </w:rPr>
        <w:t xml:space="preserve">whether </w:t>
      </w:r>
      <w:r w:rsidR="009A0A45">
        <w:rPr>
          <w:lang w:val="en-US"/>
        </w:rPr>
        <w:t>in addition</w:t>
      </w:r>
      <w:r w:rsidR="00601CB1">
        <w:rPr>
          <w:lang w:val="en-US"/>
        </w:rPr>
        <w:t xml:space="preserve"> all the </w:t>
      </w:r>
      <w:r w:rsidR="000E1791">
        <w:rPr>
          <w:lang w:val="en-US"/>
        </w:rPr>
        <w:t>coefficients</w:t>
      </w:r>
      <w:r w:rsidR="00601CB1">
        <w:rPr>
          <w:lang w:val="en-US"/>
        </w:rPr>
        <w:t xml:space="preserve"> of the independent var</w:t>
      </w:r>
      <w:r w:rsidR="00F25D44">
        <w:rPr>
          <w:lang w:val="en-US"/>
        </w:rPr>
        <w:t>iables are significant. In the t</w:t>
      </w:r>
      <w:r w:rsidR="00601CB1">
        <w:rPr>
          <w:lang w:val="en-US"/>
        </w:rPr>
        <w:t xml:space="preserve">able Coefficients, the sign, </w:t>
      </w:r>
      <w:r>
        <w:rPr>
          <w:lang w:val="en-US"/>
        </w:rPr>
        <w:t xml:space="preserve">the </w:t>
      </w:r>
      <w:r w:rsidR="00601CB1">
        <w:rPr>
          <w:lang w:val="en-US"/>
        </w:rPr>
        <w:t xml:space="preserve">size and </w:t>
      </w:r>
      <w:r>
        <w:rPr>
          <w:lang w:val="en-US"/>
        </w:rPr>
        <w:t xml:space="preserve">the </w:t>
      </w:r>
      <w:r w:rsidR="00601CB1">
        <w:rPr>
          <w:lang w:val="en-US"/>
        </w:rPr>
        <w:t xml:space="preserve">significance of the independent variables are </w:t>
      </w:r>
      <w:r w:rsidR="000E1791">
        <w:rPr>
          <w:lang w:val="en-US"/>
        </w:rPr>
        <w:t>presented</w:t>
      </w:r>
      <w:r w:rsidR="00C62924">
        <w:rPr>
          <w:lang w:val="en-US"/>
        </w:rPr>
        <w:t>;</w:t>
      </w:r>
      <w:r w:rsidR="00601CB1">
        <w:rPr>
          <w:lang w:val="en-US"/>
        </w:rPr>
        <w:t xml:space="preserve"> these results </w:t>
      </w:r>
      <w:r w:rsidR="00C62924">
        <w:rPr>
          <w:lang w:val="en-US"/>
        </w:rPr>
        <w:t xml:space="preserve">are </w:t>
      </w:r>
      <w:r w:rsidR="00601CB1">
        <w:rPr>
          <w:lang w:val="en-US"/>
        </w:rPr>
        <w:t>in rela</w:t>
      </w:r>
      <w:r w:rsidR="00F25D44">
        <w:rPr>
          <w:lang w:val="en-US"/>
        </w:rPr>
        <w:t>tion to the dependent variable t</w:t>
      </w:r>
      <w:r w:rsidR="00601CB1">
        <w:rPr>
          <w:lang w:val="en-US"/>
        </w:rPr>
        <w:t xml:space="preserve">otal </w:t>
      </w:r>
      <w:r w:rsidR="00F25D44">
        <w:rPr>
          <w:lang w:val="en-US"/>
        </w:rPr>
        <w:t>e</w:t>
      </w:r>
      <w:r w:rsidR="00601CB1">
        <w:rPr>
          <w:lang w:val="en-US"/>
        </w:rPr>
        <w:t xml:space="preserve">arnings </w:t>
      </w:r>
      <w:r w:rsidR="00F25D44">
        <w:rPr>
          <w:lang w:val="en-US"/>
        </w:rPr>
        <w:t>m</w:t>
      </w:r>
      <w:r w:rsidR="00601CB1">
        <w:rPr>
          <w:lang w:val="en-US"/>
        </w:rPr>
        <w:t xml:space="preserve">anagement. </w:t>
      </w:r>
      <w:r w:rsidR="00C62924">
        <w:rPr>
          <w:lang w:val="en-US"/>
        </w:rPr>
        <w:t xml:space="preserve">When </w:t>
      </w:r>
      <w:r>
        <w:rPr>
          <w:lang w:val="en-US"/>
        </w:rPr>
        <w:t>investigating</w:t>
      </w:r>
      <w:r w:rsidR="00A31E2F">
        <w:rPr>
          <w:lang w:val="en-US"/>
        </w:rPr>
        <w:t xml:space="preserve"> </w:t>
      </w:r>
      <w:r w:rsidR="00C62924">
        <w:rPr>
          <w:lang w:val="en-US"/>
        </w:rPr>
        <w:t>the significance of the independent variables, with a significance level of 0</w:t>
      </w:r>
      <w:r w:rsidR="00F25D44">
        <w:rPr>
          <w:lang w:val="en-US"/>
        </w:rPr>
        <w:t>.05, the independent variables c</w:t>
      </w:r>
      <w:r w:rsidR="000E1791">
        <w:rPr>
          <w:lang w:val="en-US"/>
        </w:rPr>
        <w:t xml:space="preserve">ountry and </w:t>
      </w:r>
      <w:r w:rsidR="00F25D44">
        <w:rPr>
          <w:lang w:val="en-US"/>
        </w:rPr>
        <w:t>s</w:t>
      </w:r>
      <w:r w:rsidR="00C62924">
        <w:rPr>
          <w:lang w:val="en-US"/>
        </w:rPr>
        <w:t>ize ar</w:t>
      </w:r>
      <w:r w:rsidR="00F25D44">
        <w:rPr>
          <w:lang w:val="en-US"/>
        </w:rPr>
        <w:t>e significant and the variable a</w:t>
      </w:r>
      <w:r w:rsidR="00C62924">
        <w:rPr>
          <w:lang w:val="en-US"/>
        </w:rPr>
        <w:t xml:space="preserve">ccounting </w:t>
      </w:r>
      <w:r w:rsidR="00F25D44">
        <w:rPr>
          <w:lang w:val="en-US"/>
        </w:rPr>
        <w:t>s</w:t>
      </w:r>
      <w:r w:rsidR="00C62924">
        <w:rPr>
          <w:lang w:val="en-US"/>
        </w:rPr>
        <w:t>tandard is not</w:t>
      </w:r>
      <w:r w:rsidR="000E1791">
        <w:rPr>
          <w:lang w:val="en-US"/>
        </w:rPr>
        <w:t xml:space="preserve"> significant</w:t>
      </w:r>
      <w:r w:rsidR="00C62924">
        <w:rPr>
          <w:lang w:val="en-US"/>
        </w:rPr>
        <w:t>. This indicates that a significant difference</w:t>
      </w:r>
      <w:r>
        <w:rPr>
          <w:lang w:val="en-US"/>
        </w:rPr>
        <w:t xml:space="preserve"> exists</w:t>
      </w:r>
      <w:r w:rsidR="00C62924">
        <w:rPr>
          <w:lang w:val="en-US"/>
        </w:rPr>
        <w:t xml:space="preserve"> between The Netherlands on one hand and Belgium and France on the other hand. The sign of the</w:t>
      </w:r>
      <w:r w:rsidR="008270E1">
        <w:rPr>
          <w:lang w:val="en-US"/>
        </w:rPr>
        <w:t xml:space="preserve"> coefficient is negative (-0.110</w:t>
      </w:r>
      <w:r w:rsidR="00C62924">
        <w:rPr>
          <w:lang w:val="en-US"/>
        </w:rPr>
        <w:t>) which indicates that in Belgium and</w:t>
      </w:r>
      <w:r>
        <w:rPr>
          <w:lang w:val="en-US"/>
        </w:rPr>
        <w:t xml:space="preserve"> in</w:t>
      </w:r>
      <w:r w:rsidR="00C62924">
        <w:rPr>
          <w:lang w:val="en-US"/>
        </w:rPr>
        <w:t xml:space="preserve"> France less earnings management is used compared to The Netherlands. With</w:t>
      </w:r>
      <w:r w:rsidR="000E1791">
        <w:rPr>
          <w:lang w:val="en-US"/>
        </w:rPr>
        <w:t xml:space="preserve"> this statement</w:t>
      </w:r>
      <w:r w:rsidR="00C62924">
        <w:rPr>
          <w:lang w:val="en-US"/>
        </w:rPr>
        <w:t xml:space="preserve"> is assumed that earnings are managed upwards. It is </w:t>
      </w:r>
      <w:r w:rsidR="009A0A45">
        <w:rPr>
          <w:lang w:val="en-US"/>
        </w:rPr>
        <w:t>in addition</w:t>
      </w:r>
      <w:r w:rsidR="00C62924">
        <w:rPr>
          <w:lang w:val="en-US"/>
        </w:rPr>
        <w:t xml:space="preserve"> possible that in Belgium and </w:t>
      </w:r>
      <w:r>
        <w:rPr>
          <w:lang w:val="en-US"/>
        </w:rPr>
        <w:t xml:space="preserve">in </w:t>
      </w:r>
      <w:r w:rsidR="00C62924">
        <w:rPr>
          <w:lang w:val="en-US"/>
        </w:rPr>
        <w:t>France, more earnings are managed downwards, compared to The Netherlands.</w:t>
      </w:r>
      <w:r w:rsidR="000E1791">
        <w:rPr>
          <w:lang w:val="en-US"/>
        </w:rPr>
        <w:t xml:space="preserve"> As </w:t>
      </w:r>
      <w:r w:rsidR="00FD57D0">
        <w:rPr>
          <w:lang w:val="en-US"/>
        </w:rPr>
        <w:t>commented</w:t>
      </w:r>
      <w:r w:rsidR="000E1791">
        <w:rPr>
          <w:lang w:val="en-US"/>
        </w:rPr>
        <w:t xml:space="preserve"> in section 3.2.4, earnings can be managed in various directions.</w:t>
      </w:r>
      <w:r w:rsidR="00C62924">
        <w:rPr>
          <w:lang w:val="en-US"/>
        </w:rPr>
        <w:t xml:space="preserve"> This assumption</w:t>
      </w:r>
      <w:r w:rsidR="00F25D44">
        <w:rPr>
          <w:lang w:val="en-US"/>
        </w:rPr>
        <w:t xml:space="preserve"> is used for the variable s</w:t>
      </w:r>
      <w:r w:rsidR="00C62924">
        <w:rPr>
          <w:lang w:val="en-US"/>
        </w:rPr>
        <w:t xml:space="preserve">ize. According </w:t>
      </w:r>
      <w:r w:rsidR="00F25D44">
        <w:rPr>
          <w:lang w:val="en-US"/>
        </w:rPr>
        <w:t xml:space="preserve">to the </w:t>
      </w:r>
      <w:r w:rsidR="00F25D44">
        <w:rPr>
          <w:lang w:val="en-US"/>
        </w:rPr>
        <w:lastRenderedPageBreak/>
        <w:t xml:space="preserve">coefficient of </w:t>
      </w:r>
      <w:r>
        <w:rPr>
          <w:lang w:val="en-US"/>
        </w:rPr>
        <w:t xml:space="preserve">the </w:t>
      </w:r>
      <w:r w:rsidR="00F25D44">
        <w:rPr>
          <w:lang w:val="en-US"/>
        </w:rPr>
        <w:t>variable s</w:t>
      </w:r>
      <w:r w:rsidR="00C62924">
        <w:rPr>
          <w:lang w:val="en-US"/>
        </w:rPr>
        <w:t xml:space="preserve">ize, it appears that larger companies use significant less earnings management compared to smaller companies. </w:t>
      </w:r>
    </w:p>
    <w:p w:rsidR="00C62924" w:rsidRDefault="00C62924" w:rsidP="00C149EE">
      <w:pPr>
        <w:spacing w:line="360" w:lineRule="auto"/>
        <w:rPr>
          <w:lang w:val="en-US"/>
        </w:rPr>
      </w:pPr>
      <w:r>
        <w:rPr>
          <w:lang w:val="en-US"/>
        </w:rPr>
        <w:t>The last independent</w:t>
      </w:r>
      <w:r w:rsidR="00F25D44">
        <w:rPr>
          <w:lang w:val="en-US"/>
        </w:rPr>
        <w:t xml:space="preserve"> variable that is </w:t>
      </w:r>
      <w:r w:rsidR="00A31E2F">
        <w:rPr>
          <w:lang w:val="en-US"/>
        </w:rPr>
        <w:t>commented</w:t>
      </w:r>
      <w:r w:rsidR="00F25D44">
        <w:rPr>
          <w:lang w:val="en-US"/>
        </w:rPr>
        <w:t xml:space="preserve"> is</w:t>
      </w:r>
      <w:r w:rsidR="00A31E2F">
        <w:rPr>
          <w:lang w:val="en-US"/>
        </w:rPr>
        <w:t xml:space="preserve"> the variable</w:t>
      </w:r>
      <w:r w:rsidR="00F25D44">
        <w:rPr>
          <w:lang w:val="en-US"/>
        </w:rPr>
        <w:t xml:space="preserve"> a</w:t>
      </w:r>
      <w:r>
        <w:rPr>
          <w:lang w:val="en-US"/>
        </w:rPr>
        <w:t xml:space="preserve">ccounting </w:t>
      </w:r>
      <w:r w:rsidR="00F25D44">
        <w:rPr>
          <w:lang w:val="en-US"/>
        </w:rPr>
        <w:t>s</w:t>
      </w:r>
      <w:r>
        <w:rPr>
          <w:lang w:val="en-US"/>
        </w:rPr>
        <w:t>t</w:t>
      </w:r>
      <w:r w:rsidR="00A31E2F">
        <w:rPr>
          <w:lang w:val="en-US"/>
        </w:rPr>
        <w:t xml:space="preserve">andard which is the indicator </w:t>
      </w:r>
      <w:r>
        <w:rPr>
          <w:lang w:val="en-US"/>
        </w:rPr>
        <w:t xml:space="preserve">whether hypothesis 1 is approved or rejected. </w:t>
      </w:r>
      <w:r w:rsidR="00A31E2F">
        <w:rPr>
          <w:lang w:val="en-US"/>
        </w:rPr>
        <w:t xml:space="preserve">When </w:t>
      </w:r>
      <w:r w:rsidR="00F25D44">
        <w:rPr>
          <w:lang w:val="en-US"/>
        </w:rPr>
        <w:t>check</w:t>
      </w:r>
      <w:r w:rsidR="00A31E2F">
        <w:rPr>
          <w:lang w:val="en-US"/>
        </w:rPr>
        <w:t>ing</w:t>
      </w:r>
      <w:r w:rsidR="00F25D44">
        <w:rPr>
          <w:lang w:val="en-US"/>
        </w:rPr>
        <w:t xml:space="preserve"> the independent variable a</w:t>
      </w:r>
      <w:r w:rsidR="00803392">
        <w:rPr>
          <w:lang w:val="en-US"/>
        </w:rPr>
        <w:t xml:space="preserve">ccounting </w:t>
      </w:r>
      <w:r w:rsidR="00F25D44">
        <w:rPr>
          <w:lang w:val="en-US"/>
        </w:rPr>
        <w:t>st</w:t>
      </w:r>
      <w:r w:rsidR="008D761D">
        <w:rPr>
          <w:lang w:val="en-US"/>
        </w:rPr>
        <w:t xml:space="preserve">andard, </w:t>
      </w:r>
      <w:r w:rsidR="00803392">
        <w:rPr>
          <w:lang w:val="en-US"/>
        </w:rPr>
        <w:t>can be concluded that no significant (sig</w:t>
      </w:r>
      <w:r w:rsidR="000E1791">
        <w:rPr>
          <w:lang w:val="en-US"/>
        </w:rPr>
        <w:t>.</w:t>
      </w:r>
      <w:r w:rsidR="00803392">
        <w:rPr>
          <w:lang w:val="en-US"/>
        </w:rPr>
        <w:t xml:space="preserve"> 0.470) difference </w:t>
      </w:r>
      <w:r w:rsidR="008D761D">
        <w:rPr>
          <w:lang w:val="en-US"/>
        </w:rPr>
        <w:t xml:space="preserve">exists </w:t>
      </w:r>
      <w:r w:rsidR="00803392">
        <w:rPr>
          <w:lang w:val="en-US"/>
        </w:rPr>
        <w:t xml:space="preserve">between the total use of earnings management </w:t>
      </w:r>
      <w:r w:rsidR="008D761D">
        <w:rPr>
          <w:lang w:val="en-US"/>
        </w:rPr>
        <w:t>based on</w:t>
      </w:r>
      <w:r w:rsidR="00803392">
        <w:rPr>
          <w:lang w:val="en-US"/>
        </w:rPr>
        <w:t xml:space="preserve"> local GAAP and</w:t>
      </w:r>
      <w:r w:rsidR="008D761D">
        <w:rPr>
          <w:lang w:val="en-US"/>
        </w:rPr>
        <w:t xml:space="preserve"> on</w:t>
      </w:r>
      <w:r w:rsidR="00803392">
        <w:rPr>
          <w:lang w:val="en-US"/>
        </w:rPr>
        <w:t xml:space="preserve"> IFRS. </w:t>
      </w:r>
      <w:r w:rsidR="009A0A45">
        <w:rPr>
          <w:lang w:val="en-US"/>
        </w:rPr>
        <w:t>Consequently</w:t>
      </w:r>
      <w:r w:rsidR="00803392">
        <w:rPr>
          <w:lang w:val="en-US"/>
        </w:rPr>
        <w:t xml:space="preserve"> hypothesis 1 is approved; the introduction of IFRS in 2005 did not </w:t>
      </w:r>
      <w:r w:rsidR="008D761D">
        <w:rPr>
          <w:lang w:val="en-US"/>
        </w:rPr>
        <w:t>create</w:t>
      </w:r>
      <w:r w:rsidR="00A31E2F">
        <w:rPr>
          <w:lang w:val="en-US"/>
        </w:rPr>
        <w:t xml:space="preserve"> a significant</w:t>
      </w:r>
      <w:r w:rsidR="00803392">
        <w:rPr>
          <w:lang w:val="en-US"/>
        </w:rPr>
        <w:t xml:space="preserve"> change in the total use of earnings management in The Netherlands,</w:t>
      </w:r>
      <w:r w:rsidR="008D761D">
        <w:rPr>
          <w:lang w:val="en-US"/>
        </w:rPr>
        <w:t xml:space="preserve"> in</w:t>
      </w:r>
      <w:r w:rsidR="00803392">
        <w:rPr>
          <w:lang w:val="en-US"/>
        </w:rPr>
        <w:t xml:space="preserve"> Belgium and </w:t>
      </w:r>
      <w:r w:rsidR="008D761D">
        <w:rPr>
          <w:lang w:val="en-US"/>
        </w:rPr>
        <w:t xml:space="preserve">in </w:t>
      </w:r>
      <w:r w:rsidR="00803392">
        <w:rPr>
          <w:lang w:val="en-US"/>
        </w:rPr>
        <w:t>France.</w:t>
      </w:r>
    </w:p>
    <w:tbl>
      <w:tblPr>
        <w:tblW w:w="109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630"/>
        <w:gridCol w:w="1890"/>
        <w:gridCol w:w="720"/>
        <w:gridCol w:w="1039"/>
        <w:gridCol w:w="1276"/>
        <w:gridCol w:w="708"/>
        <w:gridCol w:w="567"/>
        <w:gridCol w:w="993"/>
        <w:gridCol w:w="850"/>
        <w:gridCol w:w="567"/>
        <w:gridCol w:w="992"/>
        <w:gridCol w:w="709"/>
      </w:tblGrid>
      <w:tr w:rsidR="00601CB1" w:rsidRPr="000D3EB5" w:rsidTr="000E1791">
        <w:trPr>
          <w:jc w:val="center"/>
        </w:trPr>
        <w:tc>
          <w:tcPr>
            <w:tcW w:w="10941" w:type="dxa"/>
            <w:gridSpan w:val="12"/>
            <w:tcBorders>
              <w:top w:val="nil"/>
              <w:left w:val="nil"/>
              <w:bottom w:val="nil"/>
              <w:right w:val="nil"/>
            </w:tcBorders>
            <w:shd w:val="clear" w:color="auto" w:fill="FFFFFF"/>
            <w:vAlign w:val="center"/>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Coefficients</w:t>
            </w:r>
            <w:r w:rsidRPr="000D3EB5">
              <w:rPr>
                <w:rFonts w:ascii="Arial" w:hAnsi="Arial"/>
                <w:b/>
                <w:bCs/>
                <w:color w:val="000000"/>
                <w:sz w:val="18"/>
                <w:szCs w:val="18"/>
                <w:vertAlign w:val="superscript"/>
              </w:rPr>
              <w:t>a</w:t>
            </w:r>
          </w:p>
        </w:tc>
      </w:tr>
      <w:tr w:rsidR="00601CB1" w:rsidRPr="000D3EB5" w:rsidTr="000E1791">
        <w:trPr>
          <w:jc w:val="center"/>
        </w:trPr>
        <w:tc>
          <w:tcPr>
            <w:tcW w:w="252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759" w:type="dxa"/>
            <w:gridSpan w:val="2"/>
            <w:tcBorders>
              <w:top w:val="single" w:sz="16" w:space="0" w:color="000000"/>
              <w:left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Unstandardized Coefficients</w:t>
            </w:r>
          </w:p>
        </w:tc>
        <w:tc>
          <w:tcPr>
            <w:tcW w:w="1276" w:type="dxa"/>
            <w:tcBorders>
              <w:top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Standardized Coefficients</w:t>
            </w:r>
          </w:p>
        </w:tc>
        <w:tc>
          <w:tcPr>
            <w:tcW w:w="708" w:type="dxa"/>
            <w:vMerge w:val="restart"/>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w:t>
            </w:r>
          </w:p>
        </w:tc>
        <w:tc>
          <w:tcPr>
            <w:tcW w:w="567" w:type="dxa"/>
            <w:vMerge w:val="restart"/>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c>
          <w:tcPr>
            <w:tcW w:w="2410" w:type="dxa"/>
            <w:gridSpan w:val="3"/>
            <w:tcBorders>
              <w:top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Correlations</w:t>
            </w:r>
          </w:p>
        </w:tc>
        <w:tc>
          <w:tcPr>
            <w:tcW w:w="1701" w:type="dxa"/>
            <w:gridSpan w:val="2"/>
            <w:tcBorders>
              <w:top w:val="single" w:sz="16" w:space="0" w:color="000000"/>
              <w:right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Collinearity Statistics</w:t>
            </w:r>
          </w:p>
        </w:tc>
      </w:tr>
      <w:tr w:rsidR="00601CB1" w:rsidRPr="000D3EB5" w:rsidTr="000E1791">
        <w:trPr>
          <w:jc w:val="center"/>
        </w:trPr>
        <w:tc>
          <w:tcPr>
            <w:tcW w:w="252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601CB1" w:rsidRPr="000D3EB5" w:rsidRDefault="00601CB1" w:rsidP="00ED0DE9">
            <w:pPr>
              <w:autoSpaceDE w:val="0"/>
              <w:autoSpaceDN w:val="0"/>
              <w:adjustRightInd w:val="0"/>
              <w:spacing w:after="0" w:line="240" w:lineRule="auto"/>
              <w:rPr>
                <w:rFonts w:ascii="Arial" w:hAnsi="Arial"/>
                <w:color w:val="000000"/>
                <w:sz w:val="18"/>
                <w:szCs w:val="18"/>
              </w:rPr>
            </w:pPr>
          </w:p>
        </w:tc>
        <w:tc>
          <w:tcPr>
            <w:tcW w:w="720" w:type="dxa"/>
            <w:tcBorders>
              <w:left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w:t>
            </w:r>
          </w:p>
        </w:tc>
        <w:tc>
          <w:tcPr>
            <w:tcW w:w="1039" w:type="dxa"/>
            <w:tcBorders>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Error</w:t>
            </w:r>
          </w:p>
        </w:tc>
        <w:tc>
          <w:tcPr>
            <w:tcW w:w="1276" w:type="dxa"/>
            <w:tcBorders>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Beta</w:t>
            </w:r>
          </w:p>
        </w:tc>
        <w:tc>
          <w:tcPr>
            <w:tcW w:w="708" w:type="dxa"/>
            <w:vMerge/>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240" w:lineRule="auto"/>
              <w:rPr>
                <w:rFonts w:ascii="Arial" w:hAnsi="Arial"/>
                <w:color w:val="000000"/>
                <w:sz w:val="18"/>
                <w:szCs w:val="18"/>
              </w:rPr>
            </w:pPr>
          </w:p>
        </w:tc>
        <w:tc>
          <w:tcPr>
            <w:tcW w:w="567" w:type="dxa"/>
            <w:vMerge/>
            <w:tcBorders>
              <w:top w:val="single" w:sz="16" w:space="0" w:color="000000"/>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240" w:lineRule="auto"/>
              <w:rPr>
                <w:rFonts w:ascii="Arial" w:hAnsi="Arial"/>
                <w:color w:val="000000"/>
                <w:sz w:val="18"/>
                <w:szCs w:val="18"/>
              </w:rPr>
            </w:pPr>
          </w:p>
        </w:tc>
        <w:tc>
          <w:tcPr>
            <w:tcW w:w="993" w:type="dxa"/>
            <w:tcBorders>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Zero-order</w:t>
            </w:r>
          </w:p>
        </w:tc>
        <w:tc>
          <w:tcPr>
            <w:tcW w:w="850" w:type="dxa"/>
            <w:tcBorders>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Partial</w:t>
            </w:r>
          </w:p>
        </w:tc>
        <w:tc>
          <w:tcPr>
            <w:tcW w:w="567" w:type="dxa"/>
            <w:tcBorders>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w:t>
            </w:r>
          </w:p>
        </w:tc>
        <w:tc>
          <w:tcPr>
            <w:tcW w:w="992" w:type="dxa"/>
            <w:tcBorders>
              <w:bottom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Tolerance</w:t>
            </w:r>
          </w:p>
        </w:tc>
        <w:tc>
          <w:tcPr>
            <w:tcW w:w="709" w:type="dxa"/>
            <w:tcBorders>
              <w:bottom w:val="single" w:sz="16" w:space="0" w:color="000000"/>
              <w:right w:val="single" w:sz="16" w:space="0" w:color="000000"/>
            </w:tcBorders>
            <w:shd w:val="clear" w:color="auto" w:fill="FFFFFF"/>
            <w:vAlign w:val="bottom"/>
          </w:tcPr>
          <w:p w:rsidR="00601CB1" w:rsidRPr="000D3EB5" w:rsidRDefault="00601CB1"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VIF</w:t>
            </w:r>
          </w:p>
        </w:tc>
      </w:tr>
      <w:tr w:rsidR="00601CB1" w:rsidRPr="000D3EB5" w:rsidTr="000E1791">
        <w:trPr>
          <w:jc w:val="center"/>
        </w:trPr>
        <w:tc>
          <w:tcPr>
            <w:tcW w:w="630" w:type="dxa"/>
            <w:vMerge w:val="restart"/>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890" w:type="dxa"/>
            <w:tcBorders>
              <w:top w:val="single" w:sz="16" w:space="0" w:color="000000"/>
              <w:left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(Constant)</w:t>
            </w:r>
          </w:p>
        </w:tc>
        <w:tc>
          <w:tcPr>
            <w:tcW w:w="720" w:type="dxa"/>
            <w:tcBorders>
              <w:top w:val="single" w:sz="16" w:space="0" w:color="000000"/>
              <w:left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.169</w:t>
            </w:r>
          </w:p>
        </w:tc>
        <w:tc>
          <w:tcPr>
            <w:tcW w:w="1039" w:type="dxa"/>
            <w:tcBorders>
              <w:top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76" w:type="dxa"/>
            <w:tcBorders>
              <w:top w:val="single" w:sz="16" w:space="0" w:color="000000"/>
              <w:bottom w:val="nil"/>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708" w:type="dxa"/>
            <w:tcBorders>
              <w:top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18.285</w:t>
            </w:r>
          </w:p>
        </w:tc>
        <w:tc>
          <w:tcPr>
            <w:tcW w:w="567" w:type="dxa"/>
            <w:tcBorders>
              <w:top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993" w:type="dxa"/>
            <w:tcBorders>
              <w:top w:val="single" w:sz="16" w:space="0" w:color="000000"/>
              <w:bottom w:val="nil"/>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850" w:type="dxa"/>
            <w:tcBorders>
              <w:top w:val="single" w:sz="16" w:space="0" w:color="000000"/>
              <w:bottom w:val="nil"/>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567" w:type="dxa"/>
            <w:tcBorders>
              <w:top w:val="single" w:sz="16" w:space="0" w:color="000000"/>
              <w:bottom w:val="nil"/>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992" w:type="dxa"/>
            <w:tcBorders>
              <w:top w:val="single" w:sz="16" w:space="0" w:color="000000"/>
              <w:bottom w:val="nil"/>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c>
          <w:tcPr>
            <w:tcW w:w="709" w:type="dxa"/>
            <w:tcBorders>
              <w:top w:val="single" w:sz="16" w:space="0" w:color="000000"/>
              <w:bottom w:val="nil"/>
              <w:right w:val="single" w:sz="16" w:space="0" w:color="000000"/>
            </w:tcBorders>
            <w:shd w:val="clear" w:color="auto" w:fill="FFFFFF"/>
            <w:vAlign w:val="center"/>
          </w:tcPr>
          <w:p w:rsidR="00601CB1" w:rsidRPr="000D3EB5" w:rsidRDefault="00601CB1" w:rsidP="00ED0DE9">
            <w:pPr>
              <w:autoSpaceDE w:val="0"/>
              <w:autoSpaceDN w:val="0"/>
              <w:adjustRightInd w:val="0"/>
              <w:spacing w:after="0" w:line="240" w:lineRule="auto"/>
              <w:jc w:val="center"/>
              <w:rPr>
                <w:rFonts w:ascii="Times New Roman" w:hAnsi="Times New Roman" w:cs="Times New Roman"/>
                <w:sz w:val="24"/>
                <w:szCs w:val="24"/>
              </w:rPr>
            </w:pPr>
          </w:p>
        </w:tc>
      </w:tr>
      <w:tr w:rsidR="00601CB1" w:rsidRPr="000D3EB5" w:rsidTr="000E1791">
        <w:trPr>
          <w:jc w:val="center"/>
        </w:trPr>
        <w:tc>
          <w:tcPr>
            <w:tcW w:w="630" w:type="dxa"/>
            <w:vMerge/>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240" w:lineRule="auto"/>
              <w:rPr>
                <w:rFonts w:ascii="Times New Roman" w:hAnsi="Times New Roman" w:cs="Times New Roman"/>
                <w:sz w:val="24"/>
                <w:szCs w:val="24"/>
              </w:rPr>
            </w:pPr>
          </w:p>
        </w:tc>
        <w:tc>
          <w:tcPr>
            <w:tcW w:w="1890" w:type="dxa"/>
            <w:tcBorders>
              <w:top w:val="nil"/>
              <w:left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720" w:type="dxa"/>
            <w:tcBorders>
              <w:top w:val="nil"/>
              <w:left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-.025</w:t>
            </w:r>
          </w:p>
        </w:tc>
        <w:tc>
          <w:tcPr>
            <w:tcW w:w="1039"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76"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w:t>
            </w:r>
          </w:p>
        </w:tc>
        <w:tc>
          <w:tcPr>
            <w:tcW w:w="708"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-2.594</w:t>
            </w:r>
          </w:p>
        </w:tc>
        <w:tc>
          <w:tcPr>
            <w:tcW w:w="567"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993"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-.131</w:t>
            </w:r>
          </w:p>
        </w:tc>
        <w:tc>
          <w:tcPr>
            <w:tcW w:w="850"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567"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w:t>
            </w:r>
          </w:p>
        </w:tc>
        <w:tc>
          <w:tcPr>
            <w:tcW w:w="992"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.990</w:t>
            </w:r>
          </w:p>
        </w:tc>
        <w:tc>
          <w:tcPr>
            <w:tcW w:w="709" w:type="dxa"/>
            <w:tcBorders>
              <w:top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1.011</w:t>
            </w:r>
          </w:p>
        </w:tc>
      </w:tr>
      <w:tr w:rsidR="00601CB1" w:rsidRPr="000D3EB5" w:rsidTr="000E1791">
        <w:trPr>
          <w:jc w:val="center"/>
        </w:trPr>
        <w:tc>
          <w:tcPr>
            <w:tcW w:w="630" w:type="dxa"/>
            <w:vMerge/>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720" w:type="dxa"/>
            <w:tcBorders>
              <w:top w:val="nil"/>
              <w:left w:val="single" w:sz="16" w:space="0" w:color="000000"/>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.007</w:t>
            </w:r>
          </w:p>
        </w:tc>
        <w:tc>
          <w:tcPr>
            <w:tcW w:w="1039"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76"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.031</w:t>
            </w:r>
          </w:p>
        </w:tc>
        <w:tc>
          <w:tcPr>
            <w:tcW w:w="708"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.722</w:t>
            </w:r>
          </w:p>
        </w:tc>
        <w:tc>
          <w:tcPr>
            <w:tcW w:w="567"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.470</w:t>
            </w:r>
          </w:p>
        </w:tc>
        <w:tc>
          <w:tcPr>
            <w:tcW w:w="993"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.032</w:t>
            </w:r>
          </w:p>
        </w:tc>
        <w:tc>
          <w:tcPr>
            <w:tcW w:w="850"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.031</w:t>
            </w:r>
          </w:p>
        </w:tc>
        <w:tc>
          <w:tcPr>
            <w:tcW w:w="567"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.031</w:t>
            </w:r>
          </w:p>
        </w:tc>
        <w:tc>
          <w:tcPr>
            <w:tcW w:w="992" w:type="dxa"/>
            <w:tcBorders>
              <w:top w:val="nil"/>
              <w:bottom w:val="nil"/>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709" w:type="dxa"/>
            <w:tcBorders>
              <w:top w:val="nil"/>
              <w:bottom w:val="nil"/>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601CB1" w:rsidRPr="000D3EB5" w:rsidTr="000E1791">
        <w:trPr>
          <w:jc w:val="center"/>
        </w:trPr>
        <w:tc>
          <w:tcPr>
            <w:tcW w:w="630" w:type="dxa"/>
            <w:vMerge/>
            <w:tcBorders>
              <w:top w:val="single" w:sz="16" w:space="0" w:color="000000"/>
              <w:left w:val="single" w:sz="16" w:space="0" w:color="000000"/>
              <w:bottom w:val="single" w:sz="16" w:space="0" w:color="000000"/>
              <w:right w:val="nil"/>
            </w:tcBorders>
            <w:shd w:val="clear" w:color="auto" w:fill="FFFFFF"/>
          </w:tcPr>
          <w:p w:rsidR="00601CB1" w:rsidRPr="000D3EB5" w:rsidRDefault="00601CB1" w:rsidP="00ED0DE9">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single" w:sz="16" w:space="0" w:color="000000"/>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720" w:type="dxa"/>
            <w:tcBorders>
              <w:top w:val="nil"/>
              <w:left w:val="single" w:sz="16" w:space="0" w:color="000000"/>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-.044</w:t>
            </w:r>
          </w:p>
        </w:tc>
        <w:tc>
          <w:tcPr>
            <w:tcW w:w="1039"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76"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-.196</w:t>
            </w:r>
          </w:p>
        </w:tc>
        <w:tc>
          <w:tcPr>
            <w:tcW w:w="708"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-4.598</w:t>
            </w:r>
          </w:p>
        </w:tc>
        <w:tc>
          <w:tcPr>
            <w:tcW w:w="567"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993"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-.207</w:t>
            </w:r>
          </w:p>
        </w:tc>
        <w:tc>
          <w:tcPr>
            <w:tcW w:w="850"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-.197</w:t>
            </w:r>
          </w:p>
        </w:tc>
        <w:tc>
          <w:tcPr>
            <w:tcW w:w="567"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-.195</w:t>
            </w:r>
          </w:p>
        </w:tc>
        <w:tc>
          <w:tcPr>
            <w:tcW w:w="992" w:type="dxa"/>
            <w:tcBorders>
              <w:top w:val="nil"/>
              <w:bottom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.990</w:t>
            </w:r>
          </w:p>
        </w:tc>
        <w:tc>
          <w:tcPr>
            <w:tcW w:w="709" w:type="dxa"/>
            <w:tcBorders>
              <w:top w:val="nil"/>
              <w:bottom w:val="single" w:sz="16" w:space="0" w:color="000000"/>
              <w:right w:val="single" w:sz="16" w:space="0" w:color="000000"/>
            </w:tcBorders>
            <w:shd w:val="clear" w:color="auto" w:fill="FFFFFF"/>
          </w:tcPr>
          <w:p w:rsidR="00601CB1" w:rsidRPr="000D3EB5" w:rsidRDefault="00601CB1"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1.010</w:t>
            </w:r>
          </w:p>
        </w:tc>
      </w:tr>
      <w:tr w:rsidR="00601CB1" w:rsidRPr="0013388B" w:rsidTr="000E1791">
        <w:trPr>
          <w:jc w:val="center"/>
        </w:trPr>
        <w:tc>
          <w:tcPr>
            <w:tcW w:w="10941" w:type="dxa"/>
            <w:gridSpan w:val="12"/>
            <w:tcBorders>
              <w:top w:val="nil"/>
              <w:left w:val="nil"/>
              <w:bottom w:val="nil"/>
              <w:right w:val="nil"/>
            </w:tcBorders>
            <w:shd w:val="clear" w:color="auto" w:fill="FFFFFF"/>
          </w:tcPr>
          <w:p w:rsidR="00601CB1" w:rsidRPr="00601CB1" w:rsidRDefault="00601CB1" w:rsidP="00ED0DE9">
            <w:pPr>
              <w:autoSpaceDE w:val="0"/>
              <w:autoSpaceDN w:val="0"/>
              <w:adjustRightInd w:val="0"/>
              <w:spacing w:after="0" w:line="320" w:lineRule="atLeast"/>
              <w:ind w:left="60" w:right="60"/>
              <w:rPr>
                <w:rFonts w:ascii="Arial" w:hAnsi="Arial"/>
                <w:color w:val="000000"/>
                <w:sz w:val="18"/>
                <w:szCs w:val="18"/>
                <w:lang w:val="en-US"/>
              </w:rPr>
            </w:pPr>
            <w:r w:rsidRPr="00601CB1">
              <w:rPr>
                <w:rFonts w:ascii="Arial" w:hAnsi="Arial"/>
                <w:color w:val="000000"/>
                <w:sz w:val="18"/>
                <w:szCs w:val="18"/>
                <w:lang w:val="en-US"/>
              </w:rPr>
              <w:t>a. Dependent Variable: Total Earnings Management</w:t>
            </w:r>
          </w:p>
          <w:p w:rsidR="00601CB1" w:rsidRPr="00601CB1" w:rsidRDefault="00601CB1" w:rsidP="00ED0DE9">
            <w:pPr>
              <w:autoSpaceDE w:val="0"/>
              <w:autoSpaceDN w:val="0"/>
              <w:adjustRightInd w:val="0"/>
              <w:spacing w:after="0" w:line="320" w:lineRule="atLeast"/>
              <w:ind w:left="60" w:right="60"/>
              <w:rPr>
                <w:rFonts w:ascii="Arial" w:hAnsi="Arial"/>
                <w:color w:val="000000"/>
                <w:sz w:val="18"/>
                <w:szCs w:val="18"/>
                <w:lang w:val="en-US"/>
              </w:rPr>
            </w:pPr>
          </w:p>
        </w:tc>
      </w:tr>
    </w:tbl>
    <w:p w:rsidR="00803392" w:rsidRDefault="00803392" w:rsidP="00C149EE">
      <w:pPr>
        <w:spacing w:line="360" w:lineRule="auto"/>
        <w:rPr>
          <w:lang w:val="en-US"/>
        </w:rPr>
      </w:pPr>
      <w:r>
        <w:rPr>
          <w:lang w:val="en-US"/>
        </w:rPr>
        <w:t xml:space="preserve">Before the two general methods for managing earnings are </w:t>
      </w:r>
      <w:r w:rsidR="00FD57D0">
        <w:rPr>
          <w:lang w:val="en-US"/>
        </w:rPr>
        <w:t>commented</w:t>
      </w:r>
      <w:r>
        <w:rPr>
          <w:lang w:val="en-US"/>
        </w:rPr>
        <w:t xml:space="preserve"> separately, the results of the multiple regression of the total amount of earnings management and the conclusion concerning hypothesis 1 are summarized. </w:t>
      </w:r>
    </w:p>
    <w:p w:rsidR="00803392" w:rsidRDefault="008D761D" w:rsidP="00C149EE">
      <w:pPr>
        <w:spacing w:line="360" w:lineRule="auto"/>
        <w:rPr>
          <w:lang w:val="en-US"/>
        </w:rPr>
      </w:pPr>
      <w:r>
        <w:rPr>
          <w:lang w:val="en-US"/>
        </w:rPr>
        <w:t xml:space="preserve">Based on the investigation of </w:t>
      </w:r>
      <w:r w:rsidR="00F44834">
        <w:rPr>
          <w:lang w:val="en-US"/>
        </w:rPr>
        <w:t xml:space="preserve">the dataset of this multiple </w:t>
      </w:r>
      <w:r>
        <w:rPr>
          <w:lang w:val="en-US"/>
        </w:rPr>
        <w:t>regression</w:t>
      </w:r>
      <w:r w:rsidR="00F44834">
        <w:rPr>
          <w:lang w:val="en-US"/>
        </w:rPr>
        <w:t>, it appears that the distribution of the dataset is slightly skewed but no multicollinearity</w:t>
      </w:r>
      <w:r>
        <w:rPr>
          <w:lang w:val="en-US"/>
        </w:rPr>
        <w:t xml:space="preserve"> exists</w:t>
      </w:r>
      <w:r w:rsidR="00F44834">
        <w:rPr>
          <w:lang w:val="en-US"/>
        </w:rPr>
        <w:t xml:space="preserve">. The Model Summary </w:t>
      </w:r>
      <w:r w:rsidR="004A670D">
        <w:rPr>
          <w:lang w:val="en-US"/>
        </w:rPr>
        <w:t>indicates</w:t>
      </w:r>
      <w:r w:rsidR="00F44834">
        <w:rPr>
          <w:lang w:val="en-US"/>
        </w:rPr>
        <w:t xml:space="preserve"> that 5.6% of the variance of the total amount of earnings management is explaine</w:t>
      </w:r>
      <w:r w:rsidR="00F25D44">
        <w:rPr>
          <w:lang w:val="en-US"/>
        </w:rPr>
        <w:t>d by the independent variables c</w:t>
      </w:r>
      <w:r w:rsidR="00F44834">
        <w:rPr>
          <w:lang w:val="en-US"/>
        </w:rPr>
        <w:t xml:space="preserve">ountry, </w:t>
      </w:r>
      <w:r w:rsidR="00F25D44">
        <w:rPr>
          <w:lang w:val="en-US"/>
        </w:rPr>
        <w:t>a</w:t>
      </w:r>
      <w:r w:rsidR="000E1791">
        <w:rPr>
          <w:lang w:val="en-US"/>
        </w:rPr>
        <w:t xml:space="preserve">ccounting </w:t>
      </w:r>
      <w:r w:rsidR="00F25D44">
        <w:rPr>
          <w:lang w:val="en-US"/>
        </w:rPr>
        <w:t>s</w:t>
      </w:r>
      <w:r w:rsidR="00F44834">
        <w:rPr>
          <w:lang w:val="en-US"/>
        </w:rPr>
        <w:t>tandard</w:t>
      </w:r>
      <w:r w:rsidR="000E1791">
        <w:rPr>
          <w:lang w:val="en-US"/>
        </w:rPr>
        <w:t xml:space="preserve"> and </w:t>
      </w:r>
      <w:r w:rsidR="00F25D44">
        <w:rPr>
          <w:lang w:val="en-US"/>
        </w:rPr>
        <w:t>s</w:t>
      </w:r>
      <w:r w:rsidR="00F44834">
        <w:rPr>
          <w:lang w:val="en-US"/>
        </w:rPr>
        <w:t xml:space="preserve">ize, which is a low percentage. Despite this low explanatory power, the ANOVA table shows that the total model is significant. </w:t>
      </w:r>
      <w:r>
        <w:rPr>
          <w:lang w:val="en-US"/>
        </w:rPr>
        <w:t>Next</w:t>
      </w:r>
      <w:r w:rsidR="00F44834">
        <w:rPr>
          <w:lang w:val="en-US"/>
        </w:rPr>
        <w:t xml:space="preserve">, the table Coefficients is </w:t>
      </w:r>
      <w:r w:rsidR="00FD57D0">
        <w:rPr>
          <w:lang w:val="en-US"/>
        </w:rPr>
        <w:t>commented</w:t>
      </w:r>
      <w:r w:rsidR="00F44834">
        <w:rPr>
          <w:lang w:val="en-US"/>
        </w:rPr>
        <w:t xml:space="preserve"> with the sign,</w:t>
      </w:r>
      <w:r>
        <w:rPr>
          <w:lang w:val="en-US"/>
        </w:rPr>
        <w:t xml:space="preserve"> with the</w:t>
      </w:r>
      <w:r w:rsidR="00F44834">
        <w:rPr>
          <w:lang w:val="en-US"/>
        </w:rPr>
        <w:t xml:space="preserve"> size and </w:t>
      </w:r>
      <w:r>
        <w:rPr>
          <w:lang w:val="en-US"/>
        </w:rPr>
        <w:t xml:space="preserve">with the </w:t>
      </w:r>
      <w:r w:rsidR="00F44834">
        <w:rPr>
          <w:lang w:val="en-US"/>
        </w:rPr>
        <w:t xml:space="preserve">significance of the independent variables. The table shows </w:t>
      </w:r>
      <w:r w:rsidR="00F25D44">
        <w:rPr>
          <w:lang w:val="en-US"/>
        </w:rPr>
        <w:t>that the independent variables c</w:t>
      </w:r>
      <w:r w:rsidR="00F44834">
        <w:rPr>
          <w:lang w:val="en-US"/>
        </w:rPr>
        <w:t xml:space="preserve">ountry and </w:t>
      </w:r>
      <w:r w:rsidR="00F25D44">
        <w:rPr>
          <w:lang w:val="en-US"/>
        </w:rPr>
        <w:t>s</w:t>
      </w:r>
      <w:r w:rsidR="00F44834">
        <w:rPr>
          <w:lang w:val="en-US"/>
        </w:rPr>
        <w:t>ize are significa</w:t>
      </w:r>
      <w:r w:rsidR="00F25D44">
        <w:rPr>
          <w:lang w:val="en-US"/>
        </w:rPr>
        <w:t>nt in contrast to the variable a</w:t>
      </w:r>
      <w:r w:rsidR="00F44834">
        <w:rPr>
          <w:lang w:val="en-US"/>
        </w:rPr>
        <w:t xml:space="preserve">ccounting </w:t>
      </w:r>
      <w:r w:rsidR="00F25D44">
        <w:rPr>
          <w:lang w:val="en-US"/>
        </w:rPr>
        <w:t>s</w:t>
      </w:r>
      <w:r w:rsidR="00F44834">
        <w:rPr>
          <w:lang w:val="en-US"/>
        </w:rPr>
        <w:t xml:space="preserve">tandard. </w:t>
      </w:r>
    </w:p>
    <w:p w:rsidR="00BA6A5E" w:rsidRDefault="00B26949" w:rsidP="00C149EE">
      <w:pPr>
        <w:spacing w:line="360" w:lineRule="auto"/>
        <w:rPr>
          <w:lang w:val="en-GB"/>
        </w:rPr>
      </w:pPr>
      <w:r w:rsidRPr="00C149EE">
        <w:rPr>
          <w:b/>
          <w:lang w:val="en-GB"/>
        </w:rPr>
        <w:t>7.3.2 Accruals-based earnings management</w:t>
      </w:r>
      <w:r w:rsidR="00BA6A5E">
        <w:rPr>
          <w:b/>
          <w:lang w:val="en-GB"/>
        </w:rPr>
        <w:br/>
      </w:r>
      <w:r w:rsidR="008D761D">
        <w:rPr>
          <w:lang w:val="en-GB"/>
        </w:rPr>
        <w:t>Before</w:t>
      </w:r>
      <w:r w:rsidR="00BA6A5E" w:rsidRPr="00BA6A5E">
        <w:rPr>
          <w:lang w:val="en-GB"/>
        </w:rPr>
        <w:t xml:space="preserve"> the influence of </w:t>
      </w:r>
      <w:r w:rsidR="003B5AA7">
        <w:rPr>
          <w:lang w:val="en-GB"/>
        </w:rPr>
        <w:t>the va</w:t>
      </w:r>
      <w:r w:rsidR="00F25D44">
        <w:rPr>
          <w:lang w:val="en-GB"/>
        </w:rPr>
        <w:t>riables c</w:t>
      </w:r>
      <w:r w:rsidR="003B5AA7">
        <w:rPr>
          <w:lang w:val="en-GB"/>
        </w:rPr>
        <w:t xml:space="preserve">ountry, </w:t>
      </w:r>
      <w:r w:rsidR="00F25D44">
        <w:rPr>
          <w:lang w:val="en-GB"/>
        </w:rPr>
        <w:t>a</w:t>
      </w:r>
      <w:r w:rsidR="00BA6A5E" w:rsidRPr="00BA6A5E">
        <w:rPr>
          <w:lang w:val="en-GB"/>
        </w:rPr>
        <w:t xml:space="preserve">ccounting </w:t>
      </w:r>
      <w:r w:rsidR="00F25D44">
        <w:rPr>
          <w:lang w:val="en-GB"/>
        </w:rPr>
        <w:t>s</w:t>
      </w:r>
      <w:r w:rsidR="003B5AA7">
        <w:rPr>
          <w:lang w:val="en-GB"/>
        </w:rPr>
        <w:t xml:space="preserve">tandard </w:t>
      </w:r>
      <w:r w:rsidR="00BA6A5E" w:rsidRPr="00BA6A5E">
        <w:rPr>
          <w:lang w:val="en-GB"/>
        </w:rPr>
        <w:t xml:space="preserve">and </w:t>
      </w:r>
      <w:r w:rsidR="00F25D44">
        <w:rPr>
          <w:lang w:val="en-GB"/>
        </w:rPr>
        <w:t>s</w:t>
      </w:r>
      <w:r w:rsidR="00BA6A5E" w:rsidRPr="00BA6A5E">
        <w:rPr>
          <w:lang w:val="en-GB"/>
        </w:rPr>
        <w:t xml:space="preserve">ize on the total </w:t>
      </w:r>
      <w:r w:rsidR="00BA6A5E">
        <w:rPr>
          <w:lang w:val="en-GB"/>
        </w:rPr>
        <w:t xml:space="preserve">amount of earnings management is </w:t>
      </w:r>
      <w:r w:rsidR="007841F8">
        <w:rPr>
          <w:lang w:val="en-GB"/>
        </w:rPr>
        <w:t>commented</w:t>
      </w:r>
      <w:r w:rsidR="008D761D">
        <w:rPr>
          <w:lang w:val="en-GB"/>
        </w:rPr>
        <w:t>; next</w:t>
      </w:r>
      <w:r w:rsidR="00BA6A5E">
        <w:rPr>
          <w:lang w:val="en-GB"/>
        </w:rPr>
        <w:t xml:space="preserve"> the influence of these variables on the two general methods for executing earnings management </w:t>
      </w:r>
      <w:r w:rsidR="007770B8">
        <w:rPr>
          <w:lang w:val="en-GB"/>
        </w:rPr>
        <w:t xml:space="preserve">will </w:t>
      </w:r>
      <w:r w:rsidR="00BA6A5E">
        <w:rPr>
          <w:lang w:val="en-GB"/>
        </w:rPr>
        <w:t xml:space="preserve">be </w:t>
      </w:r>
      <w:r w:rsidR="00FD57D0">
        <w:rPr>
          <w:lang w:val="en-GB"/>
        </w:rPr>
        <w:t>commented</w:t>
      </w:r>
      <w:r w:rsidR="00BA6A5E">
        <w:rPr>
          <w:lang w:val="en-GB"/>
        </w:rPr>
        <w:t xml:space="preserve">. In this section the accruals-based </w:t>
      </w:r>
      <w:r w:rsidR="00BA6A5E">
        <w:rPr>
          <w:lang w:val="en-GB"/>
        </w:rPr>
        <w:lastRenderedPageBreak/>
        <w:t xml:space="preserve">method </w:t>
      </w:r>
      <w:r w:rsidR="007770B8">
        <w:rPr>
          <w:lang w:val="en-GB"/>
        </w:rPr>
        <w:t xml:space="preserve">will </w:t>
      </w:r>
      <w:r w:rsidR="00BA6A5E">
        <w:rPr>
          <w:lang w:val="en-GB"/>
        </w:rPr>
        <w:t xml:space="preserve">be </w:t>
      </w:r>
      <w:r w:rsidR="00FD57D0">
        <w:rPr>
          <w:lang w:val="en-GB"/>
        </w:rPr>
        <w:t>commented</w:t>
      </w:r>
      <w:r w:rsidR="00BA6A5E">
        <w:rPr>
          <w:lang w:val="en-GB"/>
        </w:rPr>
        <w:t xml:space="preserve"> and</w:t>
      </w:r>
      <w:r w:rsidR="007770B8">
        <w:rPr>
          <w:lang w:val="en-GB"/>
        </w:rPr>
        <w:t xml:space="preserve"> in the next section the real method</w:t>
      </w:r>
      <w:r w:rsidR="00BA6A5E">
        <w:rPr>
          <w:lang w:val="en-GB"/>
        </w:rPr>
        <w:t>.</w:t>
      </w:r>
      <w:r w:rsidR="00F844DA">
        <w:rPr>
          <w:lang w:val="en-GB"/>
        </w:rPr>
        <w:t xml:space="preserve"> The amount of discretionary accruals </w:t>
      </w:r>
      <w:r w:rsidR="003B2EF1">
        <w:rPr>
          <w:lang w:val="en-GB"/>
        </w:rPr>
        <w:t>is</w:t>
      </w:r>
      <w:r w:rsidR="00F844DA">
        <w:rPr>
          <w:lang w:val="en-GB"/>
        </w:rPr>
        <w:t xml:space="preserve"> used as dependent variable and the </w:t>
      </w:r>
      <w:r w:rsidR="003B5AA7">
        <w:rPr>
          <w:lang w:val="en-GB"/>
        </w:rPr>
        <w:t xml:space="preserve">same independent variables </w:t>
      </w:r>
      <w:r w:rsidR="00F25D44">
        <w:rPr>
          <w:lang w:val="en-GB"/>
        </w:rPr>
        <w:t xml:space="preserve">as </w:t>
      </w:r>
      <w:r w:rsidR="003B5AA7">
        <w:rPr>
          <w:lang w:val="en-GB"/>
        </w:rPr>
        <w:t>in the previous multiple regression</w:t>
      </w:r>
      <w:r w:rsidR="007770B8">
        <w:rPr>
          <w:lang w:val="en-GB"/>
        </w:rPr>
        <w:t>s will be used</w:t>
      </w:r>
      <w:r w:rsidR="003B5AA7">
        <w:rPr>
          <w:lang w:val="en-GB"/>
        </w:rPr>
        <w:t>.</w:t>
      </w:r>
      <w:r w:rsidR="00676FBD">
        <w:rPr>
          <w:lang w:val="en-GB"/>
        </w:rPr>
        <w:t xml:space="preserve"> After </w:t>
      </w:r>
      <w:r w:rsidR="007770B8">
        <w:rPr>
          <w:lang w:val="en-GB"/>
        </w:rPr>
        <w:t>investigating</w:t>
      </w:r>
      <w:r w:rsidR="00676FBD">
        <w:rPr>
          <w:lang w:val="en-GB"/>
        </w:rPr>
        <w:t xml:space="preserve"> for data that exceeds </w:t>
      </w:r>
      <w:r w:rsidR="00086859">
        <w:rPr>
          <w:lang w:val="en-GB"/>
        </w:rPr>
        <w:t>three</w:t>
      </w:r>
      <w:r w:rsidR="00676FBD">
        <w:rPr>
          <w:lang w:val="en-GB"/>
        </w:rPr>
        <w:t xml:space="preserve"> times the standard deviation, 6 company-years from the dataset </w:t>
      </w:r>
      <w:r w:rsidR="007770B8">
        <w:rPr>
          <w:lang w:val="en-GB"/>
        </w:rPr>
        <w:t xml:space="preserve">were excluded </w:t>
      </w:r>
      <w:r w:rsidR="00676FBD">
        <w:rPr>
          <w:lang w:val="en-GB"/>
        </w:rPr>
        <w:t>which resulted in a dataset of 534 company-years to perform the regression with.</w:t>
      </w:r>
    </w:p>
    <w:p w:rsidR="00BA6A5E" w:rsidRDefault="003B5AA7" w:rsidP="00C149EE">
      <w:pPr>
        <w:spacing w:line="360" w:lineRule="auto"/>
        <w:rPr>
          <w:lang w:val="en-GB"/>
        </w:rPr>
      </w:pPr>
      <w:r>
        <w:rPr>
          <w:lang w:val="en-GB"/>
        </w:rPr>
        <w:t xml:space="preserve">Like the previous regression </w:t>
      </w:r>
      <w:r w:rsidR="00BA6A5E">
        <w:rPr>
          <w:lang w:val="en-GB"/>
        </w:rPr>
        <w:t>first the assumptions</w:t>
      </w:r>
      <w:r>
        <w:rPr>
          <w:lang w:val="en-GB"/>
        </w:rPr>
        <w:t xml:space="preserve"> on </w:t>
      </w:r>
      <w:r w:rsidR="007770B8">
        <w:rPr>
          <w:lang w:val="en-GB"/>
        </w:rPr>
        <w:t xml:space="preserve">the </w:t>
      </w:r>
      <w:r>
        <w:rPr>
          <w:lang w:val="en-GB"/>
        </w:rPr>
        <w:t xml:space="preserve">mulitcollinearity and </w:t>
      </w:r>
      <w:r w:rsidR="007770B8">
        <w:rPr>
          <w:lang w:val="en-GB"/>
        </w:rPr>
        <w:t xml:space="preserve">on the </w:t>
      </w:r>
      <w:r>
        <w:rPr>
          <w:lang w:val="en-GB"/>
        </w:rPr>
        <w:t>normal distribution</w:t>
      </w:r>
      <w:r w:rsidR="00BA6A5E">
        <w:rPr>
          <w:lang w:val="en-GB"/>
        </w:rPr>
        <w:t xml:space="preserve"> </w:t>
      </w:r>
      <w:r w:rsidR="007770B8">
        <w:rPr>
          <w:lang w:val="en-GB"/>
        </w:rPr>
        <w:t xml:space="preserve">will </w:t>
      </w:r>
      <w:r w:rsidR="00BA6A5E">
        <w:rPr>
          <w:lang w:val="en-GB"/>
        </w:rPr>
        <w:t xml:space="preserve">be </w:t>
      </w:r>
      <w:r w:rsidR="00FD57D0">
        <w:rPr>
          <w:lang w:val="en-GB"/>
        </w:rPr>
        <w:t>commented</w:t>
      </w:r>
      <w:r w:rsidR="00BA6A5E">
        <w:rPr>
          <w:lang w:val="en-GB"/>
        </w:rPr>
        <w:t xml:space="preserve"> before the results of the multiple regression. </w:t>
      </w:r>
      <w:r w:rsidR="00F844DA">
        <w:rPr>
          <w:lang w:val="en-GB"/>
        </w:rPr>
        <w:t>The table Correlations shows t</w:t>
      </w:r>
      <w:r w:rsidR="007841F8">
        <w:rPr>
          <w:lang w:val="en-GB"/>
        </w:rPr>
        <w:t>hat no value is higher than 0.9;</w:t>
      </w:r>
      <w:r w:rsidR="00F844DA">
        <w:rPr>
          <w:lang w:val="en-GB"/>
        </w:rPr>
        <w:t xml:space="preserve"> </w:t>
      </w:r>
      <w:r w:rsidR="007770B8">
        <w:rPr>
          <w:lang w:val="en-GB"/>
        </w:rPr>
        <w:t>consequently</w:t>
      </w:r>
      <w:r w:rsidR="007841F8">
        <w:rPr>
          <w:lang w:val="en-GB"/>
        </w:rPr>
        <w:t xml:space="preserve"> </w:t>
      </w:r>
      <w:r w:rsidR="00F844DA">
        <w:rPr>
          <w:lang w:val="en-GB"/>
        </w:rPr>
        <w:t>no multicollinearity</w:t>
      </w:r>
      <w:r w:rsidR="007770B8">
        <w:rPr>
          <w:lang w:val="en-GB"/>
        </w:rPr>
        <w:t xml:space="preserve"> exists</w:t>
      </w:r>
      <w:r w:rsidR="00F844DA">
        <w:rPr>
          <w:lang w:val="en-GB"/>
        </w:rPr>
        <w:t>. Other elements</w:t>
      </w:r>
      <w:r w:rsidR="007841F8">
        <w:rPr>
          <w:lang w:val="en-GB"/>
        </w:rPr>
        <w:t xml:space="preserve"> of interest for the assumptions</w:t>
      </w:r>
      <w:r w:rsidR="00F844DA">
        <w:rPr>
          <w:lang w:val="en-GB"/>
        </w:rPr>
        <w:t xml:space="preserve"> </w:t>
      </w:r>
      <w:r w:rsidR="007770B8">
        <w:rPr>
          <w:lang w:val="en-GB"/>
        </w:rPr>
        <w:t>are available</w:t>
      </w:r>
      <w:r w:rsidR="00F844DA">
        <w:rPr>
          <w:lang w:val="en-GB"/>
        </w:rPr>
        <w:t xml:space="preserve"> in </w:t>
      </w:r>
      <w:r w:rsidR="00F844DA" w:rsidRPr="007E015C">
        <w:rPr>
          <w:lang w:val="en-GB"/>
        </w:rPr>
        <w:t>appendix</w:t>
      </w:r>
      <w:r w:rsidR="007770B8">
        <w:rPr>
          <w:lang w:val="en-GB"/>
        </w:rPr>
        <w:t xml:space="preserve"> 3</w:t>
      </w:r>
      <w:r w:rsidR="00F844DA">
        <w:rPr>
          <w:lang w:val="en-GB"/>
        </w:rPr>
        <w:t>. Like the previous regression, the dataset is not entirely normal; the dataset is a bit skewed which could</w:t>
      </w:r>
      <w:r w:rsidR="00676FBD">
        <w:rPr>
          <w:lang w:val="en-GB"/>
        </w:rPr>
        <w:t xml:space="preserve"> have its</w:t>
      </w:r>
      <w:r w:rsidR="00F844DA">
        <w:rPr>
          <w:lang w:val="en-GB"/>
        </w:rPr>
        <w:t xml:space="preserve"> influence </w:t>
      </w:r>
      <w:r w:rsidR="00F25D44">
        <w:rPr>
          <w:lang w:val="en-GB"/>
        </w:rPr>
        <w:t xml:space="preserve">on </w:t>
      </w:r>
      <w:r w:rsidR="00F844DA">
        <w:rPr>
          <w:lang w:val="en-GB"/>
        </w:rPr>
        <w:t xml:space="preserve">the results that are found. </w:t>
      </w:r>
    </w:p>
    <w:p w:rsidR="00F844DA" w:rsidRDefault="007770B8" w:rsidP="00C149EE">
      <w:pPr>
        <w:spacing w:line="360" w:lineRule="auto"/>
        <w:rPr>
          <w:b/>
          <w:lang w:val="en-GB"/>
        </w:rPr>
      </w:pPr>
      <w:r>
        <w:rPr>
          <w:lang w:val="en-GB"/>
        </w:rPr>
        <w:t>Before t</w:t>
      </w:r>
      <w:r w:rsidR="00F25D44">
        <w:rPr>
          <w:lang w:val="en-GB"/>
        </w:rPr>
        <w:t xml:space="preserve">he assumptions are </w:t>
      </w:r>
      <w:r w:rsidR="00FD57D0">
        <w:rPr>
          <w:lang w:val="en-GB"/>
        </w:rPr>
        <w:t>commented</w:t>
      </w:r>
      <w:r w:rsidR="00F25D44">
        <w:rPr>
          <w:lang w:val="en-GB"/>
        </w:rPr>
        <w:t>;</w:t>
      </w:r>
      <w:r w:rsidR="00F844DA">
        <w:rPr>
          <w:lang w:val="en-GB"/>
        </w:rPr>
        <w:t xml:space="preserve"> </w:t>
      </w:r>
      <w:r>
        <w:rPr>
          <w:lang w:val="en-GB"/>
        </w:rPr>
        <w:t>next</w:t>
      </w:r>
      <w:r w:rsidR="00F844DA">
        <w:rPr>
          <w:lang w:val="en-GB"/>
        </w:rPr>
        <w:t xml:space="preserve"> the results</w:t>
      </w:r>
      <w:r>
        <w:rPr>
          <w:lang w:val="en-GB"/>
        </w:rPr>
        <w:t xml:space="preserve"> of the multiple regression will be </w:t>
      </w:r>
      <w:r w:rsidR="00F844DA">
        <w:rPr>
          <w:lang w:val="en-GB"/>
        </w:rPr>
        <w:t>reviewed. According to the</w:t>
      </w:r>
      <w:r w:rsidR="00F25D44">
        <w:rPr>
          <w:lang w:val="en-GB"/>
        </w:rPr>
        <w:t xml:space="preserve"> Adjusted</w:t>
      </w:r>
      <w:r w:rsidR="00F844DA">
        <w:rPr>
          <w:lang w:val="en-GB"/>
        </w:rPr>
        <w:t xml:space="preserve"> R squar</w:t>
      </w:r>
      <w:r>
        <w:rPr>
          <w:lang w:val="en-GB"/>
        </w:rPr>
        <w:t>e in the Model Summary, a</w:t>
      </w:r>
      <w:r w:rsidR="00F844DA">
        <w:rPr>
          <w:lang w:val="en-GB"/>
        </w:rPr>
        <w:t xml:space="preserve"> low explanatory</w:t>
      </w:r>
      <w:r w:rsidR="00781154">
        <w:rPr>
          <w:lang w:val="en-GB"/>
        </w:rPr>
        <w:t xml:space="preserve"> power (2.3</w:t>
      </w:r>
      <w:r w:rsidR="00F844DA">
        <w:rPr>
          <w:lang w:val="en-GB"/>
        </w:rPr>
        <w:t>%)</w:t>
      </w:r>
      <w:r>
        <w:rPr>
          <w:lang w:val="en-GB"/>
        </w:rPr>
        <w:t xml:space="preserve"> exists</w:t>
      </w:r>
      <w:r w:rsidR="00F844DA">
        <w:rPr>
          <w:lang w:val="en-GB"/>
        </w:rPr>
        <w:t xml:space="preserve"> of the variance of the discretionary accruals by the </w:t>
      </w:r>
      <w:r w:rsidR="00F25D44">
        <w:rPr>
          <w:lang w:val="en-GB"/>
        </w:rPr>
        <w:t>independent variables c</w:t>
      </w:r>
      <w:r w:rsidR="00F844DA">
        <w:rPr>
          <w:lang w:val="en-GB"/>
        </w:rPr>
        <w:t xml:space="preserve">ountry, </w:t>
      </w:r>
      <w:r w:rsidR="00F25D44">
        <w:rPr>
          <w:lang w:val="en-GB"/>
        </w:rPr>
        <w:t>a</w:t>
      </w:r>
      <w:r w:rsidR="00F844DA">
        <w:rPr>
          <w:lang w:val="en-GB"/>
        </w:rPr>
        <w:t>c</w:t>
      </w:r>
      <w:r w:rsidR="00CA1AD3">
        <w:rPr>
          <w:lang w:val="en-GB"/>
        </w:rPr>
        <w:t xml:space="preserve">counting </w:t>
      </w:r>
      <w:r w:rsidR="00F25D44">
        <w:rPr>
          <w:lang w:val="en-GB"/>
        </w:rPr>
        <w:t>s</w:t>
      </w:r>
      <w:r w:rsidR="00CA1AD3">
        <w:rPr>
          <w:lang w:val="en-GB"/>
        </w:rPr>
        <w:t>tandard</w:t>
      </w:r>
      <w:r w:rsidR="00F844DA">
        <w:rPr>
          <w:lang w:val="en-GB"/>
        </w:rPr>
        <w:t xml:space="preserve"> and </w:t>
      </w:r>
      <w:r w:rsidR="00F25D44">
        <w:rPr>
          <w:lang w:val="en-GB"/>
        </w:rPr>
        <w:t>s</w:t>
      </w:r>
      <w:r w:rsidR="00F844DA">
        <w:rPr>
          <w:lang w:val="en-GB"/>
        </w:rPr>
        <w:t xml:space="preserve">ize. </w:t>
      </w:r>
    </w:p>
    <w:tbl>
      <w:tblPr>
        <w:tblW w:w="64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4"/>
        <w:gridCol w:w="1119"/>
        <w:gridCol w:w="1193"/>
        <w:gridCol w:w="1612"/>
        <w:gridCol w:w="1612"/>
      </w:tblGrid>
      <w:tr w:rsidR="00BA6A5E" w:rsidRPr="000D3EB5" w:rsidTr="00F844DA">
        <w:tc>
          <w:tcPr>
            <w:tcW w:w="6410" w:type="dxa"/>
            <w:gridSpan w:val="5"/>
            <w:tcBorders>
              <w:top w:val="nil"/>
              <w:left w:val="nil"/>
              <w:bottom w:val="nil"/>
              <w:right w:val="nil"/>
            </w:tcBorders>
            <w:shd w:val="clear" w:color="auto" w:fill="FFFFFF"/>
            <w:vAlign w:val="center"/>
          </w:tcPr>
          <w:p w:rsidR="00BA6A5E" w:rsidRPr="000D3EB5" w:rsidRDefault="00BA6A5E"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Model Summary</w:t>
            </w:r>
            <w:r w:rsidRPr="000D3EB5">
              <w:rPr>
                <w:rFonts w:ascii="Arial" w:hAnsi="Arial"/>
                <w:b/>
                <w:bCs/>
                <w:color w:val="000000"/>
                <w:sz w:val="18"/>
                <w:szCs w:val="18"/>
                <w:vertAlign w:val="superscript"/>
              </w:rPr>
              <w:t>b</w:t>
            </w:r>
          </w:p>
        </w:tc>
      </w:tr>
      <w:tr w:rsidR="00BA6A5E" w:rsidRPr="0013388B" w:rsidTr="00F844DA">
        <w:tc>
          <w:tcPr>
            <w:tcW w:w="874"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BA6A5E" w:rsidRPr="000D3EB5" w:rsidRDefault="00BA6A5E"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119" w:type="dxa"/>
            <w:tcBorders>
              <w:top w:val="single" w:sz="16" w:space="0" w:color="000000"/>
              <w:left w:val="single" w:sz="16" w:space="0" w:color="000000"/>
              <w:bottom w:val="single" w:sz="16" w:space="0" w:color="000000"/>
            </w:tcBorders>
            <w:shd w:val="clear" w:color="auto" w:fill="FFFFFF"/>
            <w:vAlign w:val="bottom"/>
          </w:tcPr>
          <w:p w:rsidR="00BA6A5E" w:rsidRPr="000D3EB5" w:rsidRDefault="00BA6A5E"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w:t>
            </w:r>
          </w:p>
        </w:tc>
        <w:tc>
          <w:tcPr>
            <w:tcW w:w="1193" w:type="dxa"/>
            <w:tcBorders>
              <w:top w:val="single" w:sz="16" w:space="0" w:color="000000"/>
              <w:bottom w:val="single" w:sz="16" w:space="0" w:color="000000"/>
            </w:tcBorders>
            <w:shd w:val="clear" w:color="auto" w:fill="FFFFFF"/>
            <w:vAlign w:val="bottom"/>
          </w:tcPr>
          <w:p w:rsidR="00BA6A5E" w:rsidRPr="000D3EB5" w:rsidRDefault="00BA6A5E"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 Square</w:t>
            </w:r>
          </w:p>
        </w:tc>
        <w:tc>
          <w:tcPr>
            <w:tcW w:w="1612" w:type="dxa"/>
            <w:tcBorders>
              <w:top w:val="single" w:sz="16" w:space="0" w:color="000000"/>
              <w:bottom w:val="single" w:sz="16" w:space="0" w:color="000000"/>
            </w:tcBorders>
            <w:shd w:val="clear" w:color="auto" w:fill="FFFFFF"/>
            <w:vAlign w:val="bottom"/>
          </w:tcPr>
          <w:p w:rsidR="00BA6A5E" w:rsidRPr="000D3EB5" w:rsidRDefault="00BA6A5E" w:rsidP="00ED0DE9">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Adjusted R Square</w:t>
            </w:r>
          </w:p>
        </w:tc>
        <w:tc>
          <w:tcPr>
            <w:tcW w:w="1612" w:type="dxa"/>
            <w:tcBorders>
              <w:top w:val="single" w:sz="16" w:space="0" w:color="000000"/>
              <w:bottom w:val="single" w:sz="16" w:space="0" w:color="000000"/>
              <w:right w:val="single" w:sz="16" w:space="0" w:color="000000"/>
            </w:tcBorders>
            <w:shd w:val="clear" w:color="auto" w:fill="FFFFFF"/>
            <w:vAlign w:val="bottom"/>
          </w:tcPr>
          <w:p w:rsidR="00BA6A5E" w:rsidRPr="00BA6A5E" w:rsidRDefault="00BA6A5E" w:rsidP="00ED0DE9">
            <w:pPr>
              <w:autoSpaceDE w:val="0"/>
              <w:autoSpaceDN w:val="0"/>
              <w:adjustRightInd w:val="0"/>
              <w:spacing w:after="0" w:line="320" w:lineRule="atLeast"/>
              <w:ind w:left="60" w:right="60"/>
              <w:jc w:val="center"/>
              <w:rPr>
                <w:rFonts w:ascii="Arial" w:hAnsi="Arial"/>
                <w:color w:val="000000"/>
                <w:sz w:val="18"/>
                <w:szCs w:val="18"/>
                <w:lang w:val="en-US"/>
              </w:rPr>
            </w:pPr>
            <w:r w:rsidRPr="00BA6A5E">
              <w:rPr>
                <w:rFonts w:ascii="Arial" w:hAnsi="Arial"/>
                <w:color w:val="000000"/>
                <w:sz w:val="18"/>
                <w:szCs w:val="18"/>
                <w:lang w:val="en-US"/>
              </w:rPr>
              <w:t>Std. Error of the Estimate</w:t>
            </w:r>
          </w:p>
        </w:tc>
      </w:tr>
      <w:tr w:rsidR="00BA6A5E" w:rsidRPr="000D3EB5" w:rsidTr="00F844DA">
        <w:tc>
          <w:tcPr>
            <w:tcW w:w="874" w:type="dxa"/>
            <w:tcBorders>
              <w:top w:val="single" w:sz="16" w:space="0" w:color="000000"/>
              <w:left w:val="single" w:sz="16" w:space="0" w:color="000000"/>
              <w:bottom w:val="single" w:sz="16" w:space="0" w:color="000000"/>
              <w:right w:val="single" w:sz="16" w:space="0" w:color="000000"/>
            </w:tcBorders>
            <w:shd w:val="clear" w:color="auto" w:fill="FFFFFF"/>
          </w:tcPr>
          <w:p w:rsidR="00BA6A5E" w:rsidRPr="000D3EB5" w:rsidRDefault="00BA6A5E"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19" w:type="dxa"/>
            <w:tcBorders>
              <w:top w:val="single" w:sz="16" w:space="0" w:color="000000"/>
              <w:left w:val="single" w:sz="16" w:space="0" w:color="000000"/>
              <w:bottom w:val="single" w:sz="16" w:space="0" w:color="000000"/>
            </w:tcBorders>
            <w:shd w:val="clear" w:color="auto" w:fill="FFFFFF"/>
          </w:tcPr>
          <w:p w:rsidR="00BA6A5E" w:rsidRPr="000D3EB5" w:rsidRDefault="00BA6A5E"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.168</w:t>
            </w:r>
            <w:r w:rsidRPr="000D3EB5">
              <w:rPr>
                <w:rFonts w:ascii="Arial" w:hAnsi="Arial"/>
                <w:color w:val="000000"/>
                <w:sz w:val="18"/>
                <w:szCs w:val="18"/>
                <w:vertAlign w:val="superscript"/>
              </w:rPr>
              <w:t>a</w:t>
            </w:r>
          </w:p>
        </w:tc>
        <w:tc>
          <w:tcPr>
            <w:tcW w:w="1193" w:type="dxa"/>
            <w:tcBorders>
              <w:top w:val="single" w:sz="16" w:space="0" w:color="000000"/>
              <w:bottom w:val="single" w:sz="16" w:space="0" w:color="000000"/>
            </w:tcBorders>
            <w:shd w:val="clear" w:color="auto" w:fill="FFFFFF"/>
          </w:tcPr>
          <w:p w:rsidR="00BA6A5E" w:rsidRPr="000D3EB5" w:rsidRDefault="00BA6A5E"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.028</w:t>
            </w:r>
          </w:p>
        </w:tc>
        <w:tc>
          <w:tcPr>
            <w:tcW w:w="1612" w:type="dxa"/>
            <w:tcBorders>
              <w:top w:val="single" w:sz="16" w:space="0" w:color="000000"/>
              <w:bottom w:val="single" w:sz="16" w:space="0" w:color="000000"/>
            </w:tcBorders>
            <w:shd w:val="clear" w:color="auto" w:fill="FFFFFF"/>
          </w:tcPr>
          <w:p w:rsidR="00BA6A5E" w:rsidRPr="000D3EB5" w:rsidRDefault="00BA6A5E"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1612" w:type="dxa"/>
            <w:tcBorders>
              <w:top w:val="single" w:sz="16" w:space="0" w:color="000000"/>
              <w:bottom w:val="single" w:sz="16" w:space="0" w:color="000000"/>
              <w:right w:val="single" w:sz="16" w:space="0" w:color="000000"/>
            </w:tcBorders>
            <w:shd w:val="clear" w:color="auto" w:fill="FFFFFF"/>
          </w:tcPr>
          <w:p w:rsidR="00BA6A5E" w:rsidRPr="000D3EB5" w:rsidRDefault="00BA6A5E" w:rsidP="00ED0DE9">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.10356</w:t>
            </w:r>
          </w:p>
        </w:tc>
      </w:tr>
      <w:tr w:rsidR="00BA6A5E" w:rsidRPr="000D3EB5" w:rsidTr="00F844DA">
        <w:tc>
          <w:tcPr>
            <w:tcW w:w="6410" w:type="dxa"/>
            <w:gridSpan w:val="5"/>
            <w:tcBorders>
              <w:top w:val="nil"/>
              <w:left w:val="nil"/>
              <w:bottom w:val="nil"/>
              <w:right w:val="nil"/>
            </w:tcBorders>
            <w:shd w:val="clear" w:color="auto" w:fill="FFFFFF"/>
          </w:tcPr>
          <w:p w:rsidR="00BA6A5E" w:rsidRPr="00BA6A5E" w:rsidRDefault="00BA6A5E" w:rsidP="00ED0DE9">
            <w:pPr>
              <w:autoSpaceDE w:val="0"/>
              <w:autoSpaceDN w:val="0"/>
              <w:adjustRightInd w:val="0"/>
              <w:spacing w:after="0" w:line="320" w:lineRule="atLeast"/>
              <w:ind w:left="60" w:right="60"/>
              <w:rPr>
                <w:rFonts w:ascii="Arial" w:hAnsi="Arial"/>
                <w:color w:val="000000"/>
                <w:sz w:val="18"/>
                <w:szCs w:val="18"/>
                <w:lang w:val="en-US"/>
              </w:rPr>
            </w:pPr>
            <w:r w:rsidRPr="00BA6A5E">
              <w:rPr>
                <w:rFonts w:ascii="Arial" w:hAnsi="Arial"/>
                <w:color w:val="000000"/>
                <w:sz w:val="18"/>
                <w:szCs w:val="18"/>
                <w:lang w:val="en-US"/>
              </w:rPr>
              <w:t>a. Predictors: (Constant), Country, Accounting Standard, Size</w:t>
            </w:r>
          </w:p>
          <w:p w:rsidR="00BA6A5E" w:rsidRPr="000D3EB5" w:rsidRDefault="00BA6A5E" w:rsidP="00ED0DE9">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b. </w:t>
            </w:r>
            <w:r w:rsidRPr="00F844DA">
              <w:rPr>
                <w:rFonts w:ascii="Arial" w:hAnsi="Arial"/>
                <w:color w:val="000000"/>
                <w:sz w:val="18"/>
                <w:szCs w:val="18"/>
                <w:lang w:val="en-US"/>
              </w:rPr>
              <w:t>Dependent Variable: Discretionary Accruals</w:t>
            </w:r>
          </w:p>
          <w:p w:rsidR="00BA6A5E" w:rsidRPr="000D3EB5" w:rsidRDefault="00BA6A5E" w:rsidP="00ED0DE9">
            <w:pPr>
              <w:autoSpaceDE w:val="0"/>
              <w:autoSpaceDN w:val="0"/>
              <w:adjustRightInd w:val="0"/>
              <w:spacing w:after="0" w:line="320" w:lineRule="atLeast"/>
              <w:ind w:left="60" w:right="60"/>
              <w:rPr>
                <w:rFonts w:ascii="Arial" w:hAnsi="Arial"/>
                <w:color w:val="000000"/>
                <w:sz w:val="18"/>
                <w:szCs w:val="18"/>
              </w:rPr>
            </w:pPr>
          </w:p>
        </w:tc>
      </w:tr>
    </w:tbl>
    <w:p w:rsidR="00BA6A5E" w:rsidRDefault="00A51954" w:rsidP="00C149EE">
      <w:pPr>
        <w:spacing w:line="360" w:lineRule="auto"/>
        <w:rPr>
          <w:lang w:val="en-US"/>
        </w:rPr>
      </w:pPr>
      <w:r>
        <w:rPr>
          <w:lang w:val="en-US"/>
        </w:rPr>
        <w:t>Despite that the Model Summary shows low explanatory power of the independent variables on the dependent variable, the F-test in the ANOVA table shows that the total model is significant (0.002).</w:t>
      </w:r>
    </w:p>
    <w:tbl>
      <w:tblPr>
        <w:tblW w:w="87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6"/>
        <w:gridCol w:w="1409"/>
        <w:gridCol w:w="1611"/>
        <w:gridCol w:w="1117"/>
        <w:gridCol w:w="1547"/>
        <w:gridCol w:w="1119"/>
        <w:gridCol w:w="1119"/>
      </w:tblGrid>
      <w:tr w:rsidR="00A51954" w:rsidRPr="000D3EB5" w:rsidTr="00131C52">
        <w:tc>
          <w:tcPr>
            <w:tcW w:w="8728" w:type="dxa"/>
            <w:gridSpan w:val="7"/>
            <w:tcBorders>
              <w:top w:val="nil"/>
              <w:left w:val="nil"/>
              <w:bottom w:val="nil"/>
              <w:right w:val="nil"/>
            </w:tcBorders>
            <w:shd w:val="clear" w:color="auto" w:fill="FFFFFF"/>
            <w:vAlign w:val="center"/>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ANOVA</w:t>
            </w:r>
            <w:r w:rsidRPr="000D3EB5">
              <w:rPr>
                <w:rFonts w:ascii="Arial" w:hAnsi="Arial"/>
                <w:b/>
                <w:bCs/>
                <w:color w:val="000000"/>
                <w:sz w:val="18"/>
                <w:szCs w:val="18"/>
                <w:vertAlign w:val="superscript"/>
              </w:rPr>
              <w:t>b</w:t>
            </w:r>
          </w:p>
        </w:tc>
      </w:tr>
      <w:tr w:rsidR="00A51954" w:rsidRPr="000D3EB5" w:rsidTr="00131C52">
        <w:tc>
          <w:tcPr>
            <w:tcW w:w="221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Sum of Squares</w:t>
            </w:r>
          </w:p>
        </w:tc>
        <w:tc>
          <w:tcPr>
            <w:tcW w:w="1117" w:type="dxa"/>
            <w:tcBorders>
              <w:top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df</w:t>
            </w:r>
          </w:p>
        </w:tc>
        <w:tc>
          <w:tcPr>
            <w:tcW w:w="1547" w:type="dxa"/>
            <w:tcBorders>
              <w:top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 Square</w:t>
            </w:r>
          </w:p>
        </w:tc>
        <w:tc>
          <w:tcPr>
            <w:tcW w:w="1119" w:type="dxa"/>
            <w:tcBorders>
              <w:top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F</w:t>
            </w:r>
          </w:p>
        </w:tc>
        <w:tc>
          <w:tcPr>
            <w:tcW w:w="1119" w:type="dxa"/>
            <w:tcBorders>
              <w:top w:val="single" w:sz="16" w:space="0" w:color="000000"/>
              <w:bottom w:val="single" w:sz="16" w:space="0" w:color="000000"/>
              <w:right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r>
      <w:tr w:rsidR="00A51954" w:rsidRPr="000D3EB5" w:rsidTr="00131C52">
        <w:tc>
          <w:tcPr>
            <w:tcW w:w="806" w:type="dxa"/>
            <w:vMerge w:val="restart"/>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409" w:type="dxa"/>
            <w:tcBorders>
              <w:top w:val="single" w:sz="16" w:space="0" w:color="000000"/>
              <w:left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Regression</w:t>
            </w:r>
          </w:p>
        </w:tc>
        <w:tc>
          <w:tcPr>
            <w:tcW w:w="1611" w:type="dxa"/>
            <w:tcBorders>
              <w:top w:val="single" w:sz="16" w:space="0" w:color="000000"/>
              <w:left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.165</w:t>
            </w:r>
          </w:p>
        </w:tc>
        <w:tc>
          <w:tcPr>
            <w:tcW w:w="1117" w:type="dxa"/>
            <w:tcBorders>
              <w:top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w:t>
            </w:r>
          </w:p>
        </w:tc>
        <w:tc>
          <w:tcPr>
            <w:tcW w:w="1547" w:type="dxa"/>
            <w:tcBorders>
              <w:top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.055</w:t>
            </w:r>
          </w:p>
        </w:tc>
        <w:tc>
          <w:tcPr>
            <w:tcW w:w="1119" w:type="dxa"/>
            <w:tcBorders>
              <w:top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5.118</w:t>
            </w:r>
          </w:p>
        </w:tc>
        <w:tc>
          <w:tcPr>
            <w:tcW w:w="1119" w:type="dxa"/>
            <w:tcBorders>
              <w:top w:val="single" w:sz="16" w:space="0" w:color="000000"/>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r w:rsidRPr="000D3EB5">
              <w:rPr>
                <w:rFonts w:ascii="Arial" w:hAnsi="Arial"/>
                <w:color w:val="000000"/>
                <w:sz w:val="18"/>
                <w:szCs w:val="18"/>
                <w:vertAlign w:val="superscript"/>
              </w:rPr>
              <w:t>a</w:t>
            </w:r>
          </w:p>
        </w:tc>
      </w:tr>
      <w:tr w:rsidR="00A51954" w:rsidRPr="000D3EB5" w:rsidTr="00131C52">
        <w:tc>
          <w:tcPr>
            <w:tcW w:w="806" w:type="dxa"/>
            <w:vMerge/>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240" w:lineRule="auto"/>
              <w:rPr>
                <w:rFonts w:ascii="Arial" w:hAnsi="Arial"/>
                <w:color w:val="000000"/>
                <w:sz w:val="18"/>
                <w:szCs w:val="18"/>
              </w:rPr>
            </w:pPr>
          </w:p>
        </w:tc>
        <w:tc>
          <w:tcPr>
            <w:tcW w:w="1409" w:type="dxa"/>
            <w:tcBorders>
              <w:top w:val="nil"/>
              <w:left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Residual</w:t>
            </w:r>
          </w:p>
        </w:tc>
        <w:tc>
          <w:tcPr>
            <w:tcW w:w="1611" w:type="dxa"/>
            <w:tcBorders>
              <w:top w:val="nil"/>
              <w:left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5.684</w:t>
            </w:r>
          </w:p>
        </w:tc>
        <w:tc>
          <w:tcPr>
            <w:tcW w:w="1117"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547"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.011</w:t>
            </w:r>
          </w:p>
        </w:tc>
        <w:tc>
          <w:tcPr>
            <w:tcW w:w="1119" w:type="dxa"/>
            <w:tcBorders>
              <w:top w:val="nil"/>
              <w:bottom w:val="nil"/>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nil"/>
              <w:right w:val="single" w:sz="16" w:space="0" w:color="000000"/>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r>
      <w:tr w:rsidR="00A51954" w:rsidRPr="000D3EB5" w:rsidTr="00131C52">
        <w:tc>
          <w:tcPr>
            <w:tcW w:w="806" w:type="dxa"/>
            <w:vMerge/>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240" w:lineRule="auto"/>
              <w:rPr>
                <w:rFonts w:ascii="Times New Roman" w:hAnsi="Times New Roman" w:cs="Times New Roman"/>
                <w:sz w:val="24"/>
                <w:szCs w:val="24"/>
              </w:rPr>
            </w:pPr>
          </w:p>
        </w:tc>
        <w:tc>
          <w:tcPr>
            <w:tcW w:w="1409" w:type="dxa"/>
            <w:tcBorders>
              <w:top w:val="nil"/>
              <w:left w:val="nil"/>
              <w:bottom w:val="single" w:sz="16" w:space="0" w:color="000000"/>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Total</w:t>
            </w:r>
          </w:p>
        </w:tc>
        <w:tc>
          <w:tcPr>
            <w:tcW w:w="1611" w:type="dxa"/>
            <w:tcBorders>
              <w:top w:val="nil"/>
              <w:left w:val="single" w:sz="16" w:space="0" w:color="000000"/>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5.848</w:t>
            </w:r>
          </w:p>
        </w:tc>
        <w:tc>
          <w:tcPr>
            <w:tcW w:w="1117"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533</w:t>
            </w:r>
          </w:p>
        </w:tc>
        <w:tc>
          <w:tcPr>
            <w:tcW w:w="1547" w:type="dxa"/>
            <w:tcBorders>
              <w:top w:val="nil"/>
              <w:bottom w:val="single" w:sz="16" w:space="0" w:color="000000"/>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right w:val="single" w:sz="16" w:space="0" w:color="000000"/>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r>
      <w:tr w:rsidR="00A51954" w:rsidRPr="000D3EB5" w:rsidTr="00131C52">
        <w:tc>
          <w:tcPr>
            <w:tcW w:w="8728" w:type="dxa"/>
            <w:gridSpan w:val="7"/>
            <w:tcBorders>
              <w:top w:val="nil"/>
              <w:left w:val="nil"/>
              <w:bottom w:val="nil"/>
              <w:right w:val="nil"/>
            </w:tcBorders>
            <w:shd w:val="clear" w:color="auto" w:fill="FFFFFF"/>
          </w:tcPr>
          <w:p w:rsidR="00A51954" w:rsidRPr="00A51954" w:rsidRDefault="00A51954" w:rsidP="00131C52">
            <w:pPr>
              <w:autoSpaceDE w:val="0"/>
              <w:autoSpaceDN w:val="0"/>
              <w:adjustRightInd w:val="0"/>
              <w:spacing w:after="0" w:line="320" w:lineRule="atLeast"/>
              <w:ind w:left="60" w:right="60"/>
              <w:rPr>
                <w:rFonts w:ascii="Arial" w:hAnsi="Arial"/>
                <w:color w:val="000000"/>
                <w:sz w:val="18"/>
                <w:szCs w:val="18"/>
                <w:lang w:val="en-US"/>
              </w:rPr>
            </w:pPr>
            <w:r w:rsidRPr="00A51954">
              <w:rPr>
                <w:rFonts w:ascii="Arial" w:hAnsi="Arial"/>
                <w:color w:val="000000"/>
                <w:sz w:val="18"/>
                <w:szCs w:val="18"/>
                <w:lang w:val="en-US"/>
              </w:rPr>
              <w:t>a. Predictors: (Constant), Country, Accounting Standard, Size</w:t>
            </w:r>
          </w:p>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b. </w:t>
            </w:r>
            <w:r>
              <w:rPr>
                <w:rFonts w:ascii="Arial" w:hAnsi="Arial"/>
                <w:color w:val="000000"/>
                <w:sz w:val="18"/>
                <w:szCs w:val="18"/>
              </w:rPr>
              <w:t>Dependent Variable: Discretionary Accruals</w:t>
            </w:r>
          </w:p>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p>
        </w:tc>
      </w:tr>
    </w:tbl>
    <w:p w:rsidR="00A51954" w:rsidRDefault="007841F8" w:rsidP="00C149EE">
      <w:pPr>
        <w:spacing w:line="360" w:lineRule="auto"/>
        <w:rPr>
          <w:lang w:val="en-US"/>
        </w:rPr>
      </w:pPr>
      <w:r>
        <w:rPr>
          <w:lang w:val="en-US"/>
        </w:rPr>
        <w:t xml:space="preserve">The table Coefficients shows the sign, </w:t>
      </w:r>
      <w:r w:rsidR="007770B8">
        <w:rPr>
          <w:lang w:val="en-US"/>
        </w:rPr>
        <w:t xml:space="preserve">the </w:t>
      </w:r>
      <w:r>
        <w:rPr>
          <w:lang w:val="en-US"/>
        </w:rPr>
        <w:t xml:space="preserve">size and </w:t>
      </w:r>
      <w:r w:rsidR="007770B8">
        <w:rPr>
          <w:lang w:val="en-US"/>
        </w:rPr>
        <w:t xml:space="preserve">the </w:t>
      </w:r>
      <w:r>
        <w:rPr>
          <w:lang w:val="en-US"/>
        </w:rPr>
        <w:t xml:space="preserve">significance of the independent </w:t>
      </w:r>
      <w:r w:rsidR="00A51954">
        <w:rPr>
          <w:lang w:val="en-US"/>
        </w:rPr>
        <w:t xml:space="preserve">variables in relation to the dependent variable discretionary accruals. First the </w:t>
      </w:r>
      <w:r w:rsidR="00550011">
        <w:rPr>
          <w:lang w:val="en-US"/>
        </w:rPr>
        <w:t xml:space="preserve">significance of the independent </w:t>
      </w:r>
      <w:r w:rsidR="00550011">
        <w:rPr>
          <w:lang w:val="en-US"/>
        </w:rPr>
        <w:lastRenderedPageBreak/>
        <w:t>variables; the variables country and</w:t>
      </w:r>
      <w:r w:rsidR="007770B8">
        <w:rPr>
          <w:lang w:val="en-US"/>
        </w:rPr>
        <w:t xml:space="preserve"> the</w:t>
      </w:r>
      <w:r w:rsidR="00550011">
        <w:rPr>
          <w:lang w:val="en-US"/>
        </w:rPr>
        <w:t xml:space="preserve"> size are significant (resp</w:t>
      </w:r>
      <w:r w:rsidR="000D649E">
        <w:rPr>
          <w:lang w:val="en-US"/>
        </w:rPr>
        <w:t>.</w:t>
      </w:r>
      <w:r w:rsidR="00826A3F">
        <w:rPr>
          <w:lang w:val="en-US"/>
        </w:rPr>
        <w:t xml:space="preserve"> 0.01 and 0.009), the variable a</w:t>
      </w:r>
      <w:r w:rsidR="00550011">
        <w:rPr>
          <w:lang w:val="en-US"/>
        </w:rPr>
        <w:t xml:space="preserve">ccounting </w:t>
      </w:r>
      <w:r w:rsidR="00826A3F">
        <w:rPr>
          <w:lang w:val="en-US"/>
        </w:rPr>
        <w:t>s</w:t>
      </w:r>
      <w:r w:rsidR="00550011">
        <w:rPr>
          <w:lang w:val="en-US"/>
        </w:rPr>
        <w:t>tandard is not significant (0.624)</w:t>
      </w:r>
      <w:r w:rsidR="00F23687">
        <w:rPr>
          <w:lang w:val="en-US"/>
        </w:rPr>
        <w:t xml:space="preserve">. With this results, </w:t>
      </w:r>
      <w:r w:rsidR="007770B8">
        <w:rPr>
          <w:lang w:val="en-US"/>
        </w:rPr>
        <w:t xml:space="preserve">can </w:t>
      </w:r>
      <w:r w:rsidR="00F23687">
        <w:rPr>
          <w:lang w:val="en-US"/>
        </w:rPr>
        <w:t xml:space="preserve">be concluded that a significant difference </w:t>
      </w:r>
      <w:r w:rsidR="007770B8">
        <w:rPr>
          <w:lang w:val="en-US"/>
        </w:rPr>
        <w:t xml:space="preserve">exists </w:t>
      </w:r>
      <w:r w:rsidR="00F23687">
        <w:rPr>
          <w:lang w:val="en-US"/>
        </w:rPr>
        <w:t xml:space="preserve">between the two groups of countries, respectively group 1 The Netherlands and group 2 Belgium and France, and large and small companies. The negative sign for both variables indicate less use of accruals-based earnings management in Belgium and </w:t>
      </w:r>
      <w:r w:rsidR="00D0589F">
        <w:rPr>
          <w:lang w:val="en-US"/>
        </w:rPr>
        <w:t xml:space="preserve">in </w:t>
      </w:r>
      <w:r w:rsidR="00F23687">
        <w:rPr>
          <w:lang w:val="en-US"/>
        </w:rPr>
        <w:t>France and larger companies, compared to The Netherland and smaller companies. Like in the multiple regression</w:t>
      </w:r>
      <w:r w:rsidR="00D0589F">
        <w:rPr>
          <w:lang w:val="en-US"/>
        </w:rPr>
        <w:t>s</w:t>
      </w:r>
      <w:r w:rsidR="00F23687">
        <w:rPr>
          <w:lang w:val="en-US"/>
        </w:rPr>
        <w:t xml:space="preserve"> with</w:t>
      </w:r>
      <w:r w:rsidR="00D0589F">
        <w:rPr>
          <w:lang w:val="en-US"/>
        </w:rPr>
        <w:t xml:space="preserve"> the</w:t>
      </w:r>
      <w:r w:rsidR="00F23687">
        <w:rPr>
          <w:lang w:val="en-US"/>
        </w:rPr>
        <w:t xml:space="preserve"> total earnings management as dependent variable, it is assumed that earnings are managed upwards. </w:t>
      </w:r>
    </w:p>
    <w:p w:rsidR="00A51954" w:rsidRDefault="00826A3F" w:rsidP="00C149EE">
      <w:pPr>
        <w:spacing w:line="360" w:lineRule="auto"/>
        <w:rPr>
          <w:lang w:val="en-US"/>
        </w:rPr>
      </w:pPr>
      <w:r>
        <w:rPr>
          <w:lang w:val="en-US"/>
        </w:rPr>
        <w:t>The independent variable a</w:t>
      </w:r>
      <w:r w:rsidR="00F23687">
        <w:rPr>
          <w:lang w:val="en-US"/>
        </w:rPr>
        <w:t xml:space="preserve">ccounting </w:t>
      </w:r>
      <w:r>
        <w:rPr>
          <w:lang w:val="en-US"/>
        </w:rPr>
        <w:t>s</w:t>
      </w:r>
      <w:r w:rsidR="00F23687">
        <w:rPr>
          <w:lang w:val="en-US"/>
        </w:rPr>
        <w:t>tandard</w:t>
      </w:r>
      <w:r w:rsidR="007B024E">
        <w:rPr>
          <w:lang w:val="en-US"/>
        </w:rPr>
        <w:t xml:space="preserve"> </w:t>
      </w:r>
      <w:r w:rsidR="00F23687">
        <w:rPr>
          <w:lang w:val="en-US"/>
        </w:rPr>
        <w:t>appeared to be</w:t>
      </w:r>
      <w:r w:rsidR="007B024E">
        <w:rPr>
          <w:lang w:val="en-US"/>
        </w:rPr>
        <w:t xml:space="preserve"> not</w:t>
      </w:r>
      <w:r w:rsidR="00F23687">
        <w:rPr>
          <w:lang w:val="en-US"/>
        </w:rPr>
        <w:t xml:space="preserve"> significant</w:t>
      </w:r>
      <w:r w:rsidR="007B024E">
        <w:rPr>
          <w:lang w:val="en-US"/>
        </w:rPr>
        <w:t xml:space="preserve"> (0.624)</w:t>
      </w:r>
      <w:r w:rsidR="00F23687">
        <w:rPr>
          <w:lang w:val="en-US"/>
        </w:rPr>
        <w:t>.</w:t>
      </w:r>
      <w:r w:rsidR="007B024E">
        <w:rPr>
          <w:lang w:val="en-US"/>
        </w:rPr>
        <w:t xml:space="preserve"> The transition from local GAAP to IRS did not </w:t>
      </w:r>
      <w:r w:rsidR="00D0589F">
        <w:rPr>
          <w:lang w:val="en-US"/>
        </w:rPr>
        <w:t>create</w:t>
      </w:r>
      <w:r w:rsidR="007B024E">
        <w:rPr>
          <w:lang w:val="en-US"/>
        </w:rPr>
        <w:t xml:space="preserve"> a significant change in the use of accruals-based earnings management. Although the change is not significant, the sign of the variable Accoun</w:t>
      </w:r>
      <w:r w:rsidR="008270E1">
        <w:rPr>
          <w:lang w:val="en-US"/>
        </w:rPr>
        <w:t>ting Standard is positive (0.21</w:t>
      </w:r>
      <w:r w:rsidR="007B024E">
        <w:rPr>
          <w:lang w:val="en-US"/>
        </w:rPr>
        <w:t>), which could be indicative for an increase of</w:t>
      </w:r>
      <w:r w:rsidR="00D0589F">
        <w:rPr>
          <w:lang w:val="en-US"/>
        </w:rPr>
        <w:t xml:space="preserve"> the</w:t>
      </w:r>
      <w:r w:rsidR="007B024E">
        <w:rPr>
          <w:lang w:val="en-US"/>
        </w:rPr>
        <w:t xml:space="preserve"> accruals-based earnings management after the introduction of IFRS. But because the result </w:t>
      </w:r>
      <w:r w:rsidR="000D649E">
        <w:rPr>
          <w:lang w:val="en-US"/>
        </w:rPr>
        <w:t xml:space="preserve">is not significant, this </w:t>
      </w:r>
      <w:r w:rsidR="002B73F1">
        <w:rPr>
          <w:lang w:val="en-US"/>
        </w:rPr>
        <w:t>is</w:t>
      </w:r>
      <w:r w:rsidR="000D649E">
        <w:rPr>
          <w:lang w:val="en-US"/>
        </w:rPr>
        <w:t xml:space="preserve"> only indicative and </w:t>
      </w:r>
      <w:r w:rsidR="002B73F1">
        <w:rPr>
          <w:lang w:val="en-US"/>
        </w:rPr>
        <w:t>can</w:t>
      </w:r>
      <w:r w:rsidR="000D649E">
        <w:rPr>
          <w:lang w:val="en-US"/>
        </w:rPr>
        <w:t xml:space="preserve">not </w:t>
      </w:r>
      <w:r>
        <w:rPr>
          <w:lang w:val="en-US"/>
        </w:rPr>
        <w:t xml:space="preserve">be </w:t>
      </w:r>
      <w:r w:rsidR="000D649E">
        <w:rPr>
          <w:lang w:val="en-US"/>
        </w:rPr>
        <w:t>concluded.</w:t>
      </w:r>
    </w:p>
    <w:tbl>
      <w:tblPr>
        <w:tblW w:w="11373"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360"/>
        <w:gridCol w:w="1890"/>
        <w:gridCol w:w="720"/>
        <w:gridCol w:w="900"/>
        <w:gridCol w:w="1260"/>
        <w:gridCol w:w="810"/>
        <w:gridCol w:w="810"/>
        <w:gridCol w:w="1023"/>
        <w:gridCol w:w="990"/>
        <w:gridCol w:w="720"/>
        <w:gridCol w:w="990"/>
        <w:gridCol w:w="900"/>
      </w:tblGrid>
      <w:tr w:rsidR="00A51954" w:rsidRPr="00A51954" w:rsidTr="00A51954">
        <w:trPr>
          <w:jc w:val="center"/>
        </w:trPr>
        <w:tc>
          <w:tcPr>
            <w:tcW w:w="11373" w:type="dxa"/>
            <w:gridSpan w:val="12"/>
            <w:tcBorders>
              <w:top w:val="nil"/>
              <w:left w:val="nil"/>
              <w:bottom w:val="nil"/>
              <w:right w:val="nil"/>
            </w:tcBorders>
            <w:shd w:val="clear" w:color="auto" w:fill="FFFFFF"/>
            <w:vAlign w:val="center"/>
          </w:tcPr>
          <w:p w:rsidR="00A51954" w:rsidRPr="00A51954" w:rsidRDefault="00A51954" w:rsidP="00131C52">
            <w:pPr>
              <w:autoSpaceDE w:val="0"/>
              <w:autoSpaceDN w:val="0"/>
              <w:adjustRightInd w:val="0"/>
              <w:spacing w:after="0" w:line="320" w:lineRule="atLeast"/>
              <w:ind w:left="60" w:right="60"/>
              <w:jc w:val="center"/>
              <w:rPr>
                <w:rFonts w:ascii="Arial" w:hAnsi="Arial"/>
                <w:color w:val="000000"/>
                <w:sz w:val="18"/>
                <w:szCs w:val="18"/>
                <w:lang w:val="en-US"/>
              </w:rPr>
            </w:pPr>
            <w:r w:rsidRPr="00A51954">
              <w:rPr>
                <w:rFonts w:ascii="Arial" w:hAnsi="Arial"/>
                <w:b/>
                <w:bCs/>
                <w:color w:val="000000"/>
                <w:sz w:val="18"/>
                <w:szCs w:val="18"/>
                <w:lang w:val="en-US"/>
              </w:rPr>
              <w:t>Coefficients</w:t>
            </w:r>
            <w:r w:rsidRPr="00A51954">
              <w:rPr>
                <w:rFonts w:ascii="Arial" w:hAnsi="Arial"/>
                <w:b/>
                <w:bCs/>
                <w:color w:val="000000"/>
                <w:sz w:val="18"/>
                <w:szCs w:val="18"/>
                <w:vertAlign w:val="superscript"/>
                <w:lang w:val="en-US"/>
              </w:rPr>
              <w:t>a</w:t>
            </w:r>
          </w:p>
        </w:tc>
      </w:tr>
      <w:tr w:rsidR="00A51954" w:rsidRPr="000D3EB5" w:rsidTr="00A51954">
        <w:trPr>
          <w:jc w:val="center"/>
        </w:trPr>
        <w:tc>
          <w:tcPr>
            <w:tcW w:w="225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A51954" w:rsidRPr="00A51954" w:rsidRDefault="00A51954" w:rsidP="00131C52">
            <w:pPr>
              <w:autoSpaceDE w:val="0"/>
              <w:autoSpaceDN w:val="0"/>
              <w:adjustRightInd w:val="0"/>
              <w:spacing w:after="0" w:line="320" w:lineRule="atLeast"/>
              <w:ind w:left="60" w:right="60"/>
              <w:rPr>
                <w:rFonts w:ascii="Arial" w:hAnsi="Arial"/>
                <w:color w:val="000000"/>
                <w:sz w:val="18"/>
                <w:szCs w:val="18"/>
                <w:lang w:val="en-US"/>
              </w:rPr>
            </w:pPr>
            <w:r w:rsidRPr="00A51954">
              <w:rPr>
                <w:rFonts w:ascii="Arial" w:hAnsi="Arial"/>
                <w:color w:val="000000"/>
                <w:sz w:val="18"/>
                <w:szCs w:val="18"/>
                <w:lang w:val="en-US"/>
              </w:rPr>
              <w:t>Model</w:t>
            </w:r>
          </w:p>
        </w:tc>
        <w:tc>
          <w:tcPr>
            <w:tcW w:w="1620" w:type="dxa"/>
            <w:gridSpan w:val="2"/>
            <w:tcBorders>
              <w:top w:val="single" w:sz="16" w:space="0" w:color="000000"/>
              <w:left w:val="single" w:sz="16" w:space="0" w:color="000000"/>
            </w:tcBorders>
            <w:shd w:val="clear" w:color="auto" w:fill="FFFFFF"/>
            <w:vAlign w:val="bottom"/>
          </w:tcPr>
          <w:p w:rsidR="00A51954" w:rsidRPr="00A51954" w:rsidRDefault="00A51954" w:rsidP="00131C52">
            <w:pPr>
              <w:autoSpaceDE w:val="0"/>
              <w:autoSpaceDN w:val="0"/>
              <w:adjustRightInd w:val="0"/>
              <w:spacing w:after="0" w:line="320" w:lineRule="atLeast"/>
              <w:ind w:left="60" w:right="60"/>
              <w:jc w:val="center"/>
              <w:rPr>
                <w:rFonts w:ascii="Arial" w:hAnsi="Arial"/>
                <w:color w:val="000000"/>
                <w:sz w:val="18"/>
                <w:szCs w:val="18"/>
                <w:lang w:val="en-US"/>
              </w:rPr>
            </w:pPr>
            <w:r w:rsidRPr="00A51954">
              <w:rPr>
                <w:rFonts w:ascii="Arial" w:hAnsi="Arial"/>
                <w:color w:val="000000"/>
                <w:sz w:val="18"/>
                <w:szCs w:val="18"/>
                <w:lang w:val="en-US"/>
              </w:rPr>
              <w:t>Unstandardized Coefficients</w:t>
            </w:r>
          </w:p>
        </w:tc>
        <w:tc>
          <w:tcPr>
            <w:tcW w:w="1260" w:type="dxa"/>
            <w:tcBorders>
              <w:top w:val="single" w:sz="16" w:space="0" w:color="000000"/>
            </w:tcBorders>
            <w:shd w:val="clear" w:color="auto" w:fill="FFFFFF"/>
            <w:vAlign w:val="bottom"/>
          </w:tcPr>
          <w:p w:rsidR="00A51954" w:rsidRPr="00A51954" w:rsidRDefault="00A51954" w:rsidP="00131C52">
            <w:pPr>
              <w:autoSpaceDE w:val="0"/>
              <w:autoSpaceDN w:val="0"/>
              <w:adjustRightInd w:val="0"/>
              <w:spacing w:after="0" w:line="320" w:lineRule="atLeast"/>
              <w:ind w:left="60" w:right="60"/>
              <w:jc w:val="center"/>
              <w:rPr>
                <w:rFonts w:ascii="Arial" w:hAnsi="Arial"/>
                <w:color w:val="000000"/>
                <w:sz w:val="18"/>
                <w:szCs w:val="18"/>
                <w:lang w:val="en-US"/>
              </w:rPr>
            </w:pPr>
            <w:r w:rsidRPr="00A51954">
              <w:rPr>
                <w:rFonts w:ascii="Arial" w:hAnsi="Arial"/>
                <w:color w:val="000000"/>
                <w:sz w:val="18"/>
                <w:szCs w:val="18"/>
                <w:lang w:val="en-US"/>
              </w:rPr>
              <w:t>Standardized Coefficients</w:t>
            </w:r>
          </w:p>
        </w:tc>
        <w:tc>
          <w:tcPr>
            <w:tcW w:w="810" w:type="dxa"/>
            <w:vMerge w:val="restart"/>
            <w:tcBorders>
              <w:top w:val="single" w:sz="16" w:space="0" w:color="000000"/>
              <w:bottom w:val="single" w:sz="16" w:space="0" w:color="000000"/>
            </w:tcBorders>
            <w:shd w:val="clear" w:color="auto" w:fill="FFFFFF"/>
            <w:vAlign w:val="bottom"/>
          </w:tcPr>
          <w:p w:rsidR="00A51954" w:rsidRPr="00A51954" w:rsidRDefault="00A51954" w:rsidP="00131C52">
            <w:pPr>
              <w:autoSpaceDE w:val="0"/>
              <w:autoSpaceDN w:val="0"/>
              <w:adjustRightInd w:val="0"/>
              <w:spacing w:after="0" w:line="320" w:lineRule="atLeast"/>
              <w:ind w:left="60" w:right="60"/>
              <w:jc w:val="center"/>
              <w:rPr>
                <w:rFonts w:ascii="Arial" w:hAnsi="Arial"/>
                <w:color w:val="000000"/>
                <w:sz w:val="18"/>
                <w:szCs w:val="18"/>
                <w:lang w:val="en-US"/>
              </w:rPr>
            </w:pPr>
            <w:r w:rsidRPr="00A51954">
              <w:rPr>
                <w:rFonts w:ascii="Arial" w:hAnsi="Arial"/>
                <w:color w:val="000000"/>
                <w:sz w:val="18"/>
                <w:szCs w:val="18"/>
                <w:lang w:val="en-US"/>
              </w:rPr>
              <w:t>t</w:t>
            </w:r>
          </w:p>
        </w:tc>
        <w:tc>
          <w:tcPr>
            <w:tcW w:w="810" w:type="dxa"/>
            <w:vMerge w:val="restart"/>
            <w:tcBorders>
              <w:top w:val="single" w:sz="16" w:space="0" w:color="000000"/>
              <w:bottom w:val="single" w:sz="16" w:space="0" w:color="000000"/>
            </w:tcBorders>
            <w:shd w:val="clear" w:color="auto" w:fill="FFFFFF"/>
            <w:vAlign w:val="bottom"/>
          </w:tcPr>
          <w:p w:rsidR="00A51954" w:rsidRPr="00A51954" w:rsidRDefault="00A51954" w:rsidP="00131C52">
            <w:pPr>
              <w:autoSpaceDE w:val="0"/>
              <w:autoSpaceDN w:val="0"/>
              <w:adjustRightInd w:val="0"/>
              <w:spacing w:after="0" w:line="320" w:lineRule="atLeast"/>
              <w:ind w:left="60" w:right="60"/>
              <w:jc w:val="center"/>
              <w:rPr>
                <w:rFonts w:ascii="Arial" w:hAnsi="Arial"/>
                <w:color w:val="000000"/>
                <w:sz w:val="18"/>
                <w:szCs w:val="18"/>
                <w:lang w:val="en-US"/>
              </w:rPr>
            </w:pPr>
            <w:r w:rsidRPr="00A51954">
              <w:rPr>
                <w:rFonts w:ascii="Arial" w:hAnsi="Arial"/>
                <w:color w:val="000000"/>
                <w:sz w:val="18"/>
                <w:szCs w:val="18"/>
                <w:lang w:val="en-US"/>
              </w:rPr>
              <w:t>Sig.</w:t>
            </w:r>
          </w:p>
        </w:tc>
        <w:tc>
          <w:tcPr>
            <w:tcW w:w="2733" w:type="dxa"/>
            <w:gridSpan w:val="3"/>
            <w:tcBorders>
              <w:top w:val="single" w:sz="16" w:space="0" w:color="000000"/>
            </w:tcBorders>
            <w:shd w:val="clear" w:color="auto" w:fill="FFFFFF"/>
            <w:vAlign w:val="bottom"/>
          </w:tcPr>
          <w:p w:rsidR="00A51954" w:rsidRPr="00A51954" w:rsidRDefault="00A51954" w:rsidP="00131C52">
            <w:pPr>
              <w:autoSpaceDE w:val="0"/>
              <w:autoSpaceDN w:val="0"/>
              <w:adjustRightInd w:val="0"/>
              <w:spacing w:after="0" w:line="320" w:lineRule="atLeast"/>
              <w:ind w:left="60" w:right="60"/>
              <w:jc w:val="center"/>
              <w:rPr>
                <w:rFonts w:ascii="Arial" w:hAnsi="Arial"/>
                <w:color w:val="000000"/>
                <w:sz w:val="18"/>
                <w:szCs w:val="18"/>
                <w:lang w:val="en-US"/>
              </w:rPr>
            </w:pPr>
            <w:r w:rsidRPr="00A51954">
              <w:rPr>
                <w:rFonts w:ascii="Arial" w:hAnsi="Arial"/>
                <w:color w:val="000000"/>
                <w:sz w:val="18"/>
                <w:szCs w:val="18"/>
                <w:lang w:val="en-US"/>
              </w:rPr>
              <w:t>Correlations</w:t>
            </w:r>
          </w:p>
        </w:tc>
        <w:tc>
          <w:tcPr>
            <w:tcW w:w="1890" w:type="dxa"/>
            <w:gridSpan w:val="2"/>
            <w:tcBorders>
              <w:top w:val="single" w:sz="16" w:space="0" w:color="000000"/>
              <w:right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A51954">
              <w:rPr>
                <w:rFonts w:ascii="Arial" w:hAnsi="Arial"/>
                <w:color w:val="000000"/>
                <w:sz w:val="18"/>
                <w:szCs w:val="18"/>
                <w:lang w:val="en-US"/>
              </w:rPr>
              <w:t>Collinearity S</w:t>
            </w:r>
            <w:r w:rsidRPr="000D3EB5">
              <w:rPr>
                <w:rFonts w:ascii="Arial" w:hAnsi="Arial"/>
                <w:color w:val="000000"/>
                <w:sz w:val="18"/>
                <w:szCs w:val="18"/>
              </w:rPr>
              <w:t>tatistics</w:t>
            </w:r>
          </w:p>
        </w:tc>
      </w:tr>
      <w:tr w:rsidR="00A51954" w:rsidRPr="000D3EB5" w:rsidTr="00A51954">
        <w:trPr>
          <w:jc w:val="center"/>
        </w:trPr>
        <w:tc>
          <w:tcPr>
            <w:tcW w:w="225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A51954" w:rsidRPr="000D3EB5" w:rsidRDefault="00A51954" w:rsidP="00131C52">
            <w:pPr>
              <w:autoSpaceDE w:val="0"/>
              <w:autoSpaceDN w:val="0"/>
              <w:adjustRightInd w:val="0"/>
              <w:spacing w:after="0" w:line="240" w:lineRule="auto"/>
              <w:rPr>
                <w:rFonts w:ascii="Arial" w:hAnsi="Arial"/>
                <w:color w:val="000000"/>
                <w:sz w:val="18"/>
                <w:szCs w:val="18"/>
              </w:rPr>
            </w:pPr>
          </w:p>
        </w:tc>
        <w:tc>
          <w:tcPr>
            <w:tcW w:w="720" w:type="dxa"/>
            <w:tcBorders>
              <w:left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w:t>
            </w:r>
          </w:p>
        </w:tc>
        <w:tc>
          <w:tcPr>
            <w:tcW w:w="900" w:type="dxa"/>
            <w:tcBorders>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Error</w:t>
            </w:r>
          </w:p>
        </w:tc>
        <w:tc>
          <w:tcPr>
            <w:tcW w:w="1260" w:type="dxa"/>
            <w:tcBorders>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Beta</w:t>
            </w:r>
          </w:p>
        </w:tc>
        <w:tc>
          <w:tcPr>
            <w:tcW w:w="810" w:type="dxa"/>
            <w:vMerge/>
            <w:tcBorders>
              <w:top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240" w:lineRule="auto"/>
              <w:rPr>
                <w:rFonts w:ascii="Arial" w:hAnsi="Arial"/>
                <w:color w:val="000000"/>
                <w:sz w:val="18"/>
                <w:szCs w:val="18"/>
              </w:rPr>
            </w:pPr>
          </w:p>
        </w:tc>
        <w:tc>
          <w:tcPr>
            <w:tcW w:w="810" w:type="dxa"/>
            <w:vMerge/>
            <w:tcBorders>
              <w:top w:val="single" w:sz="16" w:space="0" w:color="000000"/>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240" w:lineRule="auto"/>
              <w:rPr>
                <w:rFonts w:ascii="Arial" w:hAnsi="Arial"/>
                <w:color w:val="000000"/>
                <w:sz w:val="18"/>
                <w:szCs w:val="18"/>
              </w:rPr>
            </w:pPr>
          </w:p>
        </w:tc>
        <w:tc>
          <w:tcPr>
            <w:tcW w:w="1023" w:type="dxa"/>
            <w:tcBorders>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Zero-order</w:t>
            </w:r>
          </w:p>
        </w:tc>
        <w:tc>
          <w:tcPr>
            <w:tcW w:w="990" w:type="dxa"/>
            <w:tcBorders>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Partial</w:t>
            </w:r>
          </w:p>
        </w:tc>
        <w:tc>
          <w:tcPr>
            <w:tcW w:w="720" w:type="dxa"/>
            <w:tcBorders>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w:t>
            </w:r>
          </w:p>
        </w:tc>
        <w:tc>
          <w:tcPr>
            <w:tcW w:w="990" w:type="dxa"/>
            <w:tcBorders>
              <w:bottom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Tolerance</w:t>
            </w:r>
          </w:p>
        </w:tc>
        <w:tc>
          <w:tcPr>
            <w:tcW w:w="900" w:type="dxa"/>
            <w:tcBorders>
              <w:bottom w:val="single" w:sz="16" w:space="0" w:color="000000"/>
              <w:right w:val="single" w:sz="16" w:space="0" w:color="000000"/>
            </w:tcBorders>
            <w:shd w:val="clear" w:color="auto" w:fill="FFFFFF"/>
            <w:vAlign w:val="bottom"/>
          </w:tcPr>
          <w:p w:rsidR="00A51954" w:rsidRPr="000D3EB5" w:rsidRDefault="00A51954"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VIF</w:t>
            </w:r>
          </w:p>
        </w:tc>
      </w:tr>
      <w:tr w:rsidR="00A51954" w:rsidRPr="000D3EB5" w:rsidTr="00A51954">
        <w:trPr>
          <w:jc w:val="center"/>
        </w:trPr>
        <w:tc>
          <w:tcPr>
            <w:tcW w:w="360" w:type="dxa"/>
            <w:vMerge w:val="restart"/>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890" w:type="dxa"/>
            <w:tcBorders>
              <w:top w:val="single" w:sz="16" w:space="0" w:color="000000"/>
              <w:left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(Constant)</w:t>
            </w:r>
          </w:p>
        </w:tc>
        <w:tc>
          <w:tcPr>
            <w:tcW w:w="720" w:type="dxa"/>
            <w:tcBorders>
              <w:top w:val="single" w:sz="16" w:space="0" w:color="000000"/>
              <w:left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.159</w:t>
            </w:r>
          </w:p>
        </w:tc>
        <w:tc>
          <w:tcPr>
            <w:tcW w:w="900" w:type="dxa"/>
            <w:tcBorders>
              <w:top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60" w:type="dxa"/>
            <w:tcBorders>
              <w:top w:val="single" w:sz="16" w:space="0" w:color="000000"/>
              <w:bottom w:val="nil"/>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18.469</w:t>
            </w:r>
          </w:p>
        </w:tc>
        <w:tc>
          <w:tcPr>
            <w:tcW w:w="810" w:type="dxa"/>
            <w:tcBorders>
              <w:top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023" w:type="dxa"/>
            <w:tcBorders>
              <w:top w:val="single" w:sz="16" w:space="0" w:color="000000"/>
              <w:bottom w:val="nil"/>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990" w:type="dxa"/>
            <w:tcBorders>
              <w:top w:val="single" w:sz="16" w:space="0" w:color="000000"/>
              <w:bottom w:val="nil"/>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720" w:type="dxa"/>
            <w:tcBorders>
              <w:top w:val="single" w:sz="16" w:space="0" w:color="000000"/>
              <w:bottom w:val="nil"/>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990" w:type="dxa"/>
            <w:tcBorders>
              <w:top w:val="single" w:sz="16" w:space="0" w:color="000000"/>
              <w:bottom w:val="nil"/>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c>
          <w:tcPr>
            <w:tcW w:w="900" w:type="dxa"/>
            <w:tcBorders>
              <w:top w:val="single" w:sz="16" w:space="0" w:color="000000"/>
              <w:bottom w:val="nil"/>
              <w:right w:val="single" w:sz="16" w:space="0" w:color="000000"/>
            </w:tcBorders>
            <w:shd w:val="clear" w:color="auto" w:fill="FFFFFF"/>
            <w:vAlign w:val="center"/>
          </w:tcPr>
          <w:p w:rsidR="00A51954" w:rsidRPr="000D3EB5" w:rsidRDefault="00A51954" w:rsidP="00131C52">
            <w:pPr>
              <w:autoSpaceDE w:val="0"/>
              <w:autoSpaceDN w:val="0"/>
              <w:adjustRightInd w:val="0"/>
              <w:spacing w:after="0" w:line="240" w:lineRule="auto"/>
              <w:jc w:val="center"/>
              <w:rPr>
                <w:rFonts w:ascii="Times New Roman" w:hAnsi="Times New Roman" w:cs="Times New Roman"/>
                <w:sz w:val="24"/>
                <w:szCs w:val="24"/>
              </w:rPr>
            </w:pPr>
          </w:p>
        </w:tc>
      </w:tr>
      <w:tr w:rsidR="00A51954" w:rsidRPr="000D3EB5" w:rsidTr="00A51954">
        <w:trPr>
          <w:jc w:val="center"/>
        </w:trPr>
        <w:tc>
          <w:tcPr>
            <w:tcW w:w="360" w:type="dxa"/>
            <w:vMerge/>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240" w:lineRule="auto"/>
              <w:rPr>
                <w:rFonts w:ascii="Times New Roman" w:hAnsi="Times New Roman" w:cs="Times New Roman"/>
                <w:sz w:val="24"/>
                <w:szCs w:val="24"/>
              </w:rPr>
            </w:pPr>
          </w:p>
        </w:tc>
        <w:tc>
          <w:tcPr>
            <w:tcW w:w="1890" w:type="dxa"/>
            <w:tcBorders>
              <w:top w:val="nil"/>
              <w:left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720" w:type="dxa"/>
            <w:tcBorders>
              <w:top w:val="nil"/>
              <w:left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90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6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-.111</w:t>
            </w:r>
          </w:p>
        </w:tc>
        <w:tc>
          <w:tcPr>
            <w:tcW w:w="81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-2.578</w:t>
            </w:r>
          </w:p>
        </w:tc>
        <w:tc>
          <w:tcPr>
            <w:tcW w:w="81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023"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-.123</w:t>
            </w:r>
          </w:p>
        </w:tc>
        <w:tc>
          <w:tcPr>
            <w:tcW w:w="99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-.111</w:t>
            </w:r>
          </w:p>
        </w:tc>
        <w:tc>
          <w:tcPr>
            <w:tcW w:w="72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w:t>
            </w:r>
          </w:p>
        </w:tc>
        <w:tc>
          <w:tcPr>
            <w:tcW w:w="99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.988</w:t>
            </w:r>
          </w:p>
        </w:tc>
        <w:tc>
          <w:tcPr>
            <w:tcW w:w="900" w:type="dxa"/>
            <w:tcBorders>
              <w:top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1.012</w:t>
            </w:r>
          </w:p>
        </w:tc>
      </w:tr>
      <w:tr w:rsidR="00A51954" w:rsidRPr="000D3EB5" w:rsidTr="00A51954">
        <w:trPr>
          <w:jc w:val="center"/>
        </w:trPr>
        <w:tc>
          <w:tcPr>
            <w:tcW w:w="360" w:type="dxa"/>
            <w:vMerge/>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720" w:type="dxa"/>
            <w:tcBorders>
              <w:top w:val="nil"/>
              <w:left w:val="single" w:sz="16" w:space="0" w:color="000000"/>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.004</w:t>
            </w:r>
          </w:p>
        </w:tc>
        <w:tc>
          <w:tcPr>
            <w:tcW w:w="90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6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.021</w:t>
            </w:r>
          </w:p>
        </w:tc>
        <w:tc>
          <w:tcPr>
            <w:tcW w:w="81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.491</w:t>
            </w:r>
          </w:p>
        </w:tc>
        <w:tc>
          <w:tcPr>
            <w:tcW w:w="81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.624</w:t>
            </w:r>
          </w:p>
        </w:tc>
        <w:tc>
          <w:tcPr>
            <w:tcW w:w="1023"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99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.021</w:t>
            </w:r>
          </w:p>
        </w:tc>
        <w:tc>
          <w:tcPr>
            <w:tcW w:w="72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.021</w:t>
            </w:r>
          </w:p>
        </w:tc>
        <w:tc>
          <w:tcPr>
            <w:tcW w:w="990" w:type="dxa"/>
            <w:tcBorders>
              <w:top w:val="nil"/>
              <w:bottom w:val="nil"/>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900" w:type="dxa"/>
            <w:tcBorders>
              <w:top w:val="nil"/>
              <w:bottom w:val="nil"/>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A51954" w:rsidRPr="000D3EB5" w:rsidTr="00A51954">
        <w:trPr>
          <w:jc w:val="center"/>
        </w:trPr>
        <w:tc>
          <w:tcPr>
            <w:tcW w:w="360" w:type="dxa"/>
            <w:vMerge/>
            <w:tcBorders>
              <w:top w:val="single" w:sz="16" w:space="0" w:color="000000"/>
              <w:left w:val="single" w:sz="16" w:space="0" w:color="000000"/>
              <w:bottom w:val="single" w:sz="16" w:space="0" w:color="000000"/>
              <w:right w:val="nil"/>
            </w:tcBorders>
            <w:shd w:val="clear" w:color="auto" w:fill="FFFFFF"/>
          </w:tcPr>
          <w:p w:rsidR="00A51954" w:rsidRPr="000D3EB5" w:rsidRDefault="00A51954" w:rsidP="00131C52">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single" w:sz="16" w:space="0" w:color="000000"/>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720" w:type="dxa"/>
            <w:tcBorders>
              <w:top w:val="nil"/>
              <w:left w:val="single" w:sz="16" w:space="0" w:color="000000"/>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-.024</w:t>
            </w:r>
          </w:p>
        </w:tc>
        <w:tc>
          <w:tcPr>
            <w:tcW w:w="90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6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81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-2.606</w:t>
            </w:r>
          </w:p>
        </w:tc>
        <w:tc>
          <w:tcPr>
            <w:tcW w:w="81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023"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-.124</w:t>
            </w:r>
          </w:p>
        </w:tc>
        <w:tc>
          <w:tcPr>
            <w:tcW w:w="99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72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990" w:type="dxa"/>
            <w:tcBorders>
              <w:top w:val="nil"/>
              <w:bottom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.988</w:t>
            </w:r>
          </w:p>
        </w:tc>
        <w:tc>
          <w:tcPr>
            <w:tcW w:w="900" w:type="dxa"/>
            <w:tcBorders>
              <w:top w:val="nil"/>
              <w:bottom w:val="single" w:sz="16" w:space="0" w:color="000000"/>
              <w:right w:val="single" w:sz="16" w:space="0" w:color="000000"/>
            </w:tcBorders>
            <w:shd w:val="clear" w:color="auto" w:fill="FFFFFF"/>
          </w:tcPr>
          <w:p w:rsidR="00A51954" w:rsidRPr="000D3EB5" w:rsidRDefault="00A51954"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1.012</w:t>
            </w:r>
          </w:p>
        </w:tc>
      </w:tr>
      <w:tr w:rsidR="00A51954" w:rsidRPr="0013388B" w:rsidTr="00A51954">
        <w:trPr>
          <w:jc w:val="center"/>
        </w:trPr>
        <w:tc>
          <w:tcPr>
            <w:tcW w:w="11373" w:type="dxa"/>
            <w:gridSpan w:val="12"/>
            <w:tcBorders>
              <w:top w:val="nil"/>
              <w:left w:val="nil"/>
              <w:bottom w:val="nil"/>
              <w:right w:val="nil"/>
            </w:tcBorders>
            <w:shd w:val="clear" w:color="auto" w:fill="FFFFFF"/>
          </w:tcPr>
          <w:p w:rsidR="00A51954" w:rsidRPr="00A51954" w:rsidRDefault="00A51954" w:rsidP="002B73F1">
            <w:pPr>
              <w:autoSpaceDE w:val="0"/>
              <w:autoSpaceDN w:val="0"/>
              <w:adjustRightInd w:val="0"/>
              <w:spacing w:after="0" w:line="320" w:lineRule="atLeast"/>
              <w:ind w:left="60" w:right="60"/>
              <w:rPr>
                <w:rFonts w:ascii="Arial" w:hAnsi="Arial"/>
                <w:color w:val="000000"/>
                <w:sz w:val="18"/>
                <w:szCs w:val="18"/>
                <w:lang w:val="en-US"/>
              </w:rPr>
            </w:pPr>
            <w:r w:rsidRPr="00A51954">
              <w:rPr>
                <w:rFonts w:ascii="Arial" w:hAnsi="Arial"/>
                <w:color w:val="000000"/>
                <w:sz w:val="18"/>
                <w:szCs w:val="18"/>
                <w:lang w:val="en-US"/>
              </w:rPr>
              <w:t>a. Dependent Variable: Discr</w:t>
            </w:r>
            <w:r>
              <w:rPr>
                <w:rFonts w:ascii="Arial" w:hAnsi="Arial"/>
                <w:color w:val="000000"/>
                <w:sz w:val="18"/>
                <w:szCs w:val="18"/>
                <w:lang w:val="en-US"/>
              </w:rPr>
              <w:t>etionary Accruals</w:t>
            </w:r>
          </w:p>
        </w:tc>
      </w:tr>
    </w:tbl>
    <w:p w:rsidR="00A51954" w:rsidRDefault="00D0589F" w:rsidP="00C149EE">
      <w:pPr>
        <w:spacing w:line="360" w:lineRule="auto"/>
        <w:rPr>
          <w:lang w:val="en-US"/>
        </w:rPr>
      </w:pPr>
      <w:r>
        <w:rPr>
          <w:lang w:val="en-GB"/>
        </w:rPr>
        <w:br/>
      </w:r>
      <w:r w:rsidR="000D649E">
        <w:rPr>
          <w:lang w:val="en-US"/>
        </w:rPr>
        <w:t xml:space="preserve">Although the result of variable </w:t>
      </w:r>
      <w:r w:rsidR="00826A3F">
        <w:rPr>
          <w:lang w:val="en-US"/>
        </w:rPr>
        <w:t>a</w:t>
      </w:r>
      <w:r w:rsidR="000D649E">
        <w:rPr>
          <w:lang w:val="en-US"/>
        </w:rPr>
        <w:t xml:space="preserve">ccounting </w:t>
      </w:r>
      <w:r w:rsidR="00826A3F">
        <w:rPr>
          <w:lang w:val="en-US"/>
        </w:rPr>
        <w:t>s</w:t>
      </w:r>
      <w:r w:rsidR="000D649E">
        <w:rPr>
          <w:lang w:val="en-US"/>
        </w:rPr>
        <w:t>tandard is not significant, it is indicative for an increase of accruals-based earnings management a</w:t>
      </w:r>
      <w:r>
        <w:rPr>
          <w:lang w:val="en-US"/>
        </w:rPr>
        <w:t>fter the introduction of IFRS.</w:t>
      </w:r>
      <w:r w:rsidR="00F36DB2">
        <w:rPr>
          <w:lang w:val="en-US"/>
        </w:rPr>
        <w:t xml:space="preserve"> </w:t>
      </w:r>
    </w:p>
    <w:p w:rsidR="000D649E" w:rsidRDefault="000D649E" w:rsidP="00C149EE">
      <w:pPr>
        <w:spacing w:line="360" w:lineRule="auto"/>
        <w:rPr>
          <w:lang w:val="en-US"/>
        </w:rPr>
      </w:pPr>
      <w:r w:rsidRPr="00C149EE">
        <w:rPr>
          <w:b/>
          <w:lang w:val="en-GB"/>
        </w:rPr>
        <w:t>7.3.3 Real earnings management</w:t>
      </w:r>
      <w:r>
        <w:rPr>
          <w:b/>
          <w:lang w:val="en-GB"/>
        </w:rPr>
        <w:br/>
      </w:r>
      <w:r w:rsidR="00A773C5">
        <w:rPr>
          <w:lang w:val="en-US"/>
        </w:rPr>
        <w:t>The last multiple regression will be with</w:t>
      </w:r>
      <w:r w:rsidR="003B2EF1">
        <w:rPr>
          <w:lang w:val="en-US"/>
        </w:rPr>
        <w:t xml:space="preserve"> the average value</w:t>
      </w:r>
      <w:r w:rsidR="00A773C5">
        <w:rPr>
          <w:lang w:val="en-US"/>
        </w:rPr>
        <w:t xml:space="preserve"> of the four real earnings management </w:t>
      </w:r>
      <w:r w:rsidR="003B2EF1">
        <w:rPr>
          <w:lang w:val="en-US"/>
        </w:rPr>
        <w:t xml:space="preserve">indicative </w:t>
      </w:r>
      <w:r w:rsidR="00A773C5">
        <w:rPr>
          <w:lang w:val="en-US"/>
        </w:rPr>
        <w:t>variables as dependent variable and the va</w:t>
      </w:r>
      <w:r w:rsidR="00826A3F">
        <w:rPr>
          <w:lang w:val="en-US"/>
        </w:rPr>
        <w:t>riables c</w:t>
      </w:r>
      <w:r w:rsidR="00A773C5">
        <w:rPr>
          <w:lang w:val="en-US"/>
        </w:rPr>
        <w:t xml:space="preserve">ountry, </w:t>
      </w:r>
      <w:r w:rsidR="00826A3F">
        <w:rPr>
          <w:lang w:val="en-US"/>
        </w:rPr>
        <w:t>a</w:t>
      </w:r>
      <w:r w:rsidR="00A773C5">
        <w:rPr>
          <w:lang w:val="en-US"/>
        </w:rPr>
        <w:t xml:space="preserve">ccounting </w:t>
      </w:r>
      <w:r w:rsidR="00826A3F">
        <w:rPr>
          <w:lang w:val="en-US"/>
        </w:rPr>
        <w:t>s</w:t>
      </w:r>
      <w:r w:rsidR="00A773C5">
        <w:rPr>
          <w:lang w:val="en-US"/>
        </w:rPr>
        <w:t xml:space="preserve">tandard and </w:t>
      </w:r>
      <w:r w:rsidR="00826A3F">
        <w:rPr>
          <w:lang w:val="en-US"/>
        </w:rPr>
        <w:t>s</w:t>
      </w:r>
      <w:r w:rsidR="002B73F1">
        <w:rPr>
          <w:lang w:val="en-US"/>
        </w:rPr>
        <w:t xml:space="preserve">ize as independent variables. </w:t>
      </w:r>
      <w:r w:rsidR="008F52AA">
        <w:rPr>
          <w:lang w:val="en-US"/>
        </w:rPr>
        <w:t>The average</w:t>
      </w:r>
      <w:r w:rsidR="00826A3F">
        <w:rPr>
          <w:lang w:val="en-US"/>
        </w:rPr>
        <w:t xml:space="preserve"> </w:t>
      </w:r>
      <w:r w:rsidR="00F36DB2">
        <w:rPr>
          <w:lang w:val="en-US"/>
        </w:rPr>
        <w:t>absolute</w:t>
      </w:r>
      <w:r w:rsidR="008F52AA">
        <w:rPr>
          <w:lang w:val="en-US"/>
        </w:rPr>
        <w:t xml:space="preserve"> value of the variables cash flow from operations, cost of goods sold, change in </w:t>
      </w:r>
      <w:r w:rsidR="00826A3F">
        <w:rPr>
          <w:lang w:val="en-US"/>
        </w:rPr>
        <w:t>inventory and production costs is used as dependent variable.</w:t>
      </w:r>
    </w:p>
    <w:p w:rsidR="003B2EF1" w:rsidRDefault="003B2EF1" w:rsidP="00C149EE">
      <w:pPr>
        <w:spacing w:line="360" w:lineRule="auto"/>
        <w:rPr>
          <w:lang w:val="en-US"/>
        </w:rPr>
      </w:pPr>
      <w:r>
        <w:rPr>
          <w:lang w:val="en-US"/>
        </w:rPr>
        <w:lastRenderedPageBreak/>
        <w:t xml:space="preserve">The sample </w:t>
      </w:r>
      <w:r w:rsidR="00F36DB2">
        <w:rPr>
          <w:lang w:val="en-US"/>
        </w:rPr>
        <w:t>is</w:t>
      </w:r>
      <w:r>
        <w:rPr>
          <w:lang w:val="en-US"/>
        </w:rPr>
        <w:t xml:space="preserve"> first </w:t>
      </w:r>
      <w:r w:rsidR="00D0589F">
        <w:rPr>
          <w:lang w:val="en-US"/>
        </w:rPr>
        <w:t>investigated</w:t>
      </w:r>
      <w:r>
        <w:rPr>
          <w:lang w:val="en-US"/>
        </w:rPr>
        <w:t xml:space="preserve"> on outliers, which resulted in the e</w:t>
      </w:r>
      <w:r w:rsidR="00984AB0">
        <w:rPr>
          <w:lang w:val="en-US"/>
        </w:rPr>
        <w:t>limination of 11 company-years a</w:t>
      </w:r>
      <w:r>
        <w:rPr>
          <w:lang w:val="en-US"/>
        </w:rPr>
        <w:t>n</w:t>
      </w:r>
      <w:r w:rsidR="00984AB0">
        <w:rPr>
          <w:lang w:val="en-US"/>
        </w:rPr>
        <w:t>d</w:t>
      </w:r>
      <w:r>
        <w:rPr>
          <w:lang w:val="en-US"/>
        </w:rPr>
        <w:t xml:space="preserve"> decreases the number of company-years in the dataset to 529. The table Correlations shows low correlations between the variables by which is concluded that no multicollinearity</w:t>
      </w:r>
      <w:r w:rsidR="00D0589F">
        <w:rPr>
          <w:lang w:val="en-US"/>
        </w:rPr>
        <w:t xml:space="preserve"> exists</w:t>
      </w:r>
      <w:r>
        <w:rPr>
          <w:lang w:val="en-US"/>
        </w:rPr>
        <w:t xml:space="preserve">. When the dataset is </w:t>
      </w:r>
      <w:r w:rsidR="00D0589F">
        <w:rPr>
          <w:lang w:val="en-US"/>
        </w:rPr>
        <w:t>investigated</w:t>
      </w:r>
      <w:r>
        <w:rPr>
          <w:lang w:val="en-US"/>
        </w:rPr>
        <w:t xml:space="preserve"> on normal distribution, </w:t>
      </w:r>
      <w:r w:rsidR="00AF73F6">
        <w:rPr>
          <w:lang w:val="en-US"/>
        </w:rPr>
        <w:t>the distribution is not entirely normally but a bit skewed</w:t>
      </w:r>
      <w:r w:rsidR="00826A3F">
        <w:rPr>
          <w:lang w:val="en-US"/>
        </w:rPr>
        <w:t>,</w:t>
      </w:r>
      <w:r w:rsidR="00826A3F" w:rsidRPr="00826A3F">
        <w:rPr>
          <w:lang w:val="en-US"/>
        </w:rPr>
        <w:t xml:space="preserve"> </w:t>
      </w:r>
      <w:r w:rsidR="00826A3F">
        <w:rPr>
          <w:lang w:val="en-US"/>
        </w:rPr>
        <w:t>like previous tests</w:t>
      </w:r>
      <w:r w:rsidR="00AF73F6">
        <w:rPr>
          <w:lang w:val="en-US"/>
        </w:rPr>
        <w:t xml:space="preserve">. </w:t>
      </w:r>
      <w:r w:rsidR="00984AB0">
        <w:rPr>
          <w:lang w:val="en-US"/>
        </w:rPr>
        <w:t xml:space="preserve">As </w:t>
      </w:r>
      <w:r w:rsidR="009A0A45">
        <w:rPr>
          <w:lang w:val="en-US"/>
        </w:rPr>
        <w:t>in addition</w:t>
      </w:r>
      <w:r w:rsidR="00984AB0">
        <w:rPr>
          <w:lang w:val="en-US"/>
        </w:rPr>
        <w:t xml:space="preserve"> concluded with the previous regression, this skewness could have its </w:t>
      </w:r>
      <w:r w:rsidR="00826A3F">
        <w:rPr>
          <w:lang w:val="en-US"/>
        </w:rPr>
        <w:t>influence</w:t>
      </w:r>
      <w:r w:rsidR="00984AB0">
        <w:rPr>
          <w:lang w:val="en-US"/>
        </w:rPr>
        <w:t xml:space="preserve"> on the results of the regression. </w:t>
      </w:r>
      <w:r w:rsidR="00CA1AD3">
        <w:rPr>
          <w:lang w:val="en-US"/>
        </w:rPr>
        <w:t xml:space="preserve">The table Correlations and the histogram on normal distribution </w:t>
      </w:r>
      <w:r w:rsidR="00D0589F">
        <w:rPr>
          <w:lang w:val="en-US"/>
        </w:rPr>
        <w:t>are available</w:t>
      </w:r>
      <w:r w:rsidR="00CA1AD3">
        <w:rPr>
          <w:lang w:val="en-US"/>
        </w:rPr>
        <w:t xml:space="preserve"> </w:t>
      </w:r>
      <w:r w:rsidR="00CA1AD3" w:rsidRPr="007E015C">
        <w:rPr>
          <w:lang w:val="en-US"/>
        </w:rPr>
        <w:t>in appendix 3</w:t>
      </w:r>
      <w:r w:rsidR="00D0589F">
        <w:rPr>
          <w:lang w:val="en-US"/>
        </w:rPr>
        <w:t xml:space="preserve">. </w:t>
      </w:r>
    </w:p>
    <w:p w:rsidR="00AF73F6" w:rsidRDefault="00D0589F" w:rsidP="00C149EE">
      <w:pPr>
        <w:spacing w:line="360" w:lineRule="auto"/>
        <w:rPr>
          <w:lang w:val="en-US"/>
        </w:rPr>
      </w:pPr>
      <w:r>
        <w:rPr>
          <w:lang w:val="en-US"/>
        </w:rPr>
        <w:t>Before</w:t>
      </w:r>
      <w:r w:rsidR="00AF73F6">
        <w:rPr>
          <w:lang w:val="en-US"/>
        </w:rPr>
        <w:t xml:space="preserve"> the dataset has been analyzed on whether it meets the </w:t>
      </w:r>
      <w:r w:rsidR="00984AB0">
        <w:rPr>
          <w:lang w:val="en-US"/>
        </w:rPr>
        <w:t>assumptions</w:t>
      </w:r>
      <w:r w:rsidR="00AF73F6">
        <w:rPr>
          <w:lang w:val="en-US"/>
        </w:rPr>
        <w:t xml:space="preserve">, it is time to </w:t>
      </w:r>
      <w:r>
        <w:rPr>
          <w:lang w:val="en-US"/>
        </w:rPr>
        <w:t>investigate</w:t>
      </w:r>
      <w:r w:rsidR="00AF73F6">
        <w:rPr>
          <w:lang w:val="en-US"/>
        </w:rPr>
        <w:t xml:space="preserve"> the strength and</w:t>
      </w:r>
      <w:r>
        <w:rPr>
          <w:lang w:val="en-US"/>
        </w:rPr>
        <w:t xml:space="preserve"> the</w:t>
      </w:r>
      <w:r w:rsidR="00AF73F6">
        <w:rPr>
          <w:lang w:val="en-US"/>
        </w:rPr>
        <w:t xml:space="preserve"> significance of the model and</w:t>
      </w:r>
      <w:r w:rsidR="00984AB0">
        <w:rPr>
          <w:lang w:val="en-US"/>
        </w:rPr>
        <w:t xml:space="preserve"> the</w:t>
      </w:r>
      <w:r w:rsidR="00AF73F6">
        <w:rPr>
          <w:lang w:val="en-US"/>
        </w:rPr>
        <w:t xml:space="preserve"> test. </w:t>
      </w:r>
      <w:r w:rsidR="00CA1AD3">
        <w:rPr>
          <w:lang w:val="en-US"/>
        </w:rPr>
        <w:t xml:space="preserve">The </w:t>
      </w:r>
      <w:r w:rsidR="00826A3F">
        <w:rPr>
          <w:lang w:val="en-US"/>
        </w:rPr>
        <w:t>Adjusted R Square in</w:t>
      </w:r>
      <w:r w:rsidR="00CA1AD3">
        <w:rPr>
          <w:lang w:val="en-US"/>
        </w:rPr>
        <w:t xml:space="preserve"> the Model Summary shows a value of 0.00</w:t>
      </w:r>
      <w:r w:rsidR="00781154">
        <w:rPr>
          <w:lang w:val="en-US"/>
        </w:rPr>
        <w:t>0</w:t>
      </w:r>
      <w:r w:rsidR="00CA1AD3">
        <w:rPr>
          <w:lang w:val="en-US"/>
        </w:rPr>
        <w:t xml:space="preserve"> indicating that no explanatory power of the variance of real earnin</w:t>
      </w:r>
      <w:r w:rsidR="00984AB0">
        <w:rPr>
          <w:lang w:val="en-US"/>
        </w:rPr>
        <w:t>gs management</w:t>
      </w:r>
      <w:r>
        <w:rPr>
          <w:lang w:val="en-US"/>
        </w:rPr>
        <w:t xml:space="preserve"> exists</w:t>
      </w:r>
      <w:r w:rsidR="00984AB0">
        <w:rPr>
          <w:lang w:val="en-US"/>
        </w:rPr>
        <w:t xml:space="preserve"> by the independent variables.</w:t>
      </w:r>
      <w:r w:rsidR="00CA1AD3">
        <w:rPr>
          <w:lang w:val="en-US"/>
        </w:rPr>
        <w:t xml:space="preserve"> </w:t>
      </w:r>
    </w:p>
    <w:tbl>
      <w:tblPr>
        <w:tblW w:w="64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4"/>
        <w:gridCol w:w="1119"/>
        <w:gridCol w:w="1193"/>
        <w:gridCol w:w="1612"/>
        <w:gridCol w:w="1612"/>
      </w:tblGrid>
      <w:tr w:rsidR="001A0D29" w:rsidRPr="003B2EF1" w:rsidTr="00CA1AD3">
        <w:tc>
          <w:tcPr>
            <w:tcW w:w="6410" w:type="dxa"/>
            <w:gridSpan w:val="5"/>
            <w:tcBorders>
              <w:top w:val="nil"/>
              <w:left w:val="nil"/>
              <w:bottom w:val="nil"/>
              <w:right w:val="nil"/>
            </w:tcBorders>
            <w:shd w:val="clear" w:color="auto" w:fill="FFFFFF"/>
            <w:vAlign w:val="center"/>
          </w:tcPr>
          <w:p w:rsidR="001A0D29" w:rsidRPr="003B2EF1" w:rsidRDefault="001A0D29" w:rsidP="00131C52">
            <w:pPr>
              <w:autoSpaceDE w:val="0"/>
              <w:autoSpaceDN w:val="0"/>
              <w:adjustRightInd w:val="0"/>
              <w:spacing w:after="0" w:line="320" w:lineRule="atLeast"/>
              <w:ind w:left="60" w:right="60"/>
              <w:jc w:val="center"/>
              <w:rPr>
                <w:rFonts w:ascii="Arial" w:hAnsi="Arial"/>
                <w:color w:val="000000"/>
                <w:sz w:val="18"/>
                <w:szCs w:val="18"/>
                <w:lang w:val="en-US"/>
              </w:rPr>
            </w:pPr>
            <w:r w:rsidRPr="003B2EF1">
              <w:rPr>
                <w:rFonts w:ascii="Arial" w:hAnsi="Arial"/>
                <w:b/>
                <w:bCs/>
                <w:color w:val="000000"/>
                <w:sz w:val="18"/>
                <w:szCs w:val="18"/>
                <w:lang w:val="en-US"/>
              </w:rPr>
              <w:t>Model Summary</w:t>
            </w:r>
            <w:r w:rsidRPr="003B2EF1">
              <w:rPr>
                <w:rFonts w:ascii="Arial" w:hAnsi="Arial"/>
                <w:b/>
                <w:bCs/>
                <w:color w:val="000000"/>
                <w:sz w:val="18"/>
                <w:szCs w:val="18"/>
                <w:vertAlign w:val="superscript"/>
                <w:lang w:val="en-US"/>
              </w:rPr>
              <w:t>b</w:t>
            </w:r>
          </w:p>
        </w:tc>
      </w:tr>
      <w:tr w:rsidR="001A0D29" w:rsidRPr="0013388B" w:rsidTr="00CA1AD3">
        <w:tc>
          <w:tcPr>
            <w:tcW w:w="874"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A0D29" w:rsidRPr="003B2EF1" w:rsidRDefault="001A0D29" w:rsidP="00131C52">
            <w:pPr>
              <w:autoSpaceDE w:val="0"/>
              <w:autoSpaceDN w:val="0"/>
              <w:adjustRightInd w:val="0"/>
              <w:spacing w:after="0" w:line="320" w:lineRule="atLeast"/>
              <w:ind w:left="60" w:right="60"/>
              <w:rPr>
                <w:rFonts w:ascii="Arial" w:hAnsi="Arial"/>
                <w:color w:val="000000"/>
                <w:sz w:val="18"/>
                <w:szCs w:val="18"/>
                <w:lang w:val="en-US"/>
              </w:rPr>
            </w:pPr>
            <w:r w:rsidRPr="003B2EF1">
              <w:rPr>
                <w:rFonts w:ascii="Arial" w:hAnsi="Arial"/>
                <w:color w:val="000000"/>
                <w:sz w:val="18"/>
                <w:szCs w:val="18"/>
                <w:lang w:val="en-US"/>
              </w:rPr>
              <w:t>Model</w:t>
            </w:r>
          </w:p>
        </w:tc>
        <w:tc>
          <w:tcPr>
            <w:tcW w:w="1119" w:type="dxa"/>
            <w:tcBorders>
              <w:top w:val="single" w:sz="16" w:space="0" w:color="000000"/>
              <w:left w:val="single" w:sz="16" w:space="0" w:color="000000"/>
              <w:bottom w:val="single" w:sz="16" w:space="0" w:color="000000"/>
            </w:tcBorders>
            <w:shd w:val="clear" w:color="auto" w:fill="FFFFFF"/>
            <w:vAlign w:val="bottom"/>
          </w:tcPr>
          <w:p w:rsidR="001A0D29" w:rsidRPr="003B2EF1" w:rsidRDefault="001A0D29" w:rsidP="00131C52">
            <w:pPr>
              <w:autoSpaceDE w:val="0"/>
              <w:autoSpaceDN w:val="0"/>
              <w:adjustRightInd w:val="0"/>
              <w:spacing w:after="0" w:line="320" w:lineRule="atLeast"/>
              <w:ind w:left="60" w:right="60"/>
              <w:jc w:val="center"/>
              <w:rPr>
                <w:rFonts w:ascii="Arial" w:hAnsi="Arial"/>
                <w:color w:val="000000"/>
                <w:sz w:val="18"/>
                <w:szCs w:val="18"/>
                <w:lang w:val="en-US"/>
              </w:rPr>
            </w:pPr>
            <w:r w:rsidRPr="003B2EF1">
              <w:rPr>
                <w:rFonts w:ascii="Arial" w:hAnsi="Arial"/>
                <w:color w:val="000000"/>
                <w:sz w:val="18"/>
                <w:szCs w:val="18"/>
                <w:lang w:val="en-US"/>
              </w:rPr>
              <w:t>R</w:t>
            </w:r>
          </w:p>
        </w:tc>
        <w:tc>
          <w:tcPr>
            <w:tcW w:w="1193" w:type="dxa"/>
            <w:tcBorders>
              <w:top w:val="single" w:sz="16" w:space="0" w:color="000000"/>
              <w:bottom w:val="single" w:sz="16" w:space="0" w:color="000000"/>
            </w:tcBorders>
            <w:shd w:val="clear" w:color="auto" w:fill="FFFFFF"/>
            <w:vAlign w:val="bottom"/>
          </w:tcPr>
          <w:p w:rsidR="001A0D29" w:rsidRPr="003B2EF1" w:rsidRDefault="001A0D29" w:rsidP="00131C52">
            <w:pPr>
              <w:autoSpaceDE w:val="0"/>
              <w:autoSpaceDN w:val="0"/>
              <w:adjustRightInd w:val="0"/>
              <w:spacing w:after="0" w:line="320" w:lineRule="atLeast"/>
              <w:ind w:left="60" w:right="60"/>
              <w:jc w:val="center"/>
              <w:rPr>
                <w:rFonts w:ascii="Arial" w:hAnsi="Arial"/>
                <w:color w:val="000000"/>
                <w:sz w:val="18"/>
                <w:szCs w:val="18"/>
                <w:lang w:val="en-US"/>
              </w:rPr>
            </w:pPr>
            <w:r w:rsidRPr="003B2EF1">
              <w:rPr>
                <w:rFonts w:ascii="Arial" w:hAnsi="Arial"/>
                <w:color w:val="000000"/>
                <w:sz w:val="18"/>
                <w:szCs w:val="18"/>
                <w:lang w:val="en-US"/>
              </w:rPr>
              <w:t>R Square</w:t>
            </w:r>
          </w:p>
        </w:tc>
        <w:tc>
          <w:tcPr>
            <w:tcW w:w="1612" w:type="dxa"/>
            <w:tcBorders>
              <w:top w:val="single" w:sz="16" w:space="0" w:color="000000"/>
              <w:bottom w:val="single" w:sz="16" w:space="0" w:color="000000"/>
            </w:tcBorders>
            <w:shd w:val="clear" w:color="auto" w:fill="FFFFFF"/>
            <w:vAlign w:val="bottom"/>
          </w:tcPr>
          <w:p w:rsidR="001A0D29" w:rsidRPr="003B2EF1" w:rsidRDefault="001A0D29" w:rsidP="00131C52">
            <w:pPr>
              <w:autoSpaceDE w:val="0"/>
              <w:autoSpaceDN w:val="0"/>
              <w:adjustRightInd w:val="0"/>
              <w:spacing w:after="0" w:line="320" w:lineRule="atLeast"/>
              <w:ind w:left="60" w:right="60"/>
              <w:jc w:val="center"/>
              <w:rPr>
                <w:rFonts w:ascii="Arial" w:hAnsi="Arial"/>
                <w:color w:val="000000"/>
                <w:sz w:val="18"/>
                <w:szCs w:val="18"/>
                <w:lang w:val="en-US"/>
              </w:rPr>
            </w:pPr>
            <w:r w:rsidRPr="003B2EF1">
              <w:rPr>
                <w:rFonts w:ascii="Arial" w:hAnsi="Arial"/>
                <w:color w:val="000000"/>
                <w:sz w:val="18"/>
                <w:szCs w:val="18"/>
                <w:lang w:val="en-US"/>
              </w:rPr>
              <w:t>Adjusted R Square</w:t>
            </w:r>
          </w:p>
        </w:tc>
        <w:tc>
          <w:tcPr>
            <w:tcW w:w="1612" w:type="dxa"/>
            <w:tcBorders>
              <w:top w:val="single" w:sz="16" w:space="0" w:color="000000"/>
              <w:bottom w:val="single" w:sz="16" w:space="0" w:color="000000"/>
              <w:right w:val="single" w:sz="16" w:space="0" w:color="000000"/>
            </w:tcBorders>
            <w:shd w:val="clear" w:color="auto" w:fill="FFFFFF"/>
            <w:vAlign w:val="bottom"/>
          </w:tcPr>
          <w:p w:rsidR="001A0D29" w:rsidRPr="001A0D29" w:rsidRDefault="001A0D29" w:rsidP="00131C52">
            <w:pPr>
              <w:autoSpaceDE w:val="0"/>
              <w:autoSpaceDN w:val="0"/>
              <w:adjustRightInd w:val="0"/>
              <w:spacing w:after="0" w:line="320" w:lineRule="atLeast"/>
              <w:ind w:left="60" w:right="60"/>
              <w:jc w:val="center"/>
              <w:rPr>
                <w:rFonts w:ascii="Arial" w:hAnsi="Arial"/>
                <w:color w:val="000000"/>
                <w:sz w:val="18"/>
                <w:szCs w:val="18"/>
                <w:lang w:val="en-US"/>
              </w:rPr>
            </w:pPr>
            <w:r w:rsidRPr="001A0D29">
              <w:rPr>
                <w:rFonts w:ascii="Arial" w:hAnsi="Arial"/>
                <w:color w:val="000000"/>
                <w:sz w:val="18"/>
                <w:szCs w:val="18"/>
                <w:lang w:val="en-US"/>
              </w:rPr>
              <w:t>Std. Error of the Estimate</w:t>
            </w:r>
          </w:p>
        </w:tc>
      </w:tr>
      <w:tr w:rsidR="001A0D29" w:rsidRPr="000D3EB5" w:rsidTr="00CA1AD3">
        <w:tc>
          <w:tcPr>
            <w:tcW w:w="874" w:type="dxa"/>
            <w:tcBorders>
              <w:top w:val="single" w:sz="16" w:space="0" w:color="000000"/>
              <w:left w:val="single" w:sz="16" w:space="0" w:color="000000"/>
              <w:bottom w:val="single" w:sz="16" w:space="0" w:color="000000"/>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19" w:type="dxa"/>
            <w:tcBorders>
              <w:top w:val="single" w:sz="16" w:space="0" w:color="000000"/>
              <w:left w:val="single" w:sz="16" w:space="0" w:color="000000"/>
              <w:bottom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.074</w:t>
            </w:r>
            <w:r w:rsidRPr="000D3EB5">
              <w:rPr>
                <w:rFonts w:ascii="Arial" w:hAnsi="Arial"/>
                <w:color w:val="000000"/>
                <w:sz w:val="18"/>
                <w:szCs w:val="18"/>
                <w:vertAlign w:val="superscript"/>
              </w:rPr>
              <w:t>a</w:t>
            </w:r>
          </w:p>
        </w:tc>
        <w:tc>
          <w:tcPr>
            <w:tcW w:w="1193" w:type="dxa"/>
            <w:tcBorders>
              <w:top w:val="single" w:sz="16" w:space="0" w:color="000000"/>
              <w:bottom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.005</w:t>
            </w:r>
          </w:p>
        </w:tc>
        <w:tc>
          <w:tcPr>
            <w:tcW w:w="1612" w:type="dxa"/>
            <w:tcBorders>
              <w:top w:val="single" w:sz="16" w:space="0" w:color="000000"/>
              <w:bottom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612" w:type="dxa"/>
            <w:tcBorders>
              <w:top w:val="single" w:sz="16" w:space="0" w:color="000000"/>
              <w:bottom w:val="single" w:sz="16" w:space="0" w:color="000000"/>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.05538</w:t>
            </w:r>
          </w:p>
        </w:tc>
      </w:tr>
      <w:tr w:rsidR="001A0D29" w:rsidRPr="0013388B" w:rsidTr="00CA1AD3">
        <w:tc>
          <w:tcPr>
            <w:tcW w:w="6410" w:type="dxa"/>
            <w:gridSpan w:val="5"/>
            <w:tcBorders>
              <w:top w:val="nil"/>
              <w:left w:val="nil"/>
              <w:bottom w:val="nil"/>
              <w:right w:val="nil"/>
            </w:tcBorders>
            <w:shd w:val="clear" w:color="auto" w:fill="FFFFFF"/>
          </w:tcPr>
          <w:p w:rsidR="001A0D29" w:rsidRPr="001A0D29" w:rsidRDefault="001A0D29" w:rsidP="00131C52">
            <w:pPr>
              <w:autoSpaceDE w:val="0"/>
              <w:autoSpaceDN w:val="0"/>
              <w:adjustRightInd w:val="0"/>
              <w:spacing w:after="0" w:line="320" w:lineRule="atLeast"/>
              <w:ind w:left="60" w:right="60"/>
              <w:rPr>
                <w:rFonts w:ascii="Arial" w:hAnsi="Arial"/>
                <w:color w:val="000000"/>
                <w:sz w:val="18"/>
                <w:szCs w:val="18"/>
                <w:lang w:val="en-US"/>
              </w:rPr>
            </w:pPr>
            <w:r w:rsidRPr="001A0D29">
              <w:rPr>
                <w:rFonts w:ascii="Arial" w:hAnsi="Arial"/>
                <w:color w:val="000000"/>
                <w:sz w:val="18"/>
                <w:szCs w:val="18"/>
                <w:lang w:val="en-US"/>
              </w:rPr>
              <w:t>a. Predictors: (Constant), Country, Accounting Standard, Size</w:t>
            </w:r>
          </w:p>
          <w:p w:rsidR="00984AB0" w:rsidRDefault="001A0D29" w:rsidP="00984AB0">
            <w:pPr>
              <w:autoSpaceDE w:val="0"/>
              <w:autoSpaceDN w:val="0"/>
              <w:adjustRightInd w:val="0"/>
              <w:spacing w:after="0" w:line="320" w:lineRule="atLeast"/>
              <w:ind w:left="60" w:right="60"/>
              <w:rPr>
                <w:rFonts w:ascii="Arial" w:hAnsi="Arial"/>
                <w:color w:val="000000"/>
                <w:sz w:val="18"/>
                <w:szCs w:val="18"/>
                <w:lang w:val="en-US"/>
              </w:rPr>
            </w:pPr>
            <w:r w:rsidRPr="001A0D29">
              <w:rPr>
                <w:rFonts w:ascii="Arial" w:hAnsi="Arial"/>
                <w:color w:val="000000"/>
                <w:sz w:val="18"/>
                <w:szCs w:val="18"/>
                <w:lang w:val="en-US"/>
              </w:rPr>
              <w:t>b. Dependent Var</w:t>
            </w:r>
            <w:r w:rsidR="00984AB0">
              <w:rPr>
                <w:rFonts w:ascii="Arial" w:hAnsi="Arial"/>
                <w:color w:val="000000"/>
                <w:sz w:val="18"/>
                <w:szCs w:val="18"/>
                <w:lang w:val="en-US"/>
              </w:rPr>
              <w:t>iable: Real Earnings Management</w:t>
            </w:r>
          </w:p>
          <w:p w:rsidR="00984AB0" w:rsidRPr="001A0D29" w:rsidRDefault="00984AB0" w:rsidP="00984AB0">
            <w:pPr>
              <w:autoSpaceDE w:val="0"/>
              <w:autoSpaceDN w:val="0"/>
              <w:adjustRightInd w:val="0"/>
              <w:spacing w:after="0" w:line="320" w:lineRule="atLeast"/>
              <w:ind w:left="60" w:right="60"/>
              <w:rPr>
                <w:rFonts w:ascii="Arial" w:hAnsi="Arial"/>
                <w:color w:val="000000"/>
                <w:sz w:val="18"/>
                <w:szCs w:val="18"/>
                <w:lang w:val="en-US"/>
              </w:rPr>
            </w:pPr>
          </w:p>
        </w:tc>
      </w:tr>
    </w:tbl>
    <w:p w:rsidR="001A0D29" w:rsidRDefault="00CA1AD3" w:rsidP="00C149EE">
      <w:pPr>
        <w:spacing w:line="360" w:lineRule="auto"/>
        <w:rPr>
          <w:lang w:val="en-US"/>
        </w:rPr>
      </w:pPr>
      <w:r>
        <w:rPr>
          <w:lang w:val="en-US"/>
        </w:rPr>
        <w:t>This inability in explaining the variance of real earnings m</w:t>
      </w:r>
      <w:r w:rsidR="00984AB0">
        <w:rPr>
          <w:lang w:val="en-US"/>
        </w:rPr>
        <w:t xml:space="preserve">anagement is strengthened by the </w:t>
      </w:r>
      <w:r>
        <w:rPr>
          <w:lang w:val="en-US"/>
        </w:rPr>
        <w:t>not</w:t>
      </w:r>
      <w:r w:rsidR="00984AB0">
        <w:rPr>
          <w:lang w:val="en-US"/>
        </w:rPr>
        <w:t>-s</w:t>
      </w:r>
      <w:r>
        <w:rPr>
          <w:lang w:val="en-US"/>
        </w:rPr>
        <w:t>ignifican</w:t>
      </w:r>
      <w:r w:rsidR="00984AB0">
        <w:rPr>
          <w:lang w:val="en-US"/>
        </w:rPr>
        <w:t>ce</w:t>
      </w:r>
      <w:r>
        <w:rPr>
          <w:lang w:val="en-US"/>
        </w:rPr>
        <w:t xml:space="preserve"> of the model. </w:t>
      </w:r>
      <w:r w:rsidR="009945BE">
        <w:rPr>
          <w:lang w:val="en-US"/>
        </w:rPr>
        <w:t>A possible explanation for the model</w:t>
      </w:r>
      <w:r w:rsidR="00D0589F">
        <w:rPr>
          <w:lang w:val="en-US"/>
        </w:rPr>
        <w:t xml:space="preserve"> not</w:t>
      </w:r>
      <w:r w:rsidR="009945BE">
        <w:rPr>
          <w:lang w:val="en-US"/>
        </w:rPr>
        <w:t xml:space="preserve"> to be significant is that the average value of </w:t>
      </w:r>
      <w:r w:rsidR="00D0589F">
        <w:rPr>
          <w:lang w:val="en-US"/>
        </w:rPr>
        <w:t xml:space="preserve">the </w:t>
      </w:r>
      <w:r w:rsidR="009945BE">
        <w:rPr>
          <w:lang w:val="en-US"/>
        </w:rPr>
        <w:t xml:space="preserve">negative and </w:t>
      </w:r>
      <w:r w:rsidR="00D0589F">
        <w:rPr>
          <w:lang w:val="en-US"/>
        </w:rPr>
        <w:t xml:space="preserve">the </w:t>
      </w:r>
      <w:r w:rsidR="009945BE">
        <w:rPr>
          <w:lang w:val="en-US"/>
        </w:rPr>
        <w:t xml:space="preserve">positive values has been used which could </w:t>
      </w:r>
      <w:r w:rsidR="00D0589F">
        <w:rPr>
          <w:lang w:val="en-US"/>
        </w:rPr>
        <w:t>create</w:t>
      </w:r>
      <w:r w:rsidR="009945BE">
        <w:rPr>
          <w:lang w:val="en-US"/>
        </w:rPr>
        <w:t xml:space="preserve"> </w:t>
      </w:r>
      <w:r w:rsidR="009945BE" w:rsidRPr="00781154">
        <w:rPr>
          <w:lang w:val="en-US"/>
        </w:rPr>
        <w:t>zero-bias.</w:t>
      </w:r>
      <w:r w:rsidR="009945BE">
        <w:rPr>
          <w:lang w:val="en-US"/>
        </w:rPr>
        <w:t xml:space="preserve"> </w:t>
      </w:r>
    </w:p>
    <w:tbl>
      <w:tblPr>
        <w:tblW w:w="87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6"/>
        <w:gridCol w:w="1409"/>
        <w:gridCol w:w="1611"/>
        <w:gridCol w:w="1117"/>
        <w:gridCol w:w="1547"/>
        <w:gridCol w:w="1119"/>
        <w:gridCol w:w="1119"/>
      </w:tblGrid>
      <w:tr w:rsidR="001A0D29" w:rsidRPr="000D3EB5" w:rsidTr="00131C52">
        <w:tc>
          <w:tcPr>
            <w:tcW w:w="8728" w:type="dxa"/>
            <w:gridSpan w:val="7"/>
            <w:tcBorders>
              <w:top w:val="nil"/>
              <w:left w:val="nil"/>
              <w:bottom w:val="nil"/>
              <w:right w:val="nil"/>
            </w:tcBorders>
            <w:shd w:val="clear" w:color="auto" w:fill="FFFFFF"/>
            <w:vAlign w:val="center"/>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ANOVA</w:t>
            </w:r>
            <w:r w:rsidRPr="000D3EB5">
              <w:rPr>
                <w:rFonts w:ascii="Arial" w:hAnsi="Arial"/>
                <w:b/>
                <w:bCs/>
                <w:color w:val="000000"/>
                <w:sz w:val="18"/>
                <w:szCs w:val="18"/>
                <w:vertAlign w:val="superscript"/>
              </w:rPr>
              <w:t>b</w:t>
            </w:r>
          </w:p>
        </w:tc>
      </w:tr>
      <w:tr w:rsidR="001A0D29" w:rsidRPr="000D3EB5" w:rsidTr="00131C52">
        <w:tc>
          <w:tcPr>
            <w:tcW w:w="221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Sum of Squares</w:t>
            </w:r>
          </w:p>
        </w:tc>
        <w:tc>
          <w:tcPr>
            <w:tcW w:w="1117" w:type="dxa"/>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df</w:t>
            </w:r>
          </w:p>
        </w:tc>
        <w:tc>
          <w:tcPr>
            <w:tcW w:w="1547" w:type="dxa"/>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 Square</w:t>
            </w:r>
          </w:p>
        </w:tc>
        <w:tc>
          <w:tcPr>
            <w:tcW w:w="1119" w:type="dxa"/>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F</w:t>
            </w:r>
          </w:p>
        </w:tc>
        <w:tc>
          <w:tcPr>
            <w:tcW w:w="1119" w:type="dxa"/>
            <w:tcBorders>
              <w:top w:val="single" w:sz="16" w:space="0" w:color="000000"/>
              <w:bottom w:val="single" w:sz="16" w:space="0" w:color="000000"/>
              <w:right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r>
      <w:tr w:rsidR="001A0D29" w:rsidRPr="000D3EB5" w:rsidTr="00131C52">
        <w:tc>
          <w:tcPr>
            <w:tcW w:w="806" w:type="dxa"/>
            <w:vMerge w:val="restart"/>
            <w:tcBorders>
              <w:top w:val="single" w:sz="16" w:space="0" w:color="000000"/>
              <w:left w:val="single" w:sz="16" w:space="0" w:color="000000"/>
              <w:bottom w:val="single" w:sz="16" w:space="0" w:color="000000"/>
              <w:right w:val="nil"/>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409" w:type="dxa"/>
            <w:tcBorders>
              <w:top w:val="single" w:sz="16" w:space="0" w:color="000000"/>
              <w:left w:val="nil"/>
              <w:bottom w:val="nil"/>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Regression</w:t>
            </w:r>
          </w:p>
        </w:tc>
        <w:tc>
          <w:tcPr>
            <w:tcW w:w="1611" w:type="dxa"/>
            <w:tcBorders>
              <w:top w:val="single" w:sz="16" w:space="0" w:color="000000"/>
              <w:left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117" w:type="dxa"/>
            <w:tcBorders>
              <w:top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w:t>
            </w:r>
          </w:p>
        </w:tc>
        <w:tc>
          <w:tcPr>
            <w:tcW w:w="1547" w:type="dxa"/>
            <w:tcBorders>
              <w:top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.003</w:t>
            </w:r>
          </w:p>
        </w:tc>
        <w:tc>
          <w:tcPr>
            <w:tcW w:w="1119" w:type="dxa"/>
            <w:tcBorders>
              <w:top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.961</w:t>
            </w:r>
          </w:p>
        </w:tc>
        <w:tc>
          <w:tcPr>
            <w:tcW w:w="1119" w:type="dxa"/>
            <w:tcBorders>
              <w:top w:val="single" w:sz="16" w:space="0" w:color="000000"/>
              <w:bottom w:val="nil"/>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.411</w:t>
            </w:r>
            <w:r w:rsidRPr="000D3EB5">
              <w:rPr>
                <w:rFonts w:ascii="Arial" w:hAnsi="Arial"/>
                <w:color w:val="000000"/>
                <w:sz w:val="18"/>
                <w:szCs w:val="18"/>
                <w:vertAlign w:val="superscript"/>
              </w:rPr>
              <w:t>a</w:t>
            </w:r>
          </w:p>
        </w:tc>
      </w:tr>
      <w:tr w:rsidR="001A0D29" w:rsidRPr="000D3EB5" w:rsidTr="00131C52">
        <w:tc>
          <w:tcPr>
            <w:tcW w:w="806" w:type="dxa"/>
            <w:vMerge/>
            <w:tcBorders>
              <w:top w:val="single" w:sz="16" w:space="0" w:color="000000"/>
              <w:left w:val="single" w:sz="16" w:space="0" w:color="000000"/>
              <w:bottom w:val="single" w:sz="16" w:space="0" w:color="000000"/>
              <w:right w:val="nil"/>
            </w:tcBorders>
            <w:shd w:val="clear" w:color="auto" w:fill="FFFFFF"/>
          </w:tcPr>
          <w:p w:rsidR="001A0D29" w:rsidRPr="000D3EB5" w:rsidRDefault="001A0D29" w:rsidP="00131C52">
            <w:pPr>
              <w:autoSpaceDE w:val="0"/>
              <w:autoSpaceDN w:val="0"/>
              <w:adjustRightInd w:val="0"/>
              <w:spacing w:after="0" w:line="240" w:lineRule="auto"/>
              <w:rPr>
                <w:rFonts w:ascii="Arial" w:hAnsi="Arial"/>
                <w:color w:val="000000"/>
                <w:sz w:val="18"/>
                <w:szCs w:val="18"/>
              </w:rPr>
            </w:pPr>
          </w:p>
        </w:tc>
        <w:tc>
          <w:tcPr>
            <w:tcW w:w="1409" w:type="dxa"/>
            <w:tcBorders>
              <w:top w:val="nil"/>
              <w:left w:val="nil"/>
              <w:bottom w:val="nil"/>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Residual</w:t>
            </w:r>
          </w:p>
        </w:tc>
        <w:tc>
          <w:tcPr>
            <w:tcW w:w="1611" w:type="dxa"/>
            <w:tcBorders>
              <w:top w:val="nil"/>
              <w:left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1.610</w:t>
            </w:r>
          </w:p>
        </w:tc>
        <w:tc>
          <w:tcPr>
            <w:tcW w:w="1117" w:type="dxa"/>
            <w:tcBorders>
              <w:top w:val="nil"/>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525</w:t>
            </w:r>
          </w:p>
        </w:tc>
        <w:tc>
          <w:tcPr>
            <w:tcW w:w="1547" w:type="dxa"/>
            <w:tcBorders>
              <w:top w:val="nil"/>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.003</w:t>
            </w:r>
          </w:p>
        </w:tc>
        <w:tc>
          <w:tcPr>
            <w:tcW w:w="1119" w:type="dxa"/>
            <w:tcBorders>
              <w:top w:val="nil"/>
              <w:bottom w:val="nil"/>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nil"/>
              <w:right w:val="single" w:sz="16" w:space="0" w:color="000000"/>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r>
      <w:tr w:rsidR="001A0D29" w:rsidRPr="000D3EB5" w:rsidTr="00131C52">
        <w:tc>
          <w:tcPr>
            <w:tcW w:w="806" w:type="dxa"/>
            <w:vMerge/>
            <w:tcBorders>
              <w:top w:val="single" w:sz="16" w:space="0" w:color="000000"/>
              <w:left w:val="single" w:sz="16" w:space="0" w:color="000000"/>
              <w:bottom w:val="single" w:sz="16" w:space="0" w:color="000000"/>
              <w:right w:val="nil"/>
            </w:tcBorders>
            <w:shd w:val="clear" w:color="auto" w:fill="FFFFFF"/>
          </w:tcPr>
          <w:p w:rsidR="001A0D29" w:rsidRPr="000D3EB5" w:rsidRDefault="001A0D29" w:rsidP="00131C52">
            <w:pPr>
              <w:autoSpaceDE w:val="0"/>
              <w:autoSpaceDN w:val="0"/>
              <w:adjustRightInd w:val="0"/>
              <w:spacing w:after="0" w:line="240" w:lineRule="auto"/>
              <w:rPr>
                <w:rFonts w:ascii="Times New Roman" w:hAnsi="Times New Roman" w:cs="Times New Roman"/>
                <w:sz w:val="24"/>
                <w:szCs w:val="24"/>
              </w:rPr>
            </w:pPr>
          </w:p>
        </w:tc>
        <w:tc>
          <w:tcPr>
            <w:tcW w:w="1409" w:type="dxa"/>
            <w:tcBorders>
              <w:top w:val="nil"/>
              <w:left w:val="nil"/>
              <w:bottom w:val="single" w:sz="16" w:space="0" w:color="000000"/>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Total</w:t>
            </w:r>
          </w:p>
        </w:tc>
        <w:tc>
          <w:tcPr>
            <w:tcW w:w="1611" w:type="dxa"/>
            <w:tcBorders>
              <w:top w:val="nil"/>
              <w:left w:val="single" w:sz="16" w:space="0" w:color="000000"/>
              <w:bottom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1.619</w:t>
            </w:r>
          </w:p>
        </w:tc>
        <w:tc>
          <w:tcPr>
            <w:tcW w:w="1117" w:type="dxa"/>
            <w:tcBorders>
              <w:top w:val="nil"/>
              <w:bottom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528</w:t>
            </w:r>
          </w:p>
        </w:tc>
        <w:tc>
          <w:tcPr>
            <w:tcW w:w="1547" w:type="dxa"/>
            <w:tcBorders>
              <w:top w:val="nil"/>
              <w:bottom w:val="single" w:sz="16" w:space="0" w:color="000000"/>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right w:val="single" w:sz="16" w:space="0" w:color="000000"/>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r>
      <w:tr w:rsidR="001A0D29" w:rsidRPr="0013388B" w:rsidTr="00131C52">
        <w:tc>
          <w:tcPr>
            <w:tcW w:w="8728" w:type="dxa"/>
            <w:gridSpan w:val="7"/>
            <w:tcBorders>
              <w:top w:val="nil"/>
              <w:left w:val="nil"/>
              <w:bottom w:val="nil"/>
              <w:right w:val="nil"/>
            </w:tcBorders>
            <w:shd w:val="clear" w:color="auto" w:fill="FFFFFF"/>
          </w:tcPr>
          <w:p w:rsidR="001A0D29" w:rsidRPr="001A0D29" w:rsidRDefault="001A0D29" w:rsidP="00131C52">
            <w:pPr>
              <w:autoSpaceDE w:val="0"/>
              <w:autoSpaceDN w:val="0"/>
              <w:adjustRightInd w:val="0"/>
              <w:spacing w:after="0" w:line="320" w:lineRule="atLeast"/>
              <w:ind w:left="60" w:right="60"/>
              <w:rPr>
                <w:rFonts w:ascii="Arial" w:hAnsi="Arial"/>
                <w:color w:val="000000"/>
                <w:sz w:val="18"/>
                <w:szCs w:val="18"/>
                <w:lang w:val="en-US"/>
              </w:rPr>
            </w:pPr>
            <w:r w:rsidRPr="001A0D29">
              <w:rPr>
                <w:rFonts w:ascii="Arial" w:hAnsi="Arial"/>
                <w:color w:val="000000"/>
                <w:sz w:val="18"/>
                <w:szCs w:val="18"/>
                <w:lang w:val="en-US"/>
              </w:rPr>
              <w:t>a. Predictors: (Constant), Country, Accounting Standard, Size</w:t>
            </w:r>
          </w:p>
          <w:p w:rsidR="001A0D29" w:rsidRPr="001A0D29" w:rsidRDefault="001A0D29" w:rsidP="00CB3D81">
            <w:pPr>
              <w:autoSpaceDE w:val="0"/>
              <w:autoSpaceDN w:val="0"/>
              <w:adjustRightInd w:val="0"/>
              <w:spacing w:after="0" w:line="320" w:lineRule="atLeast"/>
              <w:ind w:left="60" w:right="60"/>
              <w:rPr>
                <w:rFonts w:ascii="Arial" w:hAnsi="Arial"/>
                <w:color w:val="000000"/>
                <w:sz w:val="18"/>
                <w:szCs w:val="18"/>
                <w:lang w:val="en-US"/>
              </w:rPr>
            </w:pPr>
            <w:r w:rsidRPr="001A0D29">
              <w:rPr>
                <w:rFonts w:ascii="Arial" w:hAnsi="Arial"/>
                <w:color w:val="000000"/>
                <w:sz w:val="18"/>
                <w:szCs w:val="18"/>
                <w:lang w:val="en-US"/>
              </w:rPr>
              <w:t>b. Dependent Variable: Real Earnings Management</w:t>
            </w:r>
          </w:p>
        </w:tc>
      </w:tr>
    </w:tbl>
    <w:p w:rsidR="00984AB0" w:rsidRDefault="00984AB0" w:rsidP="00C149EE">
      <w:pPr>
        <w:spacing w:line="360" w:lineRule="auto"/>
        <w:rPr>
          <w:lang w:val="en-US"/>
        </w:rPr>
      </w:pPr>
    </w:p>
    <w:p w:rsidR="002A5076" w:rsidRDefault="00CB3D81" w:rsidP="00C149EE">
      <w:pPr>
        <w:spacing w:line="360" w:lineRule="auto"/>
        <w:rPr>
          <w:lang w:val="en-US"/>
        </w:rPr>
      </w:pPr>
      <w:r>
        <w:rPr>
          <w:lang w:val="en-US"/>
        </w:rPr>
        <w:t xml:space="preserve">The </w:t>
      </w:r>
      <w:r w:rsidR="00D0589F">
        <w:rPr>
          <w:lang w:val="en-US"/>
        </w:rPr>
        <w:t>finding</w:t>
      </w:r>
      <w:r>
        <w:rPr>
          <w:lang w:val="en-US"/>
        </w:rPr>
        <w:t xml:space="preserve"> of the not-significance of the model is strengthened and </w:t>
      </w:r>
      <w:r w:rsidR="009A0A45">
        <w:rPr>
          <w:lang w:val="en-US"/>
        </w:rPr>
        <w:t>in addition</w:t>
      </w:r>
      <w:r>
        <w:rPr>
          <w:lang w:val="en-US"/>
        </w:rPr>
        <w:t xml:space="preserve"> visible in the table Coefficients</w:t>
      </w:r>
      <w:r w:rsidR="00F36DB2">
        <w:rPr>
          <w:lang w:val="en-US"/>
        </w:rPr>
        <w:t>; all independent variables are not significant</w:t>
      </w:r>
      <w:r w:rsidR="002A5076">
        <w:rPr>
          <w:lang w:val="en-US"/>
        </w:rPr>
        <w:t>. The va</w:t>
      </w:r>
      <w:r w:rsidR="00826A3F">
        <w:rPr>
          <w:lang w:val="en-US"/>
        </w:rPr>
        <w:t>riable c</w:t>
      </w:r>
      <w:r w:rsidR="002A5076">
        <w:rPr>
          <w:lang w:val="en-US"/>
        </w:rPr>
        <w:t xml:space="preserve">ountry indicates that no difference </w:t>
      </w:r>
      <w:r w:rsidR="00D0589F">
        <w:rPr>
          <w:lang w:val="en-US"/>
        </w:rPr>
        <w:t xml:space="preserve">exists </w:t>
      </w:r>
      <w:r w:rsidR="002A5076">
        <w:rPr>
          <w:lang w:val="en-US"/>
        </w:rPr>
        <w:t xml:space="preserve">in the use of real earnings management between The Netherlands, Belgium and France. When the variable </w:t>
      </w:r>
      <w:r w:rsidR="00826A3F">
        <w:rPr>
          <w:lang w:val="en-US"/>
        </w:rPr>
        <w:t>a</w:t>
      </w:r>
      <w:r w:rsidR="002A5076">
        <w:rPr>
          <w:lang w:val="en-US"/>
        </w:rPr>
        <w:t xml:space="preserve">ccounting </w:t>
      </w:r>
      <w:r w:rsidR="00826A3F">
        <w:rPr>
          <w:lang w:val="en-US"/>
        </w:rPr>
        <w:t>s</w:t>
      </w:r>
      <w:r w:rsidR="002A5076">
        <w:rPr>
          <w:lang w:val="en-US"/>
        </w:rPr>
        <w:t xml:space="preserve">tandard is </w:t>
      </w:r>
      <w:r w:rsidR="00D0589F">
        <w:rPr>
          <w:lang w:val="en-US"/>
        </w:rPr>
        <w:t>investigated</w:t>
      </w:r>
      <w:r w:rsidR="002A5076">
        <w:rPr>
          <w:lang w:val="en-US"/>
        </w:rPr>
        <w:t xml:space="preserve">, it </w:t>
      </w:r>
      <w:r w:rsidR="00D0589F">
        <w:rPr>
          <w:lang w:val="en-US"/>
        </w:rPr>
        <w:t>implies</w:t>
      </w:r>
      <w:r w:rsidR="002A5076">
        <w:rPr>
          <w:lang w:val="en-US"/>
        </w:rPr>
        <w:t xml:space="preserve"> no difference between local </w:t>
      </w:r>
      <w:r w:rsidR="00826A3F">
        <w:rPr>
          <w:lang w:val="en-US"/>
        </w:rPr>
        <w:t>GAAP and IFRS and the variable s</w:t>
      </w:r>
      <w:r w:rsidR="002A5076">
        <w:rPr>
          <w:lang w:val="en-US"/>
        </w:rPr>
        <w:t>ize shows no difference bet</w:t>
      </w:r>
      <w:r w:rsidR="009945BE">
        <w:rPr>
          <w:lang w:val="en-US"/>
        </w:rPr>
        <w:t xml:space="preserve">ween large and small companies. </w:t>
      </w:r>
    </w:p>
    <w:tbl>
      <w:tblPr>
        <w:tblW w:w="1127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360"/>
        <w:gridCol w:w="1890"/>
        <w:gridCol w:w="720"/>
        <w:gridCol w:w="1016"/>
        <w:gridCol w:w="1260"/>
        <w:gridCol w:w="720"/>
        <w:gridCol w:w="720"/>
        <w:gridCol w:w="1080"/>
        <w:gridCol w:w="900"/>
        <w:gridCol w:w="810"/>
        <w:gridCol w:w="990"/>
        <w:gridCol w:w="810"/>
      </w:tblGrid>
      <w:tr w:rsidR="001A0D29" w:rsidRPr="000D3EB5" w:rsidTr="00A773C5">
        <w:trPr>
          <w:jc w:val="center"/>
        </w:trPr>
        <w:tc>
          <w:tcPr>
            <w:tcW w:w="11276" w:type="dxa"/>
            <w:gridSpan w:val="12"/>
            <w:tcBorders>
              <w:top w:val="nil"/>
              <w:left w:val="nil"/>
              <w:bottom w:val="nil"/>
              <w:right w:val="nil"/>
            </w:tcBorders>
            <w:shd w:val="clear" w:color="auto" w:fill="FFFFFF"/>
            <w:vAlign w:val="center"/>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lastRenderedPageBreak/>
              <w:t>Coefficients</w:t>
            </w:r>
            <w:r w:rsidRPr="000D3EB5">
              <w:rPr>
                <w:rFonts w:ascii="Arial" w:hAnsi="Arial"/>
                <w:b/>
                <w:bCs/>
                <w:color w:val="000000"/>
                <w:sz w:val="18"/>
                <w:szCs w:val="18"/>
                <w:vertAlign w:val="superscript"/>
              </w:rPr>
              <w:t>a</w:t>
            </w:r>
          </w:p>
        </w:tc>
      </w:tr>
      <w:tr w:rsidR="00A773C5" w:rsidRPr="000D3EB5" w:rsidTr="00A773C5">
        <w:trPr>
          <w:jc w:val="center"/>
        </w:trPr>
        <w:tc>
          <w:tcPr>
            <w:tcW w:w="225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736" w:type="dxa"/>
            <w:gridSpan w:val="2"/>
            <w:tcBorders>
              <w:top w:val="single" w:sz="16" w:space="0" w:color="000000"/>
              <w:left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Unstandardized Coefficients</w:t>
            </w:r>
          </w:p>
        </w:tc>
        <w:tc>
          <w:tcPr>
            <w:tcW w:w="1260" w:type="dxa"/>
            <w:tcBorders>
              <w:top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Standardized Coefficients</w:t>
            </w:r>
          </w:p>
        </w:tc>
        <w:tc>
          <w:tcPr>
            <w:tcW w:w="720" w:type="dxa"/>
            <w:vMerge w:val="restart"/>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w:t>
            </w:r>
          </w:p>
        </w:tc>
        <w:tc>
          <w:tcPr>
            <w:tcW w:w="720" w:type="dxa"/>
            <w:vMerge w:val="restart"/>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c>
          <w:tcPr>
            <w:tcW w:w="2790" w:type="dxa"/>
            <w:gridSpan w:val="3"/>
            <w:tcBorders>
              <w:top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Correlations</w:t>
            </w:r>
          </w:p>
        </w:tc>
        <w:tc>
          <w:tcPr>
            <w:tcW w:w="1800" w:type="dxa"/>
            <w:gridSpan w:val="2"/>
            <w:tcBorders>
              <w:top w:val="single" w:sz="16" w:space="0" w:color="000000"/>
              <w:right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Collinearity Statistics</w:t>
            </w:r>
          </w:p>
        </w:tc>
      </w:tr>
      <w:tr w:rsidR="00A773C5" w:rsidRPr="000D3EB5" w:rsidTr="00A773C5">
        <w:trPr>
          <w:jc w:val="center"/>
        </w:trPr>
        <w:tc>
          <w:tcPr>
            <w:tcW w:w="225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1A0D29" w:rsidRPr="000D3EB5" w:rsidRDefault="001A0D29" w:rsidP="00131C52">
            <w:pPr>
              <w:autoSpaceDE w:val="0"/>
              <w:autoSpaceDN w:val="0"/>
              <w:adjustRightInd w:val="0"/>
              <w:spacing w:after="0" w:line="240" w:lineRule="auto"/>
              <w:rPr>
                <w:rFonts w:ascii="Arial" w:hAnsi="Arial"/>
                <w:color w:val="000000"/>
                <w:sz w:val="18"/>
                <w:szCs w:val="18"/>
              </w:rPr>
            </w:pPr>
          </w:p>
        </w:tc>
        <w:tc>
          <w:tcPr>
            <w:tcW w:w="720" w:type="dxa"/>
            <w:tcBorders>
              <w:left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w:t>
            </w:r>
          </w:p>
        </w:tc>
        <w:tc>
          <w:tcPr>
            <w:tcW w:w="1016" w:type="dxa"/>
            <w:tcBorders>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Error</w:t>
            </w:r>
          </w:p>
        </w:tc>
        <w:tc>
          <w:tcPr>
            <w:tcW w:w="1260" w:type="dxa"/>
            <w:tcBorders>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Beta</w:t>
            </w:r>
          </w:p>
        </w:tc>
        <w:tc>
          <w:tcPr>
            <w:tcW w:w="720" w:type="dxa"/>
            <w:vMerge/>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240" w:lineRule="auto"/>
              <w:rPr>
                <w:rFonts w:ascii="Arial" w:hAnsi="Arial"/>
                <w:color w:val="000000"/>
                <w:sz w:val="18"/>
                <w:szCs w:val="18"/>
              </w:rPr>
            </w:pPr>
          </w:p>
        </w:tc>
        <w:tc>
          <w:tcPr>
            <w:tcW w:w="720" w:type="dxa"/>
            <w:vMerge/>
            <w:tcBorders>
              <w:top w:val="single" w:sz="16" w:space="0" w:color="000000"/>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240" w:lineRule="auto"/>
              <w:rPr>
                <w:rFonts w:ascii="Arial" w:hAnsi="Arial"/>
                <w:color w:val="000000"/>
                <w:sz w:val="18"/>
                <w:szCs w:val="18"/>
              </w:rPr>
            </w:pPr>
          </w:p>
        </w:tc>
        <w:tc>
          <w:tcPr>
            <w:tcW w:w="1080" w:type="dxa"/>
            <w:tcBorders>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Zero-order</w:t>
            </w:r>
          </w:p>
        </w:tc>
        <w:tc>
          <w:tcPr>
            <w:tcW w:w="900" w:type="dxa"/>
            <w:tcBorders>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Partial</w:t>
            </w:r>
          </w:p>
        </w:tc>
        <w:tc>
          <w:tcPr>
            <w:tcW w:w="810" w:type="dxa"/>
            <w:tcBorders>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w:t>
            </w:r>
          </w:p>
        </w:tc>
        <w:tc>
          <w:tcPr>
            <w:tcW w:w="990" w:type="dxa"/>
            <w:tcBorders>
              <w:bottom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Tolerance</w:t>
            </w:r>
          </w:p>
        </w:tc>
        <w:tc>
          <w:tcPr>
            <w:tcW w:w="810" w:type="dxa"/>
            <w:tcBorders>
              <w:bottom w:val="single" w:sz="16" w:space="0" w:color="000000"/>
              <w:right w:val="single" w:sz="16" w:space="0" w:color="000000"/>
            </w:tcBorders>
            <w:shd w:val="clear" w:color="auto" w:fill="FFFFFF"/>
            <w:vAlign w:val="bottom"/>
          </w:tcPr>
          <w:p w:rsidR="001A0D29" w:rsidRPr="000D3EB5" w:rsidRDefault="001A0D29"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VIF</w:t>
            </w:r>
          </w:p>
        </w:tc>
      </w:tr>
      <w:tr w:rsidR="00A773C5" w:rsidRPr="000D3EB5" w:rsidTr="00A773C5">
        <w:trPr>
          <w:jc w:val="center"/>
        </w:trPr>
        <w:tc>
          <w:tcPr>
            <w:tcW w:w="360" w:type="dxa"/>
            <w:vMerge w:val="restart"/>
            <w:tcBorders>
              <w:top w:val="single" w:sz="16" w:space="0" w:color="000000"/>
              <w:left w:val="single" w:sz="16" w:space="0" w:color="000000"/>
              <w:bottom w:val="single" w:sz="16" w:space="0" w:color="000000"/>
              <w:right w:val="nil"/>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890" w:type="dxa"/>
            <w:tcBorders>
              <w:top w:val="single" w:sz="16" w:space="0" w:color="000000"/>
              <w:left w:val="nil"/>
              <w:bottom w:val="nil"/>
              <w:right w:val="single" w:sz="16" w:space="0" w:color="000000"/>
            </w:tcBorders>
            <w:shd w:val="clear" w:color="auto" w:fill="FFFFFF"/>
          </w:tcPr>
          <w:p w:rsidR="001A0D29" w:rsidRPr="000D3EB5" w:rsidRDefault="001A0D29"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(Constant)</w:t>
            </w:r>
          </w:p>
        </w:tc>
        <w:tc>
          <w:tcPr>
            <w:tcW w:w="720" w:type="dxa"/>
            <w:tcBorders>
              <w:top w:val="single" w:sz="16" w:space="0" w:color="000000"/>
              <w:left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.062</w:t>
            </w:r>
          </w:p>
        </w:tc>
        <w:tc>
          <w:tcPr>
            <w:tcW w:w="1016" w:type="dxa"/>
            <w:tcBorders>
              <w:top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.005</w:t>
            </w:r>
          </w:p>
        </w:tc>
        <w:tc>
          <w:tcPr>
            <w:tcW w:w="1260" w:type="dxa"/>
            <w:tcBorders>
              <w:top w:val="single" w:sz="16" w:space="0" w:color="000000"/>
              <w:bottom w:val="nil"/>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720" w:type="dxa"/>
            <w:tcBorders>
              <w:top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13.287</w:t>
            </w:r>
          </w:p>
        </w:tc>
        <w:tc>
          <w:tcPr>
            <w:tcW w:w="720" w:type="dxa"/>
            <w:tcBorders>
              <w:top w:val="single" w:sz="16" w:space="0" w:color="000000"/>
              <w:bottom w:val="nil"/>
            </w:tcBorders>
            <w:shd w:val="clear" w:color="auto" w:fill="FFFFFF"/>
          </w:tcPr>
          <w:p w:rsidR="001A0D29" w:rsidRPr="000D3EB5" w:rsidRDefault="001A0D29"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080" w:type="dxa"/>
            <w:tcBorders>
              <w:top w:val="single" w:sz="16" w:space="0" w:color="000000"/>
              <w:bottom w:val="nil"/>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900" w:type="dxa"/>
            <w:tcBorders>
              <w:top w:val="single" w:sz="16" w:space="0" w:color="000000"/>
              <w:bottom w:val="nil"/>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single" w:sz="16" w:space="0" w:color="000000"/>
              <w:bottom w:val="nil"/>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990" w:type="dxa"/>
            <w:tcBorders>
              <w:top w:val="single" w:sz="16" w:space="0" w:color="000000"/>
              <w:bottom w:val="nil"/>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single" w:sz="16" w:space="0" w:color="000000"/>
              <w:bottom w:val="nil"/>
              <w:right w:val="single" w:sz="16" w:space="0" w:color="000000"/>
            </w:tcBorders>
            <w:shd w:val="clear" w:color="auto" w:fill="FFFFFF"/>
            <w:vAlign w:val="center"/>
          </w:tcPr>
          <w:p w:rsidR="001A0D29" w:rsidRPr="000D3EB5" w:rsidRDefault="001A0D29" w:rsidP="00131C52">
            <w:pPr>
              <w:autoSpaceDE w:val="0"/>
              <w:autoSpaceDN w:val="0"/>
              <w:adjustRightInd w:val="0"/>
              <w:spacing w:after="0" w:line="240" w:lineRule="auto"/>
              <w:jc w:val="center"/>
              <w:rPr>
                <w:rFonts w:ascii="Times New Roman" w:hAnsi="Times New Roman" w:cs="Times New Roman"/>
                <w:sz w:val="24"/>
                <w:szCs w:val="24"/>
              </w:rPr>
            </w:pPr>
          </w:p>
        </w:tc>
      </w:tr>
      <w:tr w:rsidR="00A773C5" w:rsidRPr="000D3EB5" w:rsidTr="00A773C5">
        <w:trPr>
          <w:jc w:val="center"/>
        </w:trPr>
        <w:tc>
          <w:tcPr>
            <w:tcW w:w="360" w:type="dxa"/>
            <w:vMerge/>
            <w:tcBorders>
              <w:top w:val="single" w:sz="16" w:space="0" w:color="000000"/>
              <w:left w:val="single" w:sz="16" w:space="0" w:color="000000"/>
              <w:bottom w:val="single" w:sz="16" w:space="0" w:color="000000"/>
              <w:right w:val="nil"/>
            </w:tcBorders>
            <w:shd w:val="clear" w:color="auto" w:fill="FFFFFF"/>
          </w:tcPr>
          <w:p w:rsidR="00A773C5" w:rsidRPr="000D3EB5" w:rsidRDefault="00A773C5" w:rsidP="00131C52">
            <w:pPr>
              <w:autoSpaceDE w:val="0"/>
              <w:autoSpaceDN w:val="0"/>
              <w:adjustRightInd w:val="0"/>
              <w:spacing w:after="0" w:line="240" w:lineRule="auto"/>
              <w:rPr>
                <w:rFonts w:ascii="Times New Roman" w:hAnsi="Times New Roman" w:cs="Times New Roman"/>
                <w:sz w:val="24"/>
                <w:szCs w:val="24"/>
              </w:rPr>
            </w:pPr>
          </w:p>
        </w:tc>
        <w:tc>
          <w:tcPr>
            <w:tcW w:w="1890" w:type="dxa"/>
            <w:tcBorders>
              <w:top w:val="nil"/>
              <w:left w:val="nil"/>
              <w:bottom w:val="nil"/>
              <w:right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720" w:type="dxa"/>
            <w:tcBorders>
              <w:top w:val="nil"/>
              <w:left w:val="single" w:sz="16" w:space="0" w:color="000000"/>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p>
        </w:tc>
        <w:tc>
          <w:tcPr>
            <w:tcW w:w="1016"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.005</w:t>
            </w:r>
          </w:p>
        </w:tc>
        <w:tc>
          <w:tcPr>
            <w:tcW w:w="126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.022</w:t>
            </w:r>
          </w:p>
        </w:tc>
        <w:tc>
          <w:tcPr>
            <w:tcW w:w="72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.504</w:t>
            </w:r>
          </w:p>
        </w:tc>
        <w:tc>
          <w:tcPr>
            <w:tcW w:w="72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.615</w:t>
            </w:r>
          </w:p>
        </w:tc>
        <w:tc>
          <w:tcPr>
            <w:tcW w:w="108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.026</w:t>
            </w:r>
          </w:p>
        </w:tc>
        <w:tc>
          <w:tcPr>
            <w:tcW w:w="90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.022</w:t>
            </w:r>
          </w:p>
        </w:tc>
        <w:tc>
          <w:tcPr>
            <w:tcW w:w="81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.022</w:t>
            </w:r>
          </w:p>
        </w:tc>
        <w:tc>
          <w:tcPr>
            <w:tcW w:w="99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.991</w:t>
            </w:r>
          </w:p>
        </w:tc>
        <w:tc>
          <w:tcPr>
            <w:tcW w:w="810" w:type="dxa"/>
            <w:tcBorders>
              <w:top w:val="nil"/>
              <w:bottom w:val="nil"/>
              <w:right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1.010</w:t>
            </w:r>
          </w:p>
        </w:tc>
      </w:tr>
      <w:tr w:rsidR="00A773C5" w:rsidRPr="000D3EB5" w:rsidTr="00A773C5">
        <w:trPr>
          <w:jc w:val="center"/>
        </w:trPr>
        <w:tc>
          <w:tcPr>
            <w:tcW w:w="360" w:type="dxa"/>
            <w:vMerge/>
            <w:tcBorders>
              <w:top w:val="single" w:sz="16" w:space="0" w:color="000000"/>
              <w:left w:val="single" w:sz="16" w:space="0" w:color="000000"/>
              <w:bottom w:val="single" w:sz="16" w:space="0" w:color="000000"/>
              <w:right w:val="nil"/>
            </w:tcBorders>
            <w:shd w:val="clear" w:color="auto" w:fill="FFFFFF"/>
          </w:tcPr>
          <w:p w:rsidR="00A773C5" w:rsidRPr="000D3EB5" w:rsidRDefault="00A773C5" w:rsidP="00131C52">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nil"/>
              <w:right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720" w:type="dxa"/>
            <w:tcBorders>
              <w:top w:val="nil"/>
              <w:left w:val="single" w:sz="16" w:space="0" w:color="000000"/>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.007</w:t>
            </w:r>
          </w:p>
        </w:tc>
        <w:tc>
          <w:tcPr>
            <w:tcW w:w="1016"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.005</w:t>
            </w:r>
          </w:p>
        </w:tc>
        <w:tc>
          <w:tcPr>
            <w:tcW w:w="126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.059</w:t>
            </w:r>
          </w:p>
        </w:tc>
        <w:tc>
          <w:tcPr>
            <w:tcW w:w="72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1.360</w:t>
            </w:r>
          </w:p>
        </w:tc>
        <w:tc>
          <w:tcPr>
            <w:tcW w:w="72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.175</w:t>
            </w:r>
          </w:p>
        </w:tc>
        <w:tc>
          <w:tcPr>
            <w:tcW w:w="108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.060</w:t>
            </w:r>
          </w:p>
        </w:tc>
        <w:tc>
          <w:tcPr>
            <w:tcW w:w="90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.059</w:t>
            </w:r>
          </w:p>
        </w:tc>
        <w:tc>
          <w:tcPr>
            <w:tcW w:w="81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.059</w:t>
            </w:r>
          </w:p>
        </w:tc>
        <w:tc>
          <w:tcPr>
            <w:tcW w:w="990" w:type="dxa"/>
            <w:tcBorders>
              <w:top w:val="nil"/>
              <w:bottom w:val="nil"/>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810" w:type="dxa"/>
            <w:tcBorders>
              <w:top w:val="nil"/>
              <w:bottom w:val="nil"/>
              <w:right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A773C5" w:rsidRPr="000D3EB5" w:rsidTr="00A773C5">
        <w:trPr>
          <w:jc w:val="center"/>
        </w:trPr>
        <w:tc>
          <w:tcPr>
            <w:tcW w:w="360" w:type="dxa"/>
            <w:vMerge/>
            <w:tcBorders>
              <w:top w:val="single" w:sz="16" w:space="0" w:color="000000"/>
              <w:left w:val="single" w:sz="16" w:space="0" w:color="000000"/>
              <w:bottom w:val="single" w:sz="16" w:space="0" w:color="000000"/>
              <w:right w:val="nil"/>
            </w:tcBorders>
            <w:shd w:val="clear" w:color="auto" w:fill="FFFFFF"/>
          </w:tcPr>
          <w:p w:rsidR="00A773C5" w:rsidRPr="000D3EB5" w:rsidRDefault="00A773C5" w:rsidP="00131C52">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single" w:sz="16" w:space="0" w:color="000000"/>
              <w:right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720" w:type="dxa"/>
            <w:tcBorders>
              <w:top w:val="nil"/>
              <w:left w:val="single" w:sz="16" w:space="0" w:color="000000"/>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.004</w:t>
            </w:r>
          </w:p>
        </w:tc>
        <w:tc>
          <w:tcPr>
            <w:tcW w:w="1016"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.005</w:t>
            </w:r>
          </w:p>
        </w:tc>
        <w:tc>
          <w:tcPr>
            <w:tcW w:w="126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.035</w:t>
            </w:r>
          </w:p>
        </w:tc>
        <w:tc>
          <w:tcPr>
            <w:tcW w:w="72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.811</w:t>
            </w:r>
          </w:p>
        </w:tc>
        <w:tc>
          <w:tcPr>
            <w:tcW w:w="72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.418</w:t>
            </w:r>
          </w:p>
        </w:tc>
        <w:tc>
          <w:tcPr>
            <w:tcW w:w="108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.038</w:t>
            </w:r>
          </w:p>
        </w:tc>
        <w:tc>
          <w:tcPr>
            <w:tcW w:w="90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.035</w:t>
            </w:r>
          </w:p>
        </w:tc>
        <w:tc>
          <w:tcPr>
            <w:tcW w:w="81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.035</w:t>
            </w:r>
          </w:p>
        </w:tc>
        <w:tc>
          <w:tcPr>
            <w:tcW w:w="990" w:type="dxa"/>
            <w:tcBorders>
              <w:top w:val="nil"/>
              <w:bottom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.990</w:t>
            </w:r>
          </w:p>
        </w:tc>
        <w:tc>
          <w:tcPr>
            <w:tcW w:w="810" w:type="dxa"/>
            <w:tcBorders>
              <w:top w:val="nil"/>
              <w:bottom w:val="single" w:sz="16" w:space="0" w:color="000000"/>
              <w:right w:val="single" w:sz="16" w:space="0" w:color="000000"/>
            </w:tcBorders>
            <w:shd w:val="clear" w:color="auto" w:fill="FFFFFF"/>
          </w:tcPr>
          <w:p w:rsidR="00A773C5" w:rsidRPr="000D3EB5" w:rsidRDefault="00A773C5"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1.010</w:t>
            </w:r>
          </w:p>
        </w:tc>
      </w:tr>
      <w:tr w:rsidR="001A0D29" w:rsidRPr="0013388B" w:rsidTr="00A773C5">
        <w:trPr>
          <w:jc w:val="center"/>
        </w:trPr>
        <w:tc>
          <w:tcPr>
            <w:tcW w:w="11276" w:type="dxa"/>
            <w:gridSpan w:val="12"/>
            <w:tcBorders>
              <w:top w:val="nil"/>
              <w:left w:val="nil"/>
              <w:bottom w:val="nil"/>
              <w:right w:val="nil"/>
            </w:tcBorders>
            <w:shd w:val="clear" w:color="auto" w:fill="FFFFFF"/>
          </w:tcPr>
          <w:p w:rsidR="001A0D29" w:rsidRPr="001A0D29" w:rsidRDefault="001A0D29" w:rsidP="00131C52">
            <w:pPr>
              <w:autoSpaceDE w:val="0"/>
              <w:autoSpaceDN w:val="0"/>
              <w:adjustRightInd w:val="0"/>
              <w:spacing w:after="0" w:line="320" w:lineRule="atLeast"/>
              <w:ind w:left="60" w:right="60"/>
              <w:rPr>
                <w:rFonts w:ascii="Arial" w:hAnsi="Arial"/>
                <w:color w:val="000000"/>
                <w:sz w:val="18"/>
                <w:szCs w:val="18"/>
                <w:lang w:val="en-US"/>
              </w:rPr>
            </w:pPr>
            <w:r w:rsidRPr="001A0D29">
              <w:rPr>
                <w:rFonts w:ascii="Arial" w:hAnsi="Arial"/>
                <w:color w:val="000000"/>
                <w:sz w:val="18"/>
                <w:szCs w:val="18"/>
                <w:lang w:val="en-US"/>
              </w:rPr>
              <w:t>a. Dependent Variable: Real Earnings Management</w:t>
            </w:r>
          </w:p>
          <w:p w:rsidR="001A0D29" w:rsidRPr="001A0D29" w:rsidRDefault="001A0D29" w:rsidP="00131C52">
            <w:pPr>
              <w:autoSpaceDE w:val="0"/>
              <w:autoSpaceDN w:val="0"/>
              <w:adjustRightInd w:val="0"/>
              <w:spacing w:after="0" w:line="320" w:lineRule="atLeast"/>
              <w:ind w:left="60" w:right="60"/>
              <w:rPr>
                <w:rFonts w:ascii="Arial" w:hAnsi="Arial"/>
                <w:color w:val="000000"/>
                <w:sz w:val="18"/>
                <w:szCs w:val="18"/>
                <w:lang w:val="en-US"/>
              </w:rPr>
            </w:pPr>
          </w:p>
        </w:tc>
      </w:tr>
    </w:tbl>
    <w:p w:rsidR="00F36DB2" w:rsidRDefault="002A5076" w:rsidP="002A5076">
      <w:pPr>
        <w:spacing w:line="360" w:lineRule="auto"/>
        <w:rPr>
          <w:lang w:val="en-US"/>
        </w:rPr>
      </w:pPr>
      <w:r>
        <w:rPr>
          <w:lang w:val="en-US"/>
        </w:rPr>
        <w:t xml:space="preserve">When </w:t>
      </w:r>
      <w:r w:rsidR="00D0589F">
        <w:rPr>
          <w:lang w:val="en-US"/>
        </w:rPr>
        <w:t>investigating</w:t>
      </w:r>
      <w:r>
        <w:rPr>
          <w:lang w:val="en-US"/>
        </w:rPr>
        <w:t xml:space="preserve"> the results for hypothesis 2 about the substitution between the accruals-based and </w:t>
      </w:r>
      <w:r w:rsidR="00163906">
        <w:rPr>
          <w:lang w:val="en-US"/>
        </w:rPr>
        <w:t xml:space="preserve">the </w:t>
      </w:r>
      <w:r>
        <w:rPr>
          <w:lang w:val="en-US"/>
        </w:rPr>
        <w:t>real method for managing earnings, the results suggest that the use of real ear</w:t>
      </w:r>
      <w:r w:rsidR="008270E1">
        <w:rPr>
          <w:lang w:val="en-US"/>
        </w:rPr>
        <w:t>nings management increased (0.59</w:t>
      </w:r>
      <w:r>
        <w:rPr>
          <w:lang w:val="en-US"/>
        </w:rPr>
        <w:t xml:space="preserve">) after the introduction of IFRS. </w:t>
      </w:r>
      <w:r w:rsidR="007E434C">
        <w:rPr>
          <w:lang w:val="en-US"/>
        </w:rPr>
        <w:t>I</w:t>
      </w:r>
      <w:r>
        <w:rPr>
          <w:lang w:val="en-US"/>
        </w:rPr>
        <w:t xml:space="preserve">n the previous section was indicated that </w:t>
      </w:r>
      <w:r w:rsidR="009A0A45">
        <w:rPr>
          <w:lang w:val="en-US"/>
        </w:rPr>
        <w:t>in addition</w:t>
      </w:r>
      <w:r>
        <w:rPr>
          <w:lang w:val="en-US"/>
        </w:rPr>
        <w:t xml:space="preserve"> accruals-based earnings management increased </w:t>
      </w:r>
      <w:r w:rsidR="008270E1">
        <w:rPr>
          <w:lang w:val="en-US"/>
        </w:rPr>
        <w:t>(0.021</w:t>
      </w:r>
      <w:r w:rsidR="00772784">
        <w:rPr>
          <w:lang w:val="en-US"/>
        </w:rPr>
        <w:t xml:space="preserve">) </w:t>
      </w:r>
      <w:r>
        <w:rPr>
          <w:lang w:val="en-US"/>
        </w:rPr>
        <w:t xml:space="preserve">after the introduction of IFRS. </w:t>
      </w:r>
      <w:r w:rsidR="00772784">
        <w:rPr>
          <w:lang w:val="en-US"/>
        </w:rPr>
        <w:t>The results of both the total amount as the accruals-based and</w:t>
      </w:r>
      <w:r w:rsidR="00163906">
        <w:rPr>
          <w:lang w:val="en-US"/>
        </w:rPr>
        <w:t xml:space="preserve"> the</w:t>
      </w:r>
      <w:r w:rsidR="00772784">
        <w:rPr>
          <w:lang w:val="en-US"/>
        </w:rPr>
        <w:t xml:space="preserve"> real method indicate that the use of earnings management increased after the introduction of IFRS. </w:t>
      </w:r>
      <w:r w:rsidR="007E434C">
        <w:rPr>
          <w:lang w:val="en-US"/>
        </w:rPr>
        <w:t xml:space="preserve">But because the test with real earnings management as dependent variable appeared to be not significant, the results of this regression are not strong. </w:t>
      </w:r>
      <w:r w:rsidR="00F36DB2">
        <w:rPr>
          <w:lang w:val="en-US"/>
        </w:rPr>
        <w:t xml:space="preserve">Because of the results from both regressions, no significant results, hypothesis 2 is rejected. The introduction of IFRS in 2005 did not </w:t>
      </w:r>
      <w:r w:rsidR="00163906">
        <w:rPr>
          <w:lang w:val="en-US"/>
        </w:rPr>
        <w:t>create</w:t>
      </w:r>
      <w:r w:rsidR="00F36DB2">
        <w:rPr>
          <w:lang w:val="en-US"/>
        </w:rPr>
        <w:t xml:space="preserve"> a substitution from accruals-based to </w:t>
      </w:r>
      <w:r w:rsidR="00163906">
        <w:rPr>
          <w:lang w:val="en-US"/>
        </w:rPr>
        <w:t xml:space="preserve">the use of </w:t>
      </w:r>
      <w:r w:rsidR="00F36DB2">
        <w:rPr>
          <w:lang w:val="en-US"/>
        </w:rPr>
        <w:t xml:space="preserve">real earnings management. </w:t>
      </w:r>
    </w:p>
    <w:p w:rsidR="006B0E59" w:rsidRPr="00AD78B0" w:rsidRDefault="006B0E59" w:rsidP="002A5076">
      <w:pPr>
        <w:spacing w:line="360" w:lineRule="auto"/>
        <w:rPr>
          <w:lang w:val="en-US"/>
        </w:rPr>
      </w:pPr>
      <w:r w:rsidRPr="00AD78B0">
        <w:rPr>
          <w:lang w:val="en-US"/>
        </w:rPr>
        <w:t xml:space="preserve">Because the test with real earnings management as dependent variable was not significant, </w:t>
      </w:r>
      <w:r w:rsidR="00327DF3" w:rsidRPr="00AD78B0">
        <w:rPr>
          <w:lang w:val="en-US"/>
        </w:rPr>
        <w:t xml:space="preserve">the variables </w:t>
      </w:r>
      <w:r w:rsidR="00324D4E" w:rsidRPr="00AD78B0">
        <w:rPr>
          <w:lang w:val="en-US"/>
        </w:rPr>
        <w:t>for determining the</w:t>
      </w:r>
      <w:r w:rsidR="00327DF3" w:rsidRPr="00AD78B0">
        <w:rPr>
          <w:lang w:val="en-US"/>
        </w:rPr>
        <w:t xml:space="preserve"> amount of real earnings management are tested separately. </w:t>
      </w:r>
      <w:r w:rsidRPr="00AD78B0">
        <w:rPr>
          <w:lang w:val="en-US"/>
        </w:rPr>
        <w:t xml:space="preserve">By </w:t>
      </w:r>
      <w:r w:rsidR="00163906">
        <w:rPr>
          <w:lang w:val="en-US"/>
        </w:rPr>
        <w:t>investigating</w:t>
      </w:r>
      <w:r w:rsidRPr="00AD78B0">
        <w:rPr>
          <w:lang w:val="en-US"/>
        </w:rPr>
        <w:t xml:space="preserve"> the variables separately, it is possible to check whether the introduction of IFRS has </w:t>
      </w:r>
      <w:r w:rsidR="00163906">
        <w:rPr>
          <w:lang w:val="en-US"/>
        </w:rPr>
        <w:t>created</w:t>
      </w:r>
      <w:r w:rsidRPr="00AD78B0">
        <w:rPr>
          <w:lang w:val="en-US"/>
        </w:rPr>
        <w:t xml:space="preserve"> a significant difference in the use of one</w:t>
      </w:r>
      <w:r w:rsidR="008F52AA">
        <w:rPr>
          <w:lang w:val="en-US"/>
        </w:rPr>
        <w:t xml:space="preserve"> or more</w:t>
      </w:r>
      <w:r w:rsidRPr="00AD78B0">
        <w:rPr>
          <w:lang w:val="en-US"/>
        </w:rPr>
        <w:t xml:space="preserve"> of the variables</w:t>
      </w:r>
      <w:r w:rsidR="008F52AA">
        <w:rPr>
          <w:lang w:val="en-US"/>
        </w:rPr>
        <w:t xml:space="preserve"> independently</w:t>
      </w:r>
      <w:r w:rsidRPr="00AD78B0">
        <w:rPr>
          <w:lang w:val="en-US"/>
        </w:rPr>
        <w:t xml:space="preserve">. </w:t>
      </w:r>
      <w:r w:rsidR="00327DF3" w:rsidRPr="00AD78B0">
        <w:rPr>
          <w:lang w:val="en-US"/>
        </w:rPr>
        <w:t xml:space="preserve">The results are shortly highlighted </w:t>
      </w:r>
      <w:r w:rsidR="008F52AA">
        <w:rPr>
          <w:lang w:val="en-US"/>
        </w:rPr>
        <w:t xml:space="preserve">by showing the ANOVA and </w:t>
      </w:r>
      <w:r w:rsidR="00163906">
        <w:rPr>
          <w:lang w:val="en-US"/>
        </w:rPr>
        <w:t xml:space="preserve">the </w:t>
      </w:r>
      <w:r w:rsidR="008F52AA">
        <w:rPr>
          <w:lang w:val="en-US"/>
        </w:rPr>
        <w:t>Coefficients table</w:t>
      </w:r>
      <w:r w:rsidR="00327DF3" w:rsidRPr="00AD78B0">
        <w:rPr>
          <w:lang w:val="en-US"/>
        </w:rPr>
        <w:t xml:space="preserve">; all </w:t>
      </w:r>
      <w:r w:rsidR="008F52AA">
        <w:rPr>
          <w:lang w:val="en-US"/>
        </w:rPr>
        <w:t>other</w:t>
      </w:r>
      <w:r w:rsidR="00327DF3" w:rsidRPr="00AD78B0">
        <w:rPr>
          <w:lang w:val="en-US"/>
        </w:rPr>
        <w:t xml:space="preserve"> results </w:t>
      </w:r>
      <w:r w:rsidR="008F52AA">
        <w:rPr>
          <w:lang w:val="en-US"/>
        </w:rPr>
        <w:t xml:space="preserve">of the multiple regressions </w:t>
      </w:r>
      <w:r w:rsidR="00163906">
        <w:rPr>
          <w:lang w:val="en-US"/>
        </w:rPr>
        <w:t>are available</w:t>
      </w:r>
      <w:r w:rsidR="00327DF3" w:rsidRPr="00AD78B0">
        <w:rPr>
          <w:lang w:val="en-US"/>
        </w:rPr>
        <w:t xml:space="preserve"> in </w:t>
      </w:r>
      <w:r w:rsidR="00327DF3" w:rsidRPr="007E015C">
        <w:rPr>
          <w:lang w:val="en-US"/>
        </w:rPr>
        <w:t>appendix 3</w:t>
      </w:r>
      <w:r w:rsidR="007E015C" w:rsidRPr="007E015C">
        <w:rPr>
          <w:lang w:val="en-US"/>
        </w:rPr>
        <w:t>.</w:t>
      </w:r>
      <w:r w:rsidR="008F52AA">
        <w:rPr>
          <w:lang w:val="en-US"/>
        </w:rPr>
        <w:t xml:space="preserve"> By </w:t>
      </w:r>
      <w:r w:rsidR="00163906">
        <w:rPr>
          <w:lang w:val="en-US"/>
        </w:rPr>
        <w:t>investigating</w:t>
      </w:r>
      <w:r w:rsidR="008F52AA">
        <w:rPr>
          <w:lang w:val="en-US"/>
        </w:rPr>
        <w:t xml:space="preserve"> the ANOVA table, the significance of the test</w:t>
      </w:r>
      <w:r w:rsidR="00826A3F">
        <w:rPr>
          <w:lang w:val="en-US"/>
        </w:rPr>
        <w:t xml:space="preserve"> is </w:t>
      </w:r>
      <w:r w:rsidR="008949F4">
        <w:rPr>
          <w:lang w:val="en-US"/>
        </w:rPr>
        <w:t>commented</w:t>
      </w:r>
      <w:r w:rsidR="008F52AA">
        <w:rPr>
          <w:lang w:val="en-US"/>
        </w:rPr>
        <w:t xml:space="preserve"> and the Coefficients table shows whether the independent variables country, accounting standard and size have significant influence on the dependent variables.</w:t>
      </w:r>
    </w:p>
    <w:p w:rsidR="00327DF3" w:rsidRPr="00AD78B0" w:rsidRDefault="00327DF3" w:rsidP="002A5076">
      <w:pPr>
        <w:spacing w:line="360" w:lineRule="auto"/>
        <w:rPr>
          <w:b/>
          <w:u w:val="single"/>
          <w:lang w:val="en-US"/>
        </w:rPr>
      </w:pPr>
      <w:r w:rsidRPr="00AD78B0">
        <w:rPr>
          <w:b/>
          <w:u w:val="single"/>
          <w:lang w:val="en-US"/>
        </w:rPr>
        <w:t>Cash Flow from Operations</w:t>
      </w: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3"/>
        <w:gridCol w:w="1165"/>
        <w:gridCol w:w="304"/>
        <w:gridCol w:w="1019"/>
        <w:gridCol w:w="14"/>
        <w:gridCol w:w="1335"/>
        <w:gridCol w:w="62"/>
        <w:gridCol w:w="1020"/>
        <w:gridCol w:w="387"/>
        <w:gridCol w:w="633"/>
        <w:gridCol w:w="386"/>
        <w:gridCol w:w="1020"/>
      </w:tblGrid>
      <w:tr w:rsidR="00327DF3" w:rsidRPr="009849F2" w:rsidTr="00324D4E">
        <w:trPr>
          <w:gridAfter w:val="2"/>
          <w:wAfter w:w="1406" w:type="dxa"/>
        </w:trPr>
        <w:tc>
          <w:tcPr>
            <w:tcW w:w="7955" w:type="dxa"/>
            <w:gridSpan w:val="11"/>
            <w:tcBorders>
              <w:top w:val="nil"/>
              <w:left w:val="nil"/>
              <w:bottom w:val="nil"/>
              <w:right w:val="nil"/>
            </w:tcBorders>
            <w:shd w:val="clear" w:color="auto" w:fill="FFFFFF"/>
            <w:vAlign w:val="center"/>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327DF3" w:rsidRPr="009849F2" w:rsidTr="00324D4E">
        <w:trPr>
          <w:gridAfter w:val="2"/>
          <w:wAfter w:w="1406" w:type="dxa"/>
        </w:trPr>
        <w:tc>
          <w:tcPr>
            <w:tcW w:w="201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2"/>
            <w:tcBorders>
              <w:top w:val="single" w:sz="16" w:space="0" w:color="000000"/>
              <w:left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tcBorders>
              <w:top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3"/>
            <w:tcBorders>
              <w:top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tcBorders>
              <w:top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gridSpan w:val="2"/>
            <w:tcBorders>
              <w:top w:val="single" w:sz="16" w:space="0" w:color="000000"/>
              <w:bottom w:val="single" w:sz="16" w:space="0" w:color="000000"/>
              <w:right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327DF3" w:rsidRPr="009849F2" w:rsidTr="00324D4E">
        <w:trPr>
          <w:gridAfter w:val="2"/>
          <w:wAfter w:w="1406" w:type="dxa"/>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tcBorders>
              <w:top w:val="single" w:sz="16" w:space="0" w:color="000000"/>
              <w:left w:val="nil"/>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2"/>
            <w:tcBorders>
              <w:top w:val="single" w:sz="16" w:space="0" w:color="000000"/>
              <w:left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.026</w:t>
            </w:r>
          </w:p>
        </w:tc>
        <w:tc>
          <w:tcPr>
            <w:tcW w:w="1019" w:type="dxa"/>
            <w:tcBorders>
              <w:top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3"/>
            <w:tcBorders>
              <w:top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020" w:type="dxa"/>
            <w:tcBorders>
              <w:top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4.423</w:t>
            </w:r>
          </w:p>
        </w:tc>
        <w:tc>
          <w:tcPr>
            <w:tcW w:w="1020" w:type="dxa"/>
            <w:gridSpan w:val="2"/>
            <w:tcBorders>
              <w:top w:val="single" w:sz="16" w:space="0" w:color="000000"/>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r w:rsidRPr="009849F2">
              <w:rPr>
                <w:rFonts w:ascii="Arial" w:hAnsi="Arial"/>
                <w:color w:val="000000"/>
                <w:sz w:val="18"/>
                <w:szCs w:val="18"/>
                <w:vertAlign w:val="superscript"/>
              </w:rPr>
              <w:t>a</w:t>
            </w:r>
          </w:p>
        </w:tc>
      </w:tr>
      <w:tr w:rsidR="00327DF3" w:rsidRPr="009849F2" w:rsidTr="00324D4E">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c>
          <w:tcPr>
            <w:tcW w:w="1283" w:type="dxa"/>
            <w:tcBorders>
              <w:top w:val="nil"/>
              <w:left w:val="nil"/>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2"/>
            <w:tcBorders>
              <w:top w:val="nil"/>
              <w:left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1.077</w:t>
            </w:r>
          </w:p>
        </w:tc>
        <w:tc>
          <w:tcPr>
            <w:tcW w:w="1019" w:type="dxa"/>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c>
          <w:tcPr>
            <w:tcW w:w="1411" w:type="dxa"/>
            <w:gridSpan w:val="3"/>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020" w:type="dxa"/>
            <w:tcBorders>
              <w:top w:val="nil"/>
              <w:bottom w:val="nil"/>
            </w:tcBorders>
            <w:shd w:val="clear" w:color="auto" w:fill="FFFFFF"/>
            <w:vAlign w:val="center"/>
          </w:tcPr>
          <w:p w:rsidR="00327DF3" w:rsidRPr="009849F2" w:rsidRDefault="00327DF3" w:rsidP="00324D4E">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nil"/>
              <w:right w:val="single" w:sz="16" w:space="0" w:color="000000"/>
            </w:tcBorders>
            <w:shd w:val="clear" w:color="auto" w:fill="FFFFFF"/>
            <w:vAlign w:val="center"/>
          </w:tcPr>
          <w:p w:rsidR="00327DF3" w:rsidRPr="009849F2" w:rsidRDefault="00327DF3" w:rsidP="00324D4E">
            <w:pPr>
              <w:autoSpaceDE w:val="0"/>
              <w:autoSpaceDN w:val="0"/>
              <w:adjustRightInd w:val="0"/>
              <w:spacing w:after="0" w:line="240" w:lineRule="auto"/>
              <w:jc w:val="center"/>
              <w:rPr>
                <w:rFonts w:ascii="Times New Roman" w:hAnsi="Times New Roman" w:cs="Times New Roman"/>
                <w:sz w:val="24"/>
                <w:szCs w:val="24"/>
              </w:rPr>
            </w:pPr>
          </w:p>
        </w:tc>
      </w:tr>
      <w:tr w:rsidR="00327DF3" w:rsidRPr="009849F2" w:rsidTr="00324D4E">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240" w:lineRule="auto"/>
              <w:rPr>
                <w:rFonts w:ascii="Times New Roman" w:hAnsi="Times New Roman" w:cs="Times New Roman"/>
                <w:sz w:val="24"/>
                <w:szCs w:val="24"/>
              </w:rPr>
            </w:pPr>
          </w:p>
        </w:tc>
        <w:tc>
          <w:tcPr>
            <w:tcW w:w="1283" w:type="dxa"/>
            <w:tcBorders>
              <w:top w:val="nil"/>
              <w:left w:val="nil"/>
              <w:bottom w:val="single" w:sz="16" w:space="0" w:color="000000"/>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2"/>
            <w:tcBorders>
              <w:top w:val="nil"/>
              <w:left w:val="single" w:sz="16" w:space="0" w:color="000000"/>
              <w:bottom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1.103</w:t>
            </w:r>
          </w:p>
        </w:tc>
        <w:tc>
          <w:tcPr>
            <w:tcW w:w="1019" w:type="dxa"/>
            <w:tcBorders>
              <w:top w:val="nil"/>
              <w:bottom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562</w:t>
            </w:r>
          </w:p>
        </w:tc>
        <w:tc>
          <w:tcPr>
            <w:tcW w:w="1411" w:type="dxa"/>
            <w:gridSpan w:val="3"/>
            <w:tcBorders>
              <w:top w:val="nil"/>
              <w:bottom w:val="single" w:sz="16" w:space="0" w:color="000000"/>
            </w:tcBorders>
            <w:shd w:val="clear" w:color="auto" w:fill="FFFFFF"/>
            <w:vAlign w:val="center"/>
          </w:tcPr>
          <w:p w:rsidR="00327DF3" w:rsidRPr="009849F2" w:rsidRDefault="00327DF3" w:rsidP="00324D4E">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tcBorders>
            <w:shd w:val="clear" w:color="auto" w:fill="FFFFFF"/>
            <w:vAlign w:val="center"/>
          </w:tcPr>
          <w:p w:rsidR="00327DF3" w:rsidRPr="009849F2" w:rsidRDefault="00327DF3" w:rsidP="00324D4E">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single" w:sz="16" w:space="0" w:color="000000"/>
              <w:right w:val="single" w:sz="16" w:space="0" w:color="000000"/>
            </w:tcBorders>
            <w:shd w:val="clear" w:color="auto" w:fill="FFFFFF"/>
            <w:vAlign w:val="center"/>
          </w:tcPr>
          <w:p w:rsidR="00327DF3" w:rsidRPr="009849F2" w:rsidRDefault="00327DF3" w:rsidP="00324D4E">
            <w:pPr>
              <w:autoSpaceDE w:val="0"/>
              <w:autoSpaceDN w:val="0"/>
              <w:adjustRightInd w:val="0"/>
              <w:spacing w:after="0" w:line="240" w:lineRule="auto"/>
              <w:jc w:val="center"/>
              <w:rPr>
                <w:rFonts w:ascii="Times New Roman" w:hAnsi="Times New Roman" w:cs="Times New Roman"/>
                <w:sz w:val="24"/>
                <w:szCs w:val="24"/>
              </w:rPr>
            </w:pPr>
          </w:p>
        </w:tc>
      </w:tr>
      <w:tr w:rsidR="00327DF3" w:rsidRPr="0013388B" w:rsidTr="00324D4E">
        <w:trPr>
          <w:gridAfter w:val="2"/>
          <w:wAfter w:w="1406" w:type="dxa"/>
        </w:trPr>
        <w:tc>
          <w:tcPr>
            <w:tcW w:w="7955" w:type="dxa"/>
            <w:gridSpan w:val="11"/>
            <w:tcBorders>
              <w:top w:val="nil"/>
              <w:left w:val="nil"/>
              <w:bottom w:val="nil"/>
              <w:right w:val="nil"/>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lang w:val="en-US"/>
              </w:rPr>
            </w:pPr>
            <w:r w:rsidRPr="009849F2">
              <w:rPr>
                <w:rFonts w:ascii="Arial" w:hAnsi="Arial"/>
                <w:color w:val="000000"/>
                <w:sz w:val="18"/>
                <w:szCs w:val="18"/>
                <w:lang w:val="en-US"/>
              </w:rPr>
              <w:lastRenderedPageBreak/>
              <w:t xml:space="preserve">a. Predictors: (Constant), </w:t>
            </w:r>
            <w:r w:rsidR="00EC19DD">
              <w:rPr>
                <w:rFonts w:ascii="Arial" w:hAnsi="Arial"/>
                <w:color w:val="000000"/>
                <w:sz w:val="18"/>
                <w:szCs w:val="18"/>
                <w:lang w:val="en-US"/>
              </w:rPr>
              <w:t>Country, Accounting Standard, Size</w:t>
            </w:r>
          </w:p>
          <w:p w:rsidR="00327DF3" w:rsidRPr="00EC19DD" w:rsidRDefault="00327DF3" w:rsidP="00324D4E">
            <w:pPr>
              <w:autoSpaceDE w:val="0"/>
              <w:autoSpaceDN w:val="0"/>
              <w:adjustRightInd w:val="0"/>
              <w:spacing w:after="0" w:line="320" w:lineRule="atLeast"/>
              <w:ind w:left="60" w:right="60"/>
              <w:rPr>
                <w:rFonts w:ascii="Arial" w:hAnsi="Arial"/>
                <w:color w:val="000000"/>
                <w:sz w:val="18"/>
                <w:szCs w:val="18"/>
                <w:lang w:val="en-GB"/>
              </w:rPr>
            </w:pPr>
            <w:r w:rsidRPr="00EC19DD">
              <w:rPr>
                <w:rFonts w:ascii="Arial" w:hAnsi="Arial"/>
                <w:color w:val="000000"/>
                <w:sz w:val="18"/>
                <w:szCs w:val="18"/>
                <w:lang w:val="en-GB"/>
              </w:rPr>
              <w:t xml:space="preserve">b. Dependent Variable: </w:t>
            </w:r>
            <w:r w:rsidR="00EC19DD" w:rsidRPr="00EC19DD">
              <w:rPr>
                <w:rFonts w:ascii="Arial" w:hAnsi="Arial"/>
                <w:color w:val="000000"/>
                <w:sz w:val="18"/>
                <w:szCs w:val="18"/>
                <w:lang w:val="en-GB"/>
              </w:rPr>
              <w:t>Cash Flow from Operations</w:t>
            </w:r>
          </w:p>
          <w:p w:rsidR="00327DF3" w:rsidRPr="00EC19DD" w:rsidRDefault="00327DF3" w:rsidP="00324D4E">
            <w:pPr>
              <w:autoSpaceDE w:val="0"/>
              <w:autoSpaceDN w:val="0"/>
              <w:adjustRightInd w:val="0"/>
              <w:spacing w:after="0" w:line="320" w:lineRule="atLeast"/>
              <w:ind w:left="60" w:right="60"/>
              <w:rPr>
                <w:rFonts w:ascii="Arial" w:hAnsi="Arial"/>
                <w:color w:val="000000"/>
                <w:sz w:val="18"/>
                <w:szCs w:val="18"/>
                <w:lang w:val="en-GB"/>
              </w:rPr>
            </w:pPr>
          </w:p>
        </w:tc>
      </w:tr>
      <w:tr w:rsidR="00327DF3" w:rsidRPr="009849F2" w:rsidTr="00324D4E">
        <w:tc>
          <w:tcPr>
            <w:tcW w:w="9361" w:type="dxa"/>
            <w:gridSpan w:val="13"/>
            <w:tcBorders>
              <w:top w:val="nil"/>
              <w:left w:val="nil"/>
              <w:bottom w:val="nil"/>
              <w:right w:val="nil"/>
            </w:tcBorders>
            <w:shd w:val="clear" w:color="auto" w:fill="FFFFFF"/>
            <w:vAlign w:val="center"/>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lang w:val="en-US"/>
              </w:rPr>
            </w:pPr>
            <w:r w:rsidRPr="009849F2">
              <w:rPr>
                <w:rFonts w:ascii="Arial" w:hAnsi="Arial"/>
                <w:b/>
                <w:bCs/>
                <w:color w:val="000000"/>
                <w:sz w:val="18"/>
                <w:szCs w:val="18"/>
                <w:lang w:val="en-US"/>
              </w:rPr>
              <w:t>Coefficients</w:t>
            </w:r>
            <w:r w:rsidRPr="009849F2">
              <w:rPr>
                <w:rFonts w:ascii="Arial" w:hAnsi="Arial"/>
                <w:b/>
                <w:bCs/>
                <w:color w:val="000000"/>
                <w:sz w:val="18"/>
                <w:szCs w:val="18"/>
                <w:vertAlign w:val="superscript"/>
                <w:lang w:val="en-US"/>
              </w:rPr>
              <w:t>a</w:t>
            </w:r>
          </w:p>
        </w:tc>
      </w:tr>
      <w:tr w:rsidR="00327DF3" w:rsidRPr="009849F2" w:rsidTr="00324D4E">
        <w:tc>
          <w:tcPr>
            <w:tcW w:w="3182"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lang w:val="en-US"/>
              </w:rPr>
            </w:pPr>
            <w:r w:rsidRPr="009849F2">
              <w:rPr>
                <w:rFonts w:ascii="Arial" w:hAnsi="Arial"/>
                <w:color w:val="000000"/>
                <w:sz w:val="18"/>
                <w:szCs w:val="18"/>
                <w:lang w:val="en-US"/>
              </w:rPr>
              <w:t>Model</w:t>
            </w:r>
          </w:p>
        </w:tc>
        <w:tc>
          <w:tcPr>
            <w:tcW w:w="2672" w:type="dxa"/>
            <w:gridSpan w:val="4"/>
            <w:tcBorders>
              <w:top w:val="single" w:sz="16" w:space="0" w:color="000000"/>
              <w:left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lang w:val="en-US"/>
              </w:rPr>
            </w:pPr>
            <w:r w:rsidRPr="009849F2">
              <w:rPr>
                <w:rFonts w:ascii="Arial" w:hAnsi="Arial"/>
                <w:color w:val="000000"/>
                <w:sz w:val="18"/>
                <w:szCs w:val="18"/>
                <w:lang w:val="en-US"/>
              </w:rPr>
              <w:t>Unstandardized Coefficients</w:t>
            </w:r>
          </w:p>
        </w:tc>
        <w:tc>
          <w:tcPr>
            <w:tcW w:w="1469" w:type="dxa"/>
            <w:gridSpan w:val="3"/>
            <w:tcBorders>
              <w:top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lang w:val="en-US"/>
              </w:rPr>
              <w:t>Stand</w:t>
            </w:r>
            <w:r w:rsidRPr="009849F2">
              <w:rPr>
                <w:rFonts w:ascii="Arial" w:hAnsi="Arial"/>
                <w:color w:val="000000"/>
                <w:sz w:val="18"/>
                <w:szCs w:val="18"/>
              </w:rPr>
              <w:t>ardized Coefficients</w:t>
            </w:r>
          </w:p>
        </w:tc>
        <w:tc>
          <w:tcPr>
            <w:tcW w:w="1019" w:type="dxa"/>
            <w:gridSpan w:val="2"/>
            <w:vMerge w:val="restart"/>
            <w:tcBorders>
              <w:top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327DF3" w:rsidRPr="009849F2" w:rsidTr="00324D4E">
        <w:tc>
          <w:tcPr>
            <w:tcW w:w="3182"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c>
          <w:tcPr>
            <w:tcW w:w="1337" w:type="dxa"/>
            <w:gridSpan w:val="3"/>
            <w:tcBorders>
              <w:left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tcBorders>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3"/>
            <w:tcBorders>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gridSpan w:val="2"/>
            <w:vMerge/>
            <w:tcBorders>
              <w:top w:val="single" w:sz="16" w:space="0" w:color="000000"/>
              <w:bottom w:val="single" w:sz="16" w:space="0" w:color="000000"/>
            </w:tcBorders>
            <w:shd w:val="clear" w:color="auto" w:fill="FFFFFF"/>
            <w:vAlign w:val="bottom"/>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r>
      <w:tr w:rsidR="00327DF3" w:rsidRPr="009849F2" w:rsidTr="00324D4E">
        <w:tc>
          <w:tcPr>
            <w:tcW w:w="734" w:type="dxa"/>
            <w:vMerge w:val="restart"/>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2"/>
            <w:tcBorders>
              <w:top w:val="single" w:sz="16" w:space="0" w:color="000000"/>
              <w:left w:val="nil"/>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3"/>
            <w:tcBorders>
              <w:top w:val="single" w:sz="16" w:space="0" w:color="000000"/>
              <w:left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.059</w:t>
            </w:r>
          </w:p>
        </w:tc>
        <w:tc>
          <w:tcPr>
            <w:tcW w:w="1335" w:type="dxa"/>
            <w:tcBorders>
              <w:top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3"/>
            <w:tcBorders>
              <w:top w:val="single" w:sz="16" w:space="0" w:color="000000"/>
              <w:bottom w:val="nil"/>
            </w:tcBorders>
            <w:shd w:val="clear" w:color="auto" w:fill="FFFFFF"/>
            <w:vAlign w:val="center"/>
          </w:tcPr>
          <w:p w:rsidR="00327DF3" w:rsidRPr="009849F2" w:rsidRDefault="00327DF3" w:rsidP="00324D4E">
            <w:pPr>
              <w:autoSpaceDE w:val="0"/>
              <w:autoSpaceDN w:val="0"/>
              <w:adjustRightInd w:val="0"/>
              <w:spacing w:after="0" w:line="240" w:lineRule="auto"/>
              <w:jc w:val="center"/>
              <w:rPr>
                <w:rFonts w:ascii="Times New Roman" w:hAnsi="Times New Roman" w:cs="Times New Roman"/>
                <w:sz w:val="24"/>
                <w:szCs w:val="24"/>
              </w:rPr>
            </w:pPr>
          </w:p>
        </w:tc>
        <w:tc>
          <w:tcPr>
            <w:tcW w:w="1019" w:type="dxa"/>
            <w:gridSpan w:val="2"/>
            <w:tcBorders>
              <w:top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16.309</w:t>
            </w:r>
          </w:p>
        </w:tc>
        <w:tc>
          <w:tcPr>
            <w:tcW w:w="1019" w:type="dxa"/>
            <w:tcBorders>
              <w:top w:val="single" w:sz="16" w:space="0" w:color="000000"/>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327DF3" w:rsidRPr="009849F2" w:rsidTr="00324D4E">
        <w:tc>
          <w:tcPr>
            <w:tcW w:w="734" w:type="dxa"/>
            <w:vMerge/>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327DF3" w:rsidRPr="009849F2" w:rsidRDefault="00EC19DD" w:rsidP="00324D4E">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3"/>
            <w:tcBorders>
              <w:top w:val="nil"/>
              <w:left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335" w:type="dxa"/>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3"/>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-.041</w:t>
            </w:r>
          </w:p>
        </w:tc>
        <w:tc>
          <w:tcPr>
            <w:tcW w:w="1019" w:type="dxa"/>
            <w:gridSpan w:val="2"/>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-.980</w:t>
            </w:r>
          </w:p>
        </w:tc>
        <w:tc>
          <w:tcPr>
            <w:tcW w:w="1019" w:type="dxa"/>
            <w:tcBorders>
              <w:top w:val="nil"/>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.328</w:t>
            </w:r>
          </w:p>
        </w:tc>
      </w:tr>
      <w:tr w:rsidR="00327DF3" w:rsidRPr="009849F2" w:rsidTr="00324D4E">
        <w:tc>
          <w:tcPr>
            <w:tcW w:w="734" w:type="dxa"/>
            <w:vMerge/>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327DF3" w:rsidRPr="009849F2" w:rsidRDefault="00EC19DD" w:rsidP="00324D4E">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3"/>
            <w:tcBorders>
              <w:top w:val="nil"/>
              <w:left w:val="single" w:sz="16" w:space="0" w:color="000000"/>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335" w:type="dxa"/>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3"/>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-.027</w:t>
            </w:r>
          </w:p>
        </w:tc>
        <w:tc>
          <w:tcPr>
            <w:tcW w:w="1019" w:type="dxa"/>
            <w:gridSpan w:val="2"/>
            <w:tcBorders>
              <w:top w:val="nil"/>
              <w:bottom w:val="nil"/>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-.642</w:t>
            </w:r>
          </w:p>
        </w:tc>
        <w:tc>
          <w:tcPr>
            <w:tcW w:w="1019" w:type="dxa"/>
            <w:tcBorders>
              <w:top w:val="nil"/>
              <w:bottom w:val="nil"/>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.521</w:t>
            </w:r>
          </w:p>
        </w:tc>
      </w:tr>
      <w:tr w:rsidR="00327DF3" w:rsidRPr="009849F2" w:rsidTr="00324D4E">
        <w:tc>
          <w:tcPr>
            <w:tcW w:w="734" w:type="dxa"/>
            <w:vMerge/>
            <w:tcBorders>
              <w:top w:val="single" w:sz="16" w:space="0" w:color="000000"/>
              <w:left w:val="single" w:sz="16" w:space="0" w:color="000000"/>
              <w:bottom w:val="single" w:sz="16" w:space="0" w:color="000000"/>
              <w:right w:val="nil"/>
            </w:tcBorders>
            <w:shd w:val="clear" w:color="auto" w:fill="FFFFFF"/>
          </w:tcPr>
          <w:p w:rsidR="00327DF3" w:rsidRPr="009849F2" w:rsidRDefault="00327DF3" w:rsidP="00324D4E">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single" w:sz="16" w:space="0" w:color="000000"/>
              <w:right w:val="single" w:sz="16" w:space="0" w:color="000000"/>
            </w:tcBorders>
            <w:shd w:val="clear" w:color="auto" w:fill="FFFFFF"/>
          </w:tcPr>
          <w:p w:rsidR="00327DF3" w:rsidRPr="009849F2" w:rsidRDefault="00EC19DD" w:rsidP="00324D4E">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3"/>
            <w:tcBorders>
              <w:top w:val="nil"/>
              <w:left w:val="single" w:sz="16" w:space="0" w:color="000000"/>
              <w:bottom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-.012</w:t>
            </w:r>
          </w:p>
        </w:tc>
        <w:tc>
          <w:tcPr>
            <w:tcW w:w="1335" w:type="dxa"/>
            <w:tcBorders>
              <w:top w:val="nil"/>
              <w:bottom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3"/>
            <w:tcBorders>
              <w:top w:val="nil"/>
              <w:bottom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-.140</w:t>
            </w:r>
          </w:p>
        </w:tc>
        <w:tc>
          <w:tcPr>
            <w:tcW w:w="1019" w:type="dxa"/>
            <w:gridSpan w:val="2"/>
            <w:tcBorders>
              <w:top w:val="nil"/>
              <w:bottom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-3.326</w:t>
            </w:r>
          </w:p>
        </w:tc>
        <w:tc>
          <w:tcPr>
            <w:tcW w:w="1019" w:type="dxa"/>
            <w:tcBorders>
              <w:top w:val="nil"/>
              <w:bottom w:val="single" w:sz="16" w:space="0" w:color="000000"/>
              <w:right w:val="single" w:sz="16" w:space="0" w:color="000000"/>
            </w:tcBorders>
            <w:shd w:val="clear" w:color="auto" w:fill="FFFFFF"/>
          </w:tcPr>
          <w:p w:rsidR="00327DF3" w:rsidRPr="009849F2" w:rsidRDefault="00327DF3" w:rsidP="00324D4E">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.001</w:t>
            </w:r>
          </w:p>
        </w:tc>
      </w:tr>
      <w:tr w:rsidR="00327DF3" w:rsidRPr="0013388B" w:rsidTr="00324D4E">
        <w:tc>
          <w:tcPr>
            <w:tcW w:w="9361" w:type="dxa"/>
            <w:gridSpan w:val="13"/>
            <w:tcBorders>
              <w:top w:val="nil"/>
              <w:left w:val="nil"/>
              <w:bottom w:val="nil"/>
              <w:right w:val="nil"/>
            </w:tcBorders>
            <w:shd w:val="clear" w:color="auto" w:fill="FFFFFF"/>
          </w:tcPr>
          <w:p w:rsidR="00327DF3" w:rsidRPr="00EC19DD" w:rsidRDefault="00327DF3" w:rsidP="00324D4E">
            <w:pPr>
              <w:autoSpaceDE w:val="0"/>
              <w:autoSpaceDN w:val="0"/>
              <w:adjustRightInd w:val="0"/>
              <w:spacing w:after="0" w:line="320" w:lineRule="atLeast"/>
              <w:ind w:left="60" w:right="60"/>
              <w:rPr>
                <w:rFonts w:ascii="Arial" w:hAnsi="Arial"/>
                <w:color w:val="000000"/>
                <w:sz w:val="18"/>
                <w:szCs w:val="18"/>
                <w:lang w:val="en-GB"/>
              </w:rPr>
            </w:pPr>
            <w:r w:rsidRPr="00EC19DD">
              <w:rPr>
                <w:rFonts w:ascii="Arial" w:hAnsi="Arial"/>
                <w:color w:val="000000"/>
                <w:sz w:val="18"/>
                <w:szCs w:val="18"/>
                <w:lang w:val="en-GB"/>
              </w:rPr>
              <w:t xml:space="preserve">a. Dependent Variable: </w:t>
            </w:r>
            <w:r w:rsidR="00EC19DD" w:rsidRPr="00EC19DD">
              <w:rPr>
                <w:rFonts w:ascii="Arial" w:hAnsi="Arial"/>
                <w:color w:val="000000"/>
                <w:sz w:val="18"/>
                <w:szCs w:val="18"/>
                <w:lang w:val="en-GB"/>
              </w:rPr>
              <w:t>Cash Flow f</w:t>
            </w:r>
            <w:r w:rsidR="00EC19DD">
              <w:rPr>
                <w:rFonts w:ascii="Arial" w:hAnsi="Arial"/>
                <w:color w:val="000000"/>
                <w:sz w:val="18"/>
                <w:szCs w:val="18"/>
                <w:lang w:val="en-GB"/>
              </w:rPr>
              <w:t>rom Operations</w:t>
            </w:r>
          </w:p>
          <w:p w:rsidR="00327DF3" w:rsidRPr="00EC19DD" w:rsidRDefault="00327DF3" w:rsidP="00324D4E">
            <w:pPr>
              <w:autoSpaceDE w:val="0"/>
              <w:autoSpaceDN w:val="0"/>
              <w:adjustRightInd w:val="0"/>
              <w:spacing w:after="0" w:line="320" w:lineRule="atLeast"/>
              <w:ind w:left="60" w:right="60"/>
              <w:rPr>
                <w:rFonts w:ascii="Arial" w:hAnsi="Arial"/>
                <w:color w:val="000000"/>
                <w:sz w:val="18"/>
                <w:szCs w:val="18"/>
                <w:lang w:val="en-GB"/>
              </w:rPr>
            </w:pPr>
          </w:p>
        </w:tc>
      </w:tr>
    </w:tbl>
    <w:p w:rsidR="00A84C17" w:rsidRDefault="00324D4E" w:rsidP="002A5076">
      <w:pPr>
        <w:spacing w:line="360" w:lineRule="auto"/>
        <w:rPr>
          <w:b/>
          <w:lang w:val="en-US"/>
        </w:rPr>
      </w:pPr>
      <w:r w:rsidRPr="00AD78B0">
        <w:rPr>
          <w:lang w:val="en-US"/>
        </w:rPr>
        <w:t>In order to determine the significance of both the model a</w:t>
      </w:r>
      <w:r w:rsidR="00163906">
        <w:rPr>
          <w:lang w:val="en-US"/>
        </w:rPr>
        <w:t>nd</w:t>
      </w:r>
      <w:r w:rsidRPr="00AD78B0">
        <w:rPr>
          <w:lang w:val="en-US"/>
        </w:rPr>
        <w:t xml:space="preserve"> the coefficients of the independent variables, the tables ANOVA and Coefficients </w:t>
      </w:r>
      <w:r w:rsidR="00163906">
        <w:rPr>
          <w:lang w:val="en-US"/>
        </w:rPr>
        <w:t xml:space="preserve">in this section will be </w:t>
      </w:r>
      <w:r w:rsidR="00FD57D0">
        <w:rPr>
          <w:lang w:val="en-US"/>
        </w:rPr>
        <w:t>commented</w:t>
      </w:r>
      <w:r w:rsidRPr="00AD78B0">
        <w:rPr>
          <w:lang w:val="en-US"/>
        </w:rPr>
        <w:t xml:space="preserve">. The ANOVA table shows that the test with </w:t>
      </w:r>
      <w:r w:rsidR="00163906">
        <w:rPr>
          <w:lang w:val="en-US"/>
        </w:rPr>
        <w:t xml:space="preserve">the </w:t>
      </w:r>
      <w:r w:rsidRPr="00AD78B0">
        <w:rPr>
          <w:lang w:val="en-US"/>
        </w:rPr>
        <w:t xml:space="preserve">Cash Flow from Operations as dependent variable is significant (0.004). </w:t>
      </w:r>
      <w:r w:rsidR="00A84C17" w:rsidRPr="00AD78B0">
        <w:rPr>
          <w:lang w:val="en-US"/>
        </w:rPr>
        <w:t>The Coefficients table show</w:t>
      </w:r>
      <w:r w:rsidR="00374952">
        <w:rPr>
          <w:lang w:val="en-US"/>
        </w:rPr>
        <w:t>s</w:t>
      </w:r>
      <w:r w:rsidR="00A84C17" w:rsidRPr="00AD78B0">
        <w:rPr>
          <w:lang w:val="en-US"/>
        </w:rPr>
        <w:t xml:space="preserve"> that</w:t>
      </w:r>
      <w:r w:rsidR="00826A3F">
        <w:rPr>
          <w:lang w:val="en-US"/>
        </w:rPr>
        <w:t xml:space="preserve"> only the independent variable s</w:t>
      </w:r>
      <w:r w:rsidR="00A84C17" w:rsidRPr="00AD78B0">
        <w:rPr>
          <w:lang w:val="en-US"/>
        </w:rPr>
        <w:t>ize has a significant influence (0.001) on the Cash Flow of Operations. The resu</w:t>
      </w:r>
      <w:r w:rsidR="00826A3F">
        <w:rPr>
          <w:lang w:val="en-US"/>
        </w:rPr>
        <w:t>lts of the two other variables, country and a</w:t>
      </w:r>
      <w:r w:rsidR="00A84C17" w:rsidRPr="00AD78B0">
        <w:rPr>
          <w:lang w:val="en-US"/>
        </w:rPr>
        <w:t xml:space="preserve">ccounting </w:t>
      </w:r>
      <w:r w:rsidR="00826A3F">
        <w:rPr>
          <w:lang w:val="en-US"/>
        </w:rPr>
        <w:t>s</w:t>
      </w:r>
      <w:r w:rsidR="00A84C17" w:rsidRPr="00AD78B0">
        <w:rPr>
          <w:lang w:val="en-US"/>
        </w:rPr>
        <w:t>tandard</w:t>
      </w:r>
      <w:r w:rsidR="00826A3F">
        <w:rPr>
          <w:lang w:val="en-US"/>
        </w:rPr>
        <w:t>,</w:t>
      </w:r>
      <w:r w:rsidR="00A84C17" w:rsidRPr="00AD78B0">
        <w:rPr>
          <w:lang w:val="en-US"/>
        </w:rPr>
        <w:t xml:space="preserve"> show no significant differences. </w:t>
      </w:r>
      <w:r w:rsidR="00163906">
        <w:rPr>
          <w:lang w:val="en-US"/>
        </w:rPr>
        <w:t>Investigating</w:t>
      </w:r>
      <w:r w:rsidR="00A84C17" w:rsidRPr="00AD78B0">
        <w:rPr>
          <w:lang w:val="en-US"/>
        </w:rPr>
        <w:t xml:space="preserve"> these results for hypothesis 2, no</w:t>
      </w:r>
      <w:r w:rsidR="00A84C17">
        <w:rPr>
          <w:b/>
          <w:lang w:val="en-US"/>
        </w:rPr>
        <w:t xml:space="preserve"> </w:t>
      </w:r>
      <w:r w:rsidR="00A84C17" w:rsidRPr="00AD78B0">
        <w:rPr>
          <w:lang w:val="en-US"/>
        </w:rPr>
        <w:t>significant difference</w:t>
      </w:r>
      <w:r w:rsidR="00163906">
        <w:rPr>
          <w:lang w:val="en-US"/>
        </w:rPr>
        <w:t xml:space="preserve"> exists</w:t>
      </w:r>
      <w:r w:rsidR="00A84C17" w:rsidRPr="00AD78B0">
        <w:rPr>
          <w:lang w:val="en-US"/>
        </w:rPr>
        <w:t xml:space="preserve"> in the amount of Cash Flow of Operations </w:t>
      </w:r>
      <w:r w:rsidR="00163906">
        <w:rPr>
          <w:lang w:val="en-US"/>
        </w:rPr>
        <w:t xml:space="preserve">comparing to </w:t>
      </w:r>
      <w:r w:rsidR="00AD78B0">
        <w:rPr>
          <w:lang w:val="en-US"/>
        </w:rPr>
        <w:t xml:space="preserve">local GAAP </w:t>
      </w:r>
      <w:r w:rsidR="00374952">
        <w:rPr>
          <w:lang w:val="en-US"/>
        </w:rPr>
        <w:t>and</w:t>
      </w:r>
      <w:r w:rsidR="00AD78B0">
        <w:rPr>
          <w:lang w:val="en-US"/>
        </w:rPr>
        <w:t xml:space="preserve"> IFRS.</w:t>
      </w:r>
    </w:p>
    <w:p w:rsidR="00A84C17" w:rsidRPr="00EC19DD" w:rsidRDefault="00EC19DD" w:rsidP="002A5076">
      <w:pPr>
        <w:spacing w:line="360" w:lineRule="auto"/>
        <w:rPr>
          <w:b/>
          <w:u w:val="single"/>
          <w:lang w:val="en-US"/>
        </w:rPr>
      </w:pPr>
      <w:r w:rsidRPr="00EC19DD">
        <w:rPr>
          <w:b/>
          <w:u w:val="single"/>
          <w:lang w:val="en-US"/>
        </w:rPr>
        <w:t>Costs of Goods Sold</w:t>
      </w: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3"/>
        <w:gridCol w:w="1165"/>
        <w:gridCol w:w="304"/>
        <w:gridCol w:w="1019"/>
        <w:gridCol w:w="14"/>
        <w:gridCol w:w="1335"/>
        <w:gridCol w:w="62"/>
        <w:gridCol w:w="1020"/>
        <w:gridCol w:w="387"/>
        <w:gridCol w:w="633"/>
        <w:gridCol w:w="386"/>
        <w:gridCol w:w="1020"/>
      </w:tblGrid>
      <w:tr w:rsidR="00EC19DD" w:rsidRPr="009849F2" w:rsidTr="00104FB7">
        <w:trPr>
          <w:gridAfter w:val="2"/>
          <w:wAfter w:w="1406" w:type="dxa"/>
        </w:trPr>
        <w:tc>
          <w:tcPr>
            <w:tcW w:w="7955" w:type="dxa"/>
            <w:gridSpan w:val="11"/>
            <w:tcBorders>
              <w:top w:val="nil"/>
              <w:left w:val="nil"/>
              <w:bottom w:val="nil"/>
              <w:right w:val="nil"/>
            </w:tcBorders>
            <w:shd w:val="clear" w:color="auto" w:fill="FFFFFF"/>
            <w:vAlign w:val="center"/>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EC19DD" w:rsidRPr="009849F2" w:rsidTr="00104FB7">
        <w:trPr>
          <w:gridAfter w:val="2"/>
          <w:wAfter w:w="1406" w:type="dxa"/>
        </w:trPr>
        <w:tc>
          <w:tcPr>
            <w:tcW w:w="201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2"/>
            <w:tcBorders>
              <w:top w:val="single" w:sz="16" w:space="0" w:color="000000"/>
              <w:left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tcBorders>
              <w:top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3"/>
            <w:tcBorders>
              <w:top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tcBorders>
              <w:top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gridSpan w:val="2"/>
            <w:tcBorders>
              <w:top w:val="single" w:sz="16" w:space="0" w:color="000000"/>
              <w:bottom w:val="single" w:sz="16" w:space="0" w:color="000000"/>
              <w:right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EC19DD" w:rsidRPr="009849F2" w:rsidTr="00104FB7">
        <w:trPr>
          <w:gridAfter w:val="2"/>
          <w:wAfter w:w="1406" w:type="dxa"/>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tcBorders>
              <w:top w:val="single" w:sz="16" w:space="0" w:color="000000"/>
              <w:left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2"/>
            <w:tcBorders>
              <w:top w:val="single" w:sz="16" w:space="0" w:color="000000"/>
              <w:left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.037</w:t>
            </w:r>
          </w:p>
        </w:tc>
        <w:tc>
          <w:tcPr>
            <w:tcW w:w="1019" w:type="dxa"/>
            <w:tcBorders>
              <w:top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3"/>
            <w:tcBorders>
              <w:top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.012</w:t>
            </w:r>
          </w:p>
        </w:tc>
        <w:tc>
          <w:tcPr>
            <w:tcW w:w="1020" w:type="dxa"/>
            <w:tcBorders>
              <w:top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1.046</w:t>
            </w:r>
          </w:p>
        </w:tc>
        <w:tc>
          <w:tcPr>
            <w:tcW w:w="1020" w:type="dxa"/>
            <w:gridSpan w:val="2"/>
            <w:tcBorders>
              <w:top w:val="single" w:sz="16" w:space="0" w:color="000000"/>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.372</w:t>
            </w:r>
            <w:r w:rsidRPr="009849F2">
              <w:rPr>
                <w:rFonts w:ascii="Arial" w:hAnsi="Arial"/>
                <w:color w:val="000000"/>
                <w:sz w:val="18"/>
                <w:szCs w:val="18"/>
                <w:vertAlign w:val="superscript"/>
              </w:rPr>
              <w:t>a</w:t>
            </w:r>
          </w:p>
        </w:tc>
      </w:tr>
      <w:tr w:rsidR="00EC19DD" w:rsidRPr="009849F2" w:rsidTr="00104FB7">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c>
          <w:tcPr>
            <w:tcW w:w="1283" w:type="dxa"/>
            <w:tcBorders>
              <w:top w:val="nil"/>
              <w:left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2"/>
            <w:tcBorders>
              <w:top w:val="nil"/>
              <w:left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6.566</w:t>
            </w:r>
          </w:p>
        </w:tc>
        <w:tc>
          <w:tcPr>
            <w:tcW w:w="1019" w:type="dxa"/>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554</w:t>
            </w:r>
          </w:p>
        </w:tc>
        <w:tc>
          <w:tcPr>
            <w:tcW w:w="1411" w:type="dxa"/>
            <w:gridSpan w:val="3"/>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.012</w:t>
            </w:r>
          </w:p>
        </w:tc>
        <w:tc>
          <w:tcPr>
            <w:tcW w:w="1020" w:type="dxa"/>
            <w:tcBorders>
              <w:top w:val="nil"/>
              <w:bottom w:val="nil"/>
            </w:tcBorders>
            <w:shd w:val="clear" w:color="auto" w:fill="FFFFFF"/>
            <w:vAlign w:val="center"/>
          </w:tcPr>
          <w:p w:rsidR="00EC19DD" w:rsidRPr="009849F2" w:rsidRDefault="00EC19DD" w:rsidP="005D05CB">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nil"/>
              <w:right w:val="single" w:sz="16" w:space="0" w:color="000000"/>
            </w:tcBorders>
            <w:shd w:val="clear" w:color="auto" w:fill="FFFFFF"/>
            <w:vAlign w:val="center"/>
          </w:tcPr>
          <w:p w:rsidR="00EC19DD" w:rsidRPr="009849F2" w:rsidRDefault="00EC19DD" w:rsidP="005D05CB">
            <w:pPr>
              <w:autoSpaceDE w:val="0"/>
              <w:autoSpaceDN w:val="0"/>
              <w:adjustRightInd w:val="0"/>
              <w:spacing w:after="0" w:line="240" w:lineRule="auto"/>
              <w:jc w:val="center"/>
              <w:rPr>
                <w:rFonts w:ascii="Times New Roman" w:hAnsi="Times New Roman" w:cs="Times New Roman"/>
                <w:sz w:val="24"/>
                <w:szCs w:val="24"/>
              </w:rPr>
            </w:pPr>
          </w:p>
        </w:tc>
      </w:tr>
      <w:tr w:rsidR="00EC19DD" w:rsidRPr="009849F2" w:rsidTr="00104FB7">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240" w:lineRule="auto"/>
              <w:rPr>
                <w:rFonts w:ascii="Times New Roman" w:hAnsi="Times New Roman" w:cs="Times New Roman"/>
                <w:sz w:val="24"/>
                <w:szCs w:val="24"/>
              </w:rPr>
            </w:pPr>
          </w:p>
        </w:tc>
        <w:tc>
          <w:tcPr>
            <w:tcW w:w="1283" w:type="dxa"/>
            <w:tcBorders>
              <w:top w:val="nil"/>
              <w:left w:val="nil"/>
              <w:bottom w:val="single" w:sz="16" w:space="0" w:color="000000"/>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2"/>
            <w:tcBorders>
              <w:top w:val="nil"/>
              <w:left w:val="single" w:sz="16" w:space="0" w:color="000000"/>
              <w:bottom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6.603</w:t>
            </w:r>
          </w:p>
        </w:tc>
        <w:tc>
          <w:tcPr>
            <w:tcW w:w="1019" w:type="dxa"/>
            <w:tcBorders>
              <w:top w:val="nil"/>
              <w:bottom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557</w:t>
            </w:r>
          </w:p>
        </w:tc>
        <w:tc>
          <w:tcPr>
            <w:tcW w:w="1411" w:type="dxa"/>
            <w:gridSpan w:val="3"/>
            <w:tcBorders>
              <w:top w:val="nil"/>
              <w:bottom w:val="single" w:sz="16" w:space="0" w:color="000000"/>
            </w:tcBorders>
            <w:shd w:val="clear" w:color="auto" w:fill="FFFFFF"/>
            <w:vAlign w:val="center"/>
          </w:tcPr>
          <w:p w:rsidR="00EC19DD" w:rsidRPr="009849F2" w:rsidRDefault="00EC19DD" w:rsidP="005D05CB">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tcBorders>
            <w:shd w:val="clear" w:color="auto" w:fill="FFFFFF"/>
            <w:vAlign w:val="center"/>
          </w:tcPr>
          <w:p w:rsidR="00EC19DD" w:rsidRPr="009849F2" w:rsidRDefault="00EC19DD" w:rsidP="005D05CB">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single" w:sz="16" w:space="0" w:color="000000"/>
              <w:right w:val="single" w:sz="16" w:space="0" w:color="000000"/>
            </w:tcBorders>
            <w:shd w:val="clear" w:color="auto" w:fill="FFFFFF"/>
            <w:vAlign w:val="center"/>
          </w:tcPr>
          <w:p w:rsidR="00EC19DD" w:rsidRPr="009849F2" w:rsidRDefault="00EC19DD" w:rsidP="005D05CB">
            <w:pPr>
              <w:autoSpaceDE w:val="0"/>
              <w:autoSpaceDN w:val="0"/>
              <w:adjustRightInd w:val="0"/>
              <w:spacing w:after="0" w:line="240" w:lineRule="auto"/>
              <w:jc w:val="center"/>
              <w:rPr>
                <w:rFonts w:ascii="Times New Roman" w:hAnsi="Times New Roman" w:cs="Times New Roman"/>
                <w:sz w:val="24"/>
                <w:szCs w:val="24"/>
              </w:rPr>
            </w:pPr>
          </w:p>
        </w:tc>
      </w:tr>
      <w:tr w:rsidR="00EC19DD" w:rsidRPr="0013388B" w:rsidTr="00104FB7">
        <w:trPr>
          <w:gridAfter w:val="2"/>
          <w:wAfter w:w="1406" w:type="dxa"/>
        </w:trPr>
        <w:tc>
          <w:tcPr>
            <w:tcW w:w="7955" w:type="dxa"/>
            <w:gridSpan w:val="11"/>
            <w:tcBorders>
              <w:top w:val="nil"/>
              <w:left w:val="nil"/>
              <w:bottom w:val="nil"/>
              <w:right w:val="nil"/>
            </w:tcBorders>
            <w:shd w:val="clear" w:color="auto" w:fill="FFFFFF"/>
          </w:tcPr>
          <w:p w:rsidR="00EC19DD" w:rsidRPr="00EC19DD" w:rsidRDefault="00EC19DD" w:rsidP="005D05CB">
            <w:pPr>
              <w:autoSpaceDE w:val="0"/>
              <w:autoSpaceDN w:val="0"/>
              <w:adjustRightInd w:val="0"/>
              <w:spacing w:after="0" w:line="320" w:lineRule="atLeast"/>
              <w:ind w:left="60" w:right="60"/>
              <w:rPr>
                <w:rFonts w:ascii="Arial" w:hAnsi="Arial"/>
                <w:color w:val="000000"/>
                <w:sz w:val="18"/>
                <w:szCs w:val="18"/>
                <w:lang w:val="en-GB"/>
              </w:rPr>
            </w:pPr>
            <w:r w:rsidRPr="00EC19DD">
              <w:rPr>
                <w:rFonts w:ascii="Arial" w:hAnsi="Arial"/>
                <w:color w:val="000000"/>
                <w:sz w:val="18"/>
                <w:szCs w:val="18"/>
                <w:lang w:val="en-GB"/>
              </w:rPr>
              <w:t xml:space="preserve">a. Predictors: (Constant), </w:t>
            </w:r>
            <w:r>
              <w:rPr>
                <w:rFonts w:ascii="Arial" w:hAnsi="Arial"/>
                <w:color w:val="000000"/>
                <w:sz w:val="18"/>
                <w:szCs w:val="18"/>
                <w:lang w:val="en-GB"/>
              </w:rPr>
              <w:t>Country, Accounting Standard, Size</w:t>
            </w:r>
          </w:p>
          <w:p w:rsidR="00EC19DD" w:rsidRDefault="00EC19DD" w:rsidP="005D05CB">
            <w:pPr>
              <w:autoSpaceDE w:val="0"/>
              <w:autoSpaceDN w:val="0"/>
              <w:adjustRightInd w:val="0"/>
              <w:spacing w:after="0" w:line="320" w:lineRule="atLeast"/>
              <w:ind w:left="60" w:right="60"/>
              <w:rPr>
                <w:rFonts w:ascii="Arial" w:hAnsi="Arial"/>
                <w:color w:val="000000"/>
                <w:sz w:val="18"/>
                <w:szCs w:val="18"/>
                <w:lang w:val="en-GB"/>
              </w:rPr>
            </w:pPr>
            <w:r w:rsidRPr="00EC19DD">
              <w:rPr>
                <w:rFonts w:ascii="Arial" w:hAnsi="Arial"/>
                <w:color w:val="000000"/>
                <w:sz w:val="18"/>
                <w:szCs w:val="18"/>
                <w:lang w:val="en-GB"/>
              </w:rPr>
              <w:t>b. Dependent Variable: Costs of Goods Sold</w:t>
            </w:r>
          </w:p>
          <w:p w:rsidR="00EC19DD" w:rsidRPr="00EC19DD" w:rsidRDefault="00EC19DD" w:rsidP="005D05CB">
            <w:pPr>
              <w:autoSpaceDE w:val="0"/>
              <w:autoSpaceDN w:val="0"/>
              <w:adjustRightInd w:val="0"/>
              <w:spacing w:after="0" w:line="320" w:lineRule="atLeast"/>
              <w:ind w:left="60" w:right="60"/>
              <w:rPr>
                <w:rFonts w:ascii="Arial" w:hAnsi="Arial"/>
                <w:color w:val="000000"/>
                <w:sz w:val="18"/>
                <w:szCs w:val="18"/>
                <w:lang w:val="en-GB"/>
              </w:rPr>
            </w:pPr>
          </w:p>
        </w:tc>
      </w:tr>
      <w:tr w:rsidR="00EC19DD" w:rsidRPr="009849F2" w:rsidTr="00104FB7">
        <w:tc>
          <w:tcPr>
            <w:tcW w:w="9361" w:type="dxa"/>
            <w:gridSpan w:val="13"/>
            <w:tcBorders>
              <w:top w:val="nil"/>
              <w:left w:val="nil"/>
              <w:bottom w:val="nil"/>
              <w:right w:val="nil"/>
            </w:tcBorders>
            <w:shd w:val="clear" w:color="auto" w:fill="FFFFFF"/>
            <w:vAlign w:val="center"/>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EC19DD" w:rsidRPr="009849F2" w:rsidTr="00104FB7">
        <w:tc>
          <w:tcPr>
            <w:tcW w:w="3182"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4"/>
            <w:tcBorders>
              <w:top w:val="single" w:sz="16" w:space="0" w:color="000000"/>
              <w:left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3"/>
            <w:tcBorders>
              <w:top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gridSpan w:val="2"/>
            <w:vMerge w:val="restart"/>
            <w:tcBorders>
              <w:top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EC19DD" w:rsidRPr="009849F2" w:rsidTr="00104FB7">
        <w:tc>
          <w:tcPr>
            <w:tcW w:w="3182"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c>
          <w:tcPr>
            <w:tcW w:w="1337" w:type="dxa"/>
            <w:gridSpan w:val="3"/>
            <w:tcBorders>
              <w:left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tcBorders>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3"/>
            <w:tcBorders>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gridSpan w:val="2"/>
            <w:vMerge/>
            <w:tcBorders>
              <w:top w:val="single" w:sz="16" w:space="0" w:color="000000"/>
              <w:bottom w:val="single" w:sz="16" w:space="0" w:color="000000"/>
            </w:tcBorders>
            <w:shd w:val="clear" w:color="auto" w:fill="FFFFFF"/>
            <w:vAlign w:val="bottom"/>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r>
      <w:tr w:rsidR="00EC19DD" w:rsidRPr="009849F2" w:rsidTr="00104FB7">
        <w:tc>
          <w:tcPr>
            <w:tcW w:w="734" w:type="dxa"/>
            <w:vMerge w:val="restart"/>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2"/>
            <w:tcBorders>
              <w:top w:val="single" w:sz="16" w:space="0" w:color="000000"/>
              <w:left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3"/>
            <w:tcBorders>
              <w:top w:val="single" w:sz="16" w:space="0" w:color="000000"/>
              <w:left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.129</w:t>
            </w:r>
          </w:p>
        </w:tc>
        <w:tc>
          <w:tcPr>
            <w:tcW w:w="1335" w:type="dxa"/>
            <w:tcBorders>
              <w:top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3"/>
            <w:tcBorders>
              <w:top w:val="single" w:sz="16" w:space="0" w:color="000000"/>
              <w:bottom w:val="nil"/>
            </w:tcBorders>
            <w:shd w:val="clear" w:color="auto" w:fill="FFFFFF"/>
            <w:vAlign w:val="center"/>
          </w:tcPr>
          <w:p w:rsidR="00EC19DD" w:rsidRPr="009849F2" w:rsidRDefault="00EC19DD" w:rsidP="005D05CB">
            <w:pPr>
              <w:autoSpaceDE w:val="0"/>
              <w:autoSpaceDN w:val="0"/>
              <w:adjustRightInd w:val="0"/>
              <w:spacing w:after="0" w:line="240" w:lineRule="auto"/>
              <w:jc w:val="center"/>
              <w:rPr>
                <w:rFonts w:ascii="Times New Roman" w:hAnsi="Times New Roman" w:cs="Times New Roman"/>
                <w:sz w:val="24"/>
                <w:szCs w:val="24"/>
              </w:rPr>
            </w:pPr>
          </w:p>
        </w:tc>
        <w:tc>
          <w:tcPr>
            <w:tcW w:w="1019" w:type="dxa"/>
            <w:gridSpan w:val="2"/>
            <w:tcBorders>
              <w:top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14.341</w:t>
            </w:r>
          </w:p>
        </w:tc>
        <w:tc>
          <w:tcPr>
            <w:tcW w:w="1019" w:type="dxa"/>
            <w:tcBorders>
              <w:top w:val="single" w:sz="16" w:space="0" w:color="000000"/>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EC19DD"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3"/>
            <w:tcBorders>
              <w:top w:val="nil"/>
              <w:left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.015</w:t>
            </w:r>
          </w:p>
        </w:tc>
        <w:tc>
          <w:tcPr>
            <w:tcW w:w="1335" w:type="dxa"/>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3"/>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.067</w:t>
            </w:r>
          </w:p>
        </w:tc>
        <w:tc>
          <w:tcPr>
            <w:tcW w:w="1019" w:type="dxa"/>
            <w:gridSpan w:val="2"/>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1.571</w:t>
            </w:r>
          </w:p>
        </w:tc>
        <w:tc>
          <w:tcPr>
            <w:tcW w:w="1019" w:type="dxa"/>
            <w:tcBorders>
              <w:top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.117</w:t>
            </w:r>
          </w:p>
        </w:tc>
      </w:tr>
      <w:tr w:rsidR="00EC19DD"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3"/>
            <w:tcBorders>
              <w:top w:val="nil"/>
              <w:left w:val="single" w:sz="16" w:space="0" w:color="000000"/>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335" w:type="dxa"/>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3"/>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.007</w:t>
            </w:r>
          </w:p>
        </w:tc>
        <w:tc>
          <w:tcPr>
            <w:tcW w:w="1019" w:type="dxa"/>
            <w:gridSpan w:val="2"/>
            <w:tcBorders>
              <w:top w:val="nil"/>
              <w:bottom w:val="nil"/>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.171</w:t>
            </w:r>
          </w:p>
        </w:tc>
        <w:tc>
          <w:tcPr>
            <w:tcW w:w="1019" w:type="dxa"/>
            <w:tcBorders>
              <w:top w:val="nil"/>
              <w:bottom w:val="nil"/>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.864</w:t>
            </w:r>
          </w:p>
        </w:tc>
      </w:tr>
      <w:tr w:rsidR="00EC19DD"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EC19DD" w:rsidRPr="009849F2" w:rsidRDefault="00EC19DD" w:rsidP="005D05CB">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single" w:sz="16" w:space="0" w:color="000000"/>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3"/>
            <w:tcBorders>
              <w:top w:val="nil"/>
              <w:left w:val="single" w:sz="16" w:space="0" w:color="000000"/>
              <w:bottom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.006</w:t>
            </w:r>
          </w:p>
        </w:tc>
        <w:tc>
          <w:tcPr>
            <w:tcW w:w="1335" w:type="dxa"/>
            <w:tcBorders>
              <w:top w:val="nil"/>
              <w:bottom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3"/>
            <w:tcBorders>
              <w:top w:val="nil"/>
              <w:bottom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.027</w:t>
            </w:r>
          </w:p>
        </w:tc>
        <w:tc>
          <w:tcPr>
            <w:tcW w:w="1019" w:type="dxa"/>
            <w:gridSpan w:val="2"/>
            <w:tcBorders>
              <w:top w:val="nil"/>
              <w:bottom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.637</w:t>
            </w:r>
          </w:p>
        </w:tc>
        <w:tc>
          <w:tcPr>
            <w:tcW w:w="1019" w:type="dxa"/>
            <w:tcBorders>
              <w:top w:val="nil"/>
              <w:bottom w:val="single" w:sz="16" w:space="0" w:color="000000"/>
              <w:right w:val="single" w:sz="16" w:space="0" w:color="000000"/>
            </w:tcBorders>
            <w:shd w:val="clear" w:color="auto" w:fill="FFFFFF"/>
          </w:tcPr>
          <w:p w:rsidR="00EC19DD" w:rsidRPr="009849F2" w:rsidRDefault="00EC19DD" w:rsidP="005D05CB">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.525</w:t>
            </w:r>
          </w:p>
        </w:tc>
      </w:tr>
      <w:tr w:rsidR="00EC19DD" w:rsidRPr="0013388B" w:rsidTr="00104FB7">
        <w:tc>
          <w:tcPr>
            <w:tcW w:w="9361" w:type="dxa"/>
            <w:gridSpan w:val="13"/>
            <w:tcBorders>
              <w:top w:val="nil"/>
              <w:left w:val="nil"/>
              <w:bottom w:val="nil"/>
              <w:right w:val="nil"/>
            </w:tcBorders>
            <w:shd w:val="clear" w:color="auto" w:fill="FFFFFF"/>
          </w:tcPr>
          <w:p w:rsidR="00EC19DD" w:rsidRPr="005D05CB" w:rsidRDefault="00EC19DD" w:rsidP="005D05CB">
            <w:pPr>
              <w:autoSpaceDE w:val="0"/>
              <w:autoSpaceDN w:val="0"/>
              <w:adjustRightInd w:val="0"/>
              <w:spacing w:after="0" w:line="320" w:lineRule="atLeast"/>
              <w:ind w:left="60" w:right="60"/>
              <w:rPr>
                <w:rFonts w:ascii="Arial" w:hAnsi="Arial"/>
                <w:color w:val="000000"/>
                <w:sz w:val="18"/>
                <w:szCs w:val="18"/>
                <w:lang w:val="en-GB"/>
              </w:rPr>
            </w:pPr>
            <w:r w:rsidRPr="005D05CB">
              <w:rPr>
                <w:rFonts w:ascii="Arial" w:hAnsi="Arial"/>
                <w:color w:val="000000"/>
                <w:sz w:val="18"/>
                <w:szCs w:val="18"/>
                <w:lang w:val="en-GB"/>
              </w:rPr>
              <w:t>a. Dependent Variable: Costs of Goods Sold</w:t>
            </w:r>
          </w:p>
          <w:p w:rsidR="00EC19DD" w:rsidRPr="005D05CB" w:rsidRDefault="00EC19DD" w:rsidP="005D05CB">
            <w:pPr>
              <w:autoSpaceDE w:val="0"/>
              <w:autoSpaceDN w:val="0"/>
              <w:adjustRightInd w:val="0"/>
              <w:spacing w:after="0" w:line="320" w:lineRule="atLeast"/>
              <w:ind w:left="60" w:right="60"/>
              <w:rPr>
                <w:rFonts w:ascii="Arial" w:hAnsi="Arial"/>
                <w:color w:val="000000"/>
                <w:sz w:val="18"/>
                <w:szCs w:val="18"/>
                <w:lang w:val="en-GB"/>
              </w:rPr>
            </w:pPr>
          </w:p>
        </w:tc>
      </w:tr>
    </w:tbl>
    <w:p w:rsidR="00324D4E" w:rsidRPr="00AD78B0" w:rsidRDefault="0016042C" w:rsidP="002A5076">
      <w:pPr>
        <w:spacing w:line="360" w:lineRule="auto"/>
        <w:rPr>
          <w:lang w:val="en-US"/>
        </w:rPr>
      </w:pPr>
      <w:r w:rsidRPr="00AD78B0">
        <w:rPr>
          <w:lang w:val="en-US"/>
        </w:rPr>
        <w:t xml:space="preserve">Contrary to the model of the regression with </w:t>
      </w:r>
      <w:r w:rsidR="00163906">
        <w:rPr>
          <w:lang w:val="en-US"/>
        </w:rPr>
        <w:t xml:space="preserve">the </w:t>
      </w:r>
      <w:r w:rsidRPr="00AD78B0">
        <w:rPr>
          <w:lang w:val="en-US"/>
        </w:rPr>
        <w:t>Cash Flow from Operations as dependent variable, is the model with Costs of Goods Sold</w:t>
      </w:r>
      <w:r w:rsidR="00A80CBE" w:rsidRPr="00AD78B0">
        <w:rPr>
          <w:lang w:val="en-US"/>
        </w:rPr>
        <w:t xml:space="preserve"> (COGS)</w:t>
      </w:r>
      <w:r w:rsidRPr="00AD78B0">
        <w:rPr>
          <w:lang w:val="en-US"/>
        </w:rPr>
        <w:t xml:space="preserve"> as dependent variable not significant (0.372) according to the ANOVA table. Next to the not significance of the model </w:t>
      </w:r>
      <w:r w:rsidR="009A0A45">
        <w:rPr>
          <w:lang w:val="en-US"/>
        </w:rPr>
        <w:t>in addition</w:t>
      </w:r>
      <w:r w:rsidRPr="00AD78B0">
        <w:rPr>
          <w:lang w:val="en-US"/>
        </w:rPr>
        <w:t xml:space="preserve"> </w:t>
      </w:r>
      <w:r w:rsidR="00163906">
        <w:rPr>
          <w:lang w:val="en-US"/>
        </w:rPr>
        <w:t xml:space="preserve">are </w:t>
      </w:r>
      <w:r w:rsidRPr="00AD78B0">
        <w:rPr>
          <w:lang w:val="en-US"/>
        </w:rPr>
        <w:t xml:space="preserve">all the coefficients of the independent variables not significant. Because the model is not significant, the results are not reliable. </w:t>
      </w:r>
      <w:r w:rsidR="00A80CBE" w:rsidRPr="00AD78B0">
        <w:rPr>
          <w:lang w:val="en-US"/>
        </w:rPr>
        <w:t xml:space="preserve">The only indication this test </w:t>
      </w:r>
      <w:r w:rsidR="00163906">
        <w:rPr>
          <w:lang w:val="en-US"/>
        </w:rPr>
        <w:t>presents</w:t>
      </w:r>
      <w:r w:rsidR="00A80CBE" w:rsidRPr="00AD78B0">
        <w:rPr>
          <w:lang w:val="en-US"/>
        </w:rPr>
        <w:t xml:space="preserve"> in relation to hypothesis 2 is that no </w:t>
      </w:r>
      <w:r w:rsidR="00374952">
        <w:rPr>
          <w:lang w:val="en-US"/>
        </w:rPr>
        <w:t xml:space="preserve">significant </w:t>
      </w:r>
      <w:r w:rsidR="00A80CBE" w:rsidRPr="00AD78B0">
        <w:rPr>
          <w:lang w:val="en-US"/>
        </w:rPr>
        <w:t xml:space="preserve">difference </w:t>
      </w:r>
      <w:r w:rsidR="00163906">
        <w:rPr>
          <w:lang w:val="en-US"/>
        </w:rPr>
        <w:t xml:space="preserve">exists </w:t>
      </w:r>
      <w:r w:rsidR="00A80CBE" w:rsidRPr="00AD78B0">
        <w:rPr>
          <w:lang w:val="en-US"/>
        </w:rPr>
        <w:t xml:space="preserve">in the use of COGS as manipulative variable </w:t>
      </w:r>
      <w:r w:rsidR="00163906">
        <w:rPr>
          <w:lang w:val="en-US"/>
        </w:rPr>
        <w:t>based on</w:t>
      </w:r>
      <w:r w:rsidR="00A80CBE" w:rsidRPr="00AD78B0">
        <w:rPr>
          <w:lang w:val="en-US"/>
        </w:rPr>
        <w:t xml:space="preserve"> local GAAP and </w:t>
      </w:r>
      <w:r w:rsidR="00163906">
        <w:rPr>
          <w:lang w:val="en-US"/>
        </w:rPr>
        <w:t xml:space="preserve">based on </w:t>
      </w:r>
      <w:r w:rsidR="00A80CBE" w:rsidRPr="00AD78B0">
        <w:rPr>
          <w:lang w:val="en-US"/>
        </w:rPr>
        <w:t>IFRS.</w:t>
      </w:r>
    </w:p>
    <w:p w:rsidR="005D05CB" w:rsidRPr="005D05CB" w:rsidRDefault="005D05CB" w:rsidP="002A5076">
      <w:pPr>
        <w:spacing w:line="360" w:lineRule="auto"/>
        <w:rPr>
          <w:b/>
          <w:u w:val="single"/>
          <w:lang w:val="en-US"/>
        </w:rPr>
      </w:pPr>
      <w:r w:rsidRPr="005D05CB">
        <w:rPr>
          <w:b/>
          <w:u w:val="single"/>
          <w:lang w:val="en-US"/>
        </w:rPr>
        <w:t>Change in Inventory</w:t>
      </w: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3"/>
        <w:gridCol w:w="1165"/>
        <w:gridCol w:w="304"/>
        <w:gridCol w:w="1019"/>
        <w:gridCol w:w="14"/>
        <w:gridCol w:w="1335"/>
        <w:gridCol w:w="62"/>
        <w:gridCol w:w="1020"/>
        <w:gridCol w:w="387"/>
        <w:gridCol w:w="633"/>
        <w:gridCol w:w="386"/>
        <w:gridCol w:w="1020"/>
      </w:tblGrid>
      <w:tr w:rsidR="007E52BA" w:rsidRPr="009849F2" w:rsidTr="00104FB7">
        <w:trPr>
          <w:gridAfter w:val="2"/>
          <w:wAfter w:w="1406" w:type="dxa"/>
        </w:trPr>
        <w:tc>
          <w:tcPr>
            <w:tcW w:w="7955" w:type="dxa"/>
            <w:gridSpan w:val="11"/>
            <w:tcBorders>
              <w:top w:val="nil"/>
              <w:left w:val="nil"/>
              <w:bottom w:val="nil"/>
              <w:right w:val="nil"/>
            </w:tcBorders>
            <w:shd w:val="clear" w:color="auto" w:fill="FFFFFF"/>
            <w:vAlign w:val="center"/>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7E52BA" w:rsidRPr="009849F2" w:rsidTr="00104FB7">
        <w:trPr>
          <w:gridAfter w:val="2"/>
          <w:wAfter w:w="1406" w:type="dxa"/>
        </w:trPr>
        <w:tc>
          <w:tcPr>
            <w:tcW w:w="201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2"/>
            <w:tcBorders>
              <w:top w:val="single" w:sz="16" w:space="0" w:color="000000"/>
              <w:left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3"/>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gridSpan w:val="2"/>
            <w:tcBorders>
              <w:top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7E52BA" w:rsidRPr="009849F2" w:rsidTr="00104FB7">
        <w:trPr>
          <w:gridAfter w:val="2"/>
          <w:wAfter w:w="1406" w:type="dxa"/>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tcBorders>
              <w:top w:val="single" w:sz="16" w:space="0" w:color="000000"/>
              <w:left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2"/>
            <w:tcBorders>
              <w:top w:val="single" w:sz="16" w:space="0" w:color="000000"/>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.080</w:t>
            </w:r>
          </w:p>
        </w:tc>
        <w:tc>
          <w:tcPr>
            <w:tcW w:w="1019" w:type="dxa"/>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3"/>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.027</w:t>
            </w:r>
          </w:p>
        </w:tc>
        <w:tc>
          <w:tcPr>
            <w:tcW w:w="1020" w:type="dxa"/>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23.312</w:t>
            </w:r>
          </w:p>
        </w:tc>
        <w:tc>
          <w:tcPr>
            <w:tcW w:w="1020" w:type="dxa"/>
            <w:gridSpan w:val="2"/>
            <w:tcBorders>
              <w:top w:val="single" w:sz="16" w:space="0" w:color="000000"/>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r w:rsidRPr="009849F2">
              <w:rPr>
                <w:rFonts w:ascii="Arial" w:hAnsi="Arial"/>
                <w:color w:val="000000"/>
                <w:sz w:val="18"/>
                <w:szCs w:val="18"/>
                <w:vertAlign w:val="superscript"/>
              </w:rPr>
              <w:t>a</w:t>
            </w:r>
          </w:p>
        </w:tc>
      </w:tr>
      <w:tr w:rsidR="007E52BA" w:rsidRPr="009849F2" w:rsidTr="00104FB7">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1283" w:type="dxa"/>
            <w:tcBorders>
              <w:top w:val="nil"/>
              <w:left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2"/>
            <w:tcBorders>
              <w:top w:val="nil"/>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.639</w:t>
            </w:r>
          </w:p>
        </w:tc>
        <w:tc>
          <w:tcPr>
            <w:tcW w:w="1019" w:type="dxa"/>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c>
          <w:tcPr>
            <w:tcW w:w="1411" w:type="dxa"/>
            <w:gridSpan w:val="3"/>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.001</w:t>
            </w:r>
          </w:p>
        </w:tc>
        <w:tc>
          <w:tcPr>
            <w:tcW w:w="1020" w:type="dxa"/>
            <w:tcBorders>
              <w:top w:val="nil"/>
              <w:bottom w:val="nil"/>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nil"/>
              <w:right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r>
      <w:tr w:rsidR="007E52BA" w:rsidRPr="009849F2" w:rsidTr="00104FB7">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Times New Roman" w:hAnsi="Times New Roman" w:cs="Times New Roman"/>
                <w:sz w:val="24"/>
                <w:szCs w:val="24"/>
              </w:rPr>
            </w:pPr>
          </w:p>
        </w:tc>
        <w:tc>
          <w:tcPr>
            <w:tcW w:w="1283" w:type="dxa"/>
            <w:tcBorders>
              <w:top w:val="nil"/>
              <w:left w:val="nil"/>
              <w:bottom w:val="single" w:sz="16" w:space="0" w:color="000000"/>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2"/>
            <w:tcBorders>
              <w:top w:val="nil"/>
              <w:left w:val="single" w:sz="16" w:space="0" w:color="000000"/>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.719</w:t>
            </w:r>
          </w:p>
        </w:tc>
        <w:tc>
          <w:tcPr>
            <w:tcW w:w="1019" w:type="dxa"/>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562</w:t>
            </w:r>
          </w:p>
        </w:tc>
        <w:tc>
          <w:tcPr>
            <w:tcW w:w="1411" w:type="dxa"/>
            <w:gridSpan w:val="3"/>
            <w:tcBorders>
              <w:top w:val="nil"/>
              <w:bottom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single" w:sz="16" w:space="0" w:color="000000"/>
              <w:right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r>
      <w:tr w:rsidR="007E52BA" w:rsidRPr="0013388B" w:rsidTr="00104FB7">
        <w:trPr>
          <w:gridAfter w:val="2"/>
          <w:wAfter w:w="1406" w:type="dxa"/>
        </w:trPr>
        <w:tc>
          <w:tcPr>
            <w:tcW w:w="7955" w:type="dxa"/>
            <w:gridSpan w:val="11"/>
            <w:tcBorders>
              <w:top w:val="nil"/>
              <w:left w:val="nil"/>
              <w:bottom w:val="nil"/>
              <w:right w:val="nil"/>
            </w:tcBorders>
            <w:shd w:val="clear" w:color="auto" w:fill="FFFFFF"/>
          </w:tcPr>
          <w:p w:rsidR="007E52BA" w:rsidRPr="007E52BA" w:rsidRDefault="007E52BA" w:rsidP="00104FB7">
            <w:pPr>
              <w:autoSpaceDE w:val="0"/>
              <w:autoSpaceDN w:val="0"/>
              <w:adjustRightInd w:val="0"/>
              <w:spacing w:after="0" w:line="320" w:lineRule="atLeast"/>
              <w:ind w:left="60" w:right="60"/>
              <w:rPr>
                <w:rFonts w:ascii="Arial" w:hAnsi="Arial"/>
                <w:color w:val="000000"/>
                <w:sz w:val="18"/>
                <w:szCs w:val="18"/>
                <w:lang w:val="en-GB"/>
              </w:rPr>
            </w:pPr>
            <w:r w:rsidRPr="007E52BA">
              <w:rPr>
                <w:rFonts w:ascii="Arial" w:hAnsi="Arial"/>
                <w:color w:val="000000"/>
                <w:sz w:val="18"/>
                <w:szCs w:val="18"/>
                <w:lang w:val="en-GB"/>
              </w:rPr>
              <w:t xml:space="preserve">a. Predictors: (Constant), </w:t>
            </w:r>
            <w:r w:rsidR="00104FB7">
              <w:rPr>
                <w:rFonts w:ascii="Arial" w:hAnsi="Arial"/>
                <w:color w:val="000000"/>
                <w:sz w:val="18"/>
                <w:szCs w:val="18"/>
                <w:lang w:val="en-GB"/>
              </w:rPr>
              <w:t>Country, Accounting Standard, Size</w:t>
            </w:r>
          </w:p>
          <w:p w:rsidR="007E52BA" w:rsidRPr="00104FB7" w:rsidRDefault="00104FB7" w:rsidP="00104FB7">
            <w:pPr>
              <w:autoSpaceDE w:val="0"/>
              <w:autoSpaceDN w:val="0"/>
              <w:adjustRightInd w:val="0"/>
              <w:spacing w:after="0" w:line="320" w:lineRule="atLeast"/>
              <w:ind w:left="60" w:right="60"/>
              <w:rPr>
                <w:rFonts w:ascii="Arial" w:hAnsi="Arial"/>
                <w:color w:val="000000"/>
                <w:sz w:val="18"/>
                <w:szCs w:val="18"/>
                <w:lang w:val="en-GB"/>
              </w:rPr>
            </w:pPr>
            <w:r>
              <w:rPr>
                <w:rFonts w:ascii="Arial" w:hAnsi="Arial"/>
                <w:color w:val="000000"/>
                <w:sz w:val="18"/>
                <w:szCs w:val="18"/>
                <w:lang w:val="en-GB"/>
              </w:rPr>
              <w:t>b. Dependent Variable: Change in Inventory</w:t>
            </w:r>
          </w:p>
          <w:p w:rsidR="007E52BA" w:rsidRDefault="007E52BA" w:rsidP="00104FB7">
            <w:pPr>
              <w:autoSpaceDE w:val="0"/>
              <w:autoSpaceDN w:val="0"/>
              <w:adjustRightInd w:val="0"/>
              <w:spacing w:after="0" w:line="320" w:lineRule="atLeast"/>
              <w:ind w:left="60" w:right="60"/>
              <w:rPr>
                <w:rFonts w:ascii="Arial" w:hAnsi="Arial"/>
                <w:color w:val="000000"/>
                <w:sz w:val="18"/>
                <w:szCs w:val="18"/>
                <w:lang w:val="en-GB"/>
              </w:rPr>
            </w:pPr>
          </w:p>
          <w:p w:rsidR="00374952" w:rsidRPr="00104FB7" w:rsidRDefault="00374952" w:rsidP="00104FB7">
            <w:pPr>
              <w:autoSpaceDE w:val="0"/>
              <w:autoSpaceDN w:val="0"/>
              <w:adjustRightInd w:val="0"/>
              <w:spacing w:after="0" w:line="320" w:lineRule="atLeast"/>
              <w:ind w:left="60" w:right="60"/>
              <w:rPr>
                <w:rFonts w:ascii="Arial" w:hAnsi="Arial"/>
                <w:color w:val="000000"/>
                <w:sz w:val="18"/>
                <w:szCs w:val="18"/>
                <w:lang w:val="en-GB"/>
              </w:rPr>
            </w:pPr>
          </w:p>
        </w:tc>
      </w:tr>
      <w:tr w:rsidR="007E52BA" w:rsidRPr="009849F2" w:rsidTr="00104FB7">
        <w:tc>
          <w:tcPr>
            <w:tcW w:w="9361" w:type="dxa"/>
            <w:gridSpan w:val="13"/>
            <w:tcBorders>
              <w:top w:val="nil"/>
              <w:left w:val="nil"/>
              <w:bottom w:val="nil"/>
              <w:right w:val="nil"/>
            </w:tcBorders>
            <w:shd w:val="clear" w:color="auto" w:fill="FFFFFF"/>
            <w:vAlign w:val="center"/>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7E52BA" w:rsidRPr="009849F2" w:rsidTr="00104FB7">
        <w:tc>
          <w:tcPr>
            <w:tcW w:w="3182"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4"/>
            <w:tcBorders>
              <w:top w:val="single" w:sz="16" w:space="0" w:color="000000"/>
              <w:lef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3"/>
            <w:tcBorders>
              <w:top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gridSpan w:val="2"/>
            <w:vMerge w:val="restart"/>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7E52BA" w:rsidRPr="009849F2" w:rsidTr="00104FB7">
        <w:tc>
          <w:tcPr>
            <w:tcW w:w="3182"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1337" w:type="dxa"/>
            <w:gridSpan w:val="3"/>
            <w:tcBorders>
              <w:left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tcBorders>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3"/>
            <w:tcBorders>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gridSpan w:val="2"/>
            <w:vMerge/>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r>
      <w:tr w:rsidR="007E52BA" w:rsidRPr="009849F2" w:rsidTr="00104FB7">
        <w:tc>
          <w:tcPr>
            <w:tcW w:w="734" w:type="dxa"/>
            <w:vMerge w:val="restart"/>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2"/>
            <w:tcBorders>
              <w:top w:val="single" w:sz="16" w:space="0" w:color="000000"/>
              <w:left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3"/>
            <w:tcBorders>
              <w:top w:val="single" w:sz="16" w:space="0" w:color="000000"/>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w:t>
            </w:r>
          </w:p>
        </w:tc>
        <w:tc>
          <w:tcPr>
            <w:tcW w:w="1335" w:type="dxa"/>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3"/>
            <w:tcBorders>
              <w:top w:val="single" w:sz="16" w:space="0" w:color="000000"/>
              <w:bottom w:val="nil"/>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19" w:type="dxa"/>
            <w:gridSpan w:val="2"/>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15.142</w:t>
            </w:r>
          </w:p>
        </w:tc>
        <w:tc>
          <w:tcPr>
            <w:tcW w:w="1019" w:type="dxa"/>
            <w:tcBorders>
              <w:top w:val="single" w:sz="16" w:space="0" w:color="000000"/>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7E52BA"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7E52BA" w:rsidRPr="009849F2" w:rsidRDefault="00104FB7"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3"/>
            <w:tcBorders>
              <w:top w:val="nil"/>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-.018</w:t>
            </w:r>
          </w:p>
        </w:tc>
        <w:tc>
          <w:tcPr>
            <w:tcW w:w="1335" w:type="dxa"/>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3"/>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-.253</w:t>
            </w:r>
          </w:p>
        </w:tc>
        <w:tc>
          <w:tcPr>
            <w:tcW w:w="1019" w:type="dxa"/>
            <w:gridSpan w:val="2"/>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-6.304</w:t>
            </w:r>
          </w:p>
        </w:tc>
        <w:tc>
          <w:tcPr>
            <w:tcW w:w="1019" w:type="dxa"/>
            <w:tcBorders>
              <w:top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7E52BA"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3"/>
            <w:tcBorders>
              <w:top w:val="nil"/>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.005</w:t>
            </w:r>
          </w:p>
        </w:tc>
        <w:tc>
          <w:tcPr>
            <w:tcW w:w="1335" w:type="dxa"/>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3"/>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.064</w:t>
            </w:r>
          </w:p>
        </w:tc>
        <w:tc>
          <w:tcPr>
            <w:tcW w:w="1019" w:type="dxa"/>
            <w:gridSpan w:val="2"/>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1.615</w:t>
            </w:r>
          </w:p>
        </w:tc>
        <w:tc>
          <w:tcPr>
            <w:tcW w:w="1019" w:type="dxa"/>
            <w:tcBorders>
              <w:top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.107</w:t>
            </w:r>
          </w:p>
        </w:tc>
      </w:tr>
      <w:tr w:rsidR="007E52BA"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single" w:sz="16" w:space="0" w:color="000000"/>
              <w:right w:val="single" w:sz="16" w:space="0" w:color="000000"/>
            </w:tcBorders>
            <w:shd w:val="clear" w:color="auto" w:fill="FFFFFF"/>
          </w:tcPr>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3"/>
            <w:tcBorders>
              <w:top w:val="nil"/>
              <w:left w:val="single" w:sz="16" w:space="0" w:color="000000"/>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-.013</w:t>
            </w:r>
          </w:p>
        </w:tc>
        <w:tc>
          <w:tcPr>
            <w:tcW w:w="1335" w:type="dxa"/>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3"/>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-.181</w:t>
            </w:r>
          </w:p>
        </w:tc>
        <w:tc>
          <w:tcPr>
            <w:tcW w:w="1019" w:type="dxa"/>
            <w:gridSpan w:val="2"/>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-4.498</w:t>
            </w:r>
          </w:p>
        </w:tc>
        <w:tc>
          <w:tcPr>
            <w:tcW w:w="1019" w:type="dxa"/>
            <w:tcBorders>
              <w:top w:val="nil"/>
              <w:bottom w:val="single" w:sz="16" w:space="0" w:color="000000"/>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7E52BA" w:rsidRPr="0013388B" w:rsidTr="00104FB7">
        <w:tc>
          <w:tcPr>
            <w:tcW w:w="9361" w:type="dxa"/>
            <w:gridSpan w:val="13"/>
            <w:tcBorders>
              <w:top w:val="nil"/>
              <w:left w:val="nil"/>
              <w:bottom w:val="nil"/>
              <w:right w:val="nil"/>
            </w:tcBorders>
            <w:shd w:val="clear" w:color="auto" w:fill="FFFFFF"/>
          </w:tcPr>
          <w:p w:rsidR="007E52BA" w:rsidRPr="009532E3" w:rsidRDefault="009532E3" w:rsidP="00104FB7">
            <w:pPr>
              <w:autoSpaceDE w:val="0"/>
              <w:autoSpaceDN w:val="0"/>
              <w:adjustRightInd w:val="0"/>
              <w:spacing w:after="0" w:line="320" w:lineRule="atLeast"/>
              <w:ind w:left="60" w:right="60"/>
              <w:rPr>
                <w:rFonts w:ascii="Arial" w:hAnsi="Arial"/>
                <w:color w:val="000000"/>
                <w:sz w:val="18"/>
                <w:szCs w:val="18"/>
                <w:lang w:val="en-GB"/>
              </w:rPr>
            </w:pPr>
            <w:r>
              <w:rPr>
                <w:rFonts w:ascii="Arial" w:hAnsi="Arial"/>
                <w:color w:val="000000"/>
                <w:sz w:val="18"/>
                <w:szCs w:val="18"/>
                <w:lang w:val="en-GB"/>
              </w:rPr>
              <w:t>a. Dependent Variable: Change in Inventory</w:t>
            </w:r>
          </w:p>
          <w:p w:rsidR="007E52BA" w:rsidRPr="009532E3" w:rsidRDefault="007E52BA" w:rsidP="00104FB7">
            <w:pPr>
              <w:autoSpaceDE w:val="0"/>
              <w:autoSpaceDN w:val="0"/>
              <w:adjustRightInd w:val="0"/>
              <w:spacing w:after="0" w:line="320" w:lineRule="atLeast"/>
              <w:ind w:left="60" w:right="60"/>
              <w:rPr>
                <w:rFonts w:ascii="Arial" w:hAnsi="Arial"/>
                <w:color w:val="000000"/>
                <w:sz w:val="18"/>
                <w:szCs w:val="18"/>
                <w:lang w:val="en-GB"/>
              </w:rPr>
            </w:pPr>
          </w:p>
        </w:tc>
      </w:tr>
    </w:tbl>
    <w:p w:rsidR="007E52BA" w:rsidRDefault="00A80CBE" w:rsidP="00C054F6">
      <w:pPr>
        <w:spacing w:line="360" w:lineRule="auto"/>
        <w:rPr>
          <w:rFonts w:cs="Calibri"/>
          <w:b/>
          <w:bCs/>
          <w:lang w:val="en-GB"/>
        </w:rPr>
      </w:pPr>
      <w:r w:rsidRPr="00AD78B0">
        <w:rPr>
          <w:rFonts w:cs="Calibri"/>
          <w:bCs/>
          <w:lang w:val="en-GB"/>
        </w:rPr>
        <w:t xml:space="preserve">The model with the Change in Inventory as dependent variable </w:t>
      </w:r>
      <w:r w:rsidR="009A0A45">
        <w:rPr>
          <w:rFonts w:cs="Calibri"/>
          <w:bCs/>
          <w:lang w:val="en-GB"/>
        </w:rPr>
        <w:t>in the multiple regression</w:t>
      </w:r>
      <w:r w:rsidR="002B55E4" w:rsidRPr="00AD78B0">
        <w:rPr>
          <w:rFonts w:cs="Calibri"/>
          <w:bCs/>
          <w:lang w:val="en-GB"/>
        </w:rPr>
        <w:t xml:space="preserve"> </w:t>
      </w:r>
      <w:r w:rsidR="00826A3F">
        <w:rPr>
          <w:rFonts w:cs="Calibri"/>
          <w:bCs/>
          <w:lang w:val="en-GB"/>
        </w:rPr>
        <w:t xml:space="preserve">shows that both </w:t>
      </w:r>
      <w:r w:rsidR="002B55E4" w:rsidRPr="00AD78B0">
        <w:rPr>
          <w:rFonts w:cs="Calibri"/>
          <w:bCs/>
          <w:lang w:val="en-GB"/>
        </w:rPr>
        <w:t xml:space="preserve">the model </w:t>
      </w:r>
      <w:r w:rsidR="00360048">
        <w:rPr>
          <w:rFonts w:cs="Calibri"/>
          <w:bCs/>
          <w:lang w:val="en-GB"/>
        </w:rPr>
        <w:t>and</w:t>
      </w:r>
      <w:r w:rsidR="002B55E4" w:rsidRPr="00AD78B0">
        <w:rPr>
          <w:rFonts w:cs="Calibri"/>
          <w:bCs/>
          <w:lang w:val="en-GB"/>
        </w:rPr>
        <w:t xml:space="preserve"> two of the three independent variables</w:t>
      </w:r>
      <w:r w:rsidR="00020805">
        <w:rPr>
          <w:rFonts w:cs="Calibri"/>
          <w:bCs/>
          <w:lang w:val="en-GB"/>
        </w:rPr>
        <w:t xml:space="preserve"> are significant</w:t>
      </w:r>
      <w:r w:rsidR="0047468A">
        <w:rPr>
          <w:rFonts w:cs="Calibri"/>
          <w:bCs/>
          <w:lang w:val="en-GB"/>
        </w:rPr>
        <w:t>. The variables c</w:t>
      </w:r>
      <w:r w:rsidR="002B55E4" w:rsidRPr="00AD78B0">
        <w:rPr>
          <w:rFonts w:cs="Calibri"/>
          <w:bCs/>
          <w:lang w:val="en-GB"/>
        </w:rPr>
        <w:t xml:space="preserve">ountry and </w:t>
      </w:r>
      <w:r w:rsidR="0047468A">
        <w:rPr>
          <w:rFonts w:cs="Calibri"/>
          <w:bCs/>
          <w:lang w:val="en-GB"/>
        </w:rPr>
        <w:t>s</w:t>
      </w:r>
      <w:r w:rsidR="002B55E4" w:rsidRPr="00AD78B0">
        <w:rPr>
          <w:rFonts w:cs="Calibri"/>
          <w:bCs/>
          <w:lang w:val="en-GB"/>
        </w:rPr>
        <w:t xml:space="preserve">ize have a significant </w:t>
      </w:r>
      <w:r w:rsidR="00935072" w:rsidRPr="00AD78B0">
        <w:rPr>
          <w:rFonts w:cs="Calibri"/>
          <w:bCs/>
          <w:lang w:val="en-GB"/>
        </w:rPr>
        <w:t xml:space="preserve">negative </w:t>
      </w:r>
      <w:r w:rsidR="002B55E4" w:rsidRPr="00AD78B0">
        <w:rPr>
          <w:rFonts w:cs="Calibri"/>
          <w:bCs/>
          <w:lang w:val="en-GB"/>
        </w:rPr>
        <w:t>coefficient,</w:t>
      </w:r>
      <w:r w:rsidR="00935072" w:rsidRPr="00AD78B0">
        <w:rPr>
          <w:rFonts w:cs="Calibri"/>
          <w:bCs/>
          <w:lang w:val="en-GB"/>
        </w:rPr>
        <w:t xml:space="preserve"> indicating that less earnings management is used in Belgium and </w:t>
      </w:r>
      <w:r w:rsidR="00360048">
        <w:rPr>
          <w:rFonts w:cs="Calibri"/>
          <w:bCs/>
          <w:lang w:val="en-GB"/>
        </w:rPr>
        <w:t xml:space="preserve">in </w:t>
      </w:r>
      <w:r w:rsidR="00935072" w:rsidRPr="00AD78B0">
        <w:rPr>
          <w:rFonts w:cs="Calibri"/>
          <w:bCs/>
          <w:lang w:val="en-GB"/>
        </w:rPr>
        <w:t xml:space="preserve">France compared to The Netherlands and larger companies compared to smaller companies. But for hypothesis 2, </w:t>
      </w:r>
      <w:r w:rsidR="0047468A">
        <w:rPr>
          <w:rFonts w:cs="Calibri"/>
          <w:bCs/>
          <w:lang w:val="en-GB"/>
        </w:rPr>
        <w:t xml:space="preserve">the </w:t>
      </w:r>
      <w:r w:rsidR="00935072" w:rsidRPr="00AD78B0">
        <w:rPr>
          <w:rFonts w:cs="Calibri"/>
          <w:bCs/>
          <w:lang w:val="en-GB"/>
        </w:rPr>
        <w:t xml:space="preserve">independent variable </w:t>
      </w:r>
      <w:r w:rsidR="0047468A">
        <w:rPr>
          <w:rFonts w:cs="Calibri"/>
          <w:bCs/>
          <w:lang w:val="en-GB"/>
        </w:rPr>
        <w:t>a</w:t>
      </w:r>
      <w:r w:rsidR="00935072" w:rsidRPr="00AD78B0">
        <w:rPr>
          <w:rFonts w:cs="Calibri"/>
          <w:bCs/>
          <w:lang w:val="en-GB"/>
        </w:rPr>
        <w:t xml:space="preserve">ccounting </w:t>
      </w:r>
      <w:r w:rsidR="0047468A">
        <w:rPr>
          <w:rFonts w:cs="Calibri"/>
          <w:bCs/>
          <w:lang w:val="en-GB"/>
        </w:rPr>
        <w:t>s</w:t>
      </w:r>
      <w:r w:rsidR="00935072" w:rsidRPr="00AD78B0">
        <w:rPr>
          <w:rFonts w:cs="Calibri"/>
          <w:bCs/>
          <w:lang w:val="en-GB"/>
        </w:rPr>
        <w:t xml:space="preserve">tandard is determinative and this variable shows no significant difference in Change in Inventory </w:t>
      </w:r>
      <w:r w:rsidR="00360048">
        <w:rPr>
          <w:rFonts w:cs="Calibri"/>
          <w:bCs/>
          <w:lang w:val="en-GB"/>
        </w:rPr>
        <w:t xml:space="preserve">based on </w:t>
      </w:r>
      <w:r w:rsidR="00935072" w:rsidRPr="00AD78B0">
        <w:rPr>
          <w:rFonts w:cs="Calibri"/>
          <w:bCs/>
          <w:lang w:val="en-GB"/>
        </w:rPr>
        <w:t xml:space="preserve">local GAAP and </w:t>
      </w:r>
      <w:r w:rsidR="00360048">
        <w:rPr>
          <w:rFonts w:cs="Calibri"/>
          <w:bCs/>
          <w:lang w:val="en-GB"/>
        </w:rPr>
        <w:t xml:space="preserve">on </w:t>
      </w:r>
      <w:r w:rsidR="00935072" w:rsidRPr="00AD78B0">
        <w:rPr>
          <w:rFonts w:cs="Calibri"/>
          <w:bCs/>
          <w:lang w:val="en-GB"/>
        </w:rPr>
        <w:t>IFRS.</w:t>
      </w:r>
      <w:r w:rsidR="00935072">
        <w:rPr>
          <w:rFonts w:cs="Calibri"/>
          <w:b/>
          <w:bCs/>
          <w:lang w:val="en-GB"/>
        </w:rPr>
        <w:t xml:space="preserve"> </w:t>
      </w:r>
    </w:p>
    <w:p w:rsidR="007E52BA" w:rsidRPr="007E52BA" w:rsidRDefault="007E52BA" w:rsidP="00C054F6">
      <w:pPr>
        <w:spacing w:line="360" w:lineRule="auto"/>
        <w:rPr>
          <w:rFonts w:cs="Calibri"/>
          <w:b/>
          <w:bCs/>
          <w:u w:val="single"/>
          <w:lang w:val="en-GB"/>
        </w:rPr>
      </w:pPr>
      <w:r w:rsidRPr="007E52BA">
        <w:rPr>
          <w:rFonts w:cs="Calibri"/>
          <w:b/>
          <w:bCs/>
          <w:u w:val="single"/>
          <w:lang w:val="en-GB"/>
        </w:rPr>
        <w:lastRenderedPageBreak/>
        <w:t>Production Costs</w:t>
      </w: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3"/>
        <w:gridCol w:w="1165"/>
        <w:gridCol w:w="304"/>
        <w:gridCol w:w="1019"/>
        <w:gridCol w:w="14"/>
        <w:gridCol w:w="1335"/>
        <w:gridCol w:w="62"/>
        <w:gridCol w:w="1020"/>
        <w:gridCol w:w="387"/>
        <w:gridCol w:w="633"/>
        <w:gridCol w:w="386"/>
        <w:gridCol w:w="1020"/>
      </w:tblGrid>
      <w:tr w:rsidR="007E52BA" w:rsidRPr="009849F2" w:rsidTr="00104FB7">
        <w:trPr>
          <w:gridAfter w:val="2"/>
          <w:wAfter w:w="1406" w:type="dxa"/>
        </w:trPr>
        <w:tc>
          <w:tcPr>
            <w:tcW w:w="7955" w:type="dxa"/>
            <w:gridSpan w:val="11"/>
            <w:tcBorders>
              <w:top w:val="nil"/>
              <w:left w:val="nil"/>
              <w:bottom w:val="nil"/>
              <w:right w:val="nil"/>
            </w:tcBorders>
            <w:shd w:val="clear" w:color="auto" w:fill="FFFFFF"/>
            <w:vAlign w:val="center"/>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7E52BA" w:rsidRPr="009849F2" w:rsidTr="00104FB7">
        <w:trPr>
          <w:gridAfter w:val="2"/>
          <w:wAfter w:w="1406" w:type="dxa"/>
        </w:trPr>
        <w:tc>
          <w:tcPr>
            <w:tcW w:w="201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2"/>
            <w:tcBorders>
              <w:top w:val="single" w:sz="16" w:space="0" w:color="000000"/>
              <w:left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3"/>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gridSpan w:val="2"/>
            <w:tcBorders>
              <w:top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7E52BA" w:rsidRPr="009849F2" w:rsidTr="00104FB7">
        <w:trPr>
          <w:gridAfter w:val="2"/>
          <w:wAfter w:w="1406" w:type="dxa"/>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tcBorders>
              <w:top w:val="single" w:sz="16" w:space="0" w:color="000000"/>
              <w:left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2"/>
            <w:tcBorders>
              <w:top w:val="single" w:sz="16" w:space="0" w:color="000000"/>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.077</w:t>
            </w:r>
          </w:p>
        </w:tc>
        <w:tc>
          <w:tcPr>
            <w:tcW w:w="1019" w:type="dxa"/>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3"/>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.026</w:t>
            </w:r>
          </w:p>
        </w:tc>
        <w:tc>
          <w:tcPr>
            <w:tcW w:w="1020" w:type="dxa"/>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1.914</w:t>
            </w:r>
          </w:p>
        </w:tc>
        <w:tc>
          <w:tcPr>
            <w:tcW w:w="1020" w:type="dxa"/>
            <w:gridSpan w:val="2"/>
            <w:tcBorders>
              <w:top w:val="single" w:sz="16" w:space="0" w:color="000000"/>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.126</w:t>
            </w:r>
            <w:r w:rsidRPr="009849F2">
              <w:rPr>
                <w:rFonts w:ascii="Arial" w:hAnsi="Arial"/>
                <w:color w:val="000000"/>
                <w:sz w:val="18"/>
                <w:szCs w:val="18"/>
                <w:vertAlign w:val="superscript"/>
              </w:rPr>
              <w:t>a</w:t>
            </w:r>
          </w:p>
        </w:tc>
      </w:tr>
      <w:tr w:rsidR="007E52BA" w:rsidRPr="009849F2" w:rsidTr="00104FB7">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1283" w:type="dxa"/>
            <w:tcBorders>
              <w:top w:val="nil"/>
              <w:left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2"/>
            <w:tcBorders>
              <w:top w:val="nil"/>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7.441</w:t>
            </w:r>
          </w:p>
        </w:tc>
        <w:tc>
          <w:tcPr>
            <w:tcW w:w="1019" w:type="dxa"/>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555</w:t>
            </w:r>
          </w:p>
        </w:tc>
        <w:tc>
          <w:tcPr>
            <w:tcW w:w="1411" w:type="dxa"/>
            <w:gridSpan w:val="3"/>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.013</w:t>
            </w:r>
          </w:p>
        </w:tc>
        <w:tc>
          <w:tcPr>
            <w:tcW w:w="1020" w:type="dxa"/>
            <w:tcBorders>
              <w:top w:val="nil"/>
              <w:bottom w:val="nil"/>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nil"/>
              <w:right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r>
      <w:tr w:rsidR="007E52BA" w:rsidRPr="009849F2" w:rsidTr="00104FB7">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Times New Roman" w:hAnsi="Times New Roman" w:cs="Times New Roman"/>
                <w:sz w:val="24"/>
                <w:szCs w:val="24"/>
              </w:rPr>
            </w:pPr>
          </w:p>
        </w:tc>
        <w:tc>
          <w:tcPr>
            <w:tcW w:w="1283" w:type="dxa"/>
            <w:tcBorders>
              <w:top w:val="nil"/>
              <w:left w:val="nil"/>
              <w:bottom w:val="single" w:sz="16" w:space="0" w:color="000000"/>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2"/>
            <w:tcBorders>
              <w:top w:val="nil"/>
              <w:left w:val="single" w:sz="16" w:space="0" w:color="000000"/>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7.517</w:t>
            </w:r>
          </w:p>
        </w:tc>
        <w:tc>
          <w:tcPr>
            <w:tcW w:w="1019" w:type="dxa"/>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558</w:t>
            </w:r>
          </w:p>
        </w:tc>
        <w:tc>
          <w:tcPr>
            <w:tcW w:w="1411" w:type="dxa"/>
            <w:gridSpan w:val="3"/>
            <w:tcBorders>
              <w:top w:val="nil"/>
              <w:bottom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single" w:sz="16" w:space="0" w:color="000000"/>
              <w:right w:val="single" w:sz="16" w:space="0" w:color="000000"/>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r>
      <w:tr w:rsidR="007E52BA" w:rsidRPr="009849F2" w:rsidTr="00104FB7">
        <w:trPr>
          <w:gridAfter w:val="2"/>
          <w:wAfter w:w="1406" w:type="dxa"/>
        </w:trPr>
        <w:tc>
          <w:tcPr>
            <w:tcW w:w="7955" w:type="dxa"/>
            <w:gridSpan w:val="11"/>
            <w:tcBorders>
              <w:top w:val="nil"/>
              <w:left w:val="nil"/>
              <w:bottom w:val="nil"/>
              <w:right w:val="nil"/>
            </w:tcBorders>
            <w:shd w:val="clear" w:color="auto" w:fill="FFFFFF"/>
          </w:tcPr>
          <w:p w:rsidR="007E52BA" w:rsidRPr="007E52BA" w:rsidRDefault="007E52BA" w:rsidP="00104FB7">
            <w:pPr>
              <w:autoSpaceDE w:val="0"/>
              <w:autoSpaceDN w:val="0"/>
              <w:adjustRightInd w:val="0"/>
              <w:spacing w:after="0" w:line="320" w:lineRule="atLeast"/>
              <w:ind w:left="60" w:right="60"/>
              <w:rPr>
                <w:rFonts w:ascii="Arial" w:hAnsi="Arial"/>
                <w:color w:val="000000"/>
                <w:sz w:val="18"/>
                <w:szCs w:val="18"/>
                <w:lang w:val="en-GB"/>
              </w:rPr>
            </w:pPr>
            <w:r w:rsidRPr="007E52BA">
              <w:rPr>
                <w:rFonts w:ascii="Arial" w:hAnsi="Arial"/>
                <w:color w:val="000000"/>
                <w:sz w:val="18"/>
                <w:szCs w:val="18"/>
                <w:lang w:val="en-GB"/>
              </w:rPr>
              <w:t xml:space="preserve">a. Predictors: (Constant), </w:t>
            </w:r>
            <w:r w:rsidR="009532E3">
              <w:rPr>
                <w:rFonts w:ascii="Arial" w:hAnsi="Arial"/>
                <w:color w:val="000000"/>
                <w:sz w:val="18"/>
                <w:szCs w:val="18"/>
                <w:lang w:val="en-GB"/>
              </w:rPr>
              <w:t>Country, Accounting Standard, Size</w:t>
            </w:r>
          </w:p>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b. Dependent Variable: Production Costs</w:t>
            </w:r>
          </w:p>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p>
        </w:tc>
      </w:tr>
      <w:tr w:rsidR="007E52BA" w:rsidRPr="009849F2" w:rsidTr="00104FB7">
        <w:tc>
          <w:tcPr>
            <w:tcW w:w="9361" w:type="dxa"/>
            <w:gridSpan w:val="13"/>
            <w:tcBorders>
              <w:top w:val="nil"/>
              <w:left w:val="nil"/>
              <w:bottom w:val="nil"/>
              <w:right w:val="nil"/>
            </w:tcBorders>
            <w:shd w:val="clear" w:color="auto" w:fill="FFFFFF"/>
            <w:vAlign w:val="center"/>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7E52BA" w:rsidRPr="009849F2" w:rsidTr="00104FB7">
        <w:tc>
          <w:tcPr>
            <w:tcW w:w="3182" w:type="dxa"/>
            <w:gridSpan w:val="3"/>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4"/>
            <w:tcBorders>
              <w:top w:val="single" w:sz="16" w:space="0" w:color="000000"/>
              <w:lef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3"/>
            <w:tcBorders>
              <w:top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gridSpan w:val="2"/>
            <w:vMerge w:val="restart"/>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7E52BA" w:rsidRPr="009849F2" w:rsidTr="00104FB7">
        <w:tc>
          <w:tcPr>
            <w:tcW w:w="3182" w:type="dxa"/>
            <w:gridSpan w:val="3"/>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1337" w:type="dxa"/>
            <w:gridSpan w:val="3"/>
            <w:tcBorders>
              <w:left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tcBorders>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3"/>
            <w:tcBorders>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gridSpan w:val="2"/>
            <w:vMerge/>
            <w:tcBorders>
              <w:top w:val="single" w:sz="16" w:space="0" w:color="000000"/>
              <w:bottom w:val="single" w:sz="16" w:space="0" w:color="000000"/>
            </w:tcBorders>
            <w:shd w:val="clear" w:color="auto" w:fill="FFFFFF"/>
            <w:vAlign w:val="bottom"/>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r>
      <w:tr w:rsidR="007E52BA" w:rsidRPr="009849F2" w:rsidTr="00104FB7">
        <w:tc>
          <w:tcPr>
            <w:tcW w:w="734" w:type="dxa"/>
            <w:vMerge w:val="restart"/>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2"/>
            <w:tcBorders>
              <w:top w:val="single" w:sz="16" w:space="0" w:color="000000"/>
              <w:left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3"/>
            <w:tcBorders>
              <w:top w:val="single" w:sz="16" w:space="0" w:color="000000"/>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.130</w:t>
            </w:r>
          </w:p>
        </w:tc>
        <w:tc>
          <w:tcPr>
            <w:tcW w:w="1335" w:type="dxa"/>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3"/>
            <w:tcBorders>
              <w:top w:val="single" w:sz="16" w:space="0" w:color="000000"/>
              <w:bottom w:val="nil"/>
            </w:tcBorders>
            <w:shd w:val="clear" w:color="auto" w:fill="FFFFFF"/>
            <w:vAlign w:val="center"/>
          </w:tcPr>
          <w:p w:rsidR="007E52BA" w:rsidRPr="009849F2" w:rsidRDefault="007E52BA" w:rsidP="00104FB7">
            <w:pPr>
              <w:autoSpaceDE w:val="0"/>
              <w:autoSpaceDN w:val="0"/>
              <w:adjustRightInd w:val="0"/>
              <w:spacing w:after="0" w:line="240" w:lineRule="auto"/>
              <w:jc w:val="center"/>
              <w:rPr>
                <w:rFonts w:ascii="Times New Roman" w:hAnsi="Times New Roman" w:cs="Times New Roman"/>
                <w:sz w:val="24"/>
                <w:szCs w:val="24"/>
              </w:rPr>
            </w:pPr>
          </w:p>
        </w:tc>
        <w:tc>
          <w:tcPr>
            <w:tcW w:w="1019" w:type="dxa"/>
            <w:gridSpan w:val="2"/>
            <w:tcBorders>
              <w:top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13.595</w:t>
            </w:r>
          </w:p>
        </w:tc>
        <w:tc>
          <w:tcPr>
            <w:tcW w:w="1019" w:type="dxa"/>
            <w:tcBorders>
              <w:top w:val="single" w:sz="16" w:space="0" w:color="000000"/>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7E52BA"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3"/>
            <w:tcBorders>
              <w:top w:val="nil"/>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335" w:type="dxa"/>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3"/>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019" w:type="dxa"/>
            <w:gridSpan w:val="2"/>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-.036</w:t>
            </w:r>
          </w:p>
        </w:tc>
        <w:tc>
          <w:tcPr>
            <w:tcW w:w="1019" w:type="dxa"/>
            <w:tcBorders>
              <w:top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.972</w:t>
            </w:r>
          </w:p>
        </w:tc>
      </w:tr>
      <w:tr w:rsidR="007E52BA"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nil"/>
              <w:right w:val="single" w:sz="16" w:space="0" w:color="000000"/>
            </w:tcBorders>
            <w:shd w:val="clear" w:color="auto" w:fill="FFFFFF"/>
          </w:tcPr>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3"/>
            <w:tcBorders>
              <w:top w:val="nil"/>
              <w:left w:val="single" w:sz="16" w:space="0" w:color="000000"/>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.023</w:t>
            </w:r>
          </w:p>
        </w:tc>
        <w:tc>
          <w:tcPr>
            <w:tcW w:w="1335" w:type="dxa"/>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3"/>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.100</w:t>
            </w:r>
          </w:p>
        </w:tc>
        <w:tc>
          <w:tcPr>
            <w:tcW w:w="1019" w:type="dxa"/>
            <w:gridSpan w:val="2"/>
            <w:tcBorders>
              <w:top w:val="nil"/>
              <w:bottom w:val="nil"/>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2.357</w:t>
            </w:r>
          </w:p>
        </w:tc>
        <w:tc>
          <w:tcPr>
            <w:tcW w:w="1019" w:type="dxa"/>
            <w:tcBorders>
              <w:top w:val="nil"/>
              <w:bottom w:val="nil"/>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.019</w:t>
            </w:r>
          </w:p>
        </w:tc>
      </w:tr>
      <w:tr w:rsidR="007E52BA" w:rsidRPr="009849F2" w:rsidTr="00104FB7">
        <w:tc>
          <w:tcPr>
            <w:tcW w:w="734" w:type="dxa"/>
            <w:vMerge/>
            <w:tcBorders>
              <w:top w:val="single" w:sz="16" w:space="0" w:color="000000"/>
              <w:left w:val="single" w:sz="16" w:space="0" w:color="000000"/>
              <w:bottom w:val="single" w:sz="16" w:space="0" w:color="000000"/>
              <w:right w:val="nil"/>
            </w:tcBorders>
            <w:shd w:val="clear" w:color="auto" w:fill="FFFFFF"/>
          </w:tcPr>
          <w:p w:rsidR="007E52BA" w:rsidRPr="009849F2" w:rsidRDefault="007E52BA" w:rsidP="00104FB7">
            <w:pPr>
              <w:autoSpaceDE w:val="0"/>
              <w:autoSpaceDN w:val="0"/>
              <w:adjustRightInd w:val="0"/>
              <w:spacing w:after="0" w:line="240" w:lineRule="auto"/>
              <w:rPr>
                <w:rFonts w:ascii="Arial" w:hAnsi="Arial"/>
                <w:color w:val="000000"/>
                <w:sz w:val="18"/>
                <w:szCs w:val="18"/>
              </w:rPr>
            </w:pPr>
          </w:p>
        </w:tc>
        <w:tc>
          <w:tcPr>
            <w:tcW w:w="2448" w:type="dxa"/>
            <w:gridSpan w:val="2"/>
            <w:tcBorders>
              <w:top w:val="nil"/>
              <w:left w:val="nil"/>
              <w:bottom w:val="single" w:sz="16" w:space="0" w:color="000000"/>
              <w:right w:val="single" w:sz="16" w:space="0" w:color="000000"/>
            </w:tcBorders>
            <w:shd w:val="clear" w:color="auto" w:fill="FFFFFF"/>
          </w:tcPr>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3"/>
            <w:tcBorders>
              <w:top w:val="nil"/>
              <w:left w:val="single" w:sz="16" w:space="0" w:color="000000"/>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335" w:type="dxa"/>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3"/>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.018</w:t>
            </w:r>
          </w:p>
        </w:tc>
        <w:tc>
          <w:tcPr>
            <w:tcW w:w="1019" w:type="dxa"/>
            <w:gridSpan w:val="2"/>
            <w:tcBorders>
              <w:top w:val="nil"/>
              <w:bottom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.419</w:t>
            </w:r>
          </w:p>
        </w:tc>
        <w:tc>
          <w:tcPr>
            <w:tcW w:w="1019" w:type="dxa"/>
            <w:tcBorders>
              <w:top w:val="nil"/>
              <w:bottom w:val="single" w:sz="16" w:space="0" w:color="000000"/>
              <w:right w:val="single" w:sz="16" w:space="0" w:color="000000"/>
            </w:tcBorders>
            <w:shd w:val="clear" w:color="auto" w:fill="FFFFFF"/>
          </w:tcPr>
          <w:p w:rsidR="007E52BA" w:rsidRPr="009849F2" w:rsidRDefault="007E52BA" w:rsidP="00104FB7">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.675</w:t>
            </w:r>
          </w:p>
        </w:tc>
      </w:tr>
      <w:tr w:rsidR="007E52BA" w:rsidRPr="009849F2" w:rsidTr="00104FB7">
        <w:tc>
          <w:tcPr>
            <w:tcW w:w="9361" w:type="dxa"/>
            <w:gridSpan w:val="13"/>
            <w:tcBorders>
              <w:top w:val="nil"/>
              <w:left w:val="nil"/>
              <w:bottom w:val="nil"/>
              <w:right w:val="nil"/>
            </w:tcBorders>
            <w:shd w:val="clear" w:color="auto" w:fill="FFFFFF"/>
          </w:tcPr>
          <w:p w:rsidR="007E52BA" w:rsidRPr="009849F2" w:rsidRDefault="009532E3" w:rsidP="00104FB7">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 Dependent Variable: Production Costs</w:t>
            </w:r>
          </w:p>
          <w:p w:rsidR="007E52BA" w:rsidRPr="009849F2" w:rsidRDefault="007E52BA" w:rsidP="00104FB7">
            <w:pPr>
              <w:autoSpaceDE w:val="0"/>
              <w:autoSpaceDN w:val="0"/>
              <w:adjustRightInd w:val="0"/>
              <w:spacing w:after="0" w:line="320" w:lineRule="atLeast"/>
              <w:ind w:left="60" w:right="60"/>
              <w:rPr>
                <w:rFonts w:ascii="Arial" w:hAnsi="Arial"/>
                <w:color w:val="000000"/>
                <w:sz w:val="18"/>
                <w:szCs w:val="18"/>
              </w:rPr>
            </w:pPr>
          </w:p>
        </w:tc>
      </w:tr>
    </w:tbl>
    <w:p w:rsidR="007E52BA" w:rsidRPr="00AD78B0" w:rsidRDefault="00935072" w:rsidP="00C054F6">
      <w:pPr>
        <w:spacing w:line="360" w:lineRule="auto"/>
        <w:rPr>
          <w:rFonts w:cs="Calibri"/>
          <w:bCs/>
          <w:lang w:val="en-GB"/>
        </w:rPr>
      </w:pPr>
      <w:r w:rsidRPr="00AD78B0">
        <w:rPr>
          <w:rFonts w:cs="Calibri"/>
          <w:bCs/>
          <w:lang w:val="en-GB"/>
        </w:rPr>
        <w:t>Like the model of with Costs of Goods</w:t>
      </w:r>
      <w:r w:rsidR="00360048">
        <w:rPr>
          <w:rFonts w:cs="Calibri"/>
          <w:bCs/>
          <w:lang w:val="en-GB"/>
        </w:rPr>
        <w:t xml:space="preserve"> Sold as dependent variable, </w:t>
      </w:r>
      <w:r w:rsidRPr="00AD78B0">
        <w:rPr>
          <w:rFonts w:cs="Calibri"/>
          <w:bCs/>
          <w:lang w:val="en-GB"/>
        </w:rPr>
        <w:t xml:space="preserve">this model with Production Costs as dependent variable </w:t>
      </w:r>
      <w:r w:rsidR="00360048">
        <w:rPr>
          <w:rFonts w:cs="Calibri"/>
          <w:bCs/>
          <w:lang w:val="en-GB"/>
        </w:rPr>
        <w:t xml:space="preserve">is </w:t>
      </w:r>
      <w:r w:rsidRPr="00AD78B0">
        <w:rPr>
          <w:rFonts w:cs="Calibri"/>
          <w:bCs/>
          <w:lang w:val="en-GB"/>
        </w:rPr>
        <w:t xml:space="preserve">not significant. </w:t>
      </w:r>
      <w:r w:rsidR="0014603A" w:rsidRPr="00AD78B0">
        <w:rPr>
          <w:rFonts w:cs="Calibri"/>
          <w:bCs/>
          <w:lang w:val="en-GB"/>
        </w:rPr>
        <w:t xml:space="preserve">Because </w:t>
      </w:r>
      <w:r w:rsidR="00105C7B" w:rsidRPr="00AD78B0">
        <w:rPr>
          <w:rFonts w:cs="Calibri"/>
          <w:bCs/>
          <w:lang w:val="en-GB"/>
        </w:rPr>
        <w:t xml:space="preserve">of this non-significance of the model, the results are not strong and </w:t>
      </w:r>
      <w:r w:rsidR="009A0A45">
        <w:rPr>
          <w:rFonts w:cs="Calibri"/>
          <w:bCs/>
          <w:lang w:val="en-GB"/>
        </w:rPr>
        <w:t>consequently</w:t>
      </w:r>
      <w:r w:rsidR="00105C7B" w:rsidRPr="00AD78B0">
        <w:rPr>
          <w:rFonts w:cs="Calibri"/>
          <w:bCs/>
          <w:lang w:val="en-GB"/>
        </w:rPr>
        <w:t xml:space="preserve"> will the results be </w:t>
      </w:r>
      <w:r w:rsidR="00FD57D0">
        <w:rPr>
          <w:rFonts w:cs="Calibri"/>
          <w:bCs/>
          <w:lang w:val="en-GB"/>
        </w:rPr>
        <w:t>commented</w:t>
      </w:r>
      <w:r w:rsidR="00105C7B" w:rsidRPr="00AD78B0">
        <w:rPr>
          <w:rFonts w:cs="Calibri"/>
          <w:bCs/>
          <w:lang w:val="en-GB"/>
        </w:rPr>
        <w:t xml:space="preserve"> but no conclusion will be drawn </w:t>
      </w:r>
      <w:r w:rsidR="00360048">
        <w:rPr>
          <w:rFonts w:cs="Calibri"/>
          <w:bCs/>
          <w:lang w:val="en-GB"/>
        </w:rPr>
        <w:t xml:space="preserve">based on </w:t>
      </w:r>
      <w:r w:rsidR="00105C7B" w:rsidRPr="00AD78B0">
        <w:rPr>
          <w:rFonts w:cs="Calibri"/>
          <w:bCs/>
          <w:lang w:val="en-GB"/>
        </w:rPr>
        <w:t xml:space="preserve">this model. The Coefficients table shows one significant and two </w:t>
      </w:r>
      <w:r w:rsidR="00374952">
        <w:rPr>
          <w:rFonts w:cs="Calibri"/>
          <w:bCs/>
          <w:lang w:val="en-GB"/>
        </w:rPr>
        <w:t xml:space="preserve">variables that are </w:t>
      </w:r>
      <w:r w:rsidR="00105C7B" w:rsidRPr="00AD78B0">
        <w:rPr>
          <w:rFonts w:cs="Calibri"/>
          <w:bCs/>
          <w:lang w:val="en-GB"/>
        </w:rPr>
        <w:t>not significant</w:t>
      </w:r>
      <w:r w:rsidR="0047468A">
        <w:rPr>
          <w:rFonts w:cs="Calibri"/>
          <w:bCs/>
          <w:lang w:val="en-GB"/>
        </w:rPr>
        <w:t>. Notable is that the variable a</w:t>
      </w:r>
      <w:r w:rsidR="00105C7B" w:rsidRPr="00AD78B0">
        <w:rPr>
          <w:rFonts w:cs="Calibri"/>
          <w:bCs/>
          <w:lang w:val="en-GB"/>
        </w:rPr>
        <w:t xml:space="preserve">ccounting </w:t>
      </w:r>
      <w:r w:rsidR="0047468A">
        <w:rPr>
          <w:rFonts w:cs="Calibri"/>
          <w:bCs/>
          <w:lang w:val="en-GB"/>
        </w:rPr>
        <w:t>s</w:t>
      </w:r>
      <w:r w:rsidR="00105C7B" w:rsidRPr="00AD78B0">
        <w:rPr>
          <w:rFonts w:cs="Calibri"/>
          <w:bCs/>
          <w:lang w:val="en-GB"/>
        </w:rPr>
        <w:t xml:space="preserve">tandard is significant which has not happened in all other regression models. But because the model is not significant, this result will not be used for hypothesis 2 about the substitution from accruals-based to real earnings management. </w:t>
      </w:r>
    </w:p>
    <w:p w:rsidR="00844106" w:rsidRPr="008C3131" w:rsidRDefault="008C3131" w:rsidP="00C054F6">
      <w:pPr>
        <w:spacing w:line="360" w:lineRule="auto"/>
        <w:rPr>
          <w:rFonts w:cs="Calibri"/>
          <w:b/>
          <w:bCs/>
          <w:lang w:val="en-GB"/>
        </w:rPr>
      </w:pPr>
      <w:r>
        <w:rPr>
          <w:rFonts w:cs="Calibri"/>
          <w:bCs/>
          <w:lang w:val="en-GB"/>
        </w:rPr>
        <w:t>The conclusion of the four variables for determining real earnings management as dependent variables in a multiple regression is that the models with</w:t>
      </w:r>
      <w:r w:rsidR="00844106" w:rsidRPr="00AD78B0">
        <w:rPr>
          <w:rFonts w:cs="Calibri"/>
          <w:bCs/>
          <w:lang w:val="en-GB"/>
        </w:rPr>
        <w:t xml:space="preserve"> dependent variables Cash Flow from Operations and Change in Inventory are significant, in contrast to the models with the dependent variables Costs of Goods Sold and Production Costs. When the significant models are checked on the significance of the independent variable Accounting Standard, it appears that t</w:t>
      </w:r>
      <w:r w:rsidR="0047468A">
        <w:rPr>
          <w:rFonts w:cs="Calibri"/>
          <w:bCs/>
          <w:lang w:val="en-GB"/>
        </w:rPr>
        <w:t>his variable is not significant</w:t>
      </w:r>
      <w:r w:rsidR="00374952">
        <w:rPr>
          <w:rFonts w:cs="Calibri"/>
          <w:bCs/>
          <w:lang w:val="en-GB"/>
        </w:rPr>
        <w:t xml:space="preserve"> in both tests</w:t>
      </w:r>
      <w:r w:rsidR="00844106" w:rsidRPr="00AD78B0">
        <w:rPr>
          <w:rFonts w:cs="Calibri"/>
          <w:bCs/>
          <w:lang w:val="en-GB"/>
        </w:rPr>
        <w:t xml:space="preserve">. </w:t>
      </w:r>
      <w:r w:rsidR="00671152" w:rsidRPr="00AD78B0">
        <w:rPr>
          <w:rFonts w:cs="Calibri"/>
          <w:bCs/>
          <w:lang w:val="en-GB"/>
        </w:rPr>
        <w:t xml:space="preserve">Because of this, the </w:t>
      </w:r>
      <w:r w:rsidR="00360048">
        <w:rPr>
          <w:rFonts w:cs="Calibri"/>
          <w:bCs/>
          <w:lang w:val="en-GB"/>
        </w:rPr>
        <w:t>result</w:t>
      </w:r>
      <w:r w:rsidR="00671152" w:rsidRPr="00AD78B0">
        <w:rPr>
          <w:rFonts w:cs="Calibri"/>
          <w:bCs/>
          <w:lang w:val="en-GB"/>
        </w:rPr>
        <w:t xml:space="preserve"> is that the transition from local GAAP to IFRS did not </w:t>
      </w:r>
      <w:r w:rsidR="00360048">
        <w:rPr>
          <w:rFonts w:cs="Calibri"/>
          <w:bCs/>
          <w:lang w:val="en-GB"/>
        </w:rPr>
        <w:t>create</w:t>
      </w:r>
      <w:r w:rsidR="00671152" w:rsidRPr="00AD78B0">
        <w:rPr>
          <w:rFonts w:cs="Calibri"/>
          <w:bCs/>
          <w:lang w:val="en-GB"/>
        </w:rPr>
        <w:t xml:space="preserve"> a significant difference in the use of real earnings management.</w:t>
      </w:r>
      <w:r w:rsidR="00671152">
        <w:rPr>
          <w:rFonts w:cs="Calibri"/>
          <w:b/>
          <w:bCs/>
          <w:lang w:val="en-GB"/>
        </w:rPr>
        <w:t xml:space="preserve"> </w:t>
      </w:r>
      <w:r>
        <w:rPr>
          <w:rFonts w:cs="Calibri"/>
          <w:bCs/>
          <w:lang w:val="en-GB"/>
        </w:rPr>
        <w:t>Although no significance in the outco</w:t>
      </w:r>
      <w:r w:rsidR="0047468A">
        <w:rPr>
          <w:rFonts w:cs="Calibri"/>
          <w:bCs/>
          <w:lang w:val="en-GB"/>
        </w:rPr>
        <w:t>me of the independent variable a</w:t>
      </w:r>
      <w:r>
        <w:rPr>
          <w:rFonts w:cs="Calibri"/>
          <w:bCs/>
          <w:lang w:val="en-GB"/>
        </w:rPr>
        <w:t xml:space="preserve">ccounting </w:t>
      </w:r>
      <w:r w:rsidR="0047468A">
        <w:rPr>
          <w:rFonts w:cs="Calibri"/>
          <w:bCs/>
          <w:lang w:val="en-GB"/>
        </w:rPr>
        <w:t>s</w:t>
      </w:r>
      <w:r>
        <w:rPr>
          <w:rFonts w:cs="Calibri"/>
          <w:bCs/>
          <w:lang w:val="en-GB"/>
        </w:rPr>
        <w:t>tandard</w:t>
      </w:r>
      <w:r w:rsidR="00360048">
        <w:rPr>
          <w:rFonts w:cs="Calibri"/>
          <w:bCs/>
          <w:lang w:val="en-GB"/>
        </w:rPr>
        <w:t xml:space="preserve"> exists</w:t>
      </w:r>
      <w:r>
        <w:rPr>
          <w:rFonts w:cs="Calibri"/>
          <w:bCs/>
          <w:lang w:val="en-GB"/>
        </w:rPr>
        <w:t>, the result</w:t>
      </w:r>
      <w:r w:rsidR="0047468A">
        <w:rPr>
          <w:rFonts w:cs="Calibri"/>
          <w:bCs/>
          <w:lang w:val="en-GB"/>
        </w:rPr>
        <w:t>s</w:t>
      </w:r>
      <w:r>
        <w:rPr>
          <w:rFonts w:cs="Calibri"/>
          <w:bCs/>
          <w:lang w:val="en-GB"/>
        </w:rPr>
        <w:t xml:space="preserve"> of the use of the </w:t>
      </w:r>
      <w:r>
        <w:rPr>
          <w:rFonts w:cs="Calibri"/>
          <w:bCs/>
          <w:lang w:val="en-GB"/>
        </w:rPr>
        <w:lastRenderedPageBreak/>
        <w:t>four variables separately could be used for further research in</w:t>
      </w:r>
      <w:r w:rsidR="00360048">
        <w:rPr>
          <w:rFonts w:cs="Calibri"/>
          <w:bCs/>
          <w:lang w:val="en-GB"/>
        </w:rPr>
        <w:t xml:space="preserve"> the use of</w:t>
      </w:r>
      <w:r>
        <w:rPr>
          <w:rFonts w:cs="Calibri"/>
          <w:bCs/>
          <w:lang w:val="en-GB"/>
        </w:rPr>
        <w:t xml:space="preserve"> real earnings management and the use of variables to test real earnings management.</w:t>
      </w:r>
    </w:p>
    <w:p w:rsidR="001A646D" w:rsidRDefault="00CB300A" w:rsidP="00C054F6">
      <w:pPr>
        <w:spacing w:line="360" w:lineRule="auto"/>
        <w:rPr>
          <w:rFonts w:cs="Calibri"/>
          <w:bCs/>
          <w:lang w:val="en-GB"/>
        </w:rPr>
      </w:pPr>
      <w:r w:rsidRPr="00CB300A">
        <w:rPr>
          <w:rFonts w:cs="Calibri"/>
          <w:b/>
          <w:bCs/>
          <w:lang w:val="en-GB"/>
        </w:rPr>
        <w:t>7.4 Summary</w:t>
      </w:r>
      <w:r>
        <w:rPr>
          <w:rFonts w:cs="Calibri"/>
          <w:b/>
          <w:bCs/>
          <w:lang w:val="en-GB"/>
        </w:rPr>
        <w:br/>
      </w:r>
      <w:r w:rsidR="00C054F6" w:rsidRPr="00C054F6">
        <w:rPr>
          <w:rFonts w:cs="Calibri"/>
          <w:bCs/>
          <w:lang w:val="en-GB"/>
        </w:rPr>
        <w:t xml:space="preserve">In this chapter, </w:t>
      </w:r>
      <w:r w:rsidR="00C054F6">
        <w:rPr>
          <w:rFonts w:cs="Calibri"/>
          <w:bCs/>
          <w:lang w:val="en-GB"/>
        </w:rPr>
        <w:t>the research has bee</w:t>
      </w:r>
      <w:r w:rsidR="00374952">
        <w:rPr>
          <w:rFonts w:cs="Calibri"/>
          <w:bCs/>
          <w:lang w:val="en-GB"/>
        </w:rPr>
        <w:t xml:space="preserve">n performed and the </w:t>
      </w:r>
      <w:r w:rsidR="00360048">
        <w:rPr>
          <w:rFonts w:cs="Calibri"/>
          <w:bCs/>
          <w:lang w:val="en-GB"/>
        </w:rPr>
        <w:t>results</w:t>
      </w:r>
      <w:r w:rsidR="00374952">
        <w:rPr>
          <w:rFonts w:cs="Calibri"/>
          <w:bCs/>
          <w:lang w:val="en-GB"/>
        </w:rPr>
        <w:t xml:space="preserve"> </w:t>
      </w:r>
      <w:r w:rsidR="00C054F6">
        <w:rPr>
          <w:rFonts w:cs="Calibri"/>
          <w:bCs/>
          <w:lang w:val="en-GB"/>
        </w:rPr>
        <w:t xml:space="preserve">are </w:t>
      </w:r>
      <w:r w:rsidR="00374952">
        <w:rPr>
          <w:rFonts w:cs="Calibri"/>
          <w:bCs/>
          <w:lang w:val="en-GB"/>
        </w:rPr>
        <w:t>commented</w:t>
      </w:r>
      <w:r w:rsidR="003A71A5">
        <w:rPr>
          <w:rFonts w:cs="Calibri"/>
          <w:bCs/>
          <w:lang w:val="en-GB"/>
        </w:rPr>
        <w:t>. With this information, sub-</w:t>
      </w:r>
      <w:r w:rsidR="00C054F6">
        <w:rPr>
          <w:rFonts w:cs="Calibri"/>
          <w:bCs/>
          <w:lang w:val="en-GB"/>
        </w:rPr>
        <w:t xml:space="preserve">question 10 about the research of this thesis is </w:t>
      </w:r>
      <w:r w:rsidR="00FD57D0">
        <w:rPr>
          <w:rFonts w:cs="Calibri"/>
          <w:bCs/>
          <w:lang w:val="en-GB"/>
        </w:rPr>
        <w:t>commented</w:t>
      </w:r>
      <w:r w:rsidR="00A96F0C">
        <w:rPr>
          <w:rFonts w:cs="Calibri"/>
          <w:bCs/>
          <w:lang w:val="en-GB"/>
        </w:rPr>
        <w:t xml:space="preserve"> and answered</w:t>
      </w:r>
      <w:r w:rsidR="00C054F6">
        <w:rPr>
          <w:rFonts w:cs="Calibri"/>
          <w:bCs/>
          <w:lang w:val="en-GB"/>
        </w:rPr>
        <w:t xml:space="preserve">. </w:t>
      </w:r>
      <w:r w:rsidR="00443528">
        <w:rPr>
          <w:rFonts w:cs="Calibri"/>
          <w:bCs/>
          <w:lang w:val="en-GB"/>
        </w:rPr>
        <w:t>T</w:t>
      </w:r>
      <w:r w:rsidR="00A96F0C">
        <w:rPr>
          <w:rFonts w:cs="Calibri"/>
          <w:bCs/>
          <w:lang w:val="en-GB"/>
        </w:rPr>
        <w:t xml:space="preserve">he abnormal level of earnings management-indicating variables </w:t>
      </w:r>
      <w:r w:rsidR="00443528">
        <w:rPr>
          <w:rFonts w:cs="Calibri"/>
          <w:bCs/>
          <w:lang w:val="en-GB"/>
        </w:rPr>
        <w:t>are used for the detection of</w:t>
      </w:r>
      <w:r w:rsidR="00360048">
        <w:rPr>
          <w:rFonts w:cs="Calibri"/>
          <w:bCs/>
          <w:lang w:val="en-GB"/>
        </w:rPr>
        <w:t xml:space="preserve"> the use of</w:t>
      </w:r>
      <w:r w:rsidR="00443528">
        <w:rPr>
          <w:rFonts w:cs="Calibri"/>
          <w:bCs/>
          <w:lang w:val="en-GB"/>
        </w:rPr>
        <w:t xml:space="preserve"> earnings management. F</w:t>
      </w:r>
      <w:r w:rsidR="00C054F6">
        <w:rPr>
          <w:rFonts w:cs="Calibri"/>
          <w:bCs/>
          <w:lang w:val="en-GB"/>
        </w:rPr>
        <w:t>or the accruals-based method, the discre</w:t>
      </w:r>
      <w:r w:rsidR="00D96B24">
        <w:rPr>
          <w:rFonts w:cs="Calibri"/>
          <w:bCs/>
          <w:lang w:val="en-GB"/>
        </w:rPr>
        <w:t xml:space="preserve">tionary part of the accruals </w:t>
      </w:r>
      <w:r w:rsidR="00443528">
        <w:rPr>
          <w:rFonts w:cs="Calibri"/>
          <w:bCs/>
          <w:lang w:val="en-GB"/>
        </w:rPr>
        <w:t>is</w:t>
      </w:r>
      <w:r w:rsidR="00C054F6">
        <w:rPr>
          <w:rFonts w:cs="Calibri"/>
          <w:bCs/>
          <w:lang w:val="en-GB"/>
        </w:rPr>
        <w:t xml:space="preserve"> determined but before this is possible, regression coefficients </w:t>
      </w:r>
      <w:r w:rsidR="008A39ED">
        <w:rPr>
          <w:rFonts w:cs="Calibri"/>
          <w:bCs/>
          <w:lang w:val="en-GB"/>
        </w:rPr>
        <w:t>need</w:t>
      </w:r>
      <w:r w:rsidR="001A646D">
        <w:rPr>
          <w:rFonts w:cs="Calibri"/>
          <w:bCs/>
          <w:lang w:val="en-GB"/>
        </w:rPr>
        <w:t>ed</w:t>
      </w:r>
      <w:r w:rsidR="00C054F6">
        <w:rPr>
          <w:rFonts w:cs="Calibri"/>
          <w:bCs/>
          <w:lang w:val="en-GB"/>
        </w:rPr>
        <w:t xml:space="preserve"> to be determined</w:t>
      </w:r>
      <w:r w:rsidR="00443528">
        <w:rPr>
          <w:rFonts w:cs="Calibri"/>
          <w:bCs/>
          <w:lang w:val="en-GB"/>
        </w:rPr>
        <w:t xml:space="preserve">. </w:t>
      </w:r>
      <w:r w:rsidR="00360048">
        <w:rPr>
          <w:rFonts w:cs="Calibri"/>
          <w:bCs/>
          <w:lang w:val="en-GB"/>
        </w:rPr>
        <w:t>In order to detect the indication for the use of earnings management; the discretionary part of the accruals with</w:t>
      </w:r>
      <w:r w:rsidR="00C149EE">
        <w:rPr>
          <w:rFonts w:cs="Calibri"/>
          <w:bCs/>
          <w:lang w:val="en-GB"/>
        </w:rPr>
        <w:t xml:space="preserve"> the use of historical data</w:t>
      </w:r>
      <w:r w:rsidR="00443528">
        <w:rPr>
          <w:rFonts w:cs="Calibri"/>
          <w:bCs/>
          <w:lang w:val="en-GB"/>
        </w:rPr>
        <w:t>, the non-discretionary part of the accruals is determined which is subtracted from the total amount of accruals</w:t>
      </w:r>
      <w:r w:rsidR="00360048">
        <w:rPr>
          <w:rFonts w:cs="Calibri"/>
          <w:bCs/>
          <w:lang w:val="en-GB"/>
        </w:rPr>
        <w:t>.</w:t>
      </w:r>
      <w:r w:rsidR="00443528">
        <w:rPr>
          <w:rFonts w:cs="Calibri"/>
          <w:bCs/>
          <w:lang w:val="en-GB"/>
        </w:rPr>
        <w:t xml:space="preserve"> </w:t>
      </w:r>
      <w:r w:rsidR="0082416C">
        <w:rPr>
          <w:rFonts w:cs="Calibri"/>
          <w:bCs/>
          <w:lang w:val="en-GB"/>
        </w:rPr>
        <w:t xml:space="preserve">This </w:t>
      </w:r>
      <w:r w:rsidR="009A0A45">
        <w:rPr>
          <w:rFonts w:cs="Calibri"/>
          <w:bCs/>
          <w:lang w:val="en-GB"/>
        </w:rPr>
        <w:t>in addition</w:t>
      </w:r>
      <w:r w:rsidR="0082416C">
        <w:rPr>
          <w:rFonts w:cs="Calibri"/>
          <w:bCs/>
          <w:lang w:val="en-GB"/>
        </w:rPr>
        <w:t xml:space="preserve"> has</w:t>
      </w:r>
      <w:r w:rsidR="00C149EE">
        <w:rPr>
          <w:rFonts w:cs="Calibri"/>
          <w:bCs/>
          <w:lang w:val="en-GB"/>
        </w:rPr>
        <w:t xml:space="preserve"> to be </w:t>
      </w:r>
      <w:r w:rsidR="00360048">
        <w:rPr>
          <w:rFonts w:cs="Calibri"/>
          <w:bCs/>
          <w:lang w:val="en-GB"/>
        </w:rPr>
        <w:t>performed</w:t>
      </w:r>
      <w:r w:rsidR="00C149EE">
        <w:rPr>
          <w:rFonts w:cs="Calibri"/>
          <w:bCs/>
          <w:lang w:val="en-GB"/>
        </w:rPr>
        <w:t xml:space="preserve"> for the method of </w:t>
      </w:r>
      <w:r w:rsidR="00360048">
        <w:rPr>
          <w:rFonts w:cs="Calibri"/>
          <w:bCs/>
          <w:lang w:val="en-GB"/>
        </w:rPr>
        <w:t xml:space="preserve">the use of </w:t>
      </w:r>
      <w:r w:rsidR="00C149EE">
        <w:rPr>
          <w:rFonts w:cs="Calibri"/>
          <w:bCs/>
          <w:lang w:val="en-GB"/>
        </w:rPr>
        <w:t xml:space="preserve">real earnings management. </w:t>
      </w:r>
      <w:r w:rsidR="0082416C">
        <w:rPr>
          <w:rFonts w:cs="Calibri"/>
          <w:bCs/>
          <w:lang w:val="en-GB"/>
        </w:rPr>
        <w:t>The ‘normal’ level</w:t>
      </w:r>
      <w:r w:rsidR="00374952">
        <w:rPr>
          <w:rFonts w:cs="Calibri"/>
          <w:bCs/>
          <w:lang w:val="en-GB"/>
        </w:rPr>
        <w:t>s</w:t>
      </w:r>
      <w:r w:rsidR="0082416C">
        <w:rPr>
          <w:rFonts w:cs="Calibri"/>
          <w:bCs/>
          <w:lang w:val="en-GB"/>
        </w:rPr>
        <w:t xml:space="preserve"> of the</w:t>
      </w:r>
      <w:r w:rsidR="0047468A">
        <w:rPr>
          <w:rFonts w:cs="Calibri"/>
          <w:bCs/>
          <w:lang w:val="en-GB"/>
        </w:rPr>
        <w:t xml:space="preserve"> variables</w:t>
      </w:r>
      <w:r w:rsidR="0082416C">
        <w:rPr>
          <w:rFonts w:cs="Calibri"/>
          <w:bCs/>
          <w:lang w:val="en-GB"/>
        </w:rPr>
        <w:t xml:space="preserve"> c</w:t>
      </w:r>
      <w:r w:rsidR="00465E01">
        <w:rPr>
          <w:rFonts w:cs="Calibri"/>
          <w:bCs/>
          <w:lang w:val="en-GB"/>
        </w:rPr>
        <w:t xml:space="preserve">ash </w:t>
      </w:r>
      <w:r w:rsidR="0082416C">
        <w:rPr>
          <w:rFonts w:cs="Calibri"/>
          <w:bCs/>
          <w:lang w:val="en-GB"/>
        </w:rPr>
        <w:t>f</w:t>
      </w:r>
      <w:r w:rsidR="00465E01">
        <w:rPr>
          <w:rFonts w:cs="Calibri"/>
          <w:bCs/>
          <w:lang w:val="en-GB"/>
        </w:rPr>
        <w:t xml:space="preserve">low of </w:t>
      </w:r>
      <w:r w:rsidR="0082416C">
        <w:rPr>
          <w:rFonts w:cs="Calibri"/>
          <w:bCs/>
          <w:lang w:val="en-GB"/>
        </w:rPr>
        <w:t>o</w:t>
      </w:r>
      <w:r w:rsidR="00465E01">
        <w:rPr>
          <w:rFonts w:cs="Calibri"/>
          <w:bCs/>
          <w:lang w:val="en-GB"/>
        </w:rPr>
        <w:t>perations</w:t>
      </w:r>
      <w:r w:rsidR="00C054F6">
        <w:rPr>
          <w:rFonts w:cs="Calibri"/>
          <w:bCs/>
          <w:lang w:val="en-GB"/>
        </w:rPr>
        <w:t xml:space="preserve">, </w:t>
      </w:r>
      <w:r w:rsidR="0082416C">
        <w:rPr>
          <w:rFonts w:cs="Calibri"/>
          <w:bCs/>
          <w:lang w:val="en-GB"/>
        </w:rPr>
        <w:t>c</w:t>
      </w:r>
      <w:r w:rsidR="00465E01">
        <w:rPr>
          <w:rFonts w:cs="Calibri"/>
          <w:bCs/>
          <w:lang w:val="en-GB"/>
        </w:rPr>
        <w:t xml:space="preserve">osts </w:t>
      </w:r>
      <w:r w:rsidR="008A39ED">
        <w:rPr>
          <w:rFonts w:cs="Calibri"/>
          <w:bCs/>
          <w:lang w:val="en-GB"/>
        </w:rPr>
        <w:t>o</w:t>
      </w:r>
      <w:r w:rsidR="00465E01">
        <w:rPr>
          <w:rFonts w:cs="Calibri"/>
          <w:bCs/>
          <w:lang w:val="en-GB"/>
        </w:rPr>
        <w:t>f</w:t>
      </w:r>
      <w:r w:rsidR="0082416C">
        <w:rPr>
          <w:rFonts w:cs="Calibri"/>
          <w:bCs/>
          <w:lang w:val="en-GB"/>
        </w:rPr>
        <w:t xml:space="preserve"> g</w:t>
      </w:r>
      <w:r w:rsidR="00465E01">
        <w:rPr>
          <w:rFonts w:cs="Calibri"/>
          <w:bCs/>
          <w:lang w:val="en-GB"/>
        </w:rPr>
        <w:t xml:space="preserve">oods </w:t>
      </w:r>
      <w:r w:rsidR="0082416C">
        <w:rPr>
          <w:rFonts w:cs="Calibri"/>
          <w:bCs/>
          <w:lang w:val="en-GB"/>
        </w:rPr>
        <w:t>sold, change in inventory and p</w:t>
      </w:r>
      <w:r w:rsidR="00465E01">
        <w:rPr>
          <w:rFonts w:cs="Calibri"/>
          <w:bCs/>
          <w:lang w:val="en-GB"/>
        </w:rPr>
        <w:t>roduction</w:t>
      </w:r>
      <w:r w:rsidR="00C054F6">
        <w:rPr>
          <w:rFonts w:cs="Calibri"/>
          <w:bCs/>
          <w:lang w:val="en-GB"/>
        </w:rPr>
        <w:t xml:space="preserve"> </w:t>
      </w:r>
      <w:r w:rsidR="0047468A">
        <w:rPr>
          <w:rFonts w:cs="Calibri"/>
          <w:bCs/>
          <w:lang w:val="en-GB"/>
        </w:rPr>
        <w:t>are</w:t>
      </w:r>
      <w:r w:rsidR="00C054F6">
        <w:rPr>
          <w:rFonts w:cs="Calibri"/>
          <w:bCs/>
          <w:lang w:val="en-GB"/>
        </w:rPr>
        <w:t xml:space="preserve"> determined by using</w:t>
      </w:r>
      <w:r w:rsidR="001A646D">
        <w:rPr>
          <w:rFonts w:cs="Calibri"/>
          <w:bCs/>
          <w:lang w:val="en-GB"/>
        </w:rPr>
        <w:t xml:space="preserve"> historical data in a</w:t>
      </w:r>
      <w:r w:rsidR="00C054F6">
        <w:rPr>
          <w:rFonts w:cs="Calibri"/>
          <w:bCs/>
          <w:lang w:val="en-GB"/>
        </w:rPr>
        <w:t xml:space="preserve"> regression</w:t>
      </w:r>
      <w:r w:rsidR="001A646D">
        <w:rPr>
          <w:rFonts w:cs="Calibri"/>
          <w:bCs/>
          <w:lang w:val="en-GB"/>
        </w:rPr>
        <w:t xml:space="preserve"> to determine </w:t>
      </w:r>
      <w:r w:rsidR="0047468A">
        <w:rPr>
          <w:rFonts w:cs="Calibri"/>
          <w:bCs/>
          <w:lang w:val="en-GB"/>
        </w:rPr>
        <w:t xml:space="preserve">the </w:t>
      </w:r>
      <w:r w:rsidR="001A646D">
        <w:rPr>
          <w:rFonts w:cs="Calibri"/>
          <w:bCs/>
          <w:lang w:val="en-GB"/>
        </w:rPr>
        <w:t>regression</w:t>
      </w:r>
      <w:r w:rsidR="00C054F6">
        <w:rPr>
          <w:rFonts w:cs="Calibri"/>
          <w:bCs/>
          <w:lang w:val="en-GB"/>
        </w:rPr>
        <w:t xml:space="preserve"> coefficients</w:t>
      </w:r>
      <w:r w:rsidR="001A646D">
        <w:rPr>
          <w:rFonts w:cs="Calibri"/>
          <w:bCs/>
          <w:lang w:val="en-GB"/>
        </w:rPr>
        <w:t xml:space="preserve">. With these coefficients and the data from the period 2002-2007, the ‘normal’ level of the variables in that period is determined. The difference between the ‘normal’ and </w:t>
      </w:r>
      <w:r w:rsidR="00360048">
        <w:rPr>
          <w:rFonts w:cs="Calibri"/>
          <w:bCs/>
          <w:lang w:val="en-GB"/>
        </w:rPr>
        <w:t xml:space="preserve">the </w:t>
      </w:r>
      <w:r w:rsidR="001A646D">
        <w:rPr>
          <w:rFonts w:cs="Calibri"/>
          <w:bCs/>
          <w:lang w:val="en-GB"/>
        </w:rPr>
        <w:t xml:space="preserve">actual level is indicative for the use of real earnings management. </w:t>
      </w:r>
      <w:r w:rsidR="00C054F6">
        <w:rPr>
          <w:rFonts w:cs="Calibri"/>
          <w:bCs/>
          <w:lang w:val="en-GB"/>
        </w:rPr>
        <w:t xml:space="preserve"> </w:t>
      </w:r>
    </w:p>
    <w:p w:rsidR="00BA0374" w:rsidRDefault="001A646D" w:rsidP="00C054F6">
      <w:pPr>
        <w:spacing w:line="360" w:lineRule="auto"/>
        <w:rPr>
          <w:rFonts w:cs="Calibri"/>
          <w:bCs/>
          <w:lang w:val="en-GB"/>
        </w:rPr>
      </w:pPr>
      <w:r>
        <w:rPr>
          <w:rFonts w:cs="Calibri"/>
          <w:bCs/>
          <w:lang w:val="en-GB"/>
        </w:rPr>
        <w:t xml:space="preserve">The amount of </w:t>
      </w:r>
      <w:r w:rsidR="00360048">
        <w:rPr>
          <w:rFonts w:cs="Calibri"/>
          <w:bCs/>
          <w:lang w:val="en-GB"/>
        </w:rPr>
        <w:t xml:space="preserve">the </w:t>
      </w:r>
      <w:r>
        <w:rPr>
          <w:rFonts w:cs="Calibri"/>
          <w:bCs/>
          <w:lang w:val="en-GB"/>
        </w:rPr>
        <w:t>discretionary accruals, the difference between the ‘normal’ and</w:t>
      </w:r>
      <w:r w:rsidR="00360048">
        <w:rPr>
          <w:rFonts w:cs="Calibri"/>
          <w:bCs/>
          <w:lang w:val="en-GB"/>
        </w:rPr>
        <w:t xml:space="preserve"> the</w:t>
      </w:r>
      <w:r>
        <w:rPr>
          <w:rFonts w:cs="Calibri"/>
          <w:bCs/>
          <w:lang w:val="en-GB"/>
        </w:rPr>
        <w:t xml:space="preserve"> actual level of the real earnings management indicating variables and the sum of both method</w:t>
      </w:r>
      <w:r w:rsidR="00360048">
        <w:rPr>
          <w:rFonts w:cs="Calibri"/>
          <w:bCs/>
          <w:lang w:val="en-GB"/>
        </w:rPr>
        <w:t>s</w:t>
      </w:r>
      <w:r>
        <w:rPr>
          <w:rFonts w:cs="Calibri"/>
          <w:bCs/>
          <w:lang w:val="en-GB"/>
        </w:rPr>
        <w:t xml:space="preserve"> indicating the total amount of </w:t>
      </w:r>
      <w:r w:rsidR="00360048">
        <w:rPr>
          <w:rFonts w:cs="Calibri"/>
          <w:bCs/>
          <w:lang w:val="en-GB"/>
        </w:rPr>
        <w:t xml:space="preserve">the use of </w:t>
      </w:r>
      <w:r>
        <w:rPr>
          <w:rFonts w:cs="Calibri"/>
          <w:bCs/>
          <w:lang w:val="en-GB"/>
        </w:rPr>
        <w:t>earnings management</w:t>
      </w:r>
      <w:r w:rsidR="00360048">
        <w:rPr>
          <w:rFonts w:cs="Calibri"/>
          <w:bCs/>
          <w:lang w:val="en-GB"/>
        </w:rPr>
        <w:t xml:space="preserve"> in multiple regressions</w:t>
      </w:r>
      <w:r>
        <w:rPr>
          <w:rFonts w:cs="Calibri"/>
          <w:bCs/>
          <w:lang w:val="en-GB"/>
        </w:rPr>
        <w:t xml:space="preserve"> are used </w:t>
      </w:r>
      <w:r w:rsidR="005032AB">
        <w:rPr>
          <w:rFonts w:cs="Calibri"/>
          <w:bCs/>
          <w:lang w:val="en-GB"/>
        </w:rPr>
        <w:t xml:space="preserve">as </w:t>
      </w:r>
      <w:r>
        <w:rPr>
          <w:rFonts w:cs="Calibri"/>
          <w:bCs/>
          <w:lang w:val="en-GB"/>
        </w:rPr>
        <w:t>dependent variables. In these multiple regression</w:t>
      </w:r>
      <w:r w:rsidR="005032AB">
        <w:rPr>
          <w:rFonts w:cs="Calibri"/>
          <w:bCs/>
          <w:lang w:val="en-GB"/>
        </w:rPr>
        <w:t>s</w:t>
      </w:r>
      <w:r>
        <w:rPr>
          <w:rFonts w:cs="Calibri"/>
          <w:bCs/>
          <w:lang w:val="en-GB"/>
        </w:rPr>
        <w:t xml:space="preserve">, the influence of the independent variables country, accounting standard and size is tested. </w:t>
      </w:r>
      <w:r w:rsidR="00BA0374">
        <w:rPr>
          <w:rFonts w:cs="Calibri"/>
          <w:bCs/>
          <w:lang w:val="en-GB"/>
        </w:rPr>
        <w:t xml:space="preserve">After the elimination of the outliers, the dataset for the total amount of </w:t>
      </w:r>
      <w:r w:rsidR="007E434C">
        <w:rPr>
          <w:rFonts w:cs="Calibri"/>
          <w:bCs/>
          <w:lang w:val="en-GB"/>
        </w:rPr>
        <w:t>earnings management contains 530</w:t>
      </w:r>
      <w:r w:rsidR="00BA0374">
        <w:rPr>
          <w:rFonts w:cs="Calibri"/>
          <w:bCs/>
          <w:lang w:val="en-GB"/>
        </w:rPr>
        <w:t xml:space="preserve"> </w:t>
      </w:r>
      <w:r w:rsidR="0082416C">
        <w:rPr>
          <w:rFonts w:cs="Calibri"/>
          <w:bCs/>
          <w:lang w:val="en-GB"/>
        </w:rPr>
        <w:t>company-</w:t>
      </w:r>
      <w:r w:rsidR="00BA0374">
        <w:rPr>
          <w:rFonts w:cs="Calibri"/>
          <w:bCs/>
          <w:lang w:val="en-GB"/>
        </w:rPr>
        <w:t xml:space="preserve">years, </w:t>
      </w:r>
      <w:r w:rsidR="007E434C">
        <w:rPr>
          <w:rFonts w:cs="Calibri"/>
          <w:bCs/>
          <w:lang w:val="en-GB"/>
        </w:rPr>
        <w:t>for the accruals-based method 534</w:t>
      </w:r>
      <w:r w:rsidR="00BA0374">
        <w:rPr>
          <w:rFonts w:cs="Calibri"/>
          <w:bCs/>
          <w:lang w:val="en-GB"/>
        </w:rPr>
        <w:t xml:space="preserve"> </w:t>
      </w:r>
      <w:r w:rsidR="0082416C">
        <w:rPr>
          <w:rFonts w:cs="Calibri"/>
          <w:bCs/>
          <w:lang w:val="en-GB"/>
        </w:rPr>
        <w:t>company-</w:t>
      </w:r>
      <w:r w:rsidR="00BA0374">
        <w:rPr>
          <w:rFonts w:cs="Calibri"/>
          <w:bCs/>
          <w:lang w:val="en-GB"/>
        </w:rPr>
        <w:t xml:space="preserve">years and for the real method 529 </w:t>
      </w:r>
      <w:r w:rsidR="0082416C">
        <w:rPr>
          <w:rFonts w:cs="Calibri"/>
          <w:bCs/>
          <w:lang w:val="en-GB"/>
        </w:rPr>
        <w:t>company-</w:t>
      </w:r>
      <w:r w:rsidR="00BA0374">
        <w:rPr>
          <w:rFonts w:cs="Calibri"/>
          <w:bCs/>
          <w:lang w:val="en-GB"/>
        </w:rPr>
        <w:t xml:space="preserve">years. </w:t>
      </w:r>
    </w:p>
    <w:p w:rsidR="00B353CB" w:rsidRDefault="00B353CB" w:rsidP="00C054F6">
      <w:pPr>
        <w:spacing w:line="360" w:lineRule="auto"/>
        <w:rPr>
          <w:rFonts w:cs="Calibri"/>
          <w:bCs/>
          <w:lang w:val="en-GB"/>
        </w:rPr>
      </w:pPr>
      <w:r>
        <w:rPr>
          <w:rFonts w:cs="Calibri"/>
          <w:bCs/>
          <w:lang w:val="en-GB"/>
        </w:rPr>
        <w:t>With the multiple regression</w:t>
      </w:r>
      <w:r w:rsidR="00374952">
        <w:rPr>
          <w:rFonts w:cs="Calibri"/>
          <w:bCs/>
          <w:lang w:val="en-GB"/>
        </w:rPr>
        <w:t>s</w:t>
      </w:r>
      <w:r>
        <w:rPr>
          <w:rFonts w:cs="Calibri"/>
          <w:bCs/>
          <w:lang w:val="en-GB"/>
        </w:rPr>
        <w:t>, the influence of the independent variables on the dependent variable is analysed. The independent variable</w:t>
      </w:r>
      <w:r w:rsidR="0047468A">
        <w:rPr>
          <w:rFonts w:cs="Calibri"/>
          <w:bCs/>
          <w:lang w:val="en-GB"/>
        </w:rPr>
        <w:t xml:space="preserve"> c</w:t>
      </w:r>
      <w:r w:rsidR="0057793D">
        <w:rPr>
          <w:rFonts w:cs="Calibri"/>
          <w:bCs/>
          <w:lang w:val="en-GB"/>
        </w:rPr>
        <w:t xml:space="preserve">ountry checks the difference in earnings management in The Netherlands compared with Belgium and France. Belgium and France are combined for two reasons. The first reason is that only five companies from Belgium meet the requirements, which makes the results from Belgium solely not strong. The second reason for the combination Belgium with France is the differences </w:t>
      </w:r>
      <w:r w:rsidR="00374952">
        <w:rPr>
          <w:rFonts w:cs="Calibri"/>
          <w:bCs/>
          <w:lang w:val="en-GB"/>
        </w:rPr>
        <w:t xml:space="preserve">between The Netherlands and Belgium and France when </w:t>
      </w:r>
      <w:r w:rsidR="00360048">
        <w:rPr>
          <w:rFonts w:cs="Calibri"/>
          <w:bCs/>
          <w:lang w:val="en-GB"/>
        </w:rPr>
        <w:t>investigating</w:t>
      </w:r>
      <w:r w:rsidR="0057793D">
        <w:rPr>
          <w:rFonts w:cs="Calibri"/>
          <w:bCs/>
          <w:lang w:val="en-GB"/>
        </w:rPr>
        <w:t xml:space="preserve"> </w:t>
      </w:r>
      <w:r w:rsidR="00374952">
        <w:rPr>
          <w:rFonts w:cs="Calibri"/>
          <w:bCs/>
          <w:lang w:val="en-GB"/>
        </w:rPr>
        <w:t>specific</w:t>
      </w:r>
      <w:r w:rsidR="0057793D">
        <w:rPr>
          <w:rFonts w:cs="Calibri"/>
          <w:bCs/>
          <w:lang w:val="en-GB"/>
        </w:rPr>
        <w:t xml:space="preserve"> </w:t>
      </w:r>
      <w:r w:rsidR="00374952">
        <w:rPr>
          <w:rFonts w:cs="Calibri"/>
          <w:bCs/>
          <w:lang w:val="en-GB"/>
        </w:rPr>
        <w:t>factors</w:t>
      </w:r>
      <w:r w:rsidR="0057793D">
        <w:rPr>
          <w:rFonts w:cs="Calibri"/>
          <w:bCs/>
          <w:lang w:val="en-GB"/>
        </w:rPr>
        <w:t xml:space="preserve"> according to La Porta et al. (1998). The second independent variable is </w:t>
      </w:r>
      <w:r w:rsidR="00374952">
        <w:rPr>
          <w:rFonts w:cs="Calibri"/>
          <w:bCs/>
          <w:lang w:val="en-GB"/>
        </w:rPr>
        <w:t>a</w:t>
      </w:r>
      <w:r w:rsidR="0057793D">
        <w:rPr>
          <w:rFonts w:cs="Calibri"/>
          <w:bCs/>
          <w:lang w:val="en-GB"/>
        </w:rPr>
        <w:t xml:space="preserve">ccounting </w:t>
      </w:r>
      <w:r w:rsidR="00374952">
        <w:rPr>
          <w:rFonts w:cs="Calibri"/>
          <w:bCs/>
          <w:lang w:val="en-GB"/>
        </w:rPr>
        <w:t>s</w:t>
      </w:r>
      <w:r w:rsidR="0082416C">
        <w:rPr>
          <w:rFonts w:cs="Calibri"/>
          <w:bCs/>
          <w:lang w:val="en-GB"/>
        </w:rPr>
        <w:t xml:space="preserve">tandards </w:t>
      </w:r>
      <w:r w:rsidR="0057793D">
        <w:rPr>
          <w:rFonts w:cs="Calibri"/>
          <w:bCs/>
          <w:lang w:val="en-GB"/>
        </w:rPr>
        <w:t xml:space="preserve">which </w:t>
      </w:r>
      <w:r w:rsidR="00360048">
        <w:rPr>
          <w:rFonts w:cs="Calibri"/>
          <w:bCs/>
          <w:lang w:val="en-GB"/>
        </w:rPr>
        <w:t>investigate</w:t>
      </w:r>
      <w:r w:rsidR="0082416C">
        <w:rPr>
          <w:rFonts w:cs="Calibri"/>
          <w:bCs/>
          <w:lang w:val="en-GB"/>
        </w:rPr>
        <w:t xml:space="preserve"> the possible</w:t>
      </w:r>
      <w:r>
        <w:rPr>
          <w:rFonts w:cs="Calibri"/>
          <w:bCs/>
          <w:lang w:val="en-GB"/>
        </w:rPr>
        <w:t xml:space="preserve"> influence of the introduction of IFRS in 2005, by comparing</w:t>
      </w:r>
      <w:r w:rsidR="00374952">
        <w:rPr>
          <w:rFonts w:cs="Calibri"/>
          <w:bCs/>
          <w:lang w:val="en-GB"/>
        </w:rPr>
        <w:t xml:space="preserve"> the use of earnings management </w:t>
      </w:r>
      <w:r w:rsidR="00360048">
        <w:rPr>
          <w:rFonts w:cs="Calibri"/>
          <w:bCs/>
          <w:lang w:val="en-GB"/>
        </w:rPr>
        <w:t>based on</w:t>
      </w:r>
      <w:r>
        <w:rPr>
          <w:rFonts w:cs="Calibri"/>
          <w:bCs/>
          <w:lang w:val="en-GB"/>
        </w:rPr>
        <w:t xml:space="preserve"> local GAAP </w:t>
      </w:r>
      <w:r w:rsidR="00374952">
        <w:rPr>
          <w:rFonts w:cs="Calibri"/>
          <w:bCs/>
          <w:lang w:val="en-GB"/>
        </w:rPr>
        <w:t>and</w:t>
      </w:r>
      <w:r>
        <w:rPr>
          <w:rFonts w:cs="Calibri"/>
          <w:bCs/>
          <w:lang w:val="en-GB"/>
        </w:rPr>
        <w:t xml:space="preserve"> </w:t>
      </w:r>
      <w:r w:rsidR="00360048">
        <w:rPr>
          <w:rFonts w:cs="Calibri"/>
          <w:bCs/>
          <w:lang w:val="en-GB"/>
        </w:rPr>
        <w:t xml:space="preserve">based on </w:t>
      </w:r>
      <w:r>
        <w:rPr>
          <w:rFonts w:cs="Calibri"/>
          <w:bCs/>
          <w:lang w:val="en-GB"/>
        </w:rPr>
        <w:t xml:space="preserve">IFRS. </w:t>
      </w:r>
      <w:r w:rsidR="00956F4C">
        <w:rPr>
          <w:rFonts w:cs="Calibri"/>
          <w:bCs/>
          <w:lang w:val="en-GB"/>
        </w:rPr>
        <w:t xml:space="preserve">The last independent variable is the </w:t>
      </w:r>
      <w:r w:rsidR="00956F4C">
        <w:rPr>
          <w:rFonts w:cs="Calibri"/>
          <w:bCs/>
          <w:lang w:val="en-GB"/>
        </w:rPr>
        <w:lastRenderedPageBreak/>
        <w:t xml:space="preserve">variable size. With this variable, the use of earnings management by small and large companies </w:t>
      </w:r>
      <w:r w:rsidR="00BA0374">
        <w:rPr>
          <w:rFonts w:cs="Calibri"/>
          <w:bCs/>
          <w:lang w:val="en-GB"/>
        </w:rPr>
        <w:t>is</w:t>
      </w:r>
      <w:r w:rsidR="00956F4C">
        <w:rPr>
          <w:rFonts w:cs="Calibri"/>
          <w:bCs/>
          <w:lang w:val="en-GB"/>
        </w:rPr>
        <w:t xml:space="preserve"> compared. </w:t>
      </w:r>
    </w:p>
    <w:p w:rsidR="00D8543E" w:rsidRDefault="00360048" w:rsidP="00C054F6">
      <w:pPr>
        <w:spacing w:line="360" w:lineRule="auto"/>
        <w:rPr>
          <w:rFonts w:cs="Calibri"/>
          <w:b/>
          <w:bCs/>
          <w:lang w:val="en-GB"/>
        </w:rPr>
      </w:pPr>
      <w:r>
        <w:rPr>
          <w:rFonts w:cs="Calibri"/>
          <w:bCs/>
          <w:lang w:val="en-GB"/>
        </w:rPr>
        <w:t>Before</w:t>
      </w:r>
      <w:r w:rsidR="0082229A">
        <w:rPr>
          <w:rFonts w:cs="Calibri"/>
          <w:bCs/>
          <w:lang w:val="en-GB"/>
        </w:rPr>
        <w:t xml:space="preserve"> the variables of the multiple regressions have been </w:t>
      </w:r>
      <w:r w:rsidR="00FD57D0">
        <w:rPr>
          <w:rFonts w:cs="Calibri"/>
          <w:bCs/>
          <w:lang w:val="en-GB"/>
        </w:rPr>
        <w:t>commented</w:t>
      </w:r>
      <w:r w:rsidR="0082229A">
        <w:rPr>
          <w:rFonts w:cs="Calibri"/>
          <w:bCs/>
          <w:lang w:val="en-GB"/>
        </w:rPr>
        <w:t xml:space="preserve">, </w:t>
      </w:r>
      <w:r>
        <w:rPr>
          <w:rFonts w:cs="Calibri"/>
          <w:bCs/>
          <w:lang w:val="en-GB"/>
        </w:rPr>
        <w:t xml:space="preserve">next </w:t>
      </w:r>
      <w:r w:rsidR="0082229A">
        <w:rPr>
          <w:rFonts w:cs="Calibri"/>
          <w:bCs/>
          <w:lang w:val="en-GB"/>
        </w:rPr>
        <w:t xml:space="preserve">the multiple regressions will be analysed. First the total amount of earnings management is used as dependent variable. The regression analysis shows that two of the three independent variables </w:t>
      </w:r>
      <w:r w:rsidR="00BA0374">
        <w:rPr>
          <w:rFonts w:cs="Calibri"/>
          <w:bCs/>
          <w:lang w:val="en-GB"/>
        </w:rPr>
        <w:t>are</w:t>
      </w:r>
      <w:r w:rsidR="0082229A">
        <w:rPr>
          <w:rFonts w:cs="Calibri"/>
          <w:bCs/>
          <w:lang w:val="en-GB"/>
        </w:rPr>
        <w:t xml:space="preserve"> significant. The</w:t>
      </w:r>
      <w:r w:rsidR="0082416C">
        <w:rPr>
          <w:rFonts w:cs="Calibri"/>
          <w:bCs/>
          <w:lang w:val="en-GB"/>
        </w:rPr>
        <w:t xml:space="preserve"> signs of the </w:t>
      </w:r>
      <w:r w:rsidR="0047468A">
        <w:rPr>
          <w:rFonts w:cs="Calibri"/>
          <w:bCs/>
          <w:lang w:val="en-GB"/>
        </w:rPr>
        <w:t>variables c</w:t>
      </w:r>
      <w:r w:rsidR="0082229A">
        <w:rPr>
          <w:rFonts w:cs="Calibri"/>
          <w:bCs/>
          <w:lang w:val="en-GB"/>
        </w:rPr>
        <w:t xml:space="preserve">ountry and </w:t>
      </w:r>
      <w:r w:rsidR="0047468A">
        <w:rPr>
          <w:rFonts w:cs="Calibri"/>
          <w:bCs/>
          <w:lang w:val="en-GB"/>
        </w:rPr>
        <w:t>s</w:t>
      </w:r>
      <w:r w:rsidR="0082229A">
        <w:rPr>
          <w:rFonts w:cs="Calibri"/>
          <w:bCs/>
          <w:lang w:val="en-GB"/>
        </w:rPr>
        <w:t>ize are significant negative. The total amount of earnings management is less in Belgium and France compared to The Netherland and large companies use less earnings management than small comp</w:t>
      </w:r>
      <w:r w:rsidR="00BA0374">
        <w:rPr>
          <w:rFonts w:cs="Calibri"/>
          <w:bCs/>
          <w:lang w:val="en-GB"/>
        </w:rPr>
        <w:t>anies.</w:t>
      </w:r>
      <w:r w:rsidR="0082416C">
        <w:rPr>
          <w:rFonts w:cs="Calibri"/>
          <w:bCs/>
          <w:lang w:val="en-GB"/>
        </w:rPr>
        <w:t xml:space="preserve"> With this sta</w:t>
      </w:r>
      <w:r w:rsidR="0057793D">
        <w:rPr>
          <w:rFonts w:cs="Calibri"/>
          <w:bCs/>
          <w:lang w:val="en-GB"/>
        </w:rPr>
        <w:t xml:space="preserve">tement </w:t>
      </w:r>
      <w:r w:rsidR="0082416C">
        <w:rPr>
          <w:rFonts w:cs="Calibri"/>
          <w:bCs/>
          <w:lang w:val="en-GB"/>
        </w:rPr>
        <w:t xml:space="preserve">is assumed that earnings are managed upwards. </w:t>
      </w:r>
      <w:r w:rsidR="0057793D">
        <w:rPr>
          <w:rFonts w:cs="Calibri"/>
          <w:bCs/>
          <w:lang w:val="en-GB"/>
        </w:rPr>
        <w:t xml:space="preserve">The variable </w:t>
      </w:r>
      <w:r w:rsidR="0047468A">
        <w:rPr>
          <w:rFonts w:cs="Calibri"/>
          <w:bCs/>
          <w:lang w:val="en-GB"/>
        </w:rPr>
        <w:t>a</w:t>
      </w:r>
      <w:r w:rsidR="0057793D">
        <w:rPr>
          <w:rFonts w:cs="Calibri"/>
          <w:bCs/>
          <w:lang w:val="en-GB"/>
        </w:rPr>
        <w:t xml:space="preserve">ccounting </w:t>
      </w:r>
      <w:r w:rsidR="0047468A">
        <w:rPr>
          <w:rFonts w:cs="Calibri"/>
          <w:bCs/>
          <w:lang w:val="en-GB"/>
        </w:rPr>
        <w:t>s</w:t>
      </w:r>
      <w:r w:rsidR="00BA0374">
        <w:rPr>
          <w:rFonts w:cs="Calibri"/>
          <w:bCs/>
          <w:lang w:val="en-GB"/>
        </w:rPr>
        <w:t>tandard</w:t>
      </w:r>
      <w:r w:rsidR="0082229A">
        <w:rPr>
          <w:rFonts w:cs="Calibri"/>
          <w:bCs/>
          <w:lang w:val="en-GB"/>
        </w:rPr>
        <w:t xml:space="preserve"> is not significant which </w:t>
      </w:r>
      <w:r w:rsidR="007E434C">
        <w:rPr>
          <w:rFonts w:cs="Calibri"/>
          <w:bCs/>
          <w:lang w:val="en-GB"/>
        </w:rPr>
        <w:t>indicates</w:t>
      </w:r>
      <w:r w:rsidR="0082229A">
        <w:rPr>
          <w:rFonts w:cs="Calibri"/>
          <w:bCs/>
          <w:lang w:val="en-GB"/>
        </w:rPr>
        <w:t xml:space="preserve"> that no </w:t>
      </w:r>
      <w:r w:rsidR="004D7A19">
        <w:rPr>
          <w:rFonts w:cs="Calibri"/>
          <w:bCs/>
          <w:lang w:val="en-GB"/>
        </w:rPr>
        <w:t xml:space="preserve">significant </w:t>
      </w:r>
      <w:r w:rsidR="0082229A">
        <w:rPr>
          <w:rFonts w:cs="Calibri"/>
          <w:bCs/>
          <w:lang w:val="en-GB"/>
        </w:rPr>
        <w:t>difference</w:t>
      </w:r>
      <w:r>
        <w:rPr>
          <w:rFonts w:cs="Calibri"/>
          <w:bCs/>
          <w:lang w:val="en-GB"/>
        </w:rPr>
        <w:t xml:space="preserve"> exists</w:t>
      </w:r>
      <w:r w:rsidR="0082229A">
        <w:rPr>
          <w:rFonts w:cs="Calibri"/>
          <w:bCs/>
          <w:lang w:val="en-GB"/>
        </w:rPr>
        <w:t xml:space="preserve"> in the total amount of earnings manageme</w:t>
      </w:r>
      <w:r w:rsidR="005032AB">
        <w:rPr>
          <w:rFonts w:cs="Calibri"/>
          <w:bCs/>
          <w:lang w:val="en-GB"/>
        </w:rPr>
        <w:t xml:space="preserve">nt </w:t>
      </w:r>
      <w:r>
        <w:rPr>
          <w:rFonts w:cs="Calibri"/>
          <w:bCs/>
          <w:lang w:val="en-GB"/>
        </w:rPr>
        <w:t>based on</w:t>
      </w:r>
      <w:r w:rsidR="005032AB">
        <w:rPr>
          <w:rFonts w:cs="Calibri"/>
          <w:bCs/>
          <w:lang w:val="en-GB"/>
        </w:rPr>
        <w:t xml:space="preserve"> local GAAP and </w:t>
      </w:r>
      <w:r>
        <w:rPr>
          <w:rFonts w:cs="Calibri"/>
          <w:bCs/>
          <w:lang w:val="en-GB"/>
        </w:rPr>
        <w:t xml:space="preserve">based on </w:t>
      </w:r>
      <w:r w:rsidR="005032AB">
        <w:rPr>
          <w:rFonts w:cs="Calibri"/>
          <w:bCs/>
          <w:lang w:val="en-GB"/>
        </w:rPr>
        <w:t>IFRS. A</w:t>
      </w:r>
      <w:r w:rsidR="0082229A">
        <w:rPr>
          <w:rFonts w:cs="Calibri"/>
          <w:bCs/>
          <w:lang w:val="en-GB"/>
        </w:rPr>
        <w:t xml:space="preserve"> consequence of this result conc</w:t>
      </w:r>
      <w:r>
        <w:rPr>
          <w:rFonts w:cs="Calibri"/>
          <w:bCs/>
          <w:lang w:val="en-GB"/>
        </w:rPr>
        <w:t>erning the accounting standards</w:t>
      </w:r>
      <w:r w:rsidR="0082229A">
        <w:rPr>
          <w:rFonts w:cs="Calibri"/>
          <w:bCs/>
          <w:lang w:val="en-GB"/>
        </w:rPr>
        <w:t xml:space="preserve"> </w:t>
      </w:r>
      <w:r w:rsidR="00374952">
        <w:rPr>
          <w:rFonts w:cs="Calibri"/>
          <w:bCs/>
          <w:lang w:val="en-GB"/>
        </w:rPr>
        <w:t xml:space="preserve">is that </w:t>
      </w:r>
      <w:r w:rsidR="0082229A" w:rsidRPr="00255B36">
        <w:rPr>
          <w:rFonts w:cs="Calibri"/>
          <w:b/>
          <w:bCs/>
          <w:lang w:val="en-GB"/>
        </w:rPr>
        <w:t xml:space="preserve">hypothesis 1 is confirmed; </w:t>
      </w:r>
      <w:r>
        <w:rPr>
          <w:rFonts w:cs="Calibri"/>
          <w:b/>
          <w:bCs/>
          <w:lang w:val="en-GB"/>
        </w:rPr>
        <w:t xml:space="preserve">The total degree of the use of earnings management did not change by the transition from local GAAP to IFRS in 2005 in the Netherlands, in Belgium and in France. </w:t>
      </w:r>
    </w:p>
    <w:p w:rsidR="0082229A" w:rsidRPr="00D8543E" w:rsidRDefault="0082229A" w:rsidP="00C054F6">
      <w:pPr>
        <w:spacing w:line="360" w:lineRule="auto"/>
        <w:rPr>
          <w:rFonts w:cs="Calibri"/>
          <w:b/>
          <w:bCs/>
          <w:lang w:val="en-GB"/>
        </w:rPr>
      </w:pPr>
      <w:r>
        <w:rPr>
          <w:rFonts w:cs="Calibri"/>
          <w:bCs/>
          <w:lang w:val="en-GB"/>
        </w:rPr>
        <w:t xml:space="preserve">The other two multiple regressions that have been performed, </w:t>
      </w:r>
      <w:r w:rsidR="00D8543E">
        <w:rPr>
          <w:rFonts w:cs="Calibri"/>
          <w:bCs/>
          <w:lang w:val="en-GB"/>
        </w:rPr>
        <w:t>investigated</w:t>
      </w:r>
      <w:r>
        <w:rPr>
          <w:rFonts w:cs="Calibri"/>
          <w:bCs/>
          <w:lang w:val="en-GB"/>
        </w:rPr>
        <w:t xml:space="preserve"> the influence of</w:t>
      </w:r>
      <w:r w:rsidR="0047468A">
        <w:rPr>
          <w:rFonts w:cs="Calibri"/>
          <w:bCs/>
          <w:lang w:val="en-GB"/>
        </w:rPr>
        <w:t xml:space="preserve"> the variables c</w:t>
      </w:r>
      <w:r w:rsidR="004D7A19">
        <w:rPr>
          <w:rFonts w:cs="Calibri"/>
          <w:bCs/>
          <w:lang w:val="en-GB"/>
        </w:rPr>
        <w:t xml:space="preserve">ountry, </w:t>
      </w:r>
      <w:r w:rsidR="0047468A">
        <w:rPr>
          <w:rFonts w:cs="Calibri"/>
          <w:bCs/>
          <w:lang w:val="en-GB"/>
        </w:rPr>
        <w:t>a</w:t>
      </w:r>
      <w:r>
        <w:rPr>
          <w:rFonts w:cs="Calibri"/>
          <w:bCs/>
          <w:lang w:val="en-GB"/>
        </w:rPr>
        <w:t xml:space="preserve">ccounting </w:t>
      </w:r>
      <w:r w:rsidR="0047468A">
        <w:rPr>
          <w:rFonts w:cs="Calibri"/>
          <w:bCs/>
          <w:lang w:val="en-GB"/>
        </w:rPr>
        <w:t>s</w:t>
      </w:r>
      <w:r>
        <w:rPr>
          <w:rFonts w:cs="Calibri"/>
          <w:bCs/>
          <w:lang w:val="en-GB"/>
        </w:rPr>
        <w:t>ta</w:t>
      </w:r>
      <w:r w:rsidR="004D7A19">
        <w:rPr>
          <w:rFonts w:cs="Calibri"/>
          <w:bCs/>
          <w:lang w:val="en-GB"/>
        </w:rPr>
        <w:t>ndards</w:t>
      </w:r>
      <w:r>
        <w:rPr>
          <w:rFonts w:cs="Calibri"/>
          <w:bCs/>
          <w:lang w:val="en-GB"/>
        </w:rPr>
        <w:t xml:space="preserve"> and </w:t>
      </w:r>
      <w:r w:rsidR="0047468A">
        <w:rPr>
          <w:rFonts w:cs="Calibri"/>
          <w:bCs/>
          <w:lang w:val="en-GB"/>
        </w:rPr>
        <w:t>s</w:t>
      </w:r>
      <w:r>
        <w:rPr>
          <w:rFonts w:cs="Calibri"/>
          <w:bCs/>
          <w:lang w:val="en-GB"/>
        </w:rPr>
        <w:t>ize on respectively</w:t>
      </w:r>
      <w:r w:rsidR="00A962D5">
        <w:rPr>
          <w:rFonts w:cs="Calibri"/>
          <w:bCs/>
          <w:lang w:val="en-GB"/>
        </w:rPr>
        <w:t xml:space="preserve"> the use of </w:t>
      </w:r>
      <w:r>
        <w:rPr>
          <w:rFonts w:cs="Calibri"/>
          <w:bCs/>
          <w:lang w:val="en-GB"/>
        </w:rPr>
        <w:t>the accruals-based and re</w:t>
      </w:r>
      <w:r w:rsidR="00A962D5">
        <w:rPr>
          <w:rFonts w:cs="Calibri"/>
          <w:bCs/>
          <w:lang w:val="en-GB"/>
        </w:rPr>
        <w:t>al method for</w:t>
      </w:r>
      <w:r>
        <w:rPr>
          <w:rFonts w:cs="Calibri"/>
          <w:bCs/>
          <w:lang w:val="en-GB"/>
        </w:rPr>
        <w:t xml:space="preserve"> managing earnings. </w:t>
      </w:r>
      <w:r w:rsidR="00A962D5">
        <w:rPr>
          <w:rFonts w:cs="Calibri"/>
          <w:bCs/>
          <w:lang w:val="en-GB"/>
        </w:rPr>
        <w:t>First the accruals-based method is used as dependent variable i</w:t>
      </w:r>
      <w:r w:rsidR="004D7A19">
        <w:rPr>
          <w:rFonts w:cs="Calibri"/>
          <w:bCs/>
          <w:lang w:val="en-GB"/>
        </w:rPr>
        <w:t>n the multiple regression. The C</w:t>
      </w:r>
      <w:r w:rsidR="00A962D5">
        <w:rPr>
          <w:rFonts w:cs="Calibri"/>
          <w:bCs/>
          <w:lang w:val="en-GB"/>
        </w:rPr>
        <w:t>oefficients table of the mult</w:t>
      </w:r>
      <w:r w:rsidR="00BA0374">
        <w:rPr>
          <w:rFonts w:cs="Calibri"/>
          <w:bCs/>
          <w:lang w:val="en-GB"/>
        </w:rPr>
        <w:t>iple regression shows</w:t>
      </w:r>
      <w:r w:rsidR="0047468A">
        <w:rPr>
          <w:rFonts w:cs="Calibri"/>
          <w:bCs/>
          <w:lang w:val="en-GB"/>
        </w:rPr>
        <w:t xml:space="preserve"> again</w:t>
      </w:r>
      <w:r w:rsidR="00BA0374">
        <w:rPr>
          <w:rFonts w:cs="Calibri"/>
          <w:bCs/>
          <w:lang w:val="en-GB"/>
        </w:rPr>
        <w:t xml:space="preserve"> that the </w:t>
      </w:r>
      <w:r w:rsidR="00A962D5">
        <w:rPr>
          <w:rFonts w:cs="Calibri"/>
          <w:bCs/>
          <w:lang w:val="en-GB"/>
        </w:rPr>
        <w:t>variable</w:t>
      </w:r>
      <w:r w:rsidR="0047468A">
        <w:rPr>
          <w:rFonts w:cs="Calibri"/>
          <w:bCs/>
          <w:lang w:val="en-GB"/>
        </w:rPr>
        <w:t>s c</w:t>
      </w:r>
      <w:r w:rsidR="00BA0374">
        <w:rPr>
          <w:rFonts w:cs="Calibri"/>
          <w:bCs/>
          <w:lang w:val="en-GB"/>
        </w:rPr>
        <w:t xml:space="preserve">ountry and </w:t>
      </w:r>
      <w:r w:rsidR="0047468A">
        <w:rPr>
          <w:rFonts w:cs="Calibri"/>
          <w:bCs/>
          <w:lang w:val="en-GB"/>
        </w:rPr>
        <w:t>s</w:t>
      </w:r>
      <w:r w:rsidR="00BA0374">
        <w:rPr>
          <w:rFonts w:cs="Calibri"/>
          <w:bCs/>
          <w:lang w:val="en-GB"/>
        </w:rPr>
        <w:t>ize are significant, bot wit</w:t>
      </w:r>
      <w:r w:rsidR="00A962D5">
        <w:rPr>
          <w:rFonts w:cs="Calibri"/>
          <w:bCs/>
          <w:lang w:val="en-GB"/>
        </w:rPr>
        <w:t xml:space="preserve">h a negative sign. </w:t>
      </w:r>
      <w:r w:rsidR="004D7A19">
        <w:rPr>
          <w:rFonts w:cs="Calibri"/>
          <w:bCs/>
          <w:lang w:val="en-GB"/>
        </w:rPr>
        <w:t>I</w:t>
      </w:r>
      <w:r w:rsidR="00A962D5">
        <w:rPr>
          <w:rFonts w:cs="Calibri"/>
          <w:bCs/>
          <w:lang w:val="en-GB"/>
        </w:rPr>
        <w:t xml:space="preserve">n Belgium and France is less </w:t>
      </w:r>
      <w:r w:rsidR="00BA0374">
        <w:rPr>
          <w:rFonts w:cs="Calibri"/>
          <w:bCs/>
          <w:lang w:val="en-GB"/>
        </w:rPr>
        <w:t xml:space="preserve">accruals-based </w:t>
      </w:r>
      <w:r w:rsidR="00A962D5">
        <w:rPr>
          <w:rFonts w:cs="Calibri"/>
          <w:bCs/>
          <w:lang w:val="en-GB"/>
        </w:rPr>
        <w:t>earnings management</w:t>
      </w:r>
      <w:r w:rsidR="004D7A19">
        <w:rPr>
          <w:rFonts w:cs="Calibri"/>
          <w:bCs/>
          <w:lang w:val="en-GB"/>
        </w:rPr>
        <w:t xml:space="preserve"> used</w:t>
      </w:r>
      <w:r w:rsidR="00BA0374">
        <w:rPr>
          <w:rFonts w:cs="Calibri"/>
          <w:bCs/>
          <w:lang w:val="en-GB"/>
        </w:rPr>
        <w:t xml:space="preserve"> compared to The Netherlands and larger companies use less</w:t>
      </w:r>
      <w:r w:rsidR="004D7A19">
        <w:rPr>
          <w:rFonts w:cs="Calibri"/>
          <w:bCs/>
          <w:lang w:val="en-GB"/>
        </w:rPr>
        <w:t xml:space="preserve"> accruals-based</w:t>
      </w:r>
      <w:r w:rsidR="00BA0374">
        <w:rPr>
          <w:rFonts w:cs="Calibri"/>
          <w:bCs/>
          <w:lang w:val="en-GB"/>
        </w:rPr>
        <w:t xml:space="preserve"> earnings management compared to small companies</w:t>
      </w:r>
      <w:r w:rsidR="0082416C">
        <w:rPr>
          <w:rFonts w:cs="Calibri"/>
          <w:bCs/>
          <w:lang w:val="en-GB"/>
        </w:rPr>
        <w:t xml:space="preserve"> with the assumptions that earnings are managed upwards</w:t>
      </w:r>
      <w:r w:rsidR="00A962D5">
        <w:rPr>
          <w:rFonts w:cs="Calibri"/>
          <w:bCs/>
          <w:lang w:val="en-GB"/>
        </w:rPr>
        <w:t xml:space="preserve">. </w:t>
      </w:r>
      <w:r w:rsidR="00586B16">
        <w:rPr>
          <w:rFonts w:cs="Calibri"/>
          <w:bCs/>
          <w:lang w:val="en-GB"/>
        </w:rPr>
        <w:t>T</w:t>
      </w:r>
      <w:r w:rsidR="004D7A19">
        <w:rPr>
          <w:rFonts w:cs="Calibri"/>
          <w:bCs/>
          <w:lang w:val="en-GB"/>
        </w:rPr>
        <w:t>he coefficient</w:t>
      </w:r>
      <w:r w:rsidR="00BA0374">
        <w:rPr>
          <w:rFonts w:cs="Calibri"/>
          <w:bCs/>
          <w:lang w:val="en-GB"/>
        </w:rPr>
        <w:t xml:space="preserve"> of the variable</w:t>
      </w:r>
      <w:r w:rsidR="0047468A">
        <w:rPr>
          <w:rFonts w:cs="Calibri"/>
          <w:bCs/>
          <w:lang w:val="en-GB"/>
        </w:rPr>
        <w:t xml:space="preserve"> a</w:t>
      </w:r>
      <w:r w:rsidR="004D7A19">
        <w:rPr>
          <w:rFonts w:cs="Calibri"/>
          <w:bCs/>
          <w:lang w:val="en-GB"/>
        </w:rPr>
        <w:t>ccounting</w:t>
      </w:r>
      <w:r w:rsidR="00BA0374">
        <w:rPr>
          <w:rFonts w:cs="Calibri"/>
          <w:bCs/>
          <w:lang w:val="en-GB"/>
        </w:rPr>
        <w:t xml:space="preserve"> </w:t>
      </w:r>
      <w:r w:rsidR="0047468A">
        <w:rPr>
          <w:rFonts w:cs="Calibri"/>
          <w:bCs/>
          <w:lang w:val="en-GB"/>
        </w:rPr>
        <w:t>s</w:t>
      </w:r>
      <w:r w:rsidR="00BA0374">
        <w:rPr>
          <w:rFonts w:cs="Calibri"/>
          <w:bCs/>
          <w:lang w:val="en-GB"/>
        </w:rPr>
        <w:t>tandard</w:t>
      </w:r>
      <w:r w:rsidR="00586B16">
        <w:rPr>
          <w:rFonts w:cs="Calibri"/>
          <w:bCs/>
          <w:lang w:val="en-GB"/>
        </w:rPr>
        <w:t xml:space="preserve"> </w:t>
      </w:r>
      <w:r w:rsidR="004D7A19">
        <w:rPr>
          <w:rFonts w:cs="Calibri"/>
          <w:bCs/>
          <w:lang w:val="en-GB"/>
        </w:rPr>
        <w:t>is</w:t>
      </w:r>
      <w:r w:rsidR="00586B16">
        <w:rPr>
          <w:rFonts w:cs="Calibri"/>
          <w:bCs/>
          <w:lang w:val="en-GB"/>
        </w:rPr>
        <w:t xml:space="preserve"> not significant which </w:t>
      </w:r>
      <w:r w:rsidR="00D8543E">
        <w:rPr>
          <w:rFonts w:cs="Calibri"/>
          <w:bCs/>
          <w:lang w:val="en-GB"/>
        </w:rPr>
        <w:t>implies</w:t>
      </w:r>
      <w:r w:rsidR="00586B16">
        <w:rPr>
          <w:rFonts w:cs="Calibri"/>
          <w:bCs/>
          <w:lang w:val="en-GB"/>
        </w:rPr>
        <w:t xml:space="preserve"> that no</w:t>
      </w:r>
      <w:r w:rsidR="008D53B4">
        <w:rPr>
          <w:rFonts w:cs="Calibri"/>
          <w:bCs/>
          <w:lang w:val="en-GB"/>
        </w:rPr>
        <w:t xml:space="preserve"> significant</w:t>
      </w:r>
      <w:r w:rsidR="00586B16">
        <w:rPr>
          <w:rFonts w:cs="Calibri"/>
          <w:bCs/>
          <w:lang w:val="en-GB"/>
        </w:rPr>
        <w:t xml:space="preserve"> difference in the use of accruals-based earnings management </w:t>
      </w:r>
      <w:r w:rsidR="00D8543E">
        <w:rPr>
          <w:rFonts w:cs="Calibri"/>
          <w:bCs/>
          <w:lang w:val="en-GB"/>
        </w:rPr>
        <w:t>exists based on</w:t>
      </w:r>
      <w:r w:rsidR="004D7A19">
        <w:rPr>
          <w:rFonts w:cs="Calibri"/>
          <w:bCs/>
          <w:lang w:val="en-GB"/>
        </w:rPr>
        <w:t xml:space="preserve"> local GAAP and</w:t>
      </w:r>
      <w:r w:rsidR="00586B16">
        <w:rPr>
          <w:rFonts w:cs="Calibri"/>
          <w:bCs/>
          <w:lang w:val="en-GB"/>
        </w:rPr>
        <w:t xml:space="preserve"> </w:t>
      </w:r>
      <w:r w:rsidR="00D8543E">
        <w:rPr>
          <w:rFonts w:cs="Calibri"/>
          <w:bCs/>
          <w:lang w:val="en-GB"/>
        </w:rPr>
        <w:t xml:space="preserve">based on </w:t>
      </w:r>
      <w:r w:rsidR="00586B16">
        <w:rPr>
          <w:rFonts w:cs="Calibri"/>
          <w:bCs/>
          <w:lang w:val="en-GB"/>
        </w:rPr>
        <w:t>IFRS</w:t>
      </w:r>
      <w:r w:rsidR="00BA0374">
        <w:rPr>
          <w:rFonts w:cs="Calibri"/>
          <w:bCs/>
          <w:lang w:val="en-GB"/>
        </w:rPr>
        <w:t>.</w:t>
      </w:r>
      <w:r w:rsidR="00586B16">
        <w:rPr>
          <w:rFonts w:cs="Calibri"/>
          <w:bCs/>
          <w:lang w:val="en-GB"/>
        </w:rPr>
        <w:t xml:space="preserve"> </w:t>
      </w:r>
    </w:p>
    <w:p w:rsidR="0047468A" w:rsidRDefault="00BA0374" w:rsidP="00C054F6">
      <w:pPr>
        <w:spacing w:line="360" w:lineRule="auto"/>
        <w:rPr>
          <w:rFonts w:cs="Calibri"/>
          <w:bCs/>
          <w:lang w:val="en-GB"/>
        </w:rPr>
      </w:pPr>
      <w:r>
        <w:rPr>
          <w:rFonts w:cs="Calibri"/>
          <w:bCs/>
          <w:lang w:val="en-GB"/>
        </w:rPr>
        <w:t xml:space="preserve">The multiple regression analysis for the real method of earnings management shows no significant results. Both the ANOVA table about the significance of the test as the significance of the independent variables show no significance. </w:t>
      </w:r>
      <w:r w:rsidR="009A0A45">
        <w:rPr>
          <w:rFonts w:cs="Calibri"/>
          <w:bCs/>
          <w:lang w:val="en-GB"/>
        </w:rPr>
        <w:t>Consequently</w:t>
      </w:r>
      <w:r w:rsidR="00D8543E">
        <w:rPr>
          <w:rFonts w:cs="Calibri"/>
          <w:bCs/>
          <w:lang w:val="en-GB"/>
        </w:rPr>
        <w:t xml:space="preserve"> the findings</w:t>
      </w:r>
      <w:r w:rsidR="0047468A">
        <w:rPr>
          <w:rFonts w:cs="Calibri"/>
          <w:bCs/>
          <w:lang w:val="en-GB"/>
        </w:rPr>
        <w:t xml:space="preserve"> is that the test shows no significant difference between</w:t>
      </w:r>
      <w:r w:rsidR="00D8543E">
        <w:rPr>
          <w:rFonts w:cs="Calibri"/>
          <w:bCs/>
          <w:lang w:val="en-GB"/>
        </w:rPr>
        <w:t xml:space="preserve"> the</w:t>
      </w:r>
      <w:r w:rsidR="0047468A">
        <w:rPr>
          <w:rFonts w:cs="Calibri"/>
          <w:bCs/>
          <w:lang w:val="en-GB"/>
        </w:rPr>
        <w:t xml:space="preserve"> local GAAP and IFRS. But b</w:t>
      </w:r>
      <w:r w:rsidR="00BF1B68">
        <w:rPr>
          <w:rFonts w:cs="Calibri"/>
          <w:bCs/>
          <w:lang w:val="en-GB"/>
        </w:rPr>
        <w:t>ecause of this</w:t>
      </w:r>
      <w:r w:rsidR="0047468A">
        <w:rPr>
          <w:rFonts w:cs="Calibri"/>
          <w:bCs/>
          <w:lang w:val="en-GB"/>
        </w:rPr>
        <w:t xml:space="preserve"> result</w:t>
      </w:r>
      <w:r w:rsidR="00BF1B68">
        <w:rPr>
          <w:rFonts w:cs="Calibri"/>
          <w:bCs/>
          <w:lang w:val="en-GB"/>
        </w:rPr>
        <w:t xml:space="preserve">, the four variables that are used for the determination of real earnings management are tested separately. </w:t>
      </w:r>
      <w:r w:rsidR="007E2CB2">
        <w:rPr>
          <w:rFonts w:cs="Calibri"/>
          <w:bCs/>
          <w:lang w:val="en-GB"/>
        </w:rPr>
        <w:t xml:space="preserve">This could </w:t>
      </w:r>
      <w:r w:rsidR="00D8543E">
        <w:rPr>
          <w:rFonts w:cs="Calibri"/>
          <w:bCs/>
          <w:lang w:val="en-GB"/>
        </w:rPr>
        <w:t>present</w:t>
      </w:r>
      <w:r w:rsidR="007E2CB2">
        <w:rPr>
          <w:rFonts w:cs="Calibri"/>
          <w:bCs/>
          <w:lang w:val="en-GB"/>
        </w:rPr>
        <w:t xml:space="preserve"> some insight in which variables might have caused the non-significance</w:t>
      </w:r>
      <w:r w:rsidR="00C967CF">
        <w:rPr>
          <w:rFonts w:cs="Calibri"/>
          <w:bCs/>
          <w:lang w:val="en-GB"/>
        </w:rPr>
        <w:t xml:space="preserve"> of the test</w:t>
      </w:r>
      <w:r w:rsidR="007E2CB2">
        <w:rPr>
          <w:rFonts w:cs="Calibri"/>
          <w:bCs/>
          <w:lang w:val="en-GB"/>
        </w:rPr>
        <w:t>. The tests with the four variables separately show that the variables Cash Flow from Operations and Change in Inventory have significant tests in contrast to the variables Costs of Goods Sold and Production Costs</w:t>
      </w:r>
      <w:r w:rsidR="0047468A">
        <w:rPr>
          <w:rFonts w:cs="Calibri"/>
          <w:bCs/>
          <w:lang w:val="en-GB"/>
        </w:rPr>
        <w:t xml:space="preserve">. </w:t>
      </w:r>
    </w:p>
    <w:p w:rsidR="00C967CF" w:rsidRDefault="00C967CF" w:rsidP="00C054F6">
      <w:pPr>
        <w:spacing w:line="360" w:lineRule="auto"/>
        <w:rPr>
          <w:rFonts w:cs="Calibri"/>
          <w:bCs/>
          <w:lang w:val="en-GB"/>
        </w:rPr>
      </w:pPr>
      <w:r>
        <w:rPr>
          <w:rFonts w:cs="Calibri"/>
          <w:bCs/>
          <w:lang w:val="en-GB"/>
        </w:rPr>
        <w:lastRenderedPageBreak/>
        <w:t xml:space="preserve">The sign and significance of the independent variable accounting standard is determinative for whether hypothesis 2 about the possible substitution effect of the accruals-based and real method is rejected or approved. </w:t>
      </w:r>
    </w:p>
    <w:p w:rsidR="00D8543E" w:rsidRDefault="004160DE" w:rsidP="00C054F6">
      <w:pPr>
        <w:spacing w:line="360" w:lineRule="auto"/>
        <w:rPr>
          <w:rFonts w:cs="Calibri"/>
          <w:bCs/>
          <w:lang w:val="en-GB"/>
        </w:rPr>
      </w:pPr>
      <w:r>
        <w:rPr>
          <w:rFonts w:cs="Calibri"/>
          <w:bCs/>
          <w:lang w:val="en-GB"/>
        </w:rPr>
        <w:t>According to the hypothesis,</w:t>
      </w:r>
      <w:r w:rsidR="0047468A">
        <w:rPr>
          <w:rFonts w:cs="Calibri"/>
          <w:bCs/>
          <w:lang w:val="en-GB"/>
        </w:rPr>
        <w:t xml:space="preserve"> the sign of the coefficient accounting </w:t>
      </w:r>
      <w:r>
        <w:rPr>
          <w:rFonts w:cs="Calibri"/>
          <w:bCs/>
          <w:lang w:val="en-GB"/>
        </w:rPr>
        <w:t>standard should be negative for accruals-based and positive for r</w:t>
      </w:r>
      <w:r w:rsidR="00C967CF">
        <w:rPr>
          <w:rFonts w:cs="Calibri"/>
          <w:bCs/>
          <w:lang w:val="en-GB"/>
        </w:rPr>
        <w:t>eal earnings management. When</w:t>
      </w:r>
      <w:r>
        <w:rPr>
          <w:rFonts w:cs="Calibri"/>
          <w:bCs/>
          <w:lang w:val="en-GB"/>
        </w:rPr>
        <w:t xml:space="preserve"> </w:t>
      </w:r>
      <w:r w:rsidR="00D8543E">
        <w:rPr>
          <w:rFonts w:cs="Calibri"/>
          <w:bCs/>
          <w:lang w:val="en-GB"/>
        </w:rPr>
        <w:t>investigating</w:t>
      </w:r>
      <w:r>
        <w:rPr>
          <w:rFonts w:cs="Calibri"/>
          <w:bCs/>
          <w:lang w:val="en-GB"/>
        </w:rPr>
        <w:t xml:space="preserve"> these coefficients, a positive coefficient </w:t>
      </w:r>
      <w:r w:rsidR="00C967CF">
        <w:rPr>
          <w:rFonts w:cs="Calibri"/>
          <w:bCs/>
          <w:lang w:val="en-GB"/>
        </w:rPr>
        <w:t xml:space="preserve">appears </w:t>
      </w:r>
      <w:r>
        <w:rPr>
          <w:rFonts w:cs="Calibri"/>
          <w:bCs/>
          <w:lang w:val="en-GB"/>
        </w:rPr>
        <w:t>for both accrua</w:t>
      </w:r>
      <w:r w:rsidR="006D5C22">
        <w:rPr>
          <w:rFonts w:cs="Calibri"/>
          <w:bCs/>
          <w:lang w:val="en-GB"/>
        </w:rPr>
        <w:t>ls-based (0.0</w:t>
      </w:r>
      <w:r w:rsidR="008270E1">
        <w:rPr>
          <w:rFonts w:cs="Calibri"/>
          <w:bCs/>
          <w:lang w:val="en-GB"/>
        </w:rPr>
        <w:t>21) and real (0.059</w:t>
      </w:r>
      <w:r>
        <w:rPr>
          <w:rFonts w:cs="Calibri"/>
          <w:bCs/>
          <w:lang w:val="en-GB"/>
        </w:rPr>
        <w:t xml:space="preserve">) earnings management. </w:t>
      </w:r>
      <w:r w:rsidR="00C967CF">
        <w:rPr>
          <w:rFonts w:cs="Calibri"/>
          <w:bCs/>
          <w:lang w:val="en-GB"/>
        </w:rPr>
        <w:t xml:space="preserve">But the regression with real earnings management as dependent variable is not significant, which indicates no significant difference between the use of real earnings management under local GAAP and IFRS. </w:t>
      </w:r>
    </w:p>
    <w:p w:rsidR="00D8543E" w:rsidRPr="00D8543E" w:rsidRDefault="00D8543E" w:rsidP="00C054F6">
      <w:pPr>
        <w:spacing w:line="360" w:lineRule="auto"/>
        <w:rPr>
          <w:rFonts w:cs="Calibri"/>
          <w:bCs/>
          <w:lang w:val="en-GB"/>
        </w:rPr>
      </w:pPr>
      <w:r>
        <w:rPr>
          <w:rFonts w:cs="Calibri"/>
          <w:bCs/>
          <w:lang w:val="en-GB"/>
        </w:rPr>
        <w:t xml:space="preserve">Consequently </w:t>
      </w:r>
      <w:r w:rsidRPr="00D8543E">
        <w:rPr>
          <w:rFonts w:cs="Calibri"/>
          <w:b/>
          <w:bCs/>
          <w:lang w:val="en-GB"/>
        </w:rPr>
        <w:t>hypothesis 2</w:t>
      </w:r>
      <w:r>
        <w:rPr>
          <w:rFonts w:cs="Calibri"/>
          <w:b/>
          <w:bCs/>
          <w:lang w:val="en-GB"/>
        </w:rPr>
        <w:br/>
        <w:t xml:space="preserve">After the introduction of IFRS in 2005 in The Netherlands, Belgium and France by managers a substitution effect exists from using accruals-based to the use of real earnings management </w:t>
      </w:r>
      <w:r>
        <w:rPr>
          <w:rFonts w:cs="Calibri"/>
          <w:b/>
          <w:bCs/>
          <w:lang w:val="en-GB"/>
        </w:rPr>
        <w:br/>
      </w:r>
      <w:r>
        <w:rPr>
          <w:rFonts w:cs="Calibri"/>
          <w:bCs/>
          <w:lang w:val="en-GB"/>
        </w:rPr>
        <w:t>will be rejected</w:t>
      </w:r>
    </w:p>
    <w:p w:rsidR="00FA0DC5" w:rsidRDefault="00F62948" w:rsidP="004D0A55">
      <w:pPr>
        <w:spacing w:line="360" w:lineRule="auto"/>
        <w:rPr>
          <w:rFonts w:cs="Calibri"/>
          <w:b/>
          <w:bCs/>
          <w:sz w:val="24"/>
          <w:szCs w:val="24"/>
          <w:lang w:val="en-GB"/>
        </w:rPr>
      </w:pPr>
      <w:r>
        <w:rPr>
          <w:rFonts w:cs="Calibri"/>
          <w:bCs/>
          <w:lang w:val="en-GB"/>
        </w:rPr>
        <w:br w:type="page"/>
      </w:r>
      <w:r w:rsidR="00CB162D" w:rsidRPr="008C581E">
        <w:rPr>
          <w:rFonts w:cs="Calibri"/>
          <w:b/>
          <w:bCs/>
          <w:sz w:val="24"/>
          <w:szCs w:val="24"/>
          <w:lang w:val="en-GB"/>
        </w:rPr>
        <w:lastRenderedPageBreak/>
        <w:t>8</w:t>
      </w:r>
      <w:r w:rsidR="00FA0DC5">
        <w:rPr>
          <w:rFonts w:cs="Calibri"/>
          <w:b/>
          <w:bCs/>
          <w:sz w:val="24"/>
          <w:szCs w:val="24"/>
          <w:lang w:val="en-GB"/>
        </w:rPr>
        <w:t xml:space="preserve">  </w:t>
      </w:r>
      <w:r w:rsidR="004C686A">
        <w:rPr>
          <w:rFonts w:cs="Calibri"/>
          <w:b/>
          <w:bCs/>
          <w:sz w:val="24"/>
          <w:szCs w:val="24"/>
          <w:lang w:val="en-GB"/>
        </w:rPr>
        <w:t xml:space="preserve">Summary, </w:t>
      </w:r>
      <w:r w:rsidR="00A06F3B">
        <w:rPr>
          <w:rFonts w:cs="Calibri"/>
          <w:b/>
          <w:bCs/>
          <w:sz w:val="24"/>
          <w:szCs w:val="24"/>
          <w:lang w:val="en-GB"/>
        </w:rPr>
        <w:t>Conclusions</w:t>
      </w:r>
      <w:r w:rsidR="00726156">
        <w:rPr>
          <w:rFonts w:cs="Calibri"/>
          <w:b/>
          <w:bCs/>
          <w:sz w:val="24"/>
          <w:szCs w:val="24"/>
          <w:lang w:val="en-GB"/>
        </w:rPr>
        <w:t xml:space="preserve"> and Analysis</w:t>
      </w:r>
    </w:p>
    <w:p w:rsidR="00FA0DC5" w:rsidRDefault="00FA0DC5" w:rsidP="004D0A55">
      <w:pPr>
        <w:spacing w:line="360" w:lineRule="auto"/>
        <w:rPr>
          <w:rFonts w:cs="Calibri"/>
          <w:lang w:val="en-GB"/>
        </w:rPr>
      </w:pPr>
      <w:r>
        <w:rPr>
          <w:rFonts w:cs="Calibri"/>
          <w:b/>
          <w:bCs/>
          <w:sz w:val="24"/>
          <w:szCs w:val="24"/>
          <w:lang w:val="en-GB"/>
        </w:rPr>
        <w:t xml:space="preserve">8.1 </w:t>
      </w:r>
      <w:r w:rsidR="004C686A">
        <w:rPr>
          <w:rFonts w:cs="Calibri"/>
          <w:b/>
          <w:bCs/>
          <w:sz w:val="24"/>
          <w:szCs w:val="24"/>
          <w:lang w:val="en-GB"/>
        </w:rPr>
        <w:t>Summary</w:t>
      </w:r>
      <w:r>
        <w:rPr>
          <w:rFonts w:cs="Calibri"/>
          <w:b/>
          <w:bCs/>
          <w:sz w:val="24"/>
          <w:szCs w:val="24"/>
          <w:lang w:val="en-GB"/>
        </w:rPr>
        <w:br/>
      </w:r>
      <w:r w:rsidRPr="00E82132">
        <w:rPr>
          <w:rFonts w:cs="Calibri"/>
          <w:bCs/>
          <w:lang w:val="en-GB"/>
        </w:rPr>
        <w:t>In 2005, the International Financi</w:t>
      </w:r>
      <w:r w:rsidR="006F6D29">
        <w:rPr>
          <w:rFonts w:cs="Calibri"/>
          <w:bCs/>
          <w:lang w:val="en-GB"/>
        </w:rPr>
        <w:t>al Reporting Standards (IFRS) w</w:t>
      </w:r>
      <w:r w:rsidRPr="00E82132">
        <w:rPr>
          <w:rFonts w:cs="Calibri"/>
          <w:bCs/>
          <w:lang w:val="en-GB"/>
        </w:rPr>
        <w:t>ere introduced to</w:t>
      </w:r>
      <w:r>
        <w:rPr>
          <w:rFonts w:cs="Calibri"/>
          <w:bCs/>
          <w:lang w:val="en-GB"/>
        </w:rPr>
        <w:t xml:space="preserve"> give more a </w:t>
      </w:r>
      <w:r w:rsidRPr="00E82132">
        <w:rPr>
          <w:rFonts w:cs="Calibri"/>
          <w:bCs/>
          <w:lang w:val="en-GB"/>
        </w:rPr>
        <w:t xml:space="preserve">true and fair view of the financial situation of a company and increase the transparency and comparability of financial statements with fair-value accounting as the most important principle </w:t>
      </w:r>
      <w:r w:rsidRPr="00E82132">
        <w:rPr>
          <w:rFonts w:cs="Calibri"/>
          <w:lang w:val="en-GB"/>
        </w:rPr>
        <w:t>(Heemskerk and van der Tas 2006, p</w:t>
      </w:r>
      <w:r w:rsidR="00A80E83">
        <w:rPr>
          <w:rFonts w:cs="Calibri"/>
          <w:lang w:val="en-GB"/>
        </w:rPr>
        <w:t xml:space="preserve"> </w:t>
      </w:r>
      <w:r w:rsidRPr="00E82132">
        <w:rPr>
          <w:rFonts w:cs="Calibri"/>
          <w:lang w:val="en-GB"/>
        </w:rPr>
        <w:t xml:space="preserve">574). The principle of fair value accounting should be accomplished with the use of both rigid rules and subjective measurements. According to Heemskerk and van der Tas (2006), the strictness of the rules </w:t>
      </w:r>
      <w:r w:rsidR="006F6D29">
        <w:rPr>
          <w:rFonts w:cs="Calibri"/>
          <w:lang w:val="en-GB"/>
        </w:rPr>
        <w:t xml:space="preserve">should </w:t>
      </w:r>
      <w:r w:rsidRPr="00E82132">
        <w:rPr>
          <w:rFonts w:cs="Calibri"/>
          <w:lang w:val="en-GB"/>
        </w:rPr>
        <w:t>decrease the use of earnings management, b</w:t>
      </w:r>
      <w:r w:rsidR="006F6D29">
        <w:rPr>
          <w:rFonts w:cs="Calibri"/>
          <w:lang w:val="en-GB"/>
        </w:rPr>
        <w:t>ut the subjective measures give</w:t>
      </w:r>
      <w:r w:rsidRPr="00E82132">
        <w:rPr>
          <w:rFonts w:cs="Calibri"/>
          <w:lang w:val="en-GB"/>
        </w:rPr>
        <w:t xml:space="preserve"> more opportunities for using earnings management (Heemskerk and van der Tas 2006, p</w:t>
      </w:r>
      <w:r w:rsidR="00A80E83">
        <w:rPr>
          <w:rFonts w:cs="Calibri"/>
          <w:lang w:val="en-GB"/>
        </w:rPr>
        <w:t xml:space="preserve"> </w:t>
      </w:r>
      <w:r w:rsidRPr="00E82132">
        <w:rPr>
          <w:rFonts w:cs="Calibri"/>
          <w:lang w:val="en-GB"/>
        </w:rPr>
        <w:t>573).</w:t>
      </w:r>
    </w:p>
    <w:p w:rsidR="006F6D29" w:rsidRDefault="00FA0DC5" w:rsidP="00FA0DC5">
      <w:pPr>
        <w:spacing w:line="360" w:lineRule="auto"/>
        <w:rPr>
          <w:rFonts w:cs="Calibri"/>
          <w:lang w:val="en-GB"/>
        </w:rPr>
      </w:pPr>
      <w:r w:rsidRPr="00E82132">
        <w:rPr>
          <w:rFonts w:cs="Calibri"/>
          <w:lang w:val="en-GB"/>
        </w:rPr>
        <w:t>Earnings management is about influencing financial numbers to create an adjusted</w:t>
      </w:r>
      <w:r w:rsidR="006F6D29">
        <w:rPr>
          <w:rFonts w:cs="Calibri"/>
          <w:lang w:val="en-GB"/>
        </w:rPr>
        <w:t xml:space="preserve"> view of the</w:t>
      </w:r>
      <w:r w:rsidRPr="00E82132">
        <w:rPr>
          <w:rFonts w:cs="Calibri"/>
          <w:lang w:val="en-GB"/>
        </w:rPr>
        <w:t xml:space="preserve"> financial situation. Ronen and Yaari (2008) </w:t>
      </w:r>
      <w:r w:rsidR="006F6D29">
        <w:rPr>
          <w:rFonts w:cs="Calibri"/>
          <w:lang w:val="en-GB"/>
        </w:rPr>
        <w:t>distinguish</w:t>
      </w:r>
      <w:r w:rsidRPr="00E82132">
        <w:rPr>
          <w:rFonts w:cs="Calibri"/>
          <w:lang w:val="en-GB"/>
        </w:rPr>
        <w:t xml:space="preserve"> earnings management in three ca</w:t>
      </w:r>
      <w:r>
        <w:rPr>
          <w:rFonts w:cs="Calibri"/>
          <w:lang w:val="en-GB"/>
        </w:rPr>
        <w:t>tegories</w:t>
      </w:r>
      <w:r w:rsidR="006F6D29">
        <w:rPr>
          <w:rFonts w:cs="Calibri"/>
          <w:lang w:val="en-GB"/>
        </w:rPr>
        <w:t xml:space="preserve"> of earnings management;</w:t>
      </w:r>
      <w:r w:rsidR="00073C45">
        <w:rPr>
          <w:rFonts w:cs="Calibri"/>
          <w:lang w:val="en-GB"/>
        </w:rPr>
        <w:t xml:space="preserve"> white, grey and black,</w:t>
      </w:r>
      <w:r>
        <w:rPr>
          <w:rFonts w:cs="Calibri"/>
          <w:lang w:val="en-GB"/>
        </w:rPr>
        <w:t xml:space="preserve"> with the motive for</w:t>
      </w:r>
      <w:r w:rsidRPr="00E82132">
        <w:rPr>
          <w:rFonts w:cs="Calibri"/>
          <w:lang w:val="en-GB"/>
        </w:rPr>
        <w:t xml:space="preserve"> </w:t>
      </w:r>
      <w:r>
        <w:rPr>
          <w:rFonts w:cs="Calibri"/>
          <w:lang w:val="en-GB"/>
        </w:rPr>
        <w:t>using</w:t>
      </w:r>
      <w:r w:rsidRPr="00E82132">
        <w:rPr>
          <w:rFonts w:cs="Calibri"/>
          <w:lang w:val="en-GB"/>
        </w:rPr>
        <w:t xml:space="preserve"> earnings management as the method for distinguishing between </w:t>
      </w:r>
      <w:r w:rsidR="00073C45">
        <w:rPr>
          <w:rFonts w:cs="Calibri"/>
          <w:lang w:val="en-GB"/>
        </w:rPr>
        <w:t xml:space="preserve">the </w:t>
      </w:r>
      <w:r w:rsidRPr="00E82132">
        <w:rPr>
          <w:rFonts w:cs="Calibri"/>
          <w:lang w:val="en-GB"/>
        </w:rPr>
        <w:t xml:space="preserve">categories. </w:t>
      </w:r>
      <w:r w:rsidR="006F6D29">
        <w:rPr>
          <w:rFonts w:cs="Calibri"/>
          <w:lang w:val="en-GB"/>
        </w:rPr>
        <w:t xml:space="preserve">In this research, all categories of earnings management are </w:t>
      </w:r>
      <w:r w:rsidR="00A46512">
        <w:rPr>
          <w:rFonts w:cs="Calibri"/>
          <w:lang w:val="en-GB"/>
        </w:rPr>
        <w:t xml:space="preserve">tested; there is no selection on the category of earnings management. The different categories only demonstrate the different motives </w:t>
      </w:r>
      <w:r w:rsidR="00A80E83">
        <w:rPr>
          <w:rFonts w:cs="Calibri"/>
          <w:lang w:val="en-GB"/>
        </w:rPr>
        <w:t>behind</w:t>
      </w:r>
      <w:r w:rsidR="00A46512">
        <w:rPr>
          <w:rFonts w:cs="Calibri"/>
          <w:lang w:val="en-GB"/>
        </w:rPr>
        <w:t xml:space="preserve"> the use of earnings management. </w:t>
      </w:r>
    </w:p>
    <w:p w:rsidR="00FA0DC5" w:rsidRDefault="00FA0DC5" w:rsidP="00A06F3B">
      <w:pPr>
        <w:spacing w:line="360" w:lineRule="auto"/>
        <w:rPr>
          <w:rFonts w:cs="Calibri"/>
          <w:lang w:val="en-GB"/>
        </w:rPr>
      </w:pPr>
      <w:r w:rsidRPr="00E82132">
        <w:rPr>
          <w:rFonts w:cs="Calibri"/>
          <w:lang w:val="en-GB"/>
        </w:rPr>
        <w:t xml:space="preserve">In order to investigate the influence of the introduction of IFRS in 2005 on the use of earnings management, </w:t>
      </w:r>
      <w:r w:rsidR="00EB2AA3">
        <w:rPr>
          <w:rFonts w:cs="Calibri"/>
          <w:lang w:val="en-GB"/>
        </w:rPr>
        <w:t xml:space="preserve">the Positive Accounting Theory (PAT) is used in combination with the models for detecting earnings management. For the detecting of accruals-based earnings management the Modified Jones Model (1995) and for real earnings management the model developed by Roychowdhury (2006) is used. </w:t>
      </w:r>
      <w:r>
        <w:rPr>
          <w:rFonts w:cs="Calibri"/>
          <w:lang w:val="en-GB"/>
        </w:rPr>
        <w:t xml:space="preserve">These models have been chosen after checking </w:t>
      </w:r>
      <w:r w:rsidR="00073C45">
        <w:rPr>
          <w:rFonts w:cs="Calibri"/>
          <w:lang w:val="en-GB"/>
        </w:rPr>
        <w:t xml:space="preserve">various </w:t>
      </w:r>
      <w:r>
        <w:rPr>
          <w:rFonts w:cs="Calibri"/>
          <w:lang w:val="en-GB"/>
        </w:rPr>
        <w:t>related</w:t>
      </w:r>
      <w:r w:rsidR="00073C45">
        <w:rPr>
          <w:rFonts w:cs="Calibri"/>
          <w:lang w:val="en-GB"/>
        </w:rPr>
        <w:t>,</w:t>
      </w:r>
      <w:r>
        <w:rPr>
          <w:rFonts w:cs="Calibri"/>
          <w:lang w:val="en-GB"/>
        </w:rPr>
        <w:t xml:space="preserve"> earlier conducted researches (Heemskerk and van der Tas 2006; Cohen, Dey and Lys 2008; Lippens 2010; Zang 2012). </w:t>
      </w:r>
    </w:p>
    <w:p w:rsidR="00A06F3B" w:rsidRDefault="00A06F3B" w:rsidP="00A06F3B">
      <w:pPr>
        <w:spacing w:line="360" w:lineRule="auto"/>
        <w:rPr>
          <w:rFonts w:cs="Calibri"/>
          <w:lang w:val="en-GB"/>
        </w:rPr>
      </w:pPr>
      <w:r>
        <w:rPr>
          <w:rFonts w:cs="Calibri"/>
          <w:lang w:val="en-GB"/>
        </w:rPr>
        <w:t>With these earlier conducted researches as a fundament, the hypotheses were stated. The conclusion of earlier conducted related researches (Heemskerk and van der Tas 2006; Lippens 2010) in combination with the influence of the</w:t>
      </w:r>
      <w:r w:rsidR="00E26D54">
        <w:rPr>
          <w:rFonts w:cs="Calibri"/>
          <w:lang w:val="en-GB"/>
        </w:rPr>
        <w:t xml:space="preserve"> French Civil Law factors </w:t>
      </w:r>
      <w:r w:rsidR="00726156">
        <w:rPr>
          <w:rFonts w:cs="Calibri"/>
          <w:lang w:val="en-GB"/>
        </w:rPr>
        <w:t xml:space="preserve">was decisive for the direction the hypotheses were stated in. </w:t>
      </w:r>
      <w:r w:rsidR="00F848DC">
        <w:rPr>
          <w:rFonts w:cs="Calibri"/>
          <w:lang w:val="en-GB"/>
        </w:rPr>
        <w:t>Consequently</w:t>
      </w:r>
      <w:r w:rsidR="00726156">
        <w:rPr>
          <w:rFonts w:cs="Calibri"/>
          <w:lang w:val="en-GB"/>
        </w:rPr>
        <w:t xml:space="preserve">, the hypotheses state </w:t>
      </w:r>
      <w:r w:rsidR="00E26D54">
        <w:rPr>
          <w:rFonts w:cs="Calibri"/>
          <w:lang w:val="en-GB"/>
        </w:rPr>
        <w:t xml:space="preserve">that the introduction of IFRS did not lead to a change in the total amount of earnings management and that IFRS caused a substitution from accruals-based to real earnings management. </w:t>
      </w:r>
    </w:p>
    <w:p w:rsidR="00E26D54" w:rsidRPr="00A06F3B" w:rsidRDefault="00E26D54" w:rsidP="00A06F3B">
      <w:pPr>
        <w:spacing w:line="360" w:lineRule="auto"/>
        <w:rPr>
          <w:lang w:val="en-GB"/>
        </w:rPr>
      </w:pPr>
    </w:p>
    <w:p w:rsidR="00A06F3B" w:rsidRDefault="00A06F3B" w:rsidP="00FA0DC5">
      <w:pPr>
        <w:spacing w:line="360" w:lineRule="auto"/>
        <w:rPr>
          <w:rFonts w:cs="Calibri"/>
          <w:lang w:val="en-GB"/>
        </w:rPr>
      </w:pPr>
    </w:p>
    <w:p w:rsidR="00EB2AA3" w:rsidRPr="002500FF" w:rsidRDefault="00452800" w:rsidP="00EB2AA3">
      <w:pPr>
        <w:spacing w:line="360" w:lineRule="auto"/>
        <w:rPr>
          <w:rFonts w:cs="Calibri"/>
          <w:bCs/>
          <w:lang w:val="en-GB"/>
        </w:rPr>
      </w:pPr>
      <w:r>
        <w:rPr>
          <w:rFonts w:cs="Calibri"/>
          <w:b/>
          <w:bCs/>
          <w:lang w:val="en-GB"/>
        </w:rPr>
        <w:lastRenderedPageBreak/>
        <w:t xml:space="preserve">8.2 </w:t>
      </w:r>
      <w:r w:rsidRPr="00452800">
        <w:rPr>
          <w:rFonts w:cs="Calibri"/>
          <w:b/>
          <w:bCs/>
          <w:lang w:val="en-GB"/>
        </w:rPr>
        <w:t>Conclusions</w:t>
      </w:r>
      <w:r w:rsidR="004C686A">
        <w:rPr>
          <w:rFonts w:cs="Calibri"/>
          <w:b/>
          <w:bCs/>
          <w:lang w:val="en-GB"/>
        </w:rPr>
        <w:t xml:space="preserve"> and Analysis</w:t>
      </w:r>
      <w:r>
        <w:rPr>
          <w:rFonts w:cs="Calibri"/>
          <w:b/>
          <w:bCs/>
          <w:lang w:val="en-GB"/>
        </w:rPr>
        <w:br/>
      </w:r>
      <w:r w:rsidR="002500FF">
        <w:rPr>
          <w:rFonts w:cs="Calibri"/>
          <w:bCs/>
          <w:lang w:val="en-GB"/>
        </w:rPr>
        <w:t xml:space="preserve">After the discussion of the fundament of the research, </w:t>
      </w:r>
      <w:r w:rsidR="00EC6BEE">
        <w:rPr>
          <w:rFonts w:cs="Calibri"/>
          <w:bCs/>
          <w:lang w:val="en-GB"/>
        </w:rPr>
        <w:t>next</w:t>
      </w:r>
      <w:r w:rsidR="002500FF">
        <w:rPr>
          <w:rFonts w:cs="Calibri"/>
          <w:bCs/>
          <w:lang w:val="en-GB"/>
        </w:rPr>
        <w:t xml:space="preserve"> </w:t>
      </w:r>
      <w:r w:rsidR="00EB2AA3">
        <w:rPr>
          <w:rFonts w:cs="Calibri"/>
          <w:bCs/>
          <w:lang w:val="en-GB"/>
        </w:rPr>
        <w:t xml:space="preserve">the following main question </w:t>
      </w:r>
      <w:r w:rsidR="00A46512">
        <w:rPr>
          <w:rFonts w:cs="Calibri"/>
          <w:bCs/>
          <w:lang w:val="en-GB"/>
        </w:rPr>
        <w:t xml:space="preserve">will </w:t>
      </w:r>
      <w:r w:rsidR="00A80E83">
        <w:rPr>
          <w:rFonts w:cs="Calibri"/>
          <w:bCs/>
          <w:lang w:val="en-GB"/>
        </w:rPr>
        <w:t>be answered with</w:t>
      </w:r>
      <w:r w:rsidR="00A46512">
        <w:rPr>
          <w:rFonts w:cs="Calibri"/>
          <w:bCs/>
          <w:lang w:val="en-GB"/>
        </w:rPr>
        <w:t xml:space="preserve"> the results of </w:t>
      </w:r>
      <w:r w:rsidR="00EC6BEE">
        <w:rPr>
          <w:rFonts w:cs="Calibri"/>
          <w:bCs/>
          <w:lang w:val="en-GB"/>
        </w:rPr>
        <w:t>this</w:t>
      </w:r>
      <w:r w:rsidR="00A46512">
        <w:rPr>
          <w:rFonts w:cs="Calibri"/>
          <w:bCs/>
          <w:lang w:val="en-GB"/>
        </w:rPr>
        <w:t xml:space="preserve"> research:</w:t>
      </w:r>
      <w:r w:rsidR="00EB2AA3">
        <w:rPr>
          <w:rFonts w:cs="Calibri"/>
          <w:bCs/>
          <w:lang w:val="en-GB"/>
        </w:rPr>
        <w:t xml:space="preserve"> </w:t>
      </w:r>
    </w:p>
    <w:p w:rsidR="00EB2AA3" w:rsidRPr="00EB2AA3" w:rsidRDefault="007B4EAF" w:rsidP="00EB2AA3">
      <w:pPr>
        <w:spacing w:line="360" w:lineRule="auto"/>
        <w:rPr>
          <w:rFonts w:cs="Calibri"/>
          <w:b/>
          <w:bCs/>
          <w:i/>
          <w:lang w:val="en-GB"/>
        </w:rPr>
      </w:pPr>
      <w:r>
        <w:rPr>
          <w:rFonts w:cs="Calibri"/>
          <w:b/>
          <w:bCs/>
          <w:i/>
          <w:lang w:val="en-GB"/>
        </w:rPr>
        <w:t xml:space="preserve">Does </w:t>
      </w:r>
      <w:r w:rsidR="00EB2AA3" w:rsidRPr="00EB2AA3">
        <w:rPr>
          <w:rFonts w:cs="Calibri"/>
          <w:b/>
          <w:bCs/>
          <w:i/>
          <w:lang w:val="en-GB"/>
        </w:rPr>
        <w:t xml:space="preserve">a relation </w:t>
      </w:r>
      <w:r>
        <w:rPr>
          <w:rFonts w:cs="Calibri"/>
          <w:b/>
          <w:bCs/>
          <w:i/>
          <w:lang w:val="en-GB"/>
        </w:rPr>
        <w:t xml:space="preserve">exist </w:t>
      </w:r>
      <w:r w:rsidR="00EB2AA3" w:rsidRPr="00EB2AA3">
        <w:rPr>
          <w:rFonts w:cs="Calibri"/>
          <w:b/>
          <w:bCs/>
          <w:i/>
          <w:lang w:val="en-GB"/>
        </w:rPr>
        <w:t xml:space="preserve">between the introduction of IFRS in 2005 and the choice of method of </w:t>
      </w:r>
      <w:r>
        <w:rPr>
          <w:rFonts w:cs="Calibri"/>
          <w:b/>
          <w:bCs/>
          <w:i/>
          <w:lang w:val="en-GB"/>
        </w:rPr>
        <w:t xml:space="preserve">the use of </w:t>
      </w:r>
      <w:r w:rsidR="00EB2AA3" w:rsidRPr="00EB2AA3">
        <w:rPr>
          <w:rFonts w:cs="Calibri"/>
          <w:b/>
          <w:bCs/>
          <w:i/>
          <w:lang w:val="en-GB"/>
        </w:rPr>
        <w:t>earnings management, accruals-based or real activities manipulation, in the French Civil law countries The Netherlands, Belgium and France?</w:t>
      </w:r>
    </w:p>
    <w:p w:rsidR="00EB2AA3" w:rsidRDefault="00EB2AA3" w:rsidP="00EB2AA3">
      <w:pPr>
        <w:spacing w:line="360" w:lineRule="auto"/>
        <w:rPr>
          <w:rFonts w:cs="Calibri"/>
          <w:bCs/>
          <w:lang w:val="en-GB"/>
        </w:rPr>
      </w:pPr>
      <w:r>
        <w:rPr>
          <w:rFonts w:cs="Calibri"/>
          <w:bCs/>
          <w:lang w:val="en-GB"/>
        </w:rPr>
        <w:t xml:space="preserve">In order to </w:t>
      </w:r>
      <w:r w:rsidR="00EC6BEE">
        <w:rPr>
          <w:rFonts w:cs="Calibri"/>
          <w:bCs/>
          <w:lang w:val="en-GB"/>
        </w:rPr>
        <w:t xml:space="preserve">answer </w:t>
      </w:r>
      <w:r>
        <w:rPr>
          <w:rFonts w:cs="Calibri"/>
          <w:bCs/>
          <w:lang w:val="en-GB"/>
        </w:rPr>
        <w:t>this question,</w:t>
      </w:r>
      <w:r w:rsidR="00312758">
        <w:rPr>
          <w:rFonts w:cs="Calibri"/>
          <w:bCs/>
          <w:lang w:val="en-GB"/>
        </w:rPr>
        <w:t xml:space="preserve"> the hypotheses are tested with</w:t>
      </w:r>
      <w:r>
        <w:rPr>
          <w:rFonts w:cs="Calibri"/>
          <w:bCs/>
          <w:lang w:val="en-GB"/>
        </w:rPr>
        <w:t xml:space="preserve"> three multiple regression </w:t>
      </w:r>
      <w:r w:rsidR="00312758">
        <w:rPr>
          <w:rFonts w:cs="Calibri"/>
          <w:bCs/>
          <w:lang w:val="en-GB"/>
        </w:rPr>
        <w:t xml:space="preserve">analyses. </w:t>
      </w:r>
      <w:r>
        <w:rPr>
          <w:rFonts w:cs="Calibri"/>
          <w:bCs/>
          <w:lang w:val="en-GB"/>
        </w:rPr>
        <w:t xml:space="preserve">With the multiple regressions, the influence of the independent variables </w:t>
      </w:r>
      <w:r w:rsidR="004C686A">
        <w:rPr>
          <w:rFonts w:cs="Calibri"/>
          <w:bCs/>
          <w:lang w:val="en-GB"/>
        </w:rPr>
        <w:t xml:space="preserve">accounting </w:t>
      </w:r>
      <w:r>
        <w:rPr>
          <w:rFonts w:cs="Calibri"/>
          <w:bCs/>
          <w:lang w:val="en-GB"/>
        </w:rPr>
        <w:t xml:space="preserve">standard, country and size on the dependent variables total amount of earnings management and the methods accruals-based and real earnings management are examined. </w:t>
      </w:r>
    </w:p>
    <w:p w:rsidR="004C686A" w:rsidRDefault="00EB2AA3" w:rsidP="00EB2AA3">
      <w:pPr>
        <w:spacing w:line="360" w:lineRule="auto"/>
        <w:rPr>
          <w:rFonts w:cs="Calibri"/>
          <w:bCs/>
          <w:lang w:val="en-GB"/>
        </w:rPr>
      </w:pPr>
      <w:r>
        <w:rPr>
          <w:rFonts w:cs="Calibri"/>
          <w:bCs/>
          <w:lang w:val="en-GB"/>
        </w:rPr>
        <w:t>Before the main question about the substitution effect of the two general methods for</w:t>
      </w:r>
      <w:r w:rsidR="002500FF">
        <w:rPr>
          <w:rFonts w:cs="Calibri"/>
          <w:bCs/>
          <w:lang w:val="en-GB"/>
        </w:rPr>
        <w:t xml:space="preserve"> executing earnings management wa</w:t>
      </w:r>
      <w:r>
        <w:rPr>
          <w:rFonts w:cs="Calibri"/>
          <w:bCs/>
          <w:lang w:val="en-GB"/>
        </w:rPr>
        <w:t>s tested, the total</w:t>
      </w:r>
      <w:r w:rsidR="002500FF">
        <w:rPr>
          <w:rFonts w:cs="Calibri"/>
          <w:bCs/>
          <w:lang w:val="en-GB"/>
        </w:rPr>
        <w:t xml:space="preserve"> amount of earnings management wa</w:t>
      </w:r>
      <w:r>
        <w:rPr>
          <w:rFonts w:cs="Calibri"/>
          <w:bCs/>
          <w:lang w:val="en-GB"/>
        </w:rPr>
        <w:t xml:space="preserve">s used as dependent variable in the multiple regression. </w:t>
      </w:r>
      <w:r w:rsidR="002500FF">
        <w:rPr>
          <w:rFonts w:cs="Calibri"/>
          <w:bCs/>
          <w:lang w:val="en-GB"/>
        </w:rPr>
        <w:t>In hypothesis 1 wa</w:t>
      </w:r>
      <w:r>
        <w:rPr>
          <w:rFonts w:cs="Calibri"/>
          <w:bCs/>
          <w:lang w:val="en-GB"/>
        </w:rPr>
        <w:t xml:space="preserve">s stated that the introduction of IFRS in 2005 did not </w:t>
      </w:r>
      <w:r w:rsidR="00EC6BEE">
        <w:rPr>
          <w:rFonts w:cs="Calibri"/>
          <w:bCs/>
          <w:lang w:val="en-GB"/>
        </w:rPr>
        <w:t>create</w:t>
      </w:r>
      <w:r>
        <w:rPr>
          <w:rFonts w:cs="Calibri"/>
          <w:bCs/>
          <w:lang w:val="en-GB"/>
        </w:rPr>
        <w:t xml:space="preserve"> a change in the total amount of</w:t>
      </w:r>
      <w:r w:rsidR="00EC6BEE">
        <w:rPr>
          <w:rFonts w:cs="Calibri"/>
          <w:bCs/>
          <w:lang w:val="en-GB"/>
        </w:rPr>
        <w:t xml:space="preserve"> the use of</w:t>
      </w:r>
      <w:r>
        <w:rPr>
          <w:rFonts w:cs="Calibri"/>
          <w:bCs/>
          <w:lang w:val="en-GB"/>
        </w:rPr>
        <w:t xml:space="preserve"> earnings management.</w:t>
      </w:r>
      <w:r w:rsidR="00312758">
        <w:rPr>
          <w:rFonts w:cs="Calibri"/>
          <w:bCs/>
          <w:lang w:val="en-GB"/>
        </w:rPr>
        <w:t xml:space="preserve"> </w:t>
      </w:r>
      <w:r>
        <w:rPr>
          <w:rFonts w:cs="Calibri"/>
          <w:bCs/>
          <w:lang w:val="en-GB"/>
        </w:rPr>
        <w:t>The multiple regression</w:t>
      </w:r>
      <w:r w:rsidR="00EC6BEE">
        <w:rPr>
          <w:rFonts w:cs="Calibri"/>
          <w:bCs/>
          <w:lang w:val="en-GB"/>
        </w:rPr>
        <w:t>s</w:t>
      </w:r>
      <w:r>
        <w:rPr>
          <w:rFonts w:cs="Calibri"/>
          <w:bCs/>
          <w:lang w:val="en-GB"/>
        </w:rPr>
        <w:t xml:space="preserve"> </w:t>
      </w:r>
      <w:r w:rsidR="007B4EAF">
        <w:rPr>
          <w:rFonts w:cs="Calibri"/>
          <w:bCs/>
          <w:lang w:val="en-GB"/>
        </w:rPr>
        <w:t>indicate</w:t>
      </w:r>
      <w:r>
        <w:rPr>
          <w:rFonts w:cs="Calibri"/>
          <w:bCs/>
          <w:lang w:val="en-GB"/>
        </w:rPr>
        <w:t xml:space="preserve"> that </w:t>
      </w:r>
      <w:r w:rsidR="00073C45">
        <w:rPr>
          <w:rFonts w:cs="Calibri"/>
          <w:bCs/>
          <w:lang w:val="en-GB"/>
        </w:rPr>
        <w:t xml:space="preserve">indeed </w:t>
      </w:r>
      <w:r>
        <w:rPr>
          <w:rFonts w:cs="Calibri"/>
          <w:bCs/>
          <w:lang w:val="en-GB"/>
        </w:rPr>
        <w:t xml:space="preserve">no significant difference </w:t>
      </w:r>
      <w:r w:rsidR="00EC6BEE">
        <w:rPr>
          <w:rFonts w:cs="Calibri"/>
          <w:bCs/>
          <w:lang w:val="en-GB"/>
        </w:rPr>
        <w:t xml:space="preserve">exists </w:t>
      </w:r>
      <w:r>
        <w:rPr>
          <w:rFonts w:cs="Calibri"/>
          <w:bCs/>
          <w:lang w:val="en-GB"/>
        </w:rPr>
        <w:t xml:space="preserve">between the total amount of </w:t>
      </w:r>
      <w:r w:rsidR="00EC6BEE">
        <w:rPr>
          <w:rFonts w:cs="Calibri"/>
          <w:bCs/>
          <w:lang w:val="en-GB"/>
        </w:rPr>
        <w:t xml:space="preserve">the use of </w:t>
      </w:r>
      <w:r>
        <w:rPr>
          <w:rFonts w:cs="Calibri"/>
          <w:bCs/>
          <w:lang w:val="en-GB"/>
        </w:rPr>
        <w:t xml:space="preserve">earnings management before and after the introduction of IFRS in 2005. This conclusion reveals that hypothesis 1 is </w:t>
      </w:r>
      <w:r w:rsidR="00073C45">
        <w:rPr>
          <w:rFonts w:cs="Calibri"/>
          <w:bCs/>
          <w:lang w:val="en-GB"/>
        </w:rPr>
        <w:t>approved</w:t>
      </w:r>
      <w:r>
        <w:rPr>
          <w:rFonts w:cs="Calibri"/>
          <w:bCs/>
          <w:lang w:val="en-GB"/>
        </w:rPr>
        <w:t xml:space="preserve">; </w:t>
      </w:r>
      <w:r w:rsidR="004C686A">
        <w:rPr>
          <w:rFonts w:cs="Calibri"/>
          <w:bCs/>
          <w:lang w:val="en-GB"/>
        </w:rPr>
        <w:t>the results show</w:t>
      </w:r>
      <w:r>
        <w:rPr>
          <w:rFonts w:cs="Calibri"/>
          <w:bCs/>
          <w:lang w:val="en-GB"/>
        </w:rPr>
        <w:t xml:space="preserve"> no significant change in the total amount of earnings management</w:t>
      </w:r>
      <w:r w:rsidR="00073C45">
        <w:rPr>
          <w:rFonts w:cs="Calibri"/>
          <w:bCs/>
          <w:lang w:val="en-GB"/>
        </w:rPr>
        <w:t xml:space="preserve"> </w:t>
      </w:r>
      <w:r w:rsidR="00EC6BEE">
        <w:rPr>
          <w:rFonts w:cs="Calibri"/>
          <w:bCs/>
          <w:lang w:val="en-GB"/>
        </w:rPr>
        <w:t xml:space="preserve">based on </w:t>
      </w:r>
      <w:r w:rsidR="00073C45">
        <w:rPr>
          <w:rFonts w:cs="Calibri"/>
          <w:bCs/>
          <w:lang w:val="en-GB"/>
        </w:rPr>
        <w:t>local GAAP and IFRS</w:t>
      </w:r>
      <w:r>
        <w:rPr>
          <w:rFonts w:cs="Calibri"/>
          <w:bCs/>
          <w:lang w:val="en-GB"/>
        </w:rPr>
        <w:t xml:space="preserve">. This can possibly be explained by the influence of </w:t>
      </w:r>
      <w:r w:rsidR="007B4EAF">
        <w:rPr>
          <w:rFonts w:cs="Calibri"/>
          <w:bCs/>
          <w:lang w:val="en-GB"/>
        </w:rPr>
        <w:t xml:space="preserve">the </w:t>
      </w:r>
      <w:r>
        <w:rPr>
          <w:rFonts w:cs="Calibri"/>
          <w:bCs/>
          <w:lang w:val="en-GB"/>
        </w:rPr>
        <w:t>local GAAP on the transition. The local GAAP of The Netherlands</w:t>
      </w:r>
      <w:r w:rsidR="00073C45">
        <w:rPr>
          <w:rFonts w:cs="Calibri"/>
          <w:bCs/>
          <w:lang w:val="en-GB"/>
        </w:rPr>
        <w:t xml:space="preserve"> especially was</w:t>
      </w:r>
      <w:r>
        <w:rPr>
          <w:rFonts w:cs="Calibri"/>
          <w:bCs/>
          <w:lang w:val="en-GB"/>
        </w:rPr>
        <w:t xml:space="preserve"> already in line with the guidelines of </w:t>
      </w:r>
      <w:r w:rsidR="00EC6BEE">
        <w:rPr>
          <w:rFonts w:cs="Calibri"/>
          <w:bCs/>
          <w:lang w:val="en-GB"/>
        </w:rPr>
        <w:t>the IFRS</w:t>
      </w:r>
      <w:r>
        <w:rPr>
          <w:rFonts w:cs="Calibri"/>
          <w:bCs/>
          <w:lang w:val="en-GB"/>
        </w:rPr>
        <w:t xml:space="preserve">, which possible </w:t>
      </w:r>
      <w:r w:rsidR="00EC6BEE">
        <w:rPr>
          <w:rFonts w:cs="Calibri"/>
          <w:bCs/>
          <w:lang w:val="en-GB"/>
        </w:rPr>
        <w:t xml:space="preserve">creates </w:t>
      </w:r>
      <w:r>
        <w:rPr>
          <w:rFonts w:cs="Calibri"/>
          <w:bCs/>
          <w:lang w:val="en-GB"/>
        </w:rPr>
        <w:t>a smooth transition and no difference in the use of earnings management. W</w:t>
      </w:r>
      <w:r w:rsidR="000B7BD6">
        <w:rPr>
          <w:rFonts w:cs="Calibri"/>
          <w:bCs/>
          <w:lang w:val="en-GB"/>
        </w:rPr>
        <w:t xml:space="preserve">hen </w:t>
      </w:r>
      <w:r w:rsidR="00EC6BEE">
        <w:rPr>
          <w:rFonts w:cs="Calibri"/>
          <w:bCs/>
          <w:lang w:val="en-GB"/>
        </w:rPr>
        <w:t>investigating</w:t>
      </w:r>
      <w:r>
        <w:rPr>
          <w:rFonts w:cs="Calibri"/>
          <w:bCs/>
          <w:lang w:val="en-GB"/>
        </w:rPr>
        <w:t xml:space="preserve"> the other independent variables in the regression, country and size, both variables appear to be significant. It appears that in The Netherlands the total amount of </w:t>
      </w:r>
      <w:r w:rsidR="007B4EAF">
        <w:rPr>
          <w:rFonts w:cs="Calibri"/>
          <w:bCs/>
          <w:lang w:val="en-GB"/>
        </w:rPr>
        <w:t xml:space="preserve">managed </w:t>
      </w:r>
      <w:r>
        <w:rPr>
          <w:rFonts w:cs="Calibri"/>
          <w:bCs/>
          <w:lang w:val="en-GB"/>
        </w:rPr>
        <w:t>earnings is significant higher compared to Belgium and France, assumed that earnings are managed upwards. The variable size shows that large companies appear to use significant less earnings manageme</w:t>
      </w:r>
      <w:r w:rsidR="00312758">
        <w:rPr>
          <w:rFonts w:cs="Calibri"/>
          <w:bCs/>
          <w:lang w:val="en-GB"/>
        </w:rPr>
        <w:t xml:space="preserve">nt compared to small companies. </w:t>
      </w:r>
    </w:p>
    <w:p w:rsidR="00FC7536" w:rsidRDefault="0080539D" w:rsidP="00EB2AA3">
      <w:pPr>
        <w:spacing w:line="360" w:lineRule="auto"/>
        <w:rPr>
          <w:rFonts w:cs="Calibri"/>
          <w:bCs/>
          <w:lang w:val="en-GB"/>
        </w:rPr>
      </w:pPr>
      <w:r>
        <w:rPr>
          <w:rFonts w:cs="Calibri"/>
          <w:bCs/>
          <w:lang w:val="en-GB"/>
        </w:rPr>
        <w:t xml:space="preserve">The difference in the total use of earnings management in The Netherlands and Belgium and France might be explained by the difference in French Civil Law factors. </w:t>
      </w:r>
      <w:r w:rsidR="00EC6BEE">
        <w:rPr>
          <w:rFonts w:cs="Calibri"/>
          <w:bCs/>
          <w:lang w:val="en-GB"/>
        </w:rPr>
        <w:t>A</w:t>
      </w:r>
      <w:r>
        <w:rPr>
          <w:rFonts w:cs="Calibri"/>
          <w:bCs/>
          <w:lang w:val="en-GB"/>
        </w:rPr>
        <w:t xml:space="preserve"> differen</w:t>
      </w:r>
      <w:r w:rsidR="00EC6BEE">
        <w:rPr>
          <w:rFonts w:cs="Calibri"/>
          <w:bCs/>
          <w:lang w:val="en-GB"/>
        </w:rPr>
        <w:t>ce exists in legal enforcement strength;</w:t>
      </w:r>
      <w:r>
        <w:rPr>
          <w:rFonts w:cs="Calibri"/>
          <w:bCs/>
          <w:lang w:val="en-GB"/>
        </w:rPr>
        <w:t xml:space="preserve"> Burgstahler et al. (2006) conclude that The Netherlands and Belgium have a high score on this factor in contrast to France. </w:t>
      </w:r>
      <w:r w:rsidR="00EB2AA3">
        <w:rPr>
          <w:rFonts w:cs="Calibri"/>
          <w:bCs/>
          <w:lang w:val="en-GB"/>
        </w:rPr>
        <w:t xml:space="preserve">Because the group of Belgium and France companies contained 5 Belgium and 40 French companies, it might be that the difference between The Netherlands and France in legal enforcement strength has </w:t>
      </w:r>
      <w:r w:rsidR="00EC6BEE">
        <w:rPr>
          <w:rFonts w:cs="Calibri"/>
          <w:bCs/>
          <w:lang w:val="en-GB"/>
        </w:rPr>
        <w:t>created</w:t>
      </w:r>
      <w:r w:rsidR="00EB2AA3">
        <w:rPr>
          <w:rFonts w:cs="Calibri"/>
          <w:bCs/>
          <w:lang w:val="en-GB"/>
        </w:rPr>
        <w:t xml:space="preserve"> a significant difference in the total use of earnings management. </w:t>
      </w:r>
      <w:r w:rsidR="0021466D">
        <w:rPr>
          <w:rFonts w:cs="Calibri"/>
          <w:bCs/>
          <w:lang w:val="en-GB"/>
        </w:rPr>
        <w:t xml:space="preserve">But this result in the total use of earnings management is in contrast </w:t>
      </w:r>
      <w:r w:rsidR="0021466D">
        <w:rPr>
          <w:rFonts w:cs="Calibri"/>
          <w:bCs/>
          <w:lang w:val="en-GB"/>
        </w:rPr>
        <w:lastRenderedPageBreak/>
        <w:t xml:space="preserve">with what was expected. More legal enforcement strength was assumed to decrease the use of earnings management but the results do not support this. Further research on the connection of legal enforcement strength and the amount of earnings management could indicate whether this result stands alone or that the connection is proven to be valid. </w:t>
      </w:r>
      <w:r w:rsidR="00073C45">
        <w:rPr>
          <w:rFonts w:cs="Calibri"/>
          <w:bCs/>
          <w:lang w:val="en-GB"/>
        </w:rPr>
        <w:t xml:space="preserve">Another notable result is about the size of </w:t>
      </w:r>
      <w:r w:rsidR="00EC6BEE">
        <w:rPr>
          <w:rFonts w:cs="Calibri"/>
          <w:bCs/>
          <w:lang w:val="en-GB"/>
        </w:rPr>
        <w:t xml:space="preserve">the </w:t>
      </w:r>
      <w:r w:rsidR="00073C45">
        <w:rPr>
          <w:rFonts w:cs="Calibri"/>
          <w:bCs/>
          <w:lang w:val="en-GB"/>
        </w:rPr>
        <w:t xml:space="preserve">companies. </w:t>
      </w:r>
      <w:r w:rsidR="00EC6BEE">
        <w:rPr>
          <w:rFonts w:cs="Calibri"/>
          <w:bCs/>
          <w:lang w:val="en-GB"/>
        </w:rPr>
        <w:t>E</w:t>
      </w:r>
      <w:r w:rsidR="00FC7536">
        <w:rPr>
          <w:rFonts w:cs="Calibri"/>
          <w:bCs/>
          <w:lang w:val="en-GB"/>
        </w:rPr>
        <w:t xml:space="preserve">xpected </w:t>
      </w:r>
      <w:r w:rsidR="00EC6BEE">
        <w:rPr>
          <w:rFonts w:cs="Calibri"/>
          <w:bCs/>
          <w:lang w:val="en-GB"/>
        </w:rPr>
        <w:t xml:space="preserve">was </w:t>
      </w:r>
      <w:r w:rsidR="00FC7536">
        <w:rPr>
          <w:rFonts w:cs="Calibri"/>
          <w:bCs/>
          <w:lang w:val="en-GB"/>
        </w:rPr>
        <w:t>that no significant difference</w:t>
      </w:r>
      <w:r w:rsidR="00EC6BEE">
        <w:rPr>
          <w:rFonts w:cs="Calibri"/>
          <w:bCs/>
          <w:lang w:val="en-GB"/>
        </w:rPr>
        <w:t xml:space="preserve"> exists</w:t>
      </w:r>
      <w:r w:rsidR="00FC7536">
        <w:rPr>
          <w:rFonts w:cs="Calibri"/>
          <w:bCs/>
          <w:lang w:val="en-GB"/>
        </w:rPr>
        <w:t xml:space="preserve"> in the use of earnings management between large and small firms</w:t>
      </w:r>
      <w:r w:rsidR="00FB133F">
        <w:rPr>
          <w:rFonts w:cs="Calibri"/>
          <w:bCs/>
          <w:lang w:val="en-GB"/>
        </w:rPr>
        <w:t xml:space="preserve"> because of all variables were scaled by the total amount of assets and by results of earlier conducted research of </w:t>
      </w:r>
      <w:r w:rsidR="00FC7536">
        <w:rPr>
          <w:rFonts w:cs="Calibri"/>
          <w:bCs/>
          <w:lang w:val="en-GB"/>
        </w:rPr>
        <w:t xml:space="preserve">Heemskerk and van der Tas </w:t>
      </w:r>
      <w:r w:rsidR="007B4EAF">
        <w:rPr>
          <w:rFonts w:cs="Calibri"/>
          <w:bCs/>
          <w:lang w:val="en-GB"/>
        </w:rPr>
        <w:t>(</w:t>
      </w:r>
      <w:r w:rsidR="00FC7536">
        <w:rPr>
          <w:rFonts w:cs="Calibri"/>
          <w:bCs/>
          <w:lang w:val="en-GB"/>
        </w:rPr>
        <w:t>2006</w:t>
      </w:r>
      <w:r w:rsidR="007B4EAF">
        <w:rPr>
          <w:rFonts w:cs="Calibri"/>
          <w:bCs/>
          <w:lang w:val="en-GB"/>
        </w:rPr>
        <w:t>)</w:t>
      </w:r>
      <w:r w:rsidR="00FB133F">
        <w:rPr>
          <w:rFonts w:cs="Calibri"/>
          <w:bCs/>
          <w:lang w:val="en-GB"/>
        </w:rPr>
        <w:t>.</w:t>
      </w:r>
    </w:p>
    <w:p w:rsidR="00EB2AA3" w:rsidRDefault="007B4EAF" w:rsidP="00EB2AA3">
      <w:pPr>
        <w:spacing w:line="360" w:lineRule="auto"/>
        <w:rPr>
          <w:rFonts w:cs="Calibri"/>
          <w:bCs/>
          <w:lang w:val="en-GB"/>
        </w:rPr>
      </w:pPr>
      <w:r>
        <w:rPr>
          <w:rFonts w:cs="Calibri"/>
          <w:bCs/>
          <w:lang w:val="en-GB"/>
        </w:rPr>
        <w:t>T</w:t>
      </w:r>
      <w:r w:rsidR="004C686A">
        <w:rPr>
          <w:rFonts w:cs="Calibri"/>
          <w:bCs/>
          <w:lang w:val="en-GB"/>
        </w:rPr>
        <w:t>he</w:t>
      </w:r>
      <w:r w:rsidR="00EB2AA3">
        <w:rPr>
          <w:rFonts w:cs="Calibri"/>
          <w:bCs/>
          <w:lang w:val="en-GB"/>
        </w:rPr>
        <w:t xml:space="preserve"> second hypothesis</w:t>
      </w:r>
      <w:r>
        <w:rPr>
          <w:rFonts w:cs="Calibri"/>
          <w:bCs/>
          <w:lang w:val="en-GB"/>
        </w:rPr>
        <w:t xml:space="preserve"> is </w:t>
      </w:r>
      <w:r w:rsidR="00EB2AA3">
        <w:rPr>
          <w:rFonts w:cs="Calibri"/>
          <w:bCs/>
          <w:lang w:val="en-GB"/>
        </w:rPr>
        <w:t xml:space="preserve">about the possible substitution between the accruals-based and real method for executing earnings management. </w:t>
      </w:r>
      <w:r w:rsidR="00EB2AA3" w:rsidRPr="00A66E79">
        <w:rPr>
          <w:rFonts w:cs="Calibri"/>
          <w:bCs/>
          <w:lang w:val="en-GB"/>
        </w:rPr>
        <w:t xml:space="preserve">According to earlier researches (Cohen, Dey, Lys 2008; Lippens 2010) on the possible substitution of accruals-based and real earnings management, </w:t>
      </w:r>
      <w:r w:rsidR="004C686A">
        <w:rPr>
          <w:rFonts w:cs="Calibri"/>
          <w:bCs/>
          <w:lang w:val="en-GB"/>
        </w:rPr>
        <w:t xml:space="preserve">there is </w:t>
      </w:r>
      <w:r w:rsidR="00EB2AA3">
        <w:rPr>
          <w:rFonts w:cs="Calibri"/>
          <w:bCs/>
          <w:lang w:val="en-GB"/>
        </w:rPr>
        <w:t xml:space="preserve">concluded that </w:t>
      </w:r>
      <w:r w:rsidR="00EB2AA3" w:rsidRPr="00A66E79">
        <w:rPr>
          <w:rFonts w:cs="Calibri"/>
          <w:bCs/>
          <w:lang w:val="en-GB"/>
        </w:rPr>
        <w:t xml:space="preserve">a substitution effect </w:t>
      </w:r>
      <w:r w:rsidR="00BB6CBB">
        <w:rPr>
          <w:rFonts w:cs="Calibri"/>
          <w:bCs/>
          <w:lang w:val="en-GB"/>
        </w:rPr>
        <w:t xml:space="preserve">exists </w:t>
      </w:r>
      <w:r w:rsidR="00EB2AA3" w:rsidRPr="00A66E79">
        <w:rPr>
          <w:rFonts w:cs="Calibri"/>
          <w:bCs/>
          <w:lang w:val="en-GB"/>
        </w:rPr>
        <w:t>from accruals-based to real earnings management. This statement is adop</w:t>
      </w:r>
      <w:r w:rsidR="00EB2AA3">
        <w:rPr>
          <w:rFonts w:cs="Calibri"/>
          <w:bCs/>
          <w:lang w:val="en-GB"/>
        </w:rPr>
        <w:t>ted in this research by using this statement</w:t>
      </w:r>
      <w:r w:rsidR="00EB2AA3" w:rsidRPr="00A66E79">
        <w:rPr>
          <w:rFonts w:cs="Calibri"/>
          <w:bCs/>
          <w:lang w:val="en-GB"/>
        </w:rPr>
        <w:t xml:space="preserve"> as hypothesis</w:t>
      </w:r>
      <w:r w:rsidR="00EB2AA3">
        <w:rPr>
          <w:rFonts w:cs="Calibri"/>
          <w:bCs/>
          <w:lang w:val="en-GB"/>
        </w:rPr>
        <w:t xml:space="preserve"> 2</w:t>
      </w:r>
      <w:r w:rsidR="00EB2AA3" w:rsidRPr="00A66E79">
        <w:rPr>
          <w:rFonts w:cs="Calibri"/>
          <w:bCs/>
          <w:lang w:val="en-GB"/>
        </w:rPr>
        <w:t>.</w:t>
      </w:r>
      <w:r w:rsidR="00EB2AA3">
        <w:rPr>
          <w:rFonts w:cs="Calibri"/>
          <w:bCs/>
          <w:lang w:val="en-GB"/>
        </w:rPr>
        <w:t xml:space="preserve"> The analysis of the multiple regression</w:t>
      </w:r>
      <w:r w:rsidR="00BB6CBB">
        <w:rPr>
          <w:rFonts w:cs="Calibri"/>
          <w:bCs/>
          <w:lang w:val="en-GB"/>
        </w:rPr>
        <w:t>s</w:t>
      </w:r>
      <w:r w:rsidR="00EB2AA3">
        <w:rPr>
          <w:rFonts w:cs="Calibri"/>
          <w:bCs/>
          <w:lang w:val="en-GB"/>
        </w:rPr>
        <w:t xml:space="preserve"> with accruals-based earnings management as dependent variable shows that the introduction of IFRS </w:t>
      </w:r>
      <w:r w:rsidR="004C686A">
        <w:rPr>
          <w:rFonts w:cs="Calibri"/>
          <w:bCs/>
          <w:lang w:val="en-GB"/>
        </w:rPr>
        <w:t>did not</w:t>
      </w:r>
      <w:r w:rsidR="00EB2AA3">
        <w:rPr>
          <w:rFonts w:cs="Calibri"/>
          <w:bCs/>
          <w:lang w:val="en-GB"/>
        </w:rPr>
        <w:t xml:space="preserve"> </w:t>
      </w:r>
      <w:r w:rsidR="00BB6CBB">
        <w:rPr>
          <w:rFonts w:cs="Calibri"/>
          <w:bCs/>
          <w:lang w:val="en-GB"/>
        </w:rPr>
        <w:t>create</w:t>
      </w:r>
      <w:r w:rsidR="00EB2AA3">
        <w:rPr>
          <w:rFonts w:cs="Calibri"/>
          <w:bCs/>
          <w:lang w:val="en-GB"/>
        </w:rPr>
        <w:t xml:space="preserve"> an significant increase in the use of this method for executing earnings management. The regression with the real method as dependent variable appears to be not significant for both the test as all the </w:t>
      </w:r>
      <w:r w:rsidR="006C6497">
        <w:rPr>
          <w:rFonts w:cs="Calibri"/>
          <w:bCs/>
          <w:lang w:val="en-GB"/>
        </w:rPr>
        <w:t xml:space="preserve">independent variables. </w:t>
      </w:r>
      <w:r w:rsidR="00EB2AA3">
        <w:rPr>
          <w:rFonts w:cs="Calibri"/>
          <w:bCs/>
          <w:lang w:val="en-GB"/>
        </w:rPr>
        <w:t xml:space="preserve">Because of this non-significance, the variables that are used for the determination of real earnings management are </w:t>
      </w:r>
      <w:r w:rsidR="006C6497">
        <w:rPr>
          <w:rFonts w:cs="Calibri"/>
          <w:bCs/>
          <w:lang w:val="en-GB"/>
        </w:rPr>
        <w:t>tested</w:t>
      </w:r>
      <w:r w:rsidR="00EB2AA3">
        <w:rPr>
          <w:rFonts w:cs="Calibri"/>
          <w:bCs/>
          <w:lang w:val="en-GB"/>
        </w:rPr>
        <w:t xml:space="preserve"> separately as dependent variables in a multiple regression. This shows two significant </w:t>
      </w:r>
      <w:r w:rsidR="006C6497">
        <w:rPr>
          <w:rFonts w:cs="Calibri"/>
          <w:bCs/>
          <w:lang w:val="en-GB"/>
        </w:rPr>
        <w:t xml:space="preserve">(CFO and ΔINV) </w:t>
      </w:r>
      <w:r w:rsidR="00EB2AA3">
        <w:rPr>
          <w:rFonts w:cs="Calibri"/>
          <w:bCs/>
          <w:lang w:val="en-GB"/>
        </w:rPr>
        <w:t xml:space="preserve">and two not significant tests </w:t>
      </w:r>
      <w:r w:rsidR="006C6497">
        <w:rPr>
          <w:rFonts w:cs="Calibri"/>
          <w:bCs/>
          <w:lang w:val="en-GB"/>
        </w:rPr>
        <w:t xml:space="preserve">(COGS and PROD) </w:t>
      </w:r>
      <w:r w:rsidR="00EB2AA3">
        <w:rPr>
          <w:rFonts w:cs="Calibri"/>
          <w:bCs/>
          <w:lang w:val="en-GB"/>
        </w:rPr>
        <w:t xml:space="preserve">and all tests show no significant difference between local GAAP and IFRS. </w:t>
      </w:r>
    </w:p>
    <w:p w:rsidR="00FB133F" w:rsidRDefault="00EB2AA3" w:rsidP="00EB2AA3">
      <w:pPr>
        <w:spacing w:line="360" w:lineRule="auto"/>
        <w:rPr>
          <w:rFonts w:cs="Calibri"/>
          <w:bCs/>
          <w:lang w:val="en-GB"/>
        </w:rPr>
      </w:pPr>
      <w:r>
        <w:rPr>
          <w:rFonts w:cs="Calibri"/>
          <w:bCs/>
          <w:lang w:val="en-GB"/>
        </w:rPr>
        <w:t xml:space="preserve">According to hypothesis 2, </w:t>
      </w:r>
      <w:r w:rsidR="00BB6CBB">
        <w:rPr>
          <w:rFonts w:cs="Calibri"/>
          <w:bCs/>
          <w:lang w:val="en-GB"/>
        </w:rPr>
        <w:t xml:space="preserve">after the introduction of IFRS in 2005 in The Netherlands, Belgium and France by managers a substitution effect exists from using accruals-based to the use of real earnings management. </w:t>
      </w:r>
      <w:r w:rsidR="000B7BD6">
        <w:rPr>
          <w:rFonts w:cs="Calibri"/>
          <w:bCs/>
          <w:lang w:val="en-GB"/>
        </w:rPr>
        <w:t xml:space="preserve">The multiple regression with the accruals-based method as dependent variable shows no significant difference </w:t>
      </w:r>
      <w:r w:rsidR="00BB6CBB">
        <w:rPr>
          <w:rFonts w:cs="Calibri"/>
          <w:bCs/>
          <w:lang w:val="en-GB"/>
        </w:rPr>
        <w:t>based on</w:t>
      </w:r>
      <w:r w:rsidR="000B7BD6">
        <w:rPr>
          <w:rFonts w:cs="Calibri"/>
          <w:bCs/>
          <w:lang w:val="en-GB"/>
        </w:rPr>
        <w:t xml:space="preserve"> local GAAP and</w:t>
      </w:r>
      <w:r w:rsidR="00BB6CBB">
        <w:rPr>
          <w:rFonts w:cs="Calibri"/>
          <w:bCs/>
          <w:lang w:val="en-GB"/>
        </w:rPr>
        <w:t xml:space="preserve"> on</w:t>
      </w:r>
      <w:r w:rsidR="000B7BD6">
        <w:rPr>
          <w:rFonts w:cs="Calibri"/>
          <w:bCs/>
          <w:lang w:val="en-GB"/>
        </w:rPr>
        <w:t xml:space="preserve"> IFRS. This </w:t>
      </w:r>
      <w:r w:rsidR="00BB6CBB">
        <w:rPr>
          <w:rFonts w:cs="Calibri"/>
          <w:bCs/>
          <w:lang w:val="en-GB"/>
        </w:rPr>
        <w:t xml:space="preserve">in addition </w:t>
      </w:r>
      <w:r w:rsidR="000B7BD6">
        <w:rPr>
          <w:rFonts w:cs="Calibri"/>
          <w:bCs/>
          <w:lang w:val="en-GB"/>
        </w:rPr>
        <w:t xml:space="preserve">is applicable for the regression with real earnings management as dependent variable; the model and the significant were not significant. </w:t>
      </w:r>
      <w:r w:rsidR="00BB6CBB">
        <w:rPr>
          <w:rFonts w:cs="Calibri"/>
          <w:bCs/>
          <w:lang w:val="en-GB"/>
        </w:rPr>
        <w:t xml:space="preserve">Based on these results </w:t>
      </w:r>
      <w:r w:rsidR="006C6497">
        <w:rPr>
          <w:rFonts w:cs="Calibri"/>
          <w:bCs/>
          <w:lang w:val="en-GB"/>
        </w:rPr>
        <w:t xml:space="preserve">hypothesis 2 </w:t>
      </w:r>
      <w:r w:rsidR="0021466D">
        <w:rPr>
          <w:rFonts w:cs="Calibri"/>
          <w:bCs/>
          <w:lang w:val="en-GB"/>
        </w:rPr>
        <w:t>is</w:t>
      </w:r>
      <w:r w:rsidR="006C6497">
        <w:rPr>
          <w:rFonts w:cs="Calibri"/>
          <w:bCs/>
          <w:lang w:val="en-GB"/>
        </w:rPr>
        <w:t xml:space="preserve"> rejected; </w:t>
      </w:r>
      <w:r>
        <w:rPr>
          <w:rFonts w:cs="Calibri"/>
          <w:bCs/>
          <w:lang w:val="en-GB"/>
        </w:rPr>
        <w:t>no significant substitution effect of accruals-based to real earnings management after the introduction of IFRS in 2005 in The Netherlands, Belgium and France</w:t>
      </w:r>
      <w:r w:rsidR="00BB6CBB">
        <w:rPr>
          <w:rFonts w:cs="Calibri"/>
          <w:bCs/>
          <w:lang w:val="en-GB"/>
        </w:rPr>
        <w:t xml:space="preserve"> has been detected</w:t>
      </w:r>
      <w:r>
        <w:rPr>
          <w:rFonts w:cs="Calibri"/>
          <w:bCs/>
          <w:lang w:val="en-GB"/>
        </w:rPr>
        <w:t xml:space="preserve">. </w:t>
      </w:r>
      <w:r w:rsidR="000B7BD6">
        <w:rPr>
          <w:rFonts w:cs="Calibri"/>
          <w:bCs/>
          <w:lang w:val="en-GB"/>
        </w:rPr>
        <w:t xml:space="preserve">When </w:t>
      </w:r>
      <w:r w:rsidR="00BB6CBB">
        <w:rPr>
          <w:rFonts w:cs="Calibri"/>
          <w:bCs/>
          <w:lang w:val="en-GB"/>
        </w:rPr>
        <w:t xml:space="preserve">investigating </w:t>
      </w:r>
      <w:r w:rsidR="00A831F5">
        <w:rPr>
          <w:rFonts w:cs="Calibri"/>
          <w:bCs/>
          <w:lang w:val="en-GB"/>
        </w:rPr>
        <w:t xml:space="preserve">the significance of the two other variables, country and size, only the significant tests of the variables separately are used. These two tests with CFO </w:t>
      </w:r>
      <w:r w:rsidR="003D2A5D">
        <w:rPr>
          <w:rFonts w:cs="Calibri"/>
          <w:bCs/>
          <w:lang w:val="en-GB"/>
        </w:rPr>
        <w:t>and ΔINV as dependent variables</w:t>
      </w:r>
      <w:r w:rsidR="00A831F5">
        <w:rPr>
          <w:rFonts w:cs="Calibri"/>
          <w:bCs/>
          <w:lang w:val="en-GB"/>
        </w:rPr>
        <w:t xml:space="preserve"> show a significant difference for the </w:t>
      </w:r>
      <w:r w:rsidR="002E083A">
        <w:rPr>
          <w:rFonts w:cs="Calibri"/>
          <w:bCs/>
          <w:lang w:val="en-GB"/>
        </w:rPr>
        <w:t xml:space="preserve">independent </w:t>
      </w:r>
      <w:r w:rsidR="00A831F5">
        <w:rPr>
          <w:rFonts w:cs="Calibri"/>
          <w:bCs/>
          <w:lang w:val="en-GB"/>
        </w:rPr>
        <w:t>variable size in both tests and a significant difference for</w:t>
      </w:r>
      <w:r w:rsidR="003D2A5D">
        <w:rPr>
          <w:rFonts w:cs="Calibri"/>
          <w:bCs/>
          <w:lang w:val="en-GB"/>
        </w:rPr>
        <w:t xml:space="preserve"> the</w:t>
      </w:r>
      <w:r w:rsidR="00A831F5">
        <w:rPr>
          <w:rFonts w:cs="Calibri"/>
          <w:bCs/>
          <w:lang w:val="en-GB"/>
        </w:rPr>
        <w:t xml:space="preserve"> </w:t>
      </w:r>
      <w:r w:rsidR="002E083A">
        <w:rPr>
          <w:rFonts w:cs="Calibri"/>
          <w:bCs/>
          <w:lang w:val="en-GB"/>
        </w:rPr>
        <w:t xml:space="preserve">independent variable </w:t>
      </w:r>
      <w:r w:rsidR="00A831F5">
        <w:rPr>
          <w:rFonts w:cs="Calibri"/>
          <w:bCs/>
          <w:lang w:val="en-GB"/>
        </w:rPr>
        <w:t xml:space="preserve">country in the test with ΔINV as dependent variable. </w:t>
      </w:r>
    </w:p>
    <w:p w:rsidR="000B7BD6" w:rsidRPr="000B7BD6" w:rsidRDefault="00EB2AA3" w:rsidP="00EB2AA3">
      <w:pPr>
        <w:spacing w:line="360" w:lineRule="auto"/>
        <w:rPr>
          <w:rFonts w:cs="Calibri"/>
          <w:b/>
          <w:bCs/>
          <w:lang w:val="en-GB"/>
        </w:rPr>
      </w:pPr>
      <w:r>
        <w:rPr>
          <w:rFonts w:cs="Calibri"/>
          <w:bCs/>
          <w:lang w:val="en-GB"/>
        </w:rPr>
        <w:lastRenderedPageBreak/>
        <w:t xml:space="preserve">With the use of the outcome of the hypotheses, the main question about the relation between the introduction of IFRS and choice of method for executing earnings management is answered. </w:t>
      </w:r>
      <w:r w:rsidR="003D2A5D">
        <w:rPr>
          <w:rFonts w:cs="Calibri"/>
          <w:b/>
          <w:bCs/>
          <w:lang w:val="en-GB"/>
        </w:rPr>
        <w:t>No</w:t>
      </w:r>
      <w:r w:rsidR="000B7BD6">
        <w:rPr>
          <w:rFonts w:cs="Calibri"/>
          <w:b/>
          <w:bCs/>
          <w:lang w:val="en-GB"/>
        </w:rPr>
        <w:t xml:space="preserve"> significant relation </w:t>
      </w:r>
      <w:r w:rsidR="003D2A5D">
        <w:rPr>
          <w:rFonts w:cs="Calibri"/>
          <w:b/>
          <w:bCs/>
          <w:lang w:val="en-GB"/>
        </w:rPr>
        <w:t xml:space="preserve">exists </w:t>
      </w:r>
      <w:r w:rsidR="000B7BD6">
        <w:rPr>
          <w:rFonts w:cs="Calibri"/>
          <w:b/>
          <w:bCs/>
          <w:lang w:val="en-GB"/>
        </w:rPr>
        <w:t>between the introduction of IFRS in 2005 and the choice of method of the use of earnings management, accruals-based or real activites manipulation, in the French Civil law countries The Netherlands, Belgium and France.</w:t>
      </w:r>
    </w:p>
    <w:p w:rsidR="00FC7425" w:rsidRPr="002E083A" w:rsidRDefault="003F1B64" w:rsidP="002E083A">
      <w:pPr>
        <w:spacing w:after="0" w:line="360" w:lineRule="auto"/>
        <w:rPr>
          <w:rFonts w:cs="Calibri"/>
          <w:b/>
          <w:bCs/>
          <w:lang w:val="en-GB"/>
        </w:rPr>
      </w:pPr>
      <w:r>
        <w:rPr>
          <w:rFonts w:cs="Calibri"/>
          <w:b/>
          <w:bCs/>
          <w:lang w:val="en-GB"/>
        </w:rPr>
        <w:t>8.3 Limitations</w:t>
      </w:r>
      <w:r w:rsidR="00FC7425">
        <w:rPr>
          <w:rFonts w:cs="Calibri"/>
          <w:b/>
          <w:bCs/>
          <w:lang w:val="en-GB"/>
        </w:rPr>
        <w:br/>
      </w:r>
      <w:r w:rsidR="00FC7425">
        <w:rPr>
          <w:rFonts w:cs="Calibri"/>
          <w:bCs/>
          <w:lang w:val="en-GB"/>
        </w:rPr>
        <w:t xml:space="preserve">The research that has been performed </w:t>
      </w:r>
      <w:r w:rsidR="007D75C3">
        <w:rPr>
          <w:rFonts w:cs="Calibri"/>
          <w:bCs/>
          <w:lang w:val="en-GB"/>
        </w:rPr>
        <w:t xml:space="preserve">has its limitations which can have </w:t>
      </w:r>
      <w:r w:rsidR="0063587E">
        <w:rPr>
          <w:rFonts w:cs="Calibri"/>
          <w:bCs/>
          <w:lang w:val="en-GB"/>
        </w:rPr>
        <w:t>its</w:t>
      </w:r>
      <w:r w:rsidR="007D75C3">
        <w:rPr>
          <w:rFonts w:cs="Calibri"/>
          <w:bCs/>
          <w:lang w:val="en-GB"/>
        </w:rPr>
        <w:t xml:space="preserve"> influence on the outcome of the research. The</w:t>
      </w:r>
      <w:r w:rsidR="003D2A5D">
        <w:rPr>
          <w:rFonts w:cs="Calibri"/>
          <w:bCs/>
          <w:lang w:val="en-GB"/>
        </w:rPr>
        <w:t>se</w:t>
      </w:r>
      <w:r w:rsidR="007D75C3">
        <w:rPr>
          <w:rFonts w:cs="Calibri"/>
          <w:bCs/>
          <w:lang w:val="en-GB"/>
        </w:rPr>
        <w:t xml:space="preserve"> </w:t>
      </w:r>
      <w:r w:rsidR="003D2A5D">
        <w:rPr>
          <w:rFonts w:cs="Calibri"/>
          <w:bCs/>
          <w:lang w:val="en-GB"/>
        </w:rPr>
        <w:t>factors will be signalled in this section.</w:t>
      </w:r>
    </w:p>
    <w:p w:rsidR="00557FF7" w:rsidRDefault="007D75C3" w:rsidP="002E083A">
      <w:pPr>
        <w:spacing w:line="360" w:lineRule="auto"/>
        <w:rPr>
          <w:rFonts w:cs="Calibri"/>
          <w:bCs/>
          <w:lang w:val="en-GB"/>
        </w:rPr>
      </w:pPr>
      <w:r>
        <w:rPr>
          <w:rFonts w:cs="Calibri"/>
          <w:bCs/>
          <w:lang w:val="en-GB"/>
        </w:rPr>
        <w:t xml:space="preserve">The first limitation is about the companies that have been used to create a research sample. </w:t>
      </w:r>
      <w:r w:rsidR="00AA1F1E">
        <w:rPr>
          <w:rFonts w:cs="Calibri"/>
          <w:bCs/>
          <w:lang w:val="en-GB"/>
        </w:rPr>
        <w:t xml:space="preserve">All the companies from the sample are listed and established in The Netherlands, Belgium or France. Because 3 French Civil law countries </w:t>
      </w:r>
      <w:r w:rsidR="003D2A5D">
        <w:rPr>
          <w:rFonts w:cs="Calibri"/>
          <w:bCs/>
          <w:lang w:val="en-GB"/>
        </w:rPr>
        <w:t>in</w:t>
      </w:r>
      <w:r w:rsidR="00AA1F1E">
        <w:rPr>
          <w:rFonts w:cs="Calibri"/>
          <w:bCs/>
          <w:lang w:val="en-GB"/>
        </w:rPr>
        <w:t xml:space="preserve"> the sample</w:t>
      </w:r>
      <w:r w:rsidR="003D2A5D">
        <w:rPr>
          <w:rFonts w:cs="Calibri"/>
          <w:bCs/>
          <w:lang w:val="en-GB"/>
        </w:rPr>
        <w:t xml:space="preserve"> are used</w:t>
      </w:r>
      <w:r w:rsidR="00AA1F1E">
        <w:rPr>
          <w:rFonts w:cs="Calibri"/>
          <w:bCs/>
          <w:lang w:val="en-GB"/>
        </w:rPr>
        <w:t xml:space="preserve">, will the </w:t>
      </w:r>
      <w:r w:rsidR="003D2A5D">
        <w:rPr>
          <w:rFonts w:cs="Calibri"/>
          <w:bCs/>
          <w:lang w:val="en-GB"/>
        </w:rPr>
        <w:t>result</w:t>
      </w:r>
      <w:r w:rsidR="00AA1F1E">
        <w:rPr>
          <w:rFonts w:cs="Calibri"/>
          <w:bCs/>
          <w:lang w:val="en-GB"/>
        </w:rPr>
        <w:t xml:space="preserve"> of the research not be generalizable for other countries</w:t>
      </w:r>
      <w:r w:rsidR="00051391">
        <w:rPr>
          <w:rFonts w:cs="Calibri"/>
          <w:bCs/>
          <w:lang w:val="en-GB"/>
        </w:rPr>
        <w:t>, especially when the countries are not French Civil law</w:t>
      </w:r>
      <w:r w:rsidR="00AA1F1E">
        <w:rPr>
          <w:rFonts w:cs="Calibri"/>
          <w:bCs/>
          <w:lang w:val="en-GB"/>
        </w:rPr>
        <w:t>. French Civil law countries have specific characteristics, like</w:t>
      </w:r>
      <w:r w:rsidR="00557FF7">
        <w:rPr>
          <w:rFonts w:cs="Calibri"/>
          <w:bCs/>
          <w:lang w:val="en-GB"/>
        </w:rPr>
        <w:t xml:space="preserve"> the</w:t>
      </w:r>
      <w:r w:rsidR="00AA1F1E">
        <w:rPr>
          <w:rFonts w:cs="Calibri"/>
          <w:bCs/>
          <w:lang w:val="en-GB"/>
        </w:rPr>
        <w:t xml:space="preserve"> low</w:t>
      </w:r>
      <w:r w:rsidR="00557FF7">
        <w:rPr>
          <w:rFonts w:cs="Calibri"/>
          <w:bCs/>
          <w:lang w:val="en-GB"/>
        </w:rPr>
        <w:t>est</w:t>
      </w:r>
      <w:r w:rsidR="00983F19">
        <w:rPr>
          <w:rFonts w:cs="Calibri"/>
          <w:bCs/>
          <w:lang w:val="en-GB"/>
        </w:rPr>
        <w:t xml:space="preserve"> level of</w:t>
      </w:r>
      <w:r w:rsidR="00AA1F1E">
        <w:rPr>
          <w:rFonts w:cs="Calibri"/>
          <w:bCs/>
          <w:lang w:val="en-GB"/>
        </w:rPr>
        <w:t xml:space="preserve"> investor protection</w:t>
      </w:r>
      <w:r w:rsidR="00557FF7">
        <w:rPr>
          <w:rFonts w:cs="Calibri"/>
          <w:bCs/>
          <w:lang w:val="en-GB"/>
        </w:rPr>
        <w:t xml:space="preserve"> (La Porta et al. 2000, p</w:t>
      </w:r>
      <w:r w:rsidR="0063587E">
        <w:rPr>
          <w:rFonts w:cs="Calibri"/>
          <w:bCs/>
          <w:lang w:val="en-GB"/>
        </w:rPr>
        <w:t xml:space="preserve"> </w:t>
      </w:r>
      <w:r w:rsidR="00557FF7">
        <w:rPr>
          <w:rFonts w:cs="Calibri"/>
          <w:bCs/>
          <w:lang w:val="en-GB"/>
        </w:rPr>
        <w:t xml:space="preserve">8). </w:t>
      </w:r>
    </w:p>
    <w:p w:rsidR="00D50AF0" w:rsidRDefault="00557FF7" w:rsidP="002E083A">
      <w:pPr>
        <w:spacing w:line="360" w:lineRule="auto"/>
        <w:rPr>
          <w:rFonts w:cs="Calibri"/>
          <w:bCs/>
          <w:lang w:val="en-GB"/>
        </w:rPr>
      </w:pPr>
      <w:r>
        <w:rPr>
          <w:rFonts w:cs="Calibri"/>
          <w:bCs/>
          <w:lang w:val="en-GB"/>
        </w:rPr>
        <w:t>The second limitation is about the data of the companies that ha</w:t>
      </w:r>
      <w:r w:rsidR="00D50AF0">
        <w:rPr>
          <w:rFonts w:cs="Calibri"/>
          <w:bCs/>
          <w:lang w:val="en-GB"/>
        </w:rPr>
        <w:t>ve</w:t>
      </w:r>
      <w:r w:rsidR="003D2A5D">
        <w:rPr>
          <w:rFonts w:cs="Calibri"/>
          <w:bCs/>
          <w:lang w:val="en-GB"/>
        </w:rPr>
        <w:t xml:space="preserve"> been used. </w:t>
      </w:r>
      <w:r w:rsidR="00620AEC">
        <w:rPr>
          <w:rFonts w:cs="Calibri"/>
          <w:bCs/>
          <w:lang w:val="en-GB"/>
        </w:rPr>
        <w:t>The dat</w:t>
      </w:r>
      <w:r w:rsidR="00983F19">
        <w:rPr>
          <w:rFonts w:cs="Calibri"/>
          <w:bCs/>
          <w:lang w:val="en-GB"/>
        </w:rPr>
        <w:t xml:space="preserve">a is from the period 1997-2007; </w:t>
      </w:r>
      <w:r w:rsidR="00620AEC">
        <w:rPr>
          <w:rFonts w:cs="Calibri"/>
          <w:bCs/>
          <w:lang w:val="en-GB"/>
        </w:rPr>
        <w:t xml:space="preserve">the data of 1997-2001 to determine the regression coefficients and 2002-2007 as the research period. </w:t>
      </w:r>
      <w:r w:rsidR="007767C5">
        <w:rPr>
          <w:rFonts w:cs="Calibri"/>
          <w:bCs/>
          <w:lang w:val="en-GB"/>
        </w:rPr>
        <w:t>The most recent</w:t>
      </w:r>
      <w:r w:rsidR="003D2A5D">
        <w:rPr>
          <w:rFonts w:cs="Calibri"/>
          <w:bCs/>
          <w:lang w:val="en-GB"/>
        </w:rPr>
        <w:t xml:space="preserve"> year is 2007, which is not</w:t>
      </w:r>
      <w:r w:rsidR="007767C5">
        <w:rPr>
          <w:rFonts w:cs="Calibri"/>
          <w:bCs/>
          <w:lang w:val="en-GB"/>
        </w:rPr>
        <w:t xml:space="preserve"> recent. There could have been already a different situation in the use of earnings management by companies. The crisis of the recent years could have its influence on the results. This is </w:t>
      </w:r>
      <w:r w:rsidR="0063587E">
        <w:rPr>
          <w:rFonts w:cs="Calibri"/>
          <w:bCs/>
          <w:lang w:val="en-GB"/>
        </w:rPr>
        <w:t xml:space="preserve">the </w:t>
      </w:r>
      <w:r w:rsidR="007767C5">
        <w:rPr>
          <w:rFonts w:cs="Calibri"/>
          <w:bCs/>
          <w:lang w:val="en-GB"/>
        </w:rPr>
        <w:t xml:space="preserve">reason for not implementing years after 2007 but it </w:t>
      </w:r>
      <w:r w:rsidR="00F848DC">
        <w:rPr>
          <w:rFonts w:cs="Calibri"/>
          <w:bCs/>
          <w:lang w:val="en-GB"/>
        </w:rPr>
        <w:t>in addition</w:t>
      </w:r>
      <w:r w:rsidR="007767C5">
        <w:rPr>
          <w:rFonts w:cs="Calibri"/>
          <w:bCs/>
          <w:lang w:val="en-GB"/>
        </w:rPr>
        <w:t xml:space="preserve"> </w:t>
      </w:r>
      <w:r w:rsidR="003D2A5D">
        <w:rPr>
          <w:rFonts w:cs="Calibri"/>
          <w:bCs/>
          <w:lang w:val="en-GB"/>
        </w:rPr>
        <w:t>creates that</w:t>
      </w:r>
      <w:r w:rsidR="007767C5">
        <w:rPr>
          <w:rFonts w:cs="Calibri"/>
          <w:bCs/>
          <w:lang w:val="en-GB"/>
        </w:rPr>
        <w:t xml:space="preserve"> the results </w:t>
      </w:r>
      <w:r w:rsidR="003D2A5D">
        <w:rPr>
          <w:rFonts w:cs="Calibri"/>
          <w:bCs/>
          <w:lang w:val="en-GB"/>
        </w:rPr>
        <w:t xml:space="preserve">are </w:t>
      </w:r>
      <w:r w:rsidR="007767C5">
        <w:rPr>
          <w:rFonts w:cs="Calibri"/>
          <w:bCs/>
          <w:lang w:val="en-GB"/>
        </w:rPr>
        <w:t>less useful because of the different circumstances of the research period and the current period.</w:t>
      </w:r>
    </w:p>
    <w:p w:rsidR="00983F19" w:rsidRDefault="00983F19" w:rsidP="003F1B64">
      <w:pPr>
        <w:spacing w:line="360" w:lineRule="auto"/>
        <w:rPr>
          <w:rFonts w:cs="Calibri"/>
          <w:bCs/>
          <w:lang w:val="en-GB"/>
        </w:rPr>
      </w:pPr>
      <w:r>
        <w:rPr>
          <w:rFonts w:cs="Calibri"/>
          <w:bCs/>
          <w:lang w:val="en-GB"/>
        </w:rPr>
        <w:t xml:space="preserve">Another limitation </w:t>
      </w:r>
      <w:r w:rsidR="0063587E">
        <w:rPr>
          <w:rFonts w:cs="Calibri"/>
          <w:bCs/>
          <w:lang w:val="en-GB"/>
        </w:rPr>
        <w:t xml:space="preserve">of the </w:t>
      </w:r>
      <w:r w:rsidR="007767C5">
        <w:rPr>
          <w:rFonts w:cs="Calibri"/>
          <w:bCs/>
          <w:lang w:val="en-GB"/>
        </w:rPr>
        <w:t xml:space="preserve">data is the limitation of the use of </w:t>
      </w:r>
      <w:r w:rsidR="0063587E">
        <w:rPr>
          <w:rFonts w:cs="Calibri"/>
          <w:bCs/>
          <w:lang w:val="en-GB"/>
        </w:rPr>
        <w:t xml:space="preserve">the </w:t>
      </w:r>
      <w:r w:rsidR="007767C5">
        <w:rPr>
          <w:rFonts w:cs="Calibri"/>
          <w:bCs/>
          <w:lang w:val="en-GB"/>
        </w:rPr>
        <w:t xml:space="preserve">year 2004 for the determination of </w:t>
      </w:r>
      <w:r w:rsidR="003D2A5D">
        <w:rPr>
          <w:rFonts w:cs="Calibri"/>
          <w:bCs/>
          <w:lang w:val="en-GB"/>
        </w:rPr>
        <w:t xml:space="preserve">the </w:t>
      </w:r>
      <w:r w:rsidR="007767C5">
        <w:rPr>
          <w:rFonts w:cs="Calibri"/>
          <w:bCs/>
          <w:lang w:val="en-GB"/>
        </w:rPr>
        <w:t xml:space="preserve">values of 2005. </w:t>
      </w:r>
      <w:r w:rsidR="006B04EF">
        <w:rPr>
          <w:rFonts w:cs="Calibri"/>
          <w:bCs/>
          <w:lang w:val="en-GB"/>
        </w:rPr>
        <w:t>Certain</w:t>
      </w:r>
      <w:r w:rsidR="007767C5">
        <w:rPr>
          <w:rFonts w:cs="Calibri"/>
          <w:bCs/>
          <w:lang w:val="en-GB"/>
        </w:rPr>
        <w:t xml:space="preserve"> variables</w:t>
      </w:r>
      <w:r>
        <w:rPr>
          <w:rFonts w:cs="Calibri"/>
          <w:bCs/>
          <w:lang w:val="en-GB"/>
        </w:rPr>
        <w:t xml:space="preserve"> for determining the value</w:t>
      </w:r>
      <w:r w:rsidR="006B04EF">
        <w:rPr>
          <w:rFonts w:cs="Calibri"/>
          <w:bCs/>
          <w:lang w:val="en-GB"/>
        </w:rPr>
        <w:t>s</w:t>
      </w:r>
      <w:r w:rsidR="0063587E">
        <w:rPr>
          <w:rFonts w:cs="Calibri"/>
          <w:bCs/>
          <w:lang w:val="en-GB"/>
        </w:rPr>
        <w:t xml:space="preserve"> for year 2005</w:t>
      </w:r>
      <w:r>
        <w:rPr>
          <w:rFonts w:cs="Calibri"/>
          <w:bCs/>
          <w:lang w:val="en-GB"/>
        </w:rPr>
        <w:t xml:space="preserve"> had to </w:t>
      </w:r>
      <w:r w:rsidR="007767C5">
        <w:rPr>
          <w:rFonts w:cs="Calibri"/>
          <w:bCs/>
          <w:lang w:val="en-GB"/>
        </w:rPr>
        <w:t>use</w:t>
      </w:r>
      <w:r>
        <w:rPr>
          <w:rFonts w:cs="Calibri"/>
          <w:bCs/>
          <w:lang w:val="en-GB"/>
        </w:rPr>
        <w:t xml:space="preserve"> </w:t>
      </w:r>
      <w:r w:rsidR="007767C5">
        <w:rPr>
          <w:rFonts w:cs="Calibri"/>
          <w:bCs/>
          <w:lang w:val="en-GB"/>
        </w:rPr>
        <w:t xml:space="preserve">data from </w:t>
      </w:r>
      <w:r>
        <w:rPr>
          <w:rFonts w:cs="Calibri"/>
          <w:bCs/>
          <w:lang w:val="en-GB"/>
        </w:rPr>
        <w:t xml:space="preserve">2004. </w:t>
      </w:r>
      <w:r w:rsidR="0063587E">
        <w:rPr>
          <w:rFonts w:cs="Calibri"/>
          <w:bCs/>
          <w:lang w:val="en-GB"/>
        </w:rPr>
        <w:t xml:space="preserve">The use of </w:t>
      </w:r>
      <w:r>
        <w:rPr>
          <w:rFonts w:cs="Calibri"/>
          <w:bCs/>
          <w:lang w:val="en-GB"/>
        </w:rPr>
        <w:t xml:space="preserve">different </w:t>
      </w:r>
      <w:r w:rsidR="0063587E">
        <w:rPr>
          <w:rFonts w:cs="Calibri"/>
          <w:bCs/>
          <w:lang w:val="en-GB"/>
        </w:rPr>
        <w:t xml:space="preserve">accounting </w:t>
      </w:r>
      <w:r>
        <w:rPr>
          <w:rFonts w:cs="Calibri"/>
          <w:bCs/>
          <w:lang w:val="en-GB"/>
        </w:rPr>
        <w:t xml:space="preserve">standards in these years, local GAAP in 2004 and IFRS in 2005, could have influence on the determination of the values of 2005 and </w:t>
      </w:r>
      <w:r w:rsidR="00F848DC">
        <w:rPr>
          <w:rFonts w:cs="Calibri"/>
          <w:bCs/>
          <w:lang w:val="en-GB"/>
        </w:rPr>
        <w:t>in addition</w:t>
      </w:r>
      <w:r>
        <w:rPr>
          <w:rFonts w:cs="Calibri"/>
          <w:bCs/>
          <w:lang w:val="en-GB"/>
        </w:rPr>
        <w:t xml:space="preserve"> on the result</w:t>
      </w:r>
      <w:r w:rsidR="008C358C">
        <w:rPr>
          <w:rFonts w:cs="Calibri"/>
          <w:bCs/>
          <w:lang w:val="en-GB"/>
        </w:rPr>
        <w:t>s</w:t>
      </w:r>
      <w:r>
        <w:rPr>
          <w:rFonts w:cs="Calibri"/>
          <w:bCs/>
          <w:lang w:val="en-GB"/>
        </w:rPr>
        <w:t xml:space="preserve"> of the research.</w:t>
      </w:r>
    </w:p>
    <w:p w:rsidR="00D65FE7" w:rsidRDefault="00D65FE7" w:rsidP="003F1B64">
      <w:pPr>
        <w:spacing w:line="360" w:lineRule="auto"/>
        <w:rPr>
          <w:rFonts w:cs="Calibri"/>
          <w:bCs/>
          <w:lang w:val="en-GB"/>
        </w:rPr>
      </w:pPr>
      <w:r>
        <w:rPr>
          <w:rFonts w:cs="Calibri"/>
          <w:bCs/>
          <w:lang w:val="en-GB"/>
        </w:rPr>
        <w:t>A</w:t>
      </w:r>
      <w:r w:rsidR="00F848DC">
        <w:rPr>
          <w:rFonts w:cs="Calibri"/>
          <w:bCs/>
          <w:lang w:val="en-GB"/>
        </w:rPr>
        <w:t>nother</w:t>
      </w:r>
      <w:r>
        <w:rPr>
          <w:rFonts w:cs="Calibri"/>
          <w:bCs/>
          <w:lang w:val="en-GB"/>
        </w:rPr>
        <w:t xml:space="preserve"> limitation that is related to the data is about the distribution of the dataset that is used for the executing of the multiple regressions. Results from SPSS show that all the dataset</w:t>
      </w:r>
      <w:r w:rsidR="0063587E">
        <w:rPr>
          <w:rFonts w:cs="Calibri"/>
          <w:bCs/>
          <w:lang w:val="en-GB"/>
        </w:rPr>
        <w:t>s</w:t>
      </w:r>
      <w:r>
        <w:rPr>
          <w:rFonts w:cs="Calibri"/>
          <w:bCs/>
          <w:lang w:val="en-GB"/>
        </w:rPr>
        <w:t xml:space="preserve"> are not entirely normal distributed but a bit skewed. This skewness of the dataset could influence the outcome of the multiple regressions.</w:t>
      </w:r>
    </w:p>
    <w:p w:rsidR="009C0CA1" w:rsidRDefault="0063587E" w:rsidP="003F1B64">
      <w:pPr>
        <w:spacing w:line="360" w:lineRule="auto"/>
        <w:rPr>
          <w:rFonts w:cs="Calibri"/>
          <w:bCs/>
          <w:lang w:val="en-GB"/>
        </w:rPr>
      </w:pPr>
      <w:r>
        <w:rPr>
          <w:rFonts w:cs="Calibri"/>
          <w:bCs/>
          <w:lang w:val="en-GB"/>
        </w:rPr>
        <w:lastRenderedPageBreak/>
        <w:t xml:space="preserve">The significance of certain variables and low explanatory power of some tests are limitations of this research. </w:t>
      </w:r>
      <w:r w:rsidR="009C0CA1">
        <w:rPr>
          <w:rFonts w:cs="Calibri"/>
          <w:bCs/>
          <w:lang w:val="en-GB"/>
        </w:rPr>
        <w:t>All variables in determining the amount of accruals-based earnings management were significant, but this was not the case for real earnings management. For all indicative variables, CFO, COGS, INV and PROD, was the variable 1 / A (t-1) not signif</w:t>
      </w:r>
      <w:r w:rsidR="006B04EF">
        <w:rPr>
          <w:rFonts w:cs="Calibri"/>
          <w:bCs/>
          <w:lang w:val="en-GB"/>
        </w:rPr>
        <w:t>icant. Next to this variable were</w:t>
      </w:r>
      <w:r w:rsidR="009C0CA1">
        <w:rPr>
          <w:rFonts w:cs="Calibri"/>
          <w:bCs/>
          <w:lang w:val="en-GB"/>
        </w:rPr>
        <w:t xml:space="preserve"> the variable S / A (t-1) in the model of CFO and ΔS (t-1) / A (t-1) in the model of INV not significant. These variables make the models less useful for determining t</w:t>
      </w:r>
      <w:r w:rsidR="008C358C">
        <w:rPr>
          <w:rFonts w:cs="Calibri"/>
          <w:bCs/>
          <w:lang w:val="en-GB"/>
        </w:rPr>
        <w:t xml:space="preserve">he use of earnings management. </w:t>
      </w:r>
    </w:p>
    <w:p w:rsidR="003260C9" w:rsidRDefault="003260C9" w:rsidP="003F1B64">
      <w:pPr>
        <w:spacing w:line="360" w:lineRule="auto"/>
        <w:rPr>
          <w:rFonts w:cs="Calibri"/>
          <w:bCs/>
          <w:lang w:val="en-GB"/>
        </w:rPr>
      </w:pPr>
      <w:r>
        <w:rPr>
          <w:rFonts w:cs="Calibri"/>
          <w:bCs/>
          <w:lang w:val="en-GB"/>
        </w:rPr>
        <w:t xml:space="preserve">When </w:t>
      </w:r>
      <w:r w:rsidR="003D2A5D">
        <w:rPr>
          <w:rFonts w:cs="Calibri"/>
          <w:bCs/>
          <w:lang w:val="en-GB"/>
        </w:rPr>
        <w:t>investigating</w:t>
      </w:r>
      <w:r>
        <w:rPr>
          <w:rFonts w:cs="Calibri"/>
          <w:bCs/>
          <w:lang w:val="en-GB"/>
        </w:rPr>
        <w:t xml:space="preserve"> the tests that have been performed, some of them have very low explaining power. A low R Square percentage </w:t>
      </w:r>
      <w:r w:rsidR="003D2A5D">
        <w:rPr>
          <w:rFonts w:cs="Calibri"/>
          <w:bCs/>
          <w:lang w:val="en-GB"/>
        </w:rPr>
        <w:t>implies</w:t>
      </w:r>
      <w:r>
        <w:rPr>
          <w:rFonts w:cs="Calibri"/>
          <w:bCs/>
          <w:lang w:val="en-GB"/>
        </w:rPr>
        <w:t xml:space="preserve"> that a small part of the dependent variable is explained by the independent variables that are used. For better results in explaining the dependent variable, other independent variables have to be used. This is an aspect for further research that is described in the next section.</w:t>
      </w:r>
    </w:p>
    <w:p w:rsidR="003F1B64" w:rsidRDefault="00E864C0" w:rsidP="003F1B64">
      <w:pPr>
        <w:spacing w:line="360" w:lineRule="auto"/>
        <w:rPr>
          <w:rFonts w:cs="Calibri"/>
          <w:bCs/>
          <w:lang w:val="en-GB"/>
        </w:rPr>
      </w:pPr>
      <w:r>
        <w:rPr>
          <w:rFonts w:cs="Calibri"/>
          <w:b/>
          <w:bCs/>
          <w:lang w:val="en-GB"/>
        </w:rPr>
        <w:t>8.4 Further research</w:t>
      </w:r>
      <w:r w:rsidR="006B04EF">
        <w:rPr>
          <w:rFonts w:cs="Calibri"/>
          <w:b/>
          <w:bCs/>
          <w:lang w:val="en-GB"/>
        </w:rPr>
        <w:br/>
      </w:r>
      <w:r>
        <w:rPr>
          <w:rFonts w:cs="Calibri"/>
          <w:bCs/>
          <w:lang w:val="en-GB"/>
        </w:rPr>
        <w:t xml:space="preserve">In order to </w:t>
      </w:r>
      <w:r w:rsidR="003D2A5D">
        <w:rPr>
          <w:rFonts w:cs="Calibri"/>
          <w:bCs/>
          <w:lang w:val="en-GB"/>
        </w:rPr>
        <w:t>realise</w:t>
      </w:r>
      <w:r>
        <w:rPr>
          <w:rFonts w:cs="Calibri"/>
          <w:bCs/>
          <w:lang w:val="en-GB"/>
        </w:rPr>
        <w:t xml:space="preserve"> a better </w:t>
      </w:r>
      <w:r w:rsidR="0063587E">
        <w:rPr>
          <w:rFonts w:cs="Calibri"/>
          <w:bCs/>
          <w:lang w:val="en-GB"/>
        </w:rPr>
        <w:t>understanding on</w:t>
      </w:r>
      <w:r>
        <w:rPr>
          <w:rFonts w:cs="Calibri"/>
          <w:bCs/>
          <w:lang w:val="en-GB"/>
        </w:rPr>
        <w:t xml:space="preserve"> the influence of the introduction of IFRS on the use of earnings management, more research needs to be </w:t>
      </w:r>
      <w:r w:rsidR="003D2A5D">
        <w:rPr>
          <w:rFonts w:cs="Calibri"/>
          <w:bCs/>
          <w:lang w:val="en-GB"/>
        </w:rPr>
        <w:t>performed</w:t>
      </w:r>
      <w:r>
        <w:rPr>
          <w:rFonts w:cs="Calibri"/>
          <w:bCs/>
          <w:lang w:val="en-GB"/>
        </w:rPr>
        <w:t xml:space="preserve">. </w:t>
      </w:r>
      <w:r w:rsidR="004318BB">
        <w:rPr>
          <w:rFonts w:cs="Calibri"/>
          <w:bCs/>
          <w:lang w:val="en-GB"/>
        </w:rPr>
        <w:t xml:space="preserve">With the use of the limitations of this research, some aspects that need to be investigated </w:t>
      </w:r>
      <w:r w:rsidR="0063587E">
        <w:rPr>
          <w:rFonts w:cs="Calibri"/>
          <w:bCs/>
          <w:lang w:val="en-GB"/>
        </w:rPr>
        <w:t>are commented</w:t>
      </w:r>
      <w:r w:rsidR="004318BB">
        <w:rPr>
          <w:rFonts w:cs="Calibri"/>
          <w:bCs/>
          <w:lang w:val="en-GB"/>
        </w:rPr>
        <w:t xml:space="preserve">. </w:t>
      </w:r>
    </w:p>
    <w:p w:rsidR="004318BB" w:rsidRDefault="004318BB" w:rsidP="003F1B64">
      <w:pPr>
        <w:spacing w:line="360" w:lineRule="auto"/>
        <w:rPr>
          <w:rFonts w:cs="Calibri"/>
          <w:bCs/>
          <w:lang w:val="en-GB"/>
        </w:rPr>
      </w:pPr>
      <w:r>
        <w:rPr>
          <w:rFonts w:cs="Calibri"/>
          <w:bCs/>
          <w:lang w:val="en-GB"/>
        </w:rPr>
        <w:t xml:space="preserve">The use of a bigger amount and more current data should improve the understanding of the influence of IFRS on the use of earnings management. Past years, the situation of the macro economy </w:t>
      </w:r>
      <w:r w:rsidR="00CC48A8">
        <w:rPr>
          <w:rFonts w:cs="Calibri"/>
          <w:bCs/>
          <w:lang w:val="en-GB"/>
        </w:rPr>
        <w:t>has changed by a finan</w:t>
      </w:r>
      <w:r w:rsidR="0063587E">
        <w:rPr>
          <w:rFonts w:cs="Calibri"/>
          <w:bCs/>
          <w:lang w:val="en-GB"/>
        </w:rPr>
        <w:t xml:space="preserve">cial crisis which </w:t>
      </w:r>
      <w:r w:rsidR="00CC48A8">
        <w:rPr>
          <w:rFonts w:cs="Calibri"/>
          <w:bCs/>
          <w:lang w:val="en-GB"/>
        </w:rPr>
        <w:t xml:space="preserve">could have its influence on the use of earnings management. Earnings might have been increased to </w:t>
      </w:r>
      <w:r w:rsidR="003D2A5D">
        <w:rPr>
          <w:rFonts w:cs="Calibri"/>
          <w:bCs/>
          <w:lang w:val="en-GB"/>
        </w:rPr>
        <w:t>publish</w:t>
      </w:r>
      <w:r w:rsidR="00CC48A8">
        <w:rPr>
          <w:rFonts w:cs="Calibri"/>
          <w:bCs/>
          <w:lang w:val="en-GB"/>
        </w:rPr>
        <w:t xml:space="preserve"> a positive representation of a company during a financial difficult period or companies might have taking a bath to start fresh in a financial better period.  </w:t>
      </w:r>
    </w:p>
    <w:p w:rsidR="00CC48A8" w:rsidRDefault="00CC48A8" w:rsidP="003F1B64">
      <w:pPr>
        <w:spacing w:line="360" w:lineRule="auto"/>
        <w:rPr>
          <w:rFonts w:cs="Calibri"/>
          <w:bCs/>
          <w:lang w:val="en-GB"/>
        </w:rPr>
      </w:pPr>
      <w:r>
        <w:rPr>
          <w:rFonts w:cs="Calibri"/>
          <w:bCs/>
          <w:lang w:val="en-GB"/>
        </w:rPr>
        <w:t>Another aspect for further research is the study of more countries. IFRS is obliged for all listed companies in</w:t>
      </w:r>
      <w:r w:rsidR="003D2A5D">
        <w:rPr>
          <w:rFonts w:cs="Calibri"/>
          <w:bCs/>
          <w:lang w:val="en-GB"/>
        </w:rPr>
        <w:t xml:space="preserve"> the </w:t>
      </w:r>
      <w:r>
        <w:rPr>
          <w:rFonts w:cs="Calibri"/>
          <w:bCs/>
          <w:lang w:val="en-GB"/>
        </w:rPr>
        <w:t>Europe</w:t>
      </w:r>
      <w:r w:rsidR="003D2A5D">
        <w:rPr>
          <w:rFonts w:cs="Calibri"/>
          <w:bCs/>
          <w:lang w:val="en-GB"/>
        </w:rPr>
        <w:t>an Union</w:t>
      </w:r>
      <w:r>
        <w:rPr>
          <w:rFonts w:cs="Calibri"/>
          <w:bCs/>
          <w:lang w:val="en-GB"/>
        </w:rPr>
        <w:t xml:space="preserve">, which </w:t>
      </w:r>
      <w:r w:rsidR="003D2A5D">
        <w:rPr>
          <w:rFonts w:cs="Calibri"/>
          <w:bCs/>
          <w:lang w:val="en-GB"/>
        </w:rPr>
        <w:t>implies</w:t>
      </w:r>
      <w:r>
        <w:rPr>
          <w:rFonts w:cs="Calibri"/>
          <w:bCs/>
          <w:lang w:val="en-GB"/>
        </w:rPr>
        <w:t xml:space="preserve"> </w:t>
      </w:r>
      <w:r w:rsidR="003D2A5D">
        <w:rPr>
          <w:rFonts w:cs="Calibri"/>
          <w:bCs/>
          <w:lang w:val="en-GB"/>
        </w:rPr>
        <w:t xml:space="preserve">that </w:t>
      </w:r>
      <w:r>
        <w:rPr>
          <w:rFonts w:cs="Calibri"/>
          <w:bCs/>
          <w:lang w:val="en-GB"/>
        </w:rPr>
        <w:t xml:space="preserve">some countries that have implemented IFRS are not investigated. Possibly will the introduction of IFRS in these countries </w:t>
      </w:r>
      <w:r w:rsidR="003D2A5D">
        <w:rPr>
          <w:rFonts w:cs="Calibri"/>
          <w:bCs/>
          <w:lang w:val="en-GB"/>
        </w:rPr>
        <w:t>present</w:t>
      </w:r>
      <w:r>
        <w:rPr>
          <w:rFonts w:cs="Calibri"/>
          <w:bCs/>
          <w:lang w:val="en-GB"/>
        </w:rPr>
        <w:t xml:space="preserve"> another view on the use of earnings management. </w:t>
      </w:r>
      <w:r w:rsidR="0063587E">
        <w:rPr>
          <w:rFonts w:cs="Calibri"/>
          <w:bCs/>
          <w:lang w:val="en-GB"/>
        </w:rPr>
        <w:t>A variety of countries have implemented IFRS and specific factors of these countries have their influence on the</w:t>
      </w:r>
      <w:r w:rsidR="003D2A5D">
        <w:rPr>
          <w:rFonts w:cs="Calibri"/>
          <w:bCs/>
          <w:lang w:val="en-GB"/>
        </w:rPr>
        <w:t xml:space="preserve"> use of earnings management based on</w:t>
      </w:r>
      <w:r w:rsidR="0063587E">
        <w:rPr>
          <w:rFonts w:cs="Calibri"/>
          <w:bCs/>
          <w:lang w:val="en-GB"/>
        </w:rPr>
        <w:t xml:space="preserve"> IFRS. </w:t>
      </w:r>
      <w:r>
        <w:rPr>
          <w:rFonts w:cs="Calibri"/>
          <w:bCs/>
          <w:lang w:val="en-GB"/>
        </w:rPr>
        <w:t xml:space="preserve">Not all French Civil law countries in Europe have been investigated; </w:t>
      </w:r>
      <w:r w:rsidR="0063587E">
        <w:rPr>
          <w:rFonts w:cs="Calibri"/>
          <w:bCs/>
          <w:lang w:val="en-GB"/>
        </w:rPr>
        <w:t xml:space="preserve">results from </w:t>
      </w:r>
      <w:r>
        <w:rPr>
          <w:rFonts w:cs="Calibri"/>
          <w:bCs/>
          <w:lang w:val="en-GB"/>
        </w:rPr>
        <w:t>these countries could st</w:t>
      </w:r>
      <w:r w:rsidR="003D2A5D">
        <w:rPr>
          <w:rFonts w:cs="Calibri"/>
          <w:bCs/>
          <w:lang w:val="en-GB"/>
        </w:rPr>
        <w:t>rengthen or weaken the results in</w:t>
      </w:r>
      <w:r>
        <w:rPr>
          <w:rFonts w:cs="Calibri"/>
          <w:bCs/>
          <w:lang w:val="en-GB"/>
        </w:rPr>
        <w:t xml:space="preserve"> this research. </w:t>
      </w:r>
    </w:p>
    <w:p w:rsidR="006F4FB2" w:rsidRDefault="00CC48A8" w:rsidP="003F1B64">
      <w:pPr>
        <w:spacing w:line="360" w:lineRule="auto"/>
        <w:rPr>
          <w:rFonts w:cs="Calibri"/>
          <w:bCs/>
          <w:lang w:val="en-GB"/>
        </w:rPr>
      </w:pPr>
      <w:r>
        <w:rPr>
          <w:rFonts w:cs="Calibri"/>
          <w:bCs/>
          <w:lang w:val="en-GB"/>
        </w:rPr>
        <w:t xml:space="preserve">The final aspect of this research that is highlighted is the correctness of the model for detecting </w:t>
      </w:r>
      <w:r w:rsidR="003D2A5D">
        <w:rPr>
          <w:rFonts w:cs="Calibri"/>
          <w:bCs/>
          <w:lang w:val="en-GB"/>
        </w:rPr>
        <w:t xml:space="preserve">the use of </w:t>
      </w:r>
      <w:r>
        <w:rPr>
          <w:rFonts w:cs="Calibri"/>
          <w:bCs/>
          <w:lang w:val="en-GB"/>
        </w:rPr>
        <w:t xml:space="preserve">real earnings management. As </w:t>
      </w:r>
      <w:r w:rsidR="00F848DC">
        <w:rPr>
          <w:rFonts w:cs="Calibri"/>
          <w:bCs/>
          <w:lang w:val="en-GB"/>
        </w:rPr>
        <w:t>signalled</w:t>
      </w:r>
      <w:r>
        <w:rPr>
          <w:rFonts w:cs="Calibri"/>
          <w:bCs/>
          <w:lang w:val="en-GB"/>
        </w:rPr>
        <w:t xml:space="preserve"> during the discussion of the models developed by Roych</w:t>
      </w:r>
      <w:r w:rsidR="008C358C">
        <w:rPr>
          <w:rFonts w:cs="Calibri"/>
          <w:bCs/>
          <w:lang w:val="en-GB"/>
        </w:rPr>
        <w:t>owdhury (2006) and Gunny (2010);</w:t>
      </w:r>
      <w:r>
        <w:rPr>
          <w:rFonts w:cs="Calibri"/>
          <w:bCs/>
          <w:lang w:val="en-GB"/>
        </w:rPr>
        <w:t xml:space="preserve"> no model for detecting real earnings management has </w:t>
      </w:r>
      <w:r>
        <w:rPr>
          <w:rFonts w:cs="Calibri"/>
          <w:bCs/>
          <w:lang w:val="en-GB"/>
        </w:rPr>
        <w:lastRenderedPageBreak/>
        <w:t xml:space="preserve">been proven to be valid. The proxies that are used in the models are valid, but the model has not. </w:t>
      </w:r>
      <w:r w:rsidR="00EB01CA">
        <w:rPr>
          <w:rFonts w:cs="Calibri"/>
          <w:bCs/>
          <w:lang w:val="en-GB"/>
        </w:rPr>
        <w:t xml:space="preserve">Further research should prove whether the models that are developed are valid. </w:t>
      </w:r>
    </w:p>
    <w:p w:rsidR="001C6A3E" w:rsidRPr="008C581E" w:rsidRDefault="006F4FB2" w:rsidP="0021466D">
      <w:pPr>
        <w:spacing w:after="0" w:line="240" w:lineRule="auto"/>
        <w:rPr>
          <w:rFonts w:cs="Calibri"/>
          <w:bCs/>
          <w:sz w:val="24"/>
          <w:szCs w:val="24"/>
          <w:lang w:val="en-GB"/>
        </w:rPr>
      </w:pPr>
      <w:r>
        <w:rPr>
          <w:rFonts w:cs="Calibri"/>
          <w:bCs/>
          <w:lang w:val="en-GB"/>
        </w:rPr>
        <w:br w:type="page"/>
      </w:r>
      <w:r w:rsidR="001C6A3E" w:rsidRPr="008C581E">
        <w:rPr>
          <w:rFonts w:cs="Calibri"/>
          <w:b/>
          <w:bCs/>
          <w:sz w:val="24"/>
          <w:szCs w:val="24"/>
          <w:lang w:val="en-GB"/>
        </w:rPr>
        <w:lastRenderedPageBreak/>
        <w:t>References</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Ball, R. (2006), “International Financial Reporting Standards (IFRS): pros and cons for investors”, </w:t>
      </w:r>
      <w:r w:rsidRPr="00F67CC4">
        <w:rPr>
          <w:rFonts w:cs="Calibri"/>
          <w:i/>
          <w:lang w:val="en-US"/>
        </w:rPr>
        <w:t xml:space="preserve">Accounting and Business Research, </w:t>
      </w:r>
      <w:r w:rsidRPr="00F67CC4">
        <w:rPr>
          <w:rFonts w:cs="Calibri"/>
          <w:lang w:val="en-US"/>
        </w:rPr>
        <w:t>Internationa</w:t>
      </w:r>
      <w:r w:rsidR="00A3548F">
        <w:rPr>
          <w:rFonts w:cs="Calibri"/>
          <w:lang w:val="en-US"/>
        </w:rPr>
        <w:t>l Accounting Policy Forum, 5-27</w:t>
      </w:r>
    </w:p>
    <w:p w:rsidR="005D2B32" w:rsidRPr="00F67CC4" w:rsidRDefault="005D2B32" w:rsidP="00BE2C16">
      <w:pPr>
        <w:numPr>
          <w:ilvl w:val="0"/>
          <w:numId w:val="9"/>
        </w:numPr>
        <w:spacing w:line="240" w:lineRule="auto"/>
        <w:ind w:left="340"/>
        <w:rPr>
          <w:rFonts w:cs="Calibri"/>
          <w:lang w:val="en-US"/>
        </w:rPr>
      </w:pPr>
      <w:r w:rsidRPr="00F67CC4">
        <w:rPr>
          <w:rFonts w:cs="Calibri"/>
          <w:lang w:val="en-US"/>
        </w:rPr>
        <w:t>Bartov</w:t>
      </w:r>
      <w:r w:rsidR="00106D84" w:rsidRPr="00F67CC4">
        <w:rPr>
          <w:rFonts w:cs="Calibri"/>
          <w:lang w:val="en-US"/>
        </w:rPr>
        <w:t>, E.</w:t>
      </w:r>
      <w:r w:rsidRPr="00F67CC4">
        <w:rPr>
          <w:rFonts w:cs="Calibri"/>
          <w:lang w:val="en-US"/>
        </w:rPr>
        <w:t xml:space="preserve"> (1993)</w:t>
      </w:r>
      <w:r w:rsidR="00106D84" w:rsidRPr="00F67CC4">
        <w:rPr>
          <w:rFonts w:cs="Calibri"/>
          <w:lang w:val="en-US"/>
        </w:rPr>
        <w:t xml:space="preserve">, “The Timing of Asset Sales and Earnings Manipulation”, </w:t>
      </w:r>
      <w:r w:rsidR="00106D84" w:rsidRPr="00F67CC4">
        <w:rPr>
          <w:rFonts w:cs="Calibri"/>
          <w:i/>
          <w:lang w:val="en-US"/>
        </w:rPr>
        <w:t>The Accounting Review”</w:t>
      </w:r>
      <w:r w:rsidR="00106D84" w:rsidRPr="00F67CC4">
        <w:rPr>
          <w:rFonts w:cs="Calibri"/>
          <w:lang w:val="en-US"/>
        </w:rPr>
        <w:t xml:space="preserve">, </w:t>
      </w:r>
      <w:r w:rsidR="00C738F6" w:rsidRPr="00F67CC4">
        <w:rPr>
          <w:rFonts w:cs="Calibri"/>
          <w:lang w:val="en-US"/>
        </w:rPr>
        <w:t>October 1993, 840-855</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Bolt-Lee, C. and Smith, L.M. (2009), “Highlights of IFRS research”, </w:t>
      </w:r>
      <w:r w:rsidRPr="00F67CC4">
        <w:rPr>
          <w:rFonts w:cs="Calibri"/>
          <w:i/>
          <w:lang w:val="en-US"/>
        </w:rPr>
        <w:t xml:space="preserve">Journal of Accountancy, </w:t>
      </w:r>
      <w:r w:rsidR="00A3548F">
        <w:rPr>
          <w:rFonts w:cs="Calibri"/>
          <w:lang w:val="en-US"/>
        </w:rPr>
        <w:t>November, 48-52</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Burgstahler, D. and Dichev, I. (1997), “Earnings management to avoid earnings decreases and losses”, </w:t>
      </w:r>
      <w:r w:rsidRPr="00F67CC4">
        <w:rPr>
          <w:rFonts w:cs="Calibri"/>
          <w:i/>
          <w:lang w:val="en-US"/>
        </w:rPr>
        <w:t xml:space="preserve">Journal of Accounting and Economics, </w:t>
      </w:r>
      <w:r w:rsidR="00A3548F">
        <w:rPr>
          <w:rFonts w:cs="Calibri"/>
          <w:lang w:val="en-US"/>
        </w:rPr>
        <w:t>vol. 24, 99-126</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Bu</w:t>
      </w:r>
      <w:r w:rsidR="001B1F80" w:rsidRPr="00F67CC4">
        <w:rPr>
          <w:rFonts w:cs="Calibri"/>
          <w:lang w:val="en-US"/>
        </w:rPr>
        <w:t>rgstahler, D. and Eames, M. (2006</w:t>
      </w:r>
      <w:r w:rsidRPr="00F67CC4">
        <w:rPr>
          <w:rFonts w:cs="Calibri"/>
          <w:lang w:val="en-US"/>
        </w:rPr>
        <w:t>), “Management of earnings and analysts forecasts</w:t>
      </w:r>
      <w:r w:rsidR="001B1F80" w:rsidRPr="00F67CC4">
        <w:rPr>
          <w:rFonts w:cs="Calibri"/>
          <w:lang w:val="en-US"/>
        </w:rPr>
        <w:t xml:space="preserve"> to achieve zero and sma</w:t>
      </w:r>
      <w:r w:rsidR="004E7EF5" w:rsidRPr="00F67CC4">
        <w:rPr>
          <w:rFonts w:cs="Calibri"/>
          <w:lang w:val="en-US"/>
        </w:rPr>
        <w:t xml:space="preserve">ll positive earnings surprises”, </w:t>
      </w:r>
      <w:r w:rsidR="001B1F80" w:rsidRPr="00F67CC4">
        <w:rPr>
          <w:rFonts w:cs="Calibri"/>
          <w:lang w:val="en-US"/>
        </w:rPr>
        <w:t>Journal of Business Finance &amp; Accounting, vol. 33 no. 5-6, 633-652</w:t>
      </w:r>
    </w:p>
    <w:p w:rsidR="00A005DB" w:rsidRPr="00F67CC4" w:rsidRDefault="00EB751E" w:rsidP="00BE2C16">
      <w:pPr>
        <w:numPr>
          <w:ilvl w:val="0"/>
          <w:numId w:val="9"/>
        </w:numPr>
        <w:spacing w:line="240" w:lineRule="auto"/>
        <w:ind w:left="340"/>
        <w:rPr>
          <w:rFonts w:cs="Calibri"/>
          <w:lang w:val="en-US"/>
        </w:rPr>
      </w:pPr>
      <w:r w:rsidRPr="00F67CC4">
        <w:rPr>
          <w:rFonts w:cs="Calibri"/>
          <w:lang w:val="en-US"/>
        </w:rPr>
        <w:t>Burgstahler, D., Hail, L., and Leuz, C.</w:t>
      </w:r>
      <w:r w:rsidR="00A005DB" w:rsidRPr="00F67CC4">
        <w:rPr>
          <w:rFonts w:cs="Calibri"/>
          <w:lang w:val="en-US"/>
        </w:rPr>
        <w:t xml:space="preserve"> </w:t>
      </w:r>
      <w:r w:rsidR="004E7EF5" w:rsidRPr="00F67CC4">
        <w:rPr>
          <w:rFonts w:cs="Calibri"/>
          <w:lang w:val="en-US"/>
        </w:rPr>
        <w:t>(</w:t>
      </w:r>
      <w:r w:rsidR="00A005DB" w:rsidRPr="00F67CC4">
        <w:rPr>
          <w:rFonts w:cs="Calibri"/>
          <w:lang w:val="en-US"/>
        </w:rPr>
        <w:t>2006</w:t>
      </w:r>
      <w:r w:rsidR="004E7EF5" w:rsidRPr="00F67CC4">
        <w:rPr>
          <w:rFonts w:cs="Calibri"/>
          <w:lang w:val="en-US"/>
        </w:rPr>
        <w:t>)</w:t>
      </w:r>
      <w:r w:rsidR="00BB6E78" w:rsidRPr="00F67CC4">
        <w:rPr>
          <w:rFonts w:cs="Calibri"/>
          <w:lang w:val="en-US"/>
        </w:rPr>
        <w:t>,</w:t>
      </w:r>
      <w:r w:rsidR="004E7EF5" w:rsidRPr="00F67CC4">
        <w:rPr>
          <w:rFonts w:cs="Calibri"/>
          <w:lang w:val="en-US"/>
        </w:rPr>
        <w:t xml:space="preserve"> “The importance of reporting incentives: Earnings Management in European Private and Public Firms”, </w:t>
      </w:r>
      <w:r w:rsidR="004E7EF5" w:rsidRPr="00F67CC4">
        <w:rPr>
          <w:rFonts w:cs="Calibri"/>
          <w:i/>
          <w:lang w:val="en-US"/>
        </w:rPr>
        <w:t>The Accounting Review</w:t>
      </w:r>
      <w:r w:rsidR="004E7EF5" w:rsidRPr="00F67CC4">
        <w:rPr>
          <w:rFonts w:cs="Calibri"/>
          <w:lang w:val="en-US"/>
        </w:rPr>
        <w:t>, October 2006, vol 81, No. 5, 983-1016</w:t>
      </w:r>
    </w:p>
    <w:p w:rsidR="001C6A3E" w:rsidRPr="00F67CC4" w:rsidRDefault="001C6A3E" w:rsidP="00BE2C16">
      <w:pPr>
        <w:numPr>
          <w:ilvl w:val="0"/>
          <w:numId w:val="9"/>
        </w:numPr>
        <w:spacing w:line="240" w:lineRule="auto"/>
        <w:ind w:left="340"/>
        <w:rPr>
          <w:rFonts w:cs="Calibri"/>
          <w:lang w:val="en-GB"/>
        </w:rPr>
      </w:pPr>
      <w:r w:rsidRPr="00F67CC4">
        <w:rPr>
          <w:rFonts w:cs="Calibri"/>
          <w:lang w:val="en-US"/>
        </w:rPr>
        <w:t>Cai, L., Courteney, S. and Rahman, A. (2008), "</w:t>
      </w:r>
      <w:r w:rsidRPr="00F67CC4">
        <w:rPr>
          <w:rFonts w:cs="Calibri"/>
          <w:lang w:val="en-GB"/>
        </w:rPr>
        <w:t xml:space="preserve">The Effect of IFRS and its Enforcement on Earnings Management: An International Comparison", </w:t>
      </w:r>
      <w:r w:rsidR="00A3548F">
        <w:rPr>
          <w:rFonts w:cs="Calibri"/>
          <w:lang w:val="en-GB"/>
        </w:rPr>
        <w:t xml:space="preserve">December 2008, </w:t>
      </w:r>
      <w:r w:rsidR="00A3548F">
        <w:rPr>
          <w:rFonts w:cs="Calibri"/>
          <w:i/>
          <w:lang w:val="en-GB"/>
        </w:rPr>
        <w:t>Social Science Research Network</w:t>
      </w:r>
    </w:p>
    <w:p w:rsidR="00454E1B" w:rsidRPr="00F67CC4" w:rsidRDefault="00454E1B" w:rsidP="00BE2C16">
      <w:pPr>
        <w:numPr>
          <w:ilvl w:val="0"/>
          <w:numId w:val="9"/>
        </w:numPr>
        <w:spacing w:line="240" w:lineRule="auto"/>
        <w:ind w:left="340"/>
        <w:rPr>
          <w:rFonts w:cs="Calibri"/>
          <w:lang w:val="en-GB"/>
        </w:rPr>
      </w:pPr>
      <w:r w:rsidRPr="00F67CC4">
        <w:rPr>
          <w:rFonts w:cs="Calibri"/>
          <w:lang w:val="en-GB"/>
        </w:rPr>
        <w:t>Callao,</w:t>
      </w:r>
      <w:r w:rsidR="00106D84" w:rsidRPr="00F67CC4">
        <w:rPr>
          <w:rFonts w:cs="Calibri"/>
          <w:lang w:val="en-GB"/>
        </w:rPr>
        <w:t xml:space="preserve"> S. and</w:t>
      </w:r>
      <w:r w:rsidR="004E0604">
        <w:rPr>
          <w:rFonts w:cs="Calibri"/>
          <w:lang w:val="en-GB"/>
        </w:rPr>
        <w:t xml:space="preserve"> </w:t>
      </w:r>
      <w:r w:rsidRPr="00F67CC4">
        <w:rPr>
          <w:rFonts w:cs="Calibri"/>
          <w:lang w:val="en-GB"/>
        </w:rPr>
        <w:t>Jarne</w:t>
      </w:r>
      <w:r w:rsidR="00106D84" w:rsidRPr="00F67CC4">
        <w:rPr>
          <w:rFonts w:cs="Calibri"/>
          <w:lang w:val="en-GB"/>
        </w:rPr>
        <w:t>, S.</w:t>
      </w:r>
      <w:r w:rsidR="004E0604">
        <w:rPr>
          <w:rFonts w:cs="Calibri"/>
          <w:lang w:val="en-GB"/>
        </w:rPr>
        <w:t>I.</w:t>
      </w:r>
      <w:r w:rsidRPr="00F67CC4">
        <w:rPr>
          <w:rFonts w:cs="Calibri"/>
          <w:lang w:val="en-GB"/>
        </w:rPr>
        <w:t xml:space="preserve"> (2010)</w:t>
      </w:r>
      <w:r w:rsidR="00106D84" w:rsidRPr="00F67CC4">
        <w:rPr>
          <w:rFonts w:cs="Calibri"/>
          <w:lang w:val="en-GB"/>
        </w:rPr>
        <w:t xml:space="preserve">, Have IFRS Affected Earnings Management in the European Union?”, </w:t>
      </w:r>
      <w:r w:rsidR="00106D84" w:rsidRPr="00F67CC4">
        <w:rPr>
          <w:rFonts w:cs="Calibri"/>
          <w:i/>
          <w:lang w:val="en-GB"/>
        </w:rPr>
        <w:t>Accounting in Europe</w:t>
      </w:r>
      <w:r w:rsidR="00106D84" w:rsidRPr="00F67CC4">
        <w:rPr>
          <w:rFonts w:cs="Calibri"/>
          <w:lang w:val="en-GB"/>
        </w:rPr>
        <w:t>, Vol. 7, No. 2, December 2010, 159-189</w:t>
      </w:r>
    </w:p>
    <w:p w:rsidR="00454E1B" w:rsidRPr="00F67CC4" w:rsidRDefault="00454E1B" w:rsidP="00BE2C16">
      <w:pPr>
        <w:numPr>
          <w:ilvl w:val="0"/>
          <w:numId w:val="9"/>
        </w:numPr>
        <w:spacing w:line="240" w:lineRule="auto"/>
        <w:ind w:left="340"/>
        <w:rPr>
          <w:rFonts w:cs="Calibri"/>
          <w:lang w:val="en-GB"/>
        </w:rPr>
      </w:pPr>
      <w:r w:rsidRPr="00F67CC4">
        <w:rPr>
          <w:rFonts w:cs="Calibri"/>
          <w:lang w:val="en-GB"/>
        </w:rPr>
        <w:t>Cohen,</w:t>
      </w:r>
      <w:r w:rsidR="00106D84" w:rsidRPr="00F67CC4">
        <w:rPr>
          <w:rFonts w:cs="Calibri"/>
          <w:lang w:val="en-GB"/>
        </w:rPr>
        <w:t xml:space="preserve"> D.A.,</w:t>
      </w:r>
      <w:r w:rsidRPr="00F67CC4">
        <w:rPr>
          <w:rFonts w:cs="Calibri"/>
          <w:lang w:val="en-GB"/>
        </w:rPr>
        <w:t xml:space="preserve"> Dey</w:t>
      </w:r>
      <w:r w:rsidR="00106D84" w:rsidRPr="00F67CC4">
        <w:rPr>
          <w:rFonts w:cs="Calibri"/>
          <w:lang w:val="en-GB"/>
        </w:rPr>
        <w:t xml:space="preserve"> A. and</w:t>
      </w:r>
      <w:r w:rsidRPr="00F67CC4">
        <w:rPr>
          <w:rFonts w:cs="Calibri"/>
          <w:lang w:val="en-GB"/>
        </w:rPr>
        <w:t xml:space="preserve"> Lys</w:t>
      </w:r>
      <w:r w:rsidR="00106D84" w:rsidRPr="00F67CC4">
        <w:rPr>
          <w:rFonts w:cs="Calibri"/>
          <w:lang w:val="en-GB"/>
        </w:rPr>
        <w:t xml:space="preserve"> T.Z.</w:t>
      </w:r>
      <w:r w:rsidRPr="00F67CC4">
        <w:rPr>
          <w:rFonts w:cs="Calibri"/>
          <w:lang w:val="en-GB"/>
        </w:rPr>
        <w:t xml:space="preserve"> (2008)</w:t>
      </w:r>
      <w:r w:rsidR="00106D84" w:rsidRPr="00F67CC4">
        <w:rPr>
          <w:rFonts w:cs="Calibri"/>
          <w:lang w:val="en-GB"/>
        </w:rPr>
        <w:t xml:space="preserve">, “Real and Accrual-Based Earnings Management in the Pre- and Post-Sarbanes-Oxley Periods”, </w:t>
      </w:r>
      <w:r w:rsidR="00106D84" w:rsidRPr="00F67CC4">
        <w:rPr>
          <w:rFonts w:cs="Calibri"/>
          <w:i/>
          <w:lang w:val="en-GB"/>
        </w:rPr>
        <w:t>The Accounting Review</w:t>
      </w:r>
      <w:r w:rsidR="00106D84" w:rsidRPr="00F67CC4">
        <w:rPr>
          <w:rFonts w:cs="Calibri"/>
          <w:lang w:val="en-GB"/>
        </w:rPr>
        <w:t xml:space="preserve">, vol. 83, No. 3, 2008, 757-787 </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Dechow, P.M., Sloan, R.G. and Sweeney A.P. (1995), “Detecting earnings management”, </w:t>
      </w:r>
      <w:r w:rsidRPr="00F67CC4">
        <w:rPr>
          <w:rFonts w:cs="Calibri"/>
          <w:i/>
          <w:lang w:val="en-US"/>
        </w:rPr>
        <w:t xml:space="preserve">The Accounting Review, </w:t>
      </w:r>
      <w:r w:rsidR="00A3548F">
        <w:rPr>
          <w:rFonts w:cs="Calibri"/>
          <w:lang w:val="en-US"/>
        </w:rPr>
        <w:t>april, 193-225</w:t>
      </w:r>
    </w:p>
    <w:p w:rsidR="00454E1B" w:rsidRPr="00F67CC4" w:rsidRDefault="00454E1B" w:rsidP="00BE2C16">
      <w:pPr>
        <w:numPr>
          <w:ilvl w:val="0"/>
          <w:numId w:val="9"/>
        </w:numPr>
        <w:spacing w:line="240" w:lineRule="auto"/>
        <w:ind w:left="340"/>
        <w:rPr>
          <w:rFonts w:cs="Calibri"/>
          <w:lang w:val="en-US"/>
        </w:rPr>
      </w:pPr>
      <w:r w:rsidRPr="00F67CC4">
        <w:rPr>
          <w:rFonts w:cs="Calibri"/>
          <w:lang w:val="en-US"/>
        </w:rPr>
        <w:t>Ewert</w:t>
      </w:r>
      <w:r w:rsidR="00100A9A" w:rsidRPr="00F67CC4">
        <w:rPr>
          <w:rFonts w:cs="Calibri"/>
          <w:lang w:val="en-US"/>
        </w:rPr>
        <w:t>, R.E.</w:t>
      </w:r>
      <w:r w:rsidRPr="00F67CC4">
        <w:rPr>
          <w:rFonts w:cs="Calibri"/>
          <w:lang w:val="en-US"/>
        </w:rPr>
        <w:t xml:space="preserve"> and Wagenhofer </w:t>
      </w:r>
      <w:r w:rsidR="00100A9A" w:rsidRPr="00F67CC4">
        <w:rPr>
          <w:rFonts w:cs="Calibri"/>
          <w:lang w:val="en-US"/>
        </w:rPr>
        <w:t xml:space="preserve">A. </w:t>
      </w:r>
      <w:r w:rsidRPr="00F67CC4">
        <w:rPr>
          <w:rFonts w:cs="Calibri"/>
          <w:lang w:val="en-US"/>
        </w:rPr>
        <w:t>(2005)</w:t>
      </w:r>
      <w:r w:rsidR="00100A9A" w:rsidRPr="00F67CC4">
        <w:rPr>
          <w:rFonts w:cs="Calibri"/>
          <w:lang w:val="en-US"/>
        </w:rPr>
        <w:t xml:space="preserve">, “Economic Effects of Tightening Accounting Standards to Restrict Earnings Management”, </w:t>
      </w:r>
      <w:r w:rsidR="00100A9A" w:rsidRPr="00F67CC4">
        <w:rPr>
          <w:rFonts w:cs="Calibri"/>
          <w:i/>
          <w:lang w:val="en-US"/>
        </w:rPr>
        <w:t>The Accounting Review</w:t>
      </w:r>
      <w:r w:rsidR="00100A9A" w:rsidRPr="00F67CC4">
        <w:rPr>
          <w:rFonts w:cs="Calibri"/>
          <w:lang w:val="en-US"/>
        </w:rPr>
        <w:t>, Vol. 80, No. 4, 1101-1124</w:t>
      </w:r>
    </w:p>
    <w:p w:rsidR="005324A9" w:rsidRPr="00F67CC4" w:rsidRDefault="005324A9" w:rsidP="00BE2C16">
      <w:pPr>
        <w:numPr>
          <w:ilvl w:val="0"/>
          <w:numId w:val="9"/>
        </w:numPr>
        <w:spacing w:line="240" w:lineRule="auto"/>
        <w:ind w:left="340"/>
        <w:rPr>
          <w:rFonts w:cs="Calibri"/>
          <w:lang w:val="en-US"/>
        </w:rPr>
      </w:pPr>
      <w:r w:rsidRPr="00F67CC4">
        <w:rPr>
          <w:rFonts w:cs="Calibri"/>
          <w:lang w:val="en-US"/>
        </w:rPr>
        <w:t>Fudenberg, D. and J. Tirole (1995), “A theory of income and dividend smoothing based on incumbency rents”, Journal of Political Economy, February, pp 75-93</w:t>
      </w:r>
    </w:p>
    <w:p w:rsidR="00F84B33" w:rsidRPr="00F67CC4" w:rsidRDefault="00A03D93" w:rsidP="00BE2C16">
      <w:pPr>
        <w:numPr>
          <w:ilvl w:val="0"/>
          <w:numId w:val="9"/>
        </w:numPr>
        <w:spacing w:line="240" w:lineRule="auto"/>
        <w:ind w:left="340"/>
        <w:rPr>
          <w:rFonts w:cs="Calibri"/>
          <w:lang w:val="en-US"/>
        </w:rPr>
      </w:pPr>
      <w:r w:rsidRPr="00F67CC4">
        <w:rPr>
          <w:rFonts w:cs="Calibri"/>
          <w:lang w:val="en-US"/>
        </w:rPr>
        <w:t xml:space="preserve">Graham, J.R., Campbell, R.H., and Rajgopal, S. (2005), “The economic implications of corporate financial reporting”, </w:t>
      </w:r>
      <w:r w:rsidRPr="00F67CC4">
        <w:rPr>
          <w:rFonts w:cs="Calibri"/>
          <w:i/>
          <w:lang w:val="en-US"/>
        </w:rPr>
        <w:t>Journal of Accounting and Economics</w:t>
      </w:r>
      <w:r w:rsidRPr="00F67CC4">
        <w:rPr>
          <w:rFonts w:cs="Calibri"/>
          <w:lang w:val="en-US"/>
        </w:rPr>
        <w:t>, vol 40 (2005), 3-73</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Guay, W. (2002), “Discussion of real investment implications of stock option exercises.”, </w:t>
      </w:r>
      <w:r w:rsidRPr="00F67CC4">
        <w:rPr>
          <w:rFonts w:cs="Calibri"/>
          <w:i/>
          <w:lang w:val="en-US"/>
        </w:rPr>
        <w:t xml:space="preserve">Journal of Accounting Research, </w:t>
      </w:r>
      <w:r w:rsidRPr="00F67CC4">
        <w:rPr>
          <w:rFonts w:cs="Calibri"/>
          <w:lang w:val="en-US"/>
        </w:rPr>
        <w:t>vol 40 [2],</w:t>
      </w:r>
      <w:r w:rsidR="00A3548F">
        <w:rPr>
          <w:rFonts w:cs="Calibri"/>
          <w:lang w:val="en-US"/>
        </w:rPr>
        <w:t xml:space="preserve"> 395-406</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Guay, W.R., Kothari, S.P. and Watts, R.L. (1996), "A Market Based Evaluation of Discretionary Accruals Models", </w:t>
      </w:r>
      <w:r w:rsidRPr="00F67CC4">
        <w:rPr>
          <w:rFonts w:cs="Calibri"/>
          <w:i/>
          <w:lang w:val="en-US"/>
        </w:rPr>
        <w:t xml:space="preserve">Journal of Accounting Research, </w:t>
      </w:r>
      <w:r w:rsidR="00A3548F">
        <w:rPr>
          <w:rFonts w:cs="Calibri"/>
          <w:lang w:val="en-US"/>
        </w:rPr>
        <w:t>vol. 34, 83-105</w:t>
      </w:r>
    </w:p>
    <w:p w:rsidR="006F19F6" w:rsidRPr="00864822" w:rsidRDefault="006F19F6" w:rsidP="00BE2C16">
      <w:pPr>
        <w:numPr>
          <w:ilvl w:val="0"/>
          <w:numId w:val="9"/>
        </w:numPr>
        <w:spacing w:line="240" w:lineRule="auto"/>
        <w:ind w:left="340"/>
        <w:rPr>
          <w:rFonts w:cs="Calibri"/>
          <w:lang w:val="en-US"/>
        </w:rPr>
      </w:pPr>
      <w:r w:rsidRPr="00864822">
        <w:rPr>
          <w:rFonts w:cs="Calibri"/>
          <w:lang w:val="en-GB"/>
        </w:rPr>
        <w:t xml:space="preserve">Guenther </w:t>
      </w:r>
      <w:r w:rsidR="00B71064" w:rsidRPr="00864822">
        <w:rPr>
          <w:rFonts w:cs="Calibri"/>
          <w:lang w:val="en-GB"/>
        </w:rPr>
        <w:t xml:space="preserve">D.A., </w:t>
      </w:r>
      <w:r w:rsidRPr="00864822">
        <w:rPr>
          <w:rFonts w:cs="Calibri"/>
          <w:lang w:val="en-GB"/>
        </w:rPr>
        <w:t>and Young</w:t>
      </w:r>
      <w:r w:rsidR="00B71064" w:rsidRPr="00864822">
        <w:rPr>
          <w:rFonts w:cs="Calibri"/>
          <w:lang w:val="en-GB"/>
        </w:rPr>
        <w:t xml:space="preserve"> D.</w:t>
      </w:r>
      <w:r w:rsidRPr="00864822">
        <w:rPr>
          <w:rFonts w:cs="Calibri"/>
          <w:lang w:val="en-GB"/>
        </w:rPr>
        <w:t xml:space="preserve"> (2000)</w:t>
      </w:r>
      <w:r w:rsidR="00B71064" w:rsidRPr="00864822">
        <w:rPr>
          <w:rFonts w:cs="Calibri"/>
          <w:lang w:val="en-GB"/>
        </w:rPr>
        <w:t xml:space="preserve">, “The association between financial accounting measures and real economic activity: a multinational study”, </w:t>
      </w:r>
      <w:r w:rsidR="00B71064" w:rsidRPr="00864822">
        <w:rPr>
          <w:rFonts w:cs="Calibri"/>
          <w:i/>
          <w:lang w:val="en-GB"/>
        </w:rPr>
        <w:t xml:space="preserve">Journal of Accounting and Economics, </w:t>
      </w:r>
      <w:r w:rsidR="00B71064" w:rsidRPr="00864822">
        <w:rPr>
          <w:rFonts w:cs="Calibri"/>
          <w:lang w:val="en-GB"/>
        </w:rPr>
        <w:t>vol 29, 53-72</w:t>
      </w:r>
    </w:p>
    <w:p w:rsidR="001C6A3E" w:rsidRPr="00F67CC4" w:rsidRDefault="00D015B4" w:rsidP="00BE2C16">
      <w:pPr>
        <w:numPr>
          <w:ilvl w:val="0"/>
          <w:numId w:val="9"/>
        </w:numPr>
        <w:spacing w:line="240" w:lineRule="auto"/>
        <w:ind w:left="340"/>
        <w:rPr>
          <w:rFonts w:cs="Calibri"/>
          <w:lang w:val="en-US"/>
        </w:rPr>
      </w:pPr>
      <w:r w:rsidRPr="00F67CC4">
        <w:rPr>
          <w:rFonts w:cs="Calibri"/>
          <w:lang w:val="en-US"/>
        </w:rPr>
        <w:t xml:space="preserve">Haller, J. </w:t>
      </w:r>
      <w:r w:rsidR="001C6A3E" w:rsidRPr="00F67CC4">
        <w:rPr>
          <w:rFonts w:cs="Calibri"/>
          <w:lang w:val="en-US"/>
        </w:rPr>
        <w:t xml:space="preserve">(2002), “Financial Accounting development in the European Union: past events and future prospects”, </w:t>
      </w:r>
      <w:r w:rsidR="001C6A3E" w:rsidRPr="00F67CC4">
        <w:rPr>
          <w:rFonts w:cs="Calibri"/>
          <w:i/>
          <w:lang w:val="en-US"/>
        </w:rPr>
        <w:t xml:space="preserve">The European Accounting Review, </w:t>
      </w:r>
      <w:r w:rsidR="001C6A3E" w:rsidRPr="00F67CC4">
        <w:rPr>
          <w:rFonts w:cs="Calibri"/>
          <w:lang w:val="en-US"/>
        </w:rPr>
        <w:t>vol.</w:t>
      </w:r>
      <w:r w:rsidR="00A3548F">
        <w:rPr>
          <w:rFonts w:cs="Calibri"/>
          <w:lang w:val="en-US"/>
        </w:rPr>
        <w:t xml:space="preserve"> 11, 153-190</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lastRenderedPageBreak/>
        <w:t xml:space="preserve">Healy, P.M. and Wahlen, J.M. (1999), “A review of the earnings management literature and its implications for standard setting”, </w:t>
      </w:r>
      <w:r w:rsidRPr="00F67CC4">
        <w:rPr>
          <w:rFonts w:cs="Calibri"/>
          <w:i/>
          <w:lang w:val="en-US"/>
        </w:rPr>
        <w:t xml:space="preserve">Accounting Horizons, </w:t>
      </w:r>
      <w:r w:rsidR="00A3548F">
        <w:rPr>
          <w:rFonts w:cs="Calibri"/>
          <w:lang w:val="en-US"/>
        </w:rPr>
        <w:t>vol. 13, 365-383</w:t>
      </w:r>
    </w:p>
    <w:p w:rsidR="00C738F6" w:rsidRPr="00F67CC4" w:rsidRDefault="001C6A3E" w:rsidP="00C738F6">
      <w:pPr>
        <w:numPr>
          <w:ilvl w:val="0"/>
          <w:numId w:val="9"/>
        </w:numPr>
        <w:spacing w:line="240" w:lineRule="auto"/>
        <w:ind w:left="340"/>
        <w:rPr>
          <w:rFonts w:cs="Calibri"/>
        </w:rPr>
      </w:pPr>
      <w:r w:rsidRPr="00F67CC4">
        <w:rPr>
          <w:rFonts w:cs="Calibri"/>
        </w:rPr>
        <w:t xml:space="preserve">Heemskerk, M. and Van der Tas, L. (2006), “Verandering in resultaatsturing als gevolg van de invoering van IFRS”, </w:t>
      </w:r>
      <w:r w:rsidRPr="00F67CC4">
        <w:rPr>
          <w:rFonts w:cs="Calibri"/>
          <w:i/>
        </w:rPr>
        <w:t>Maandblad voor Accountancy en Bedrijfeconomie,</w:t>
      </w:r>
      <w:r w:rsidR="00A3548F">
        <w:rPr>
          <w:rFonts w:cs="Calibri"/>
        </w:rPr>
        <w:t xml:space="preserve"> nov. 2006, 571-579</w:t>
      </w:r>
    </w:p>
    <w:p w:rsidR="00C738F6" w:rsidRPr="00F67CC4" w:rsidRDefault="00C738F6" w:rsidP="00C738F6">
      <w:pPr>
        <w:numPr>
          <w:ilvl w:val="0"/>
          <w:numId w:val="9"/>
        </w:numPr>
        <w:autoSpaceDE w:val="0"/>
        <w:autoSpaceDN w:val="0"/>
        <w:adjustRightInd w:val="0"/>
        <w:spacing w:after="0" w:line="240" w:lineRule="auto"/>
        <w:ind w:left="340"/>
        <w:rPr>
          <w:rFonts w:cs="Calibri"/>
          <w:lang w:val="en-US"/>
        </w:rPr>
      </w:pPr>
      <w:r w:rsidRPr="00F67CC4">
        <w:rPr>
          <w:rFonts w:cs="Calibri"/>
          <w:lang w:val="en-US"/>
        </w:rPr>
        <w:t>Herrmann, D., Inoue T. and Thomas W.B. (2003), ”The sale of assets to manage earnings in Japan”, Journal of Accounting Research Vol. 41, No 1, March 2003, 89–108</w:t>
      </w:r>
    </w:p>
    <w:p w:rsidR="00C738F6" w:rsidRPr="00F67CC4" w:rsidRDefault="00C738F6" w:rsidP="00C738F6">
      <w:pPr>
        <w:autoSpaceDE w:val="0"/>
        <w:autoSpaceDN w:val="0"/>
        <w:adjustRightInd w:val="0"/>
        <w:spacing w:after="0" w:line="240" w:lineRule="auto"/>
        <w:ind w:left="340"/>
        <w:rPr>
          <w:rFonts w:cs="Calibri"/>
          <w:b/>
          <w:lang w:val="en-US"/>
        </w:rPr>
      </w:pPr>
    </w:p>
    <w:p w:rsidR="001C6A3E" w:rsidRPr="00F67CC4" w:rsidRDefault="001C6A3E" w:rsidP="00BE2C16">
      <w:pPr>
        <w:numPr>
          <w:ilvl w:val="0"/>
          <w:numId w:val="9"/>
        </w:numPr>
        <w:spacing w:line="240" w:lineRule="auto"/>
        <w:ind w:left="340"/>
        <w:rPr>
          <w:rFonts w:cs="Calibri"/>
          <w:lang w:val="en-GB"/>
        </w:rPr>
      </w:pPr>
      <w:r w:rsidRPr="00F67CC4">
        <w:rPr>
          <w:rFonts w:cs="Calibri"/>
          <w:lang w:val="en-GB"/>
        </w:rPr>
        <w:t xml:space="preserve">Hribar, P., N.T. Jenkins, and W.B. Johnson (2006), “Stock repurchases as an earnings management device”, </w:t>
      </w:r>
      <w:r w:rsidRPr="00F67CC4">
        <w:rPr>
          <w:rFonts w:cs="Calibri"/>
          <w:i/>
          <w:lang w:val="en-GB"/>
        </w:rPr>
        <w:t>Journal of Accounting and Economics”</w:t>
      </w:r>
      <w:r w:rsidR="00A3548F">
        <w:rPr>
          <w:rFonts w:cs="Calibri"/>
          <w:lang w:val="en-GB"/>
        </w:rPr>
        <w:t>, vol. 41, 3-27</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Jeanjean, T. and Stolowy, H. (2008), “Do accounting standards matter? An exploratory analysis of earnings management before and after IFRS adoption”, </w:t>
      </w:r>
      <w:r w:rsidRPr="00F67CC4">
        <w:rPr>
          <w:rFonts w:cs="Calibri"/>
          <w:i/>
          <w:lang w:val="en-US"/>
        </w:rPr>
        <w:t xml:space="preserve">Journal of Accounting and Public Policy, </w:t>
      </w:r>
      <w:r w:rsidR="00A3548F">
        <w:rPr>
          <w:rFonts w:cs="Calibri"/>
          <w:lang w:val="en-US"/>
        </w:rPr>
        <w:t>vol. 27, 480-494</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Jones, J.J. (1991), "Earnings management during import relief investigations", </w:t>
      </w:r>
      <w:r w:rsidRPr="00F67CC4">
        <w:rPr>
          <w:rFonts w:cs="Calibri"/>
          <w:i/>
          <w:lang w:val="en-US"/>
        </w:rPr>
        <w:t xml:space="preserve">Journal of Accounting Research", </w:t>
      </w:r>
      <w:r w:rsidRPr="00F67CC4">
        <w:rPr>
          <w:rFonts w:cs="Calibri"/>
          <w:lang w:val="en-US"/>
        </w:rPr>
        <w:t>vol. 29, nr. 2, 193</w:t>
      </w:r>
      <w:r w:rsidR="00A3548F">
        <w:rPr>
          <w:rFonts w:cs="Calibri"/>
          <w:lang w:val="en-US"/>
        </w:rPr>
        <w:t>-228</w:t>
      </w:r>
    </w:p>
    <w:p w:rsidR="00D30E26" w:rsidRPr="00F67CC4" w:rsidRDefault="00D30E26" w:rsidP="00BE2C16">
      <w:pPr>
        <w:numPr>
          <w:ilvl w:val="0"/>
          <w:numId w:val="9"/>
        </w:numPr>
        <w:spacing w:line="240" w:lineRule="auto"/>
        <w:ind w:left="340"/>
        <w:rPr>
          <w:rFonts w:cs="Calibri"/>
          <w:lang w:val="en-US"/>
        </w:rPr>
      </w:pPr>
      <w:r w:rsidRPr="00F67CC4">
        <w:rPr>
          <w:rFonts w:cs="Calibri"/>
          <w:lang w:val="en-US"/>
        </w:rPr>
        <w:t xml:space="preserve">Kaplan, R. S. </w:t>
      </w:r>
      <w:r w:rsidR="00BB6E78" w:rsidRPr="00F67CC4">
        <w:rPr>
          <w:rFonts w:cs="Calibri"/>
          <w:lang w:val="en-US"/>
        </w:rPr>
        <w:t xml:space="preserve">(1985), </w:t>
      </w:r>
      <w:r w:rsidRPr="00F67CC4">
        <w:rPr>
          <w:rFonts w:cs="Calibri"/>
          <w:lang w:val="en-US"/>
        </w:rPr>
        <w:t>“Comments on Paul Healy: Evidence on the Effect of Bonus Schemes on Accounting Procedure and Accrual Decisions.”</w:t>
      </w:r>
      <w:r w:rsidR="00BB6E78" w:rsidRPr="00F67CC4">
        <w:rPr>
          <w:rFonts w:cs="Calibri"/>
          <w:lang w:val="en-US"/>
        </w:rPr>
        <w:t xml:space="preserve">, </w:t>
      </w:r>
      <w:r w:rsidRPr="00F67CC4">
        <w:rPr>
          <w:rFonts w:cs="Calibri"/>
          <w:i/>
          <w:lang w:val="en-US"/>
        </w:rPr>
        <w:t>Journal of Accounting and Economics</w:t>
      </w:r>
      <w:r w:rsidRPr="00F67CC4">
        <w:rPr>
          <w:rFonts w:cs="Calibri"/>
          <w:lang w:val="en-US"/>
        </w:rPr>
        <w:t xml:space="preserve"> 7 (April 1985): 109-113</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Kothari, S.P., Leone, A.J. and Wasley, C.E. (2005), "Performance matched discretionary accruals measures", </w:t>
      </w:r>
      <w:r w:rsidRPr="00F67CC4">
        <w:rPr>
          <w:rFonts w:cs="Calibri"/>
          <w:i/>
          <w:lang w:val="en-US"/>
        </w:rPr>
        <w:t>Journal of Accounting and Economics</w:t>
      </w:r>
      <w:r w:rsidR="00A3548F">
        <w:rPr>
          <w:rFonts w:cs="Calibri"/>
          <w:lang w:val="en-US"/>
        </w:rPr>
        <w:t>, vol. 39, 163-197</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La Porta, R., Lopez-de-Silanes, F., Schleifer, A. and Vishny, R.W. (1998), “Law and Finance”, </w:t>
      </w:r>
      <w:r w:rsidRPr="00F67CC4">
        <w:rPr>
          <w:rFonts w:cs="Calibri"/>
          <w:i/>
          <w:lang w:val="en-US"/>
        </w:rPr>
        <w:t>Journal of Political Economy</w:t>
      </w:r>
      <w:r w:rsidR="00A3548F">
        <w:rPr>
          <w:rFonts w:cs="Calibri"/>
          <w:lang w:val="en-US"/>
        </w:rPr>
        <w:t>, vol. 106, 1113-1155</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La Porta, R., Lopez-de-Silanes, F., Schl</w:t>
      </w:r>
      <w:r w:rsidR="00DE1170" w:rsidRPr="00F67CC4">
        <w:rPr>
          <w:rFonts w:cs="Calibri"/>
          <w:lang w:val="en-US"/>
        </w:rPr>
        <w:t>eifer, A. and Vishny, R.W. (2000</w:t>
      </w:r>
      <w:r w:rsidRPr="00F67CC4">
        <w:rPr>
          <w:rFonts w:cs="Calibri"/>
          <w:lang w:val="en-US"/>
        </w:rPr>
        <w:t xml:space="preserve">), “Investor Protection and Corporate Governance”, </w:t>
      </w:r>
      <w:r w:rsidRPr="00F67CC4">
        <w:rPr>
          <w:rFonts w:cs="Calibri"/>
          <w:i/>
          <w:lang w:val="en-US"/>
        </w:rPr>
        <w:t xml:space="preserve">Journal of Financial Economics, </w:t>
      </w:r>
      <w:r w:rsidR="00A3548F">
        <w:rPr>
          <w:rFonts w:cs="Calibri"/>
          <w:lang w:val="en-US"/>
        </w:rPr>
        <w:t>vol. 58, 3-27</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Lippens, M. (2010)</w:t>
      </w:r>
      <w:r w:rsidR="00BB6E78" w:rsidRPr="00F67CC4">
        <w:rPr>
          <w:rFonts w:cs="Calibri"/>
          <w:lang w:val="en-US"/>
        </w:rPr>
        <w:t>,</w:t>
      </w:r>
      <w:r w:rsidRPr="00F67CC4">
        <w:rPr>
          <w:rFonts w:cs="Calibri"/>
          <w:lang w:val="en-US"/>
        </w:rPr>
        <w:t xml:space="preserve"> “The mandatory introduction of IFRS as a single accounting standard in the European Union and the effect on earnings management”, </w:t>
      </w:r>
      <w:r w:rsidRPr="00F67CC4">
        <w:rPr>
          <w:rFonts w:cs="Calibri"/>
          <w:i/>
          <w:lang w:val="en-US"/>
        </w:rPr>
        <w:t>InBook</w:t>
      </w:r>
      <w:r w:rsidR="00A3548F">
        <w:rPr>
          <w:rFonts w:cs="Calibri"/>
          <w:lang w:val="en-US"/>
        </w:rPr>
        <w:t>, 81-103</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Matsunga, S.R. (1995)</w:t>
      </w:r>
      <w:r w:rsidR="00BB6E78" w:rsidRPr="00F67CC4">
        <w:rPr>
          <w:rFonts w:cs="Calibri"/>
          <w:lang w:val="en-US"/>
        </w:rPr>
        <w:t>,</w:t>
      </w:r>
      <w:r w:rsidRPr="00F67CC4">
        <w:rPr>
          <w:rFonts w:cs="Calibri"/>
          <w:lang w:val="en-US"/>
        </w:rPr>
        <w:t xml:space="preserve"> “The effect of financial reporting costs on the use of employee stock options.” </w:t>
      </w:r>
      <w:r w:rsidRPr="00F67CC4">
        <w:rPr>
          <w:rFonts w:cs="Calibri"/>
          <w:i/>
          <w:lang w:val="en-US"/>
        </w:rPr>
        <w:t>The Accounting Review</w:t>
      </w:r>
      <w:r w:rsidR="00A3548F">
        <w:rPr>
          <w:rFonts w:cs="Calibri"/>
          <w:lang w:val="en-US"/>
        </w:rPr>
        <w:t>, vol 70</w:t>
      </w:r>
      <w:r w:rsidR="002C7EA4">
        <w:rPr>
          <w:rFonts w:cs="Calibri"/>
          <w:lang w:val="en-US"/>
        </w:rPr>
        <w:t>,</w:t>
      </w:r>
      <w:r w:rsidR="00A3548F">
        <w:rPr>
          <w:rFonts w:cs="Calibri"/>
          <w:lang w:val="en-US"/>
        </w:rPr>
        <w:t xml:space="preserve"> 1-26</w:t>
      </w:r>
    </w:p>
    <w:p w:rsidR="001C6A3E" w:rsidRPr="00F67CC4" w:rsidRDefault="001C6A3E" w:rsidP="00BE2C16">
      <w:pPr>
        <w:numPr>
          <w:ilvl w:val="0"/>
          <w:numId w:val="9"/>
        </w:numPr>
        <w:spacing w:line="240" w:lineRule="auto"/>
        <w:ind w:left="340"/>
        <w:rPr>
          <w:rFonts w:cs="Calibri"/>
          <w:lang w:val="en-GB"/>
        </w:rPr>
      </w:pPr>
      <w:r w:rsidRPr="00F67CC4">
        <w:rPr>
          <w:rFonts w:cs="Calibri"/>
          <w:lang w:val="en-US"/>
        </w:rPr>
        <w:t xml:space="preserve">McNichols, M.F. (2000), “Research design issues in earnings management studies”, </w:t>
      </w:r>
      <w:r w:rsidRPr="00F67CC4">
        <w:rPr>
          <w:rFonts w:cs="Calibri"/>
          <w:i/>
          <w:lang w:val="en-GB"/>
        </w:rPr>
        <w:t xml:space="preserve">Journal of Accounting and Public Policy, </w:t>
      </w:r>
      <w:r w:rsidR="00A3548F">
        <w:rPr>
          <w:rFonts w:cs="Calibri"/>
          <w:lang w:val="en-GB"/>
        </w:rPr>
        <w:t>vol 19, 313-345</w:t>
      </w:r>
    </w:p>
    <w:p w:rsidR="00A11324" w:rsidRDefault="00A11324" w:rsidP="00BE2C16">
      <w:pPr>
        <w:numPr>
          <w:ilvl w:val="0"/>
          <w:numId w:val="9"/>
        </w:numPr>
        <w:spacing w:line="240" w:lineRule="auto"/>
        <w:ind w:left="340"/>
        <w:rPr>
          <w:rFonts w:cs="Calibri"/>
          <w:lang w:val="en-GB"/>
        </w:rPr>
      </w:pPr>
      <w:r w:rsidRPr="00F67CC4">
        <w:rPr>
          <w:rFonts w:cs="Calibri"/>
          <w:lang w:val="en-GB"/>
        </w:rPr>
        <w:t>Schipper</w:t>
      </w:r>
      <w:r w:rsidR="00A03D93" w:rsidRPr="00F67CC4">
        <w:rPr>
          <w:rFonts w:cs="Calibri"/>
          <w:lang w:val="en-GB"/>
        </w:rPr>
        <w:t>, K.S.</w:t>
      </w:r>
      <w:r w:rsidRPr="00F67CC4">
        <w:rPr>
          <w:rFonts w:cs="Calibri"/>
          <w:lang w:val="en-GB"/>
        </w:rPr>
        <w:t xml:space="preserve"> (1989)</w:t>
      </w:r>
      <w:r w:rsidR="00A03D93" w:rsidRPr="00F67CC4">
        <w:rPr>
          <w:rFonts w:cs="Calibri"/>
          <w:lang w:val="en-GB"/>
        </w:rPr>
        <w:t xml:space="preserve">, “Commentary on Earnings Management”, </w:t>
      </w:r>
      <w:r w:rsidR="00A03D93" w:rsidRPr="00F67CC4">
        <w:rPr>
          <w:rFonts w:cs="Calibri"/>
          <w:i/>
          <w:lang w:val="en-GB"/>
        </w:rPr>
        <w:t>Accounting Horizons</w:t>
      </w:r>
      <w:r w:rsidR="00A03D93" w:rsidRPr="00F67CC4">
        <w:rPr>
          <w:rFonts w:cs="Calibri"/>
          <w:lang w:val="en-GB"/>
        </w:rPr>
        <w:t>, Dec 1989, 91-102</w:t>
      </w:r>
    </w:p>
    <w:p w:rsidR="00882324" w:rsidRPr="00864822" w:rsidRDefault="00882324" w:rsidP="00BE2C16">
      <w:pPr>
        <w:numPr>
          <w:ilvl w:val="0"/>
          <w:numId w:val="9"/>
        </w:numPr>
        <w:spacing w:line="240" w:lineRule="auto"/>
        <w:ind w:left="340"/>
        <w:rPr>
          <w:rFonts w:cs="Calibri"/>
          <w:lang w:val="en-GB"/>
        </w:rPr>
      </w:pPr>
      <w:r w:rsidRPr="00864822">
        <w:rPr>
          <w:rFonts w:cs="Calibri"/>
          <w:lang w:val="en-GB"/>
        </w:rPr>
        <w:t>Schipper</w:t>
      </w:r>
      <w:r w:rsidR="00864822" w:rsidRPr="00864822">
        <w:rPr>
          <w:rFonts w:cs="Calibri"/>
          <w:lang w:val="en-GB"/>
        </w:rPr>
        <w:t>, K.</w:t>
      </w:r>
      <w:r w:rsidRPr="00864822">
        <w:rPr>
          <w:rFonts w:cs="Calibri"/>
          <w:lang w:val="en-GB"/>
        </w:rPr>
        <w:t xml:space="preserve"> (2003)</w:t>
      </w:r>
      <w:r w:rsidR="00864822" w:rsidRPr="00864822">
        <w:rPr>
          <w:rFonts w:cs="Calibri"/>
          <w:lang w:val="en-GB"/>
        </w:rPr>
        <w:t>, “Principles-based accounting standards”,</w:t>
      </w:r>
      <w:r w:rsidR="00864822" w:rsidRPr="00864822">
        <w:rPr>
          <w:rFonts w:cs="Calibri"/>
          <w:i/>
          <w:lang w:val="en-GB"/>
        </w:rPr>
        <w:t xml:space="preserve"> Accounting Horizons, Mar 2003, 61-72</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Soderstrom, N.S. and Sun, K.J. (2007), “IFRS Adoption and accounting quality: a review”, </w:t>
      </w:r>
      <w:r w:rsidRPr="00F67CC4">
        <w:rPr>
          <w:rFonts w:cs="Calibri"/>
          <w:i/>
          <w:lang w:val="en-US"/>
        </w:rPr>
        <w:t>European Accounting Review,</w:t>
      </w:r>
      <w:r w:rsidR="00A3548F">
        <w:rPr>
          <w:rFonts w:cs="Calibri"/>
          <w:lang w:val="en-US"/>
        </w:rPr>
        <w:t xml:space="preserve"> vol. 16, no. 4, 675-702</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Tendeloo, B. and Vanstraelen, A. (2005), “Earnings management under German GAAP versus IFRS”, </w:t>
      </w:r>
      <w:r w:rsidRPr="00F67CC4">
        <w:rPr>
          <w:rFonts w:cs="Calibri"/>
          <w:i/>
          <w:lang w:val="en-US"/>
        </w:rPr>
        <w:t xml:space="preserve">European Accounting Review, </w:t>
      </w:r>
      <w:r w:rsidR="00A3548F">
        <w:rPr>
          <w:rFonts w:cs="Calibri"/>
          <w:lang w:val="en-US"/>
        </w:rPr>
        <w:t>vol. 14, 155-180</w:t>
      </w:r>
    </w:p>
    <w:p w:rsidR="009551D9" w:rsidRPr="00F67CC4" w:rsidRDefault="009551D9" w:rsidP="00BE2C16">
      <w:pPr>
        <w:numPr>
          <w:ilvl w:val="0"/>
          <w:numId w:val="9"/>
        </w:numPr>
        <w:spacing w:line="240" w:lineRule="auto"/>
        <w:ind w:left="340"/>
        <w:rPr>
          <w:rFonts w:cs="Calibri"/>
          <w:lang w:val="en-US"/>
        </w:rPr>
      </w:pPr>
      <w:r w:rsidRPr="00F67CC4">
        <w:rPr>
          <w:rFonts w:cs="Calibri"/>
          <w:lang w:val="en-US"/>
        </w:rPr>
        <w:t>Xu</w:t>
      </w:r>
      <w:r w:rsidR="00A03D93" w:rsidRPr="00F67CC4">
        <w:rPr>
          <w:rFonts w:cs="Calibri"/>
          <w:lang w:val="en-US"/>
        </w:rPr>
        <w:t>, R.Z.</w:t>
      </w:r>
      <w:r w:rsidRPr="00F67CC4">
        <w:rPr>
          <w:rFonts w:cs="Calibri"/>
          <w:lang w:val="en-US"/>
        </w:rPr>
        <w:t>, Taylor</w:t>
      </w:r>
      <w:r w:rsidR="00A03D93" w:rsidRPr="00F67CC4">
        <w:rPr>
          <w:rFonts w:cs="Calibri"/>
          <w:lang w:val="en-US"/>
        </w:rPr>
        <w:t>, G.K.</w:t>
      </w:r>
      <w:r w:rsidRPr="00F67CC4">
        <w:rPr>
          <w:rFonts w:cs="Calibri"/>
          <w:lang w:val="en-US"/>
        </w:rPr>
        <w:t xml:space="preserve"> and Dugan</w:t>
      </w:r>
      <w:r w:rsidR="00A03D93" w:rsidRPr="00F67CC4">
        <w:rPr>
          <w:rFonts w:cs="Calibri"/>
          <w:lang w:val="en-US"/>
        </w:rPr>
        <w:t>, M.T.</w:t>
      </w:r>
      <w:r w:rsidRPr="00F67CC4">
        <w:rPr>
          <w:rFonts w:cs="Calibri"/>
          <w:lang w:val="en-US"/>
        </w:rPr>
        <w:t xml:space="preserve"> (2007)</w:t>
      </w:r>
      <w:r w:rsidR="00BB6E78" w:rsidRPr="00F67CC4">
        <w:rPr>
          <w:rFonts w:cs="Calibri"/>
          <w:lang w:val="en-US"/>
        </w:rPr>
        <w:t>,</w:t>
      </w:r>
      <w:r w:rsidR="00A03D93" w:rsidRPr="00F67CC4">
        <w:rPr>
          <w:rFonts w:cs="Calibri"/>
          <w:lang w:val="en-US"/>
        </w:rPr>
        <w:t xml:space="preserve"> “Review of Real Earnings Management Literature”, </w:t>
      </w:r>
      <w:r w:rsidR="00A03D93" w:rsidRPr="00F67CC4">
        <w:rPr>
          <w:rFonts w:cs="Calibri"/>
          <w:i/>
          <w:lang w:val="en-US"/>
        </w:rPr>
        <w:t>Journal of Accounting Literature</w:t>
      </w:r>
      <w:r w:rsidR="00A03D93" w:rsidRPr="00F67CC4">
        <w:rPr>
          <w:rFonts w:cs="Calibri"/>
          <w:lang w:val="en-US"/>
        </w:rPr>
        <w:t>, vol. 26, 195-228</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lastRenderedPageBreak/>
        <w:t xml:space="preserve">Watts, R.L. and Zimmerman, J.L. (1978), “Towards a positive theory of the determination of accounting standards”, </w:t>
      </w:r>
      <w:r w:rsidRPr="00F67CC4">
        <w:rPr>
          <w:rFonts w:cs="Calibri"/>
          <w:i/>
          <w:lang w:val="en-US"/>
        </w:rPr>
        <w:t>The Accounting Review</w:t>
      </w:r>
      <w:r w:rsidR="00A3548F">
        <w:rPr>
          <w:rFonts w:cs="Calibri"/>
          <w:lang w:val="en-US"/>
        </w:rPr>
        <w:t>, Vol 53, januari, 112-134</w:t>
      </w:r>
    </w:p>
    <w:p w:rsidR="00B61937" w:rsidRPr="00F67CC4" w:rsidRDefault="00B61937" w:rsidP="00B61937">
      <w:pPr>
        <w:spacing w:line="240" w:lineRule="auto"/>
        <w:ind w:left="340"/>
        <w:rPr>
          <w:rFonts w:cs="Calibri"/>
          <w:lang w:val="en-US"/>
        </w:rPr>
      </w:pPr>
    </w:p>
    <w:p w:rsidR="00AA1902" w:rsidRPr="00F67CC4" w:rsidRDefault="00940091" w:rsidP="00AA1902">
      <w:pPr>
        <w:spacing w:line="240" w:lineRule="auto"/>
        <w:ind w:left="340"/>
        <w:rPr>
          <w:rFonts w:cs="Calibri"/>
          <w:lang w:val="en-US"/>
        </w:rPr>
      </w:pPr>
      <w:r w:rsidRPr="00F67CC4">
        <w:rPr>
          <w:rFonts w:cs="Calibri"/>
          <w:b/>
          <w:lang w:val="en-US"/>
        </w:rPr>
        <w:t>Books</w:t>
      </w:r>
      <w:r w:rsidR="00992B0E" w:rsidRPr="00F67CC4">
        <w:rPr>
          <w:rFonts w:cs="Calibri"/>
          <w:b/>
          <w:lang w:val="en-US"/>
        </w:rPr>
        <w:t xml:space="preserve"> </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 xml:space="preserve">Deegan, C. and Unerman, J. (2006), </w:t>
      </w:r>
      <w:r w:rsidRPr="00F67CC4">
        <w:rPr>
          <w:rFonts w:cs="Calibri"/>
          <w:i/>
          <w:lang w:val="en-US"/>
        </w:rPr>
        <w:t>Financial Accounting Theory,</w:t>
      </w:r>
      <w:r w:rsidRPr="00F67CC4">
        <w:rPr>
          <w:rFonts w:cs="Calibri"/>
          <w:lang w:val="en-US"/>
        </w:rPr>
        <w:t xml:space="preserve"> European Edition, Berkshire: McGraw-Hill Education.</w:t>
      </w:r>
    </w:p>
    <w:p w:rsidR="0090574D" w:rsidRPr="0090574D" w:rsidRDefault="001C6A3E" w:rsidP="0090574D">
      <w:pPr>
        <w:numPr>
          <w:ilvl w:val="0"/>
          <w:numId w:val="9"/>
        </w:numPr>
        <w:spacing w:line="240" w:lineRule="auto"/>
        <w:ind w:left="340"/>
        <w:rPr>
          <w:rFonts w:cs="Calibri"/>
          <w:lang w:val="en-US"/>
        </w:rPr>
      </w:pPr>
      <w:r w:rsidRPr="00F67CC4">
        <w:rPr>
          <w:rFonts w:cs="Calibri"/>
          <w:lang w:val="en-US"/>
        </w:rPr>
        <w:t>Deegan C. and Underman, J. (2011)</w:t>
      </w:r>
      <w:r w:rsidR="00BB6E78" w:rsidRPr="00F67CC4">
        <w:rPr>
          <w:rFonts w:cs="Calibri"/>
          <w:lang w:val="en-US"/>
        </w:rPr>
        <w:t>,</w:t>
      </w:r>
      <w:r w:rsidRPr="00F67CC4">
        <w:rPr>
          <w:rFonts w:cs="Calibri"/>
          <w:lang w:val="en-US"/>
        </w:rPr>
        <w:t xml:space="preserve"> </w:t>
      </w:r>
      <w:r w:rsidRPr="00F67CC4">
        <w:rPr>
          <w:rFonts w:cs="Calibri"/>
          <w:i/>
          <w:iCs/>
          <w:lang w:val="en-US"/>
        </w:rPr>
        <w:t xml:space="preserve">Financial Accounting Theory, </w:t>
      </w:r>
      <w:r w:rsidRPr="00F67CC4">
        <w:rPr>
          <w:rFonts w:cs="Calibri"/>
          <w:lang w:val="en-US"/>
        </w:rPr>
        <w:t>Second European Edition, McGraw-Hill Education</w:t>
      </w:r>
    </w:p>
    <w:p w:rsidR="000653D8" w:rsidRPr="0090574D" w:rsidRDefault="000653D8" w:rsidP="00BE2C16">
      <w:pPr>
        <w:numPr>
          <w:ilvl w:val="0"/>
          <w:numId w:val="9"/>
        </w:numPr>
        <w:spacing w:line="240" w:lineRule="auto"/>
        <w:ind w:left="340"/>
        <w:rPr>
          <w:rFonts w:cs="Calibri"/>
          <w:lang w:val="en-US"/>
        </w:rPr>
      </w:pPr>
      <w:r w:rsidRPr="0090574D">
        <w:rPr>
          <w:rFonts w:cs="Calibri"/>
          <w:bCs/>
          <w:lang w:val="en-US"/>
        </w:rPr>
        <w:t xml:space="preserve">Chumney, E.C.G. and Simpson, K.N. (2006) </w:t>
      </w:r>
      <w:r w:rsidRPr="0090574D">
        <w:rPr>
          <w:rFonts w:cs="Calibri"/>
          <w:bCs/>
          <w:i/>
          <w:lang w:val="en-US"/>
        </w:rPr>
        <w:t>Methods a</w:t>
      </w:r>
      <w:r w:rsidR="00C7797B" w:rsidRPr="0090574D">
        <w:rPr>
          <w:rFonts w:cs="Calibri"/>
          <w:bCs/>
          <w:i/>
          <w:lang w:val="en-US"/>
        </w:rPr>
        <w:t xml:space="preserve">nd Designs for Outcomes Research, </w:t>
      </w:r>
      <w:r w:rsidR="00C7797B" w:rsidRPr="0090574D">
        <w:rPr>
          <w:rFonts w:cs="Calibri"/>
          <w:bCs/>
          <w:lang w:val="en-US"/>
        </w:rPr>
        <w:t>American Society of Health-Sys</w:t>
      </w:r>
      <w:r w:rsidR="0090574D" w:rsidRPr="0090574D">
        <w:rPr>
          <w:rFonts w:cs="Calibri"/>
          <w:bCs/>
          <w:lang w:val="en-US"/>
        </w:rPr>
        <w:t>tem Pharmacists</w:t>
      </w:r>
    </w:p>
    <w:p w:rsidR="00B61937" w:rsidRPr="00F67CC4" w:rsidRDefault="00B61937" w:rsidP="00B61937">
      <w:pPr>
        <w:numPr>
          <w:ilvl w:val="0"/>
          <w:numId w:val="9"/>
        </w:numPr>
        <w:spacing w:line="240" w:lineRule="auto"/>
        <w:ind w:left="340"/>
        <w:rPr>
          <w:rFonts w:cs="Calibri"/>
        </w:rPr>
      </w:pPr>
      <w:r w:rsidRPr="00F67CC4">
        <w:rPr>
          <w:rFonts w:cs="Calibri"/>
        </w:rPr>
        <w:t>Epe, P.</w:t>
      </w:r>
      <w:r w:rsidR="00761C15" w:rsidRPr="00F67CC4">
        <w:rPr>
          <w:rFonts w:cs="Calibri"/>
        </w:rPr>
        <w:t xml:space="preserve"> and</w:t>
      </w:r>
      <w:r w:rsidRPr="00F67CC4">
        <w:rPr>
          <w:rFonts w:cs="Calibri"/>
        </w:rPr>
        <w:t xml:space="preserve"> Koetzier, W. (2002)</w:t>
      </w:r>
      <w:r w:rsidR="00BB6E78" w:rsidRPr="00F67CC4">
        <w:rPr>
          <w:rFonts w:cs="Calibri"/>
        </w:rPr>
        <w:t>,</w:t>
      </w:r>
      <w:r w:rsidRPr="00F67CC4">
        <w:rPr>
          <w:rFonts w:cs="Calibri"/>
        </w:rPr>
        <w:t xml:space="preserve"> </w:t>
      </w:r>
      <w:r w:rsidRPr="00F67CC4">
        <w:rPr>
          <w:rFonts w:cs="Calibri"/>
          <w:i/>
        </w:rPr>
        <w:t>Jaarverslaggeving</w:t>
      </w:r>
      <w:r w:rsidRPr="00F67CC4">
        <w:rPr>
          <w:rFonts w:cs="Calibri"/>
        </w:rPr>
        <w:t>, Third edition, Wolters-Noordhoff</w:t>
      </w:r>
    </w:p>
    <w:p w:rsidR="001C6A3E" w:rsidRDefault="001C6A3E" w:rsidP="00BE2C16">
      <w:pPr>
        <w:numPr>
          <w:ilvl w:val="0"/>
          <w:numId w:val="9"/>
        </w:numPr>
        <w:spacing w:line="240" w:lineRule="auto"/>
        <w:ind w:left="340"/>
        <w:rPr>
          <w:rFonts w:cs="Calibri"/>
          <w:lang w:val="en-US"/>
        </w:rPr>
      </w:pPr>
      <w:r w:rsidRPr="00F67CC4">
        <w:rPr>
          <w:rFonts w:cs="Calibri"/>
          <w:lang w:val="en-US"/>
        </w:rPr>
        <w:t xml:space="preserve">Henderson, S., Peirson, G. and Brown, R. (1992), </w:t>
      </w:r>
      <w:r w:rsidRPr="00F67CC4">
        <w:rPr>
          <w:rFonts w:cs="Calibri"/>
          <w:i/>
          <w:lang w:val="en-US"/>
        </w:rPr>
        <w:t>Financial Accounting Theory: Its nature and development</w:t>
      </w:r>
      <w:r w:rsidRPr="00F67CC4">
        <w:rPr>
          <w:rFonts w:cs="Calibri"/>
          <w:lang w:val="en-US"/>
        </w:rPr>
        <w:t>, 2nd edition, Melbourne: Longman Cheshire.</w:t>
      </w:r>
    </w:p>
    <w:p w:rsidR="00A967E6" w:rsidRPr="00F67CC4" w:rsidRDefault="00A967E6" w:rsidP="00BE2C16">
      <w:pPr>
        <w:numPr>
          <w:ilvl w:val="0"/>
          <w:numId w:val="9"/>
        </w:numPr>
        <w:spacing w:line="240" w:lineRule="auto"/>
        <w:ind w:left="340"/>
        <w:rPr>
          <w:rFonts w:cs="Calibri"/>
          <w:lang w:val="en-US"/>
        </w:rPr>
      </w:pPr>
      <w:r>
        <w:rPr>
          <w:rFonts w:cs="Calibri"/>
          <w:lang w:val="en-US"/>
        </w:rPr>
        <w:t xml:space="preserve">Norušis, M.J. (1995), </w:t>
      </w:r>
      <w:r>
        <w:rPr>
          <w:rFonts w:cs="Calibri"/>
          <w:i/>
          <w:lang w:val="en-US"/>
        </w:rPr>
        <w:t xml:space="preserve">SPSS 6.1 Guide to Data Analysis, </w:t>
      </w:r>
      <w:r>
        <w:rPr>
          <w:rFonts w:cs="Calibri"/>
          <w:lang w:val="en-US"/>
        </w:rPr>
        <w:t>Prentice Hall</w:t>
      </w:r>
    </w:p>
    <w:p w:rsidR="00940091" w:rsidRDefault="00940091" w:rsidP="00BE2C16">
      <w:pPr>
        <w:numPr>
          <w:ilvl w:val="0"/>
          <w:numId w:val="9"/>
        </w:numPr>
        <w:spacing w:line="240" w:lineRule="auto"/>
        <w:ind w:left="340"/>
        <w:rPr>
          <w:rFonts w:cs="Calibri"/>
          <w:lang w:val="en-US"/>
        </w:rPr>
      </w:pPr>
      <w:r w:rsidRPr="00F67CC4">
        <w:rPr>
          <w:rFonts w:cs="Calibri"/>
          <w:lang w:val="en-US"/>
        </w:rPr>
        <w:t xml:space="preserve">Palepu, K.G., Healy, P.M. and Peek E. (2010), </w:t>
      </w:r>
      <w:r w:rsidRPr="00F67CC4">
        <w:rPr>
          <w:rFonts w:cs="Calibri"/>
          <w:i/>
          <w:lang w:val="en-US"/>
        </w:rPr>
        <w:t>Business Analysis and Valuation IFRS Edition</w:t>
      </w:r>
      <w:r w:rsidRPr="00F67CC4">
        <w:rPr>
          <w:rFonts w:cs="Calibri"/>
          <w:lang w:val="en-US"/>
        </w:rPr>
        <w:t>, 2</w:t>
      </w:r>
      <w:r w:rsidRPr="00F67CC4">
        <w:rPr>
          <w:rFonts w:cs="Calibri"/>
          <w:vertAlign w:val="superscript"/>
          <w:lang w:val="en-US"/>
        </w:rPr>
        <w:t xml:space="preserve">nd </w:t>
      </w:r>
      <w:r w:rsidRPr="00F67CC4">
        <w:rPr>
          <w:rFonts w:cs="Calibri"/>
          <w:lang w:val="en-US"/>
        </w:rPr>
        <w:t>edition, Cengare Learning EMEA</w:t>
      </w:r>
    </w:p>
    <w:p w:rsidR="00540A31" w:rsidRPr="00F67CC4" w:rsidRDefault="00540A31" w:rsidP="00BE2C16">
      <w:pPr>
        <w:numPr>
          <w:ilvl w:val="0"/>
          <w:numId w:val="9"/>
        </w:numPr>
        <w:spacing w:line="240" w:lineRule="auto"/>
        <w:ind w:left="340"/>
        <w:rPr>
          <w:rFonts w:cs="Calibri"/>
          <w:lang w:val="en-US"/>
        </w:rPr>
      </w:pPr>
      <w:r>
        <w:rPr>
          <w:rFonts w:cs="Calibri"/>
          <w:lang w:val="en-US"/>
        </w:rPr>
        <w:t>Pallant, J. (2010)</w:t>
      </w:r>
      <w:r>
        <w:rPr>
          <w:rFonts w:cs="Calibri"/>
          <w:i/>
          <w:lang w:val="en-US"/>
        </w:rPr>
        <w:t xml:space="preserve">, SPSS Survival Manual, </w:t>
      </w:r>
      <w:r>
        <w:rPr>
          <w:rFonts w:cs="Calibri"/>
          <w:lang w:val="en-US"/>
        </w:rPr>
        <w:t>4</w:t>
      </w:r>
      <w:r w:rsidRPr="00540A31">
        <w:rPr>
          <w:rFonts w:cs="Calibri"/>
          <w:vertAlign w:val="superscript"/>
          <w:lang w:val="en-US"/>
        </w:rPr>
        <w:t>th</w:t>
      </w:r>
      <w:r>
        <w:rPr>
          <w:rFonts w:cs="Calibri"/>
          <w:lang w:val="en-US"/>
        </w:rPr>
        <w:t xml:space="preserve"> edition, McGraw-Hill</w:t>
      </w:r>
    </w:p>
    <w:p w:rsidR="001C6A3E" w:rsidRPr="00F67CC4" w:rsidRDefault="00BB6E78" w:rsidP="00BE2C16">
      <w:pPr>
        <w:numPr>
          <w:ilvl w:val="0"/>
          <w:numId w:val="9"/>
        </w:numPr>
        <w:spacing w:line="240" w:lineRule="auto"/>
        <w:ind w:left="340"/>
        <w:rPr>
          <w:rFonts w:cs="Calibri"/>
          <w:lang w:val="en-US"/>
        </w:rPr>
      </w:pPr>
      <w:r w:rsidRPr="00F67CC4">
        <w:rPr>
          <w:rFonts w:cs="Calibri"/>
          <w:lang w:val="en-GB"/>
        </w:rPr>
        <w:t>Paton, W.A. (1922),</w:t>
      </w:r>
      <w:r w:rsidR="001C6A3E" w:rsidRPr="00F67CC4">
        <w:rPr>
          <w:rFonts w:cs="Calibri"/>
          <w:lang w:val="en-GB"/>
        </w:rPr>
        <w:t xml:space="preserve"> </w:t>
      </w:r>
      <w:r w:rsidR="001C6A3E" w:rsidRPr="00F67CC4">
        <w:rPr>
          <w:rFonts w:cs="Calibri"/>
          <w:i/>
          <w:lang w:val="en-GB"/>
        </w:rPr>
        <w:t>Accounting Theory - With Special Reference to the Corporate Enterprise</w:t>
      </w:r>
      <w:r w:rsidR="001C6A3E" w:rsidRPr="00F67CC4">
        <w:rPr>
          <w:rFonts w:cs="Calibri"/>
          <w:lang w:val="en-GB"/>
        </w:rPr>
        <w:t>, New York, The Ronald Press Company. Re-issued in 1962 by A.S.P. Accounting Studies Press, Ltd. Reprinted by Scholars Book Co., 1973.</w:t>
      </w:r>
    </w:p>
    <w:p w:rsidR="001C6A3E" w:rsidRPr="00F67CC4" w:rsidRDefault="001C6A3E" w:rsidP="00BE2C16">
      <w:pPr>
        <w:numPr>
          <w:ilvl w:val="0"/>
          <w:numId w:val="9"/>
        </w:numPr>
        <w:spacing w:line="240" w:lineRule="auto"/>
        <w:ind w:left="340"/>
        <w:rPr>
          <w:rFonts w:cs="Calibri"/>
          <w:lang w:val="en-US"/>
        </w:rPr>
      </w:pPr>
      <w:r w:rsidRPr="00F67CC4">
        <w:rPr>
          <w:rFonts w:cs="Calibri"/>
          <w:lang w:val="en-US"/>
        </w:rPr>
        <w:t>Ronen, J. and V. Yaari (2008)</w:t>
      </w:r>
      <w:r w:rsidR="00BB6E78" w:rsidRPr="00F67CC4">
        <w:rPr>
          <w:rFonts w:cs="Calibri"/>
          <w:lang w:val="en-US"/>
        </w:rPr>
        <w:t>,</w:t>
      </w:r>
      <w:r w:rsidRPr="00F67CC4">
        <w:rPr>
          <w:rFonts w:cs="Calibri"/>
          <w:lang w:val="en-US"/>
        </w:rPr>
        <w:t xml:space="preserve"> </w:t>
      </w:r>
      <w:r w:rsidRPr="00F67CC4">
        <w:rPr>
          <w:rFonts w:cs="Calibri"/>
          <w:i/>
          <w:iCs/>
          <w:lang w:val="en-US"/>
        </w:rPr>
        <w:t>Earnings management. Emerging insight in theory, practice, and research</w:t>
      </w:r>
      <w:r w:rsidRPr="00F67CC4">
        <w:rPr>
          <w:rFonts w:cs="Calibri"/>
          <w:lang w:val="en-US"/>
        </w:rPr>
        <w:t>, Springer Verlag.</w:t>
      </w:r>
    </w:p>
    <w:p w:rsidR="00451B6B" w:rsidRPr="00F67CC4" w:rsidRDefault="00BB6E78" w:rsidP="00BE2C16">
      <w:pPr>
        <w:numPr>
          <w:ilvl w:val="0"/>
          <w:numId w:val="9"/>
        </w:numPr>
        <w:spacing w:line="240" w:lineRule="auto"/>
        <w:ind w:left="340"/>
        <w:rPr>
          <w:rFonts w:cs="Calibri"/>
          <w:lang w:val="en-US"/>
        </w:rPr>
      </w:pPr>
      <w:r w:rsidRPr="00F67CC4">
        <w:rPr>
          <w:rFonts w:cs="Calibri"/>
          <w:lang w:val="en-US"/>
        </w:rPr>
        <w:t xml:space="preserve">Scott, W.R. (2008), </w:t>
      </w:r>
      <w:r w:rsidRPr="00F67CC4">
        <w:rPr>
          <w:rFonts w:cs="Calibri"/>
          <w:i/>
          <w:lang w:val="en-US"/>
        </w:rPr>
        <w:t>Financial Accounting Theory</w:t>
      </w:r>
      <w:r w:rsidRPr="00F67CC4">
        <w:rPr>
          <w:rFonts w:cs="Calibri"/>
          <w:lang w:val="en-US"/>
        </w:rPr>
        <w:t>, 5</w:t>
      </w:r>
      <w:r w:rsidRPr="00F67CC4">
        <w:rPr>
          <w:rFonts w:cs="Calibri"/>
          <w:vertAlign w:val="superscript"/>
          <w:lang w:val="en-US"/>
        </w:rPr>
        <w:t>th</w:t>
      </w:r>
      <w:r w:rsidRPr="00F67CC4">
        <w:rPr>
          <w:rFonts w:cs="Calibri"/>
          <w:lang w:val="en-US"/>
        </w:rPr>
        <w:t xml:space="preserve"> edition, Pearson Prentice Hall</w:t>
      </w:r>
    </w:p>
    <w:p w:rsidR="001C6A3E" w:rsidRDefault="001C6A3E" w:rsidP="00BE2C16">
      <w:pPr>
        <w:numPr>
          <w:ilvl w:val="0"/>
          <w:numId w:val="9"/>
        </w:numPr>
        <w:spacing w:line="240" w:lineRule="auto"/>
        <w:ind w:left="340"/>
        <w:rPr>
          <w:rFonts w:cs="Calibri"/>
          <w:lang w:val="en-GB"/>
        </w:rPr>
      </w:pPr>
      <w:r w:rsidRPr="00F67CC4">
        <w:rPr>
          <w:rFonts w:cs="Calibri"/>
          <w:lang w:val="en-GB"/>
        </w:rPr>
        <w:t xml:space="preserve">Schroeder, R.G., Clark M.W, Cathey, J.M. (2009), </w:t>
      </w:r>
      <w:r w:rsidRPr="00F67CC4">
        <w:rPr>
          <w:rFonts w:cs="Calibri"/>
          <w:i/>
          <w:iCs/>
          <w:lang w:val="en-GB"/>
        </w:rPr>
        <w:t>Financial Accounting Theory and Analysis: Text and cases</w:t>
      </w:r>
      <w:r w:rsidRPr="00F67CC4">
        <w:rPr>
          <w:rFonts w:cs="Calibri"/>
          <w:lang w:val="en-GB"/>
        </w:rPr>
        <w:t>, 9</w:t>
      </w:r>
      <w:r w:rsidRPr="00F67CC4">
        <w:rPr>
          <w:rFonts w:cs="Calibri"/>
          <w:vertAlign w:val="superscript"/>
          <w:lang w:val="en-GB"/>
        </w:rPr>
        <w:t>th</w:t>
      </w:r>
      <w:r w:rsidRPr="00F67CC4">
        <w:rPr>
          <w:rFonts w:cs="Calibri"/>
          <w:lang w:val="en-GB"/>
        </w:rPr>
        <w:t xml:space="preserve"> edition, John Wiley &amp; Sons, inc.</w:t>
      </w:r>
    </w:p>
    <w:p w:rsidR="00AD71C9" w:rsidRPr="00F67CC4" w:rsidRDefault="00AD71C9" w:rsidP="00BE2C16">
      <w:pPr>
        <w:numPr>
          <w:ilvl w:val="0"/>
          <w:numId w:val="9"/>
        </w:numPr>
        <w:spacing w:line="240" w:lineRule="auto"/>
        <w:ind w:left="340"/>
        <w:rPr>
          <w:rFonts w:cs="Calibri"/>
          <w:lang w:val="en-GB"/>
        </w:rPr>
      </w:pPr>
      <w:r>
        <w:rPr>
          <w:rFonts w:cs="Calibri"/>
          <w:lang w:val="en-GB"/>
        </w:rPr>
        <w:t xml:space="preserve">Tabachnick, B.G. and Fidell, L.S. (1996), </w:t>
      </w:r>
      <w:r w:rsidR="00731720">
        <w:rPr>
          <w:rFonts w:cs="Calibri"/>
          <w:i/>
          <w:lang w:val="en-GB"/>
        </w:rPr>
        <w:t>Using Multivariate Statistics</w:t>
      </w:r>
      <w:r w:rsidR="00731720">
        <w:rPr>
          <w:rFonts w:cs="Calibri"/>
          <w:lang w:val="en-GB"/>
        </w:rPr>
        <w:t>, 3th edition, HarperCollins College Publishers</w:t>
      </w:r>
    </w:p>
    <w:p w:rsidR="00ED5F0E" w:rsidRPr="00F67CC4" w:rsidRDefault="001C6A3E" w:rsidP="00113E46">
      <w:pPr>
        <w:numPr>
          <w:ilvl w:val="0"/>
          <w:numId w:val="9"/>
        </w:numPr>
        <w:spacing w:line="360" w:lineRule="auto"/>
        <w:ind w:left="340"/>
        <w:rPr>
          <w:rFonts w:cs="Calibri"/>
          <w:lang w:val="en-GB"/>
        </w:rPr>
      </w:pPr>
      <w:r w:rsidRPr="00F67CC4">
        <w:rPr>
          <w:rFonts w:cs="Calibri"/>
          <w:lang w:val="en-GB"/>
        </w:rPr>
        <w:t>Watts, R.L. and Zimmerman, J.L (1986), Positive Accounting Theory, Prentice-Hall Inc.</w:t>
      </w:r>
      <w:r w:rsidR="00ED5F0E" w:rsidRPr="00F67CC4">
        <w:rPr>
          <w:rFonts w:cs="Calibri"/>
          <w:lang w:val="en-US"/>
        </w:rPr>
        <w:br/>
      </w:r>
    </w:p>
    <w:p w:rsidR="00940091" w:rsidRPr="00F67CC4" w:rsidRDefault="00940091">
      <w:pPr>
        <w:rPr>
          <w:rFonts w:cs="Calibri"/>
          <w:b/>
          <w:lang w:val="en-GB"/>
        </w:rPr>
      </w:pPr>
      <w:r w:rsidRPr="00F67CC4">
        <w:rPr>
          <w:rFonts w:cs="Calibri"/>
          <w:b/>
          <w:lang w:val="en-GB"/>
        </w:rPr>
        <w:t>Other</w:t>
      </w:r>
    </w:p>
    <w:p w:rsidR="008F5A7F" w:rsidRPr="00731720" w:rsidRDefault="00940091" w:rsidP="00731720">
      <w:pPr>
        <w:numPr>
          <w:ilvl w:val="0"/>
          <w:numId w:val="9"/>
        </w:numPr>
        <w:rPr>
          <w:rFonts w:cs="Calibri"/>
        </w:rPr>
      </w:pPr>
      <w:r w:rsidRPr="00F67CC4">
        <w:rPr>
          <w:rFonts w:cs="Calibri"/>
        </w:rPr>
        <w:t>Code Tabaksblat</w:t>
      </w:r>
      <w:r w:rsidR="00106D84" w:rsidRPr="00F67CC4">
        <w:rPr>
          <w:rFonts w:cs="Calibri"/>
        </w:rPr>
        <w:t xml:space="preserve"> – De Nederl</w:t>
      </w:r>
      <w:r w:rsidR="00113E46" w:rsidRPr="00F67CC4">
        <w:rPr>
          <w:rFonts w:cs="Calibri"/>
        </w:rPr>
        <w:t>andse Corporate Governance Code, december 2003</w:t>
      </w:r>
    </w:p>
    <w:p w:rsidR="005860A8" w:rsidRDefault="005860A8" w:rsidP="008F5A7F">
      <w:pPr>
        <w:rPr>
          <w:b/>
          <w:sz w:val="24"/>
          <w:szCs w:val="24"/>
        </w:rPr>
      </w:pPr>
    </w:p>
    <w:p w:rsidR="00DB4F58" w:rsidRPr="006F6D29" w:rsidRDefault="00DB4F58" w:rsidP="008F5A7F">
      <w:pPr>
        <w:rPr>
          <w:b/>
          <w:sz w:val="24"/>
          <w:szCs w:val="24"/>
        </w:rPr>
      </w:pPr>
      <w:r w:rsidRPr="006F6D29">
        <w:rPr>
          <w:b/>
          <w:sz w:val="24"/>
          <w:szCs w:val="24"/>
        </w:rPr>
        <w:br/>
      </w:r>
    </w:p>
    <w:p w:rsidR="00ED5F0E" w:rsidRPr="00DB4F58" w:rsidRDefault="00DB4F58" w:rsidP="00DB4F58">
      <w:pPr>
        <w:spacing w:after="0" w:line="240" w:lineRule="auto"/>
        <w:rPr>
          <w:rFonts w:cs="Calibri"/>
          <w:sz w:val="24"/>
          <w:szCs w:val="24"/>
          <w:lang w:val="en-GB"/>
        </w:rPr>
      </w:pPr>
      <w:r w:rsidRPr="006F6D29">
        <w:rPr>
          <w:b/>
          <w:sz w:val="24"/>
          <w:szCs w:val="24"/>
        </w:rPr>
        <w:br w:type="page"/>
      </w:r>
      <w:r w:rsidR="008F5A7F" w:rsidRPr="00DB4F58">
        <w:rPr>
          <w:b/>
          <w:sz w:val="24"/>
          <w:szCs w:val="24"/>
          <w:lang w:val="en-GB"/>
        </w:rPr>
        <w:lastRenderedPageBreak/>
        <w:t xml:space="preserve">Appendix 1 </w:t>
      </w:r>
      <w:r w:rsidR="000E1F32" w:rsidRPr="00DB4F58">
        <w:rPr>
          <w:b/>
          <w:sz w:val="24"/>
          <w:szCs w:val="24"/>
          <w:lang w:val="en-GB"/>
        </w:rPr>
        <w:t>Literature review</w:t>
      </w:r>
    </w:p>
    <w:p w:rsidR="008F5A7F" w:rsidRPr="00DB4F58" w:rsidRDefault="008F5A7F" w:rsidP="008F5A7F">
      <w:pPr>
        <w:ind w:left="720"/>
        <w:rPr>
          <w:rFonts w:cs="Calibri"/>
          <w:lang w:val="en-GB"/>
        </w:rPr>
      </w:pPr>
    </w:p>
    <w:tbl>
      <w:tblPr>
        <w:tblW w:w="10620" w:type="dxa"/>
        <w:jc w:val="center"/>
        <w:tblInd w:w="-972" w:type="dxa"/>
        <w:tblLayout w:type="fixed"/>
        <w:tblLook w:val="0000"/>
      </w:tblPr>
      <w:tblGrid>
        <w:gridCol w:w="1620"/>
        <w:gridCol w:w="1848"/>
        <w:gridCol w:w="1626"/>
        <w:gridCol w:w="2520"/>
        <w:gridCol w:w="3006"/>
      </w:tblGrid>
      <w:tr w:rsidR="001C6A3E" w:rsidRPr="00DB4F58"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1C6A3E" w:rsidRPr="00F67CC4" w:rsidRDefault="00ED5F0E" w:rsidP="00BA1EE2">
            <w:pPr>
              <w:spacing w:line="240" w:lineRule="auto"/>
              <w:rPr>
                <w:rFonts w:cs="Calibri"/>
                <w:b/>
                <w:sz w:val="20"/>
                <w:szCs w:val="20"/>
                <w:lang w:val="en-GB"/>
              </w:rPr>
            </w:pPr>
            <w:r w:rsidRPr="00DB4F58">
              <w:rPr>
                <w:rFonts w:cs="Calibri"/>
                <w:lang w:val="en-GB"/>
              </w:rPr>
              <w:br w:type="page"/>
            </w:r>
            <w:r w:rsidR="001C6A3E" w:rsidRPr="00DB4F58">
              <w:rPr>
                <w:rFonts w:cs="Calibri"/>
                <w:b/>
                <w:sz w:val="20"/>
                <w:szCs w:val="20"/>
                <w:lang w:val="en-GB"/>
              </w:rPr>
              <w:br w:type="page"/>
            </w:r>
            <w:r w:rsidR="001C6A3E" w:rsidRPr="00F67CC4">
              <w:rPr>
                <w:rFonts w:cs="Calibri"/>
                <w:b/>
                <w:sz w:val="20"/>
                <w:szCs w:val="20"/>
                <w:lang w:val="en-GB"/>
              </w:rPr>
              <w:t>AUTHOR</w:t>
            </w:r>
          </w:p>
        </w:tc>
        <w:tc>
          <w:tcPr>
            <w:tcW w:w="1848" w:type="dxa"/>
            <w:tcBorders>
              <w:top w:val="single" w:sz="4" w:space="0" w:color="000000"/>
              <w:left w:val="single" w:sz="4" w:space="0" w:color="000000"/>
              <w:bottom w:val="single" w:sz="4" w:space="0" w:color="000000"/>
              <w:right w:val="single" w:sz="4" w:space="0" w:color="000000"/>
            </w:tcBorders>
          </w:tcPr>
          <w:p w:rsidR="001C6A3E" w:rsidRPr="00F67CC4" w:rsidRDefault="001C6A3E" w:rsidP="0012210F">
            <w:pPr>
              <w:spacing w:line="240" w:lineRule="auto"/>
              <w:rPr>
                <w:rFonts w:cs="Calibri"/>
                <w:b/>
                <w:sz w:val="20"/>
                <w:szCs w:val="20"/>
                <w:lang w:val="en-GB"/>
              </w:rPr>
            </w:pPr>
            <w:r w:rsidRPr="00F67CC4">
              <w:rPr>
                <w:rFonts w:cs="Calibri"/>
                <w:b/>
                <w:sz w:val="20"/>
                <w:szCs w:val="20"/>
                <w:lang w:val="en-GB"/>
              </w:rPr>
              <w:t xml:space="preserve">OBJECT </w:t>
            </w:r>
            <w:r w:rsidR="0012210F">
              <w:rPr>
                <w:rFonts w:cs="Calibri"/>
                <w:b/>
                <w:sz w:val="20"/>
                <w:szCs w:val="20"/>
                <w:lang w:val="en-GB"/>
              </w:rPr>
              <w:t>RESEARCH</w:t>
            </w:r>
          </w:p>
        </w:tc>
        <w:tc>
          <w:tcPr>
            <w:tcW w:w="1626" w:type="dxa"/>
            <w:tcBorders>
              <w:top w:val="single" w:sz="4" w:space="0" w:color="000000"/>
              <w:left w:val="single" w:sz="4" w:space="0" w:color="000000"/>
              <w:bottom w:val="single" w:sz="4" w:space="0" w:color="000000"/>
              <w:right w:val="single" w:sz="4" w:space="0" w:color="000000"/>
            </w:tcBorders>
          </w:tcPr>
          <w:p w:rsidR="001C6A3E" w:rsidRPr="00F67CC4" w:rsidRDefault="001C6A3E" w:rsidP="00BA1EE2">
            <w:pPr>
              <w:spacing w:line="240" w:lineRule="auto"/>
              <w:rPr>
                <w:rFonts w:cs="Calibri"/>
                <w:b/>
                <w:sz w:val="20"/>
                <w:szCs w:val="20"/>
                <w:lang w:val="en-GB"/>
              </w:rPr>
            </w:pPr>
            <w:r w:rsidRPr="00F67CC4">
              <w:rPr>
                <w:rFonts w:cs="Calibri"/>
                <w:b/>
                <w:sz w:val="20"/>
                <w:szCs w:val="20"/>
                <w:lang w:val="en-GB"/>
              </w:rPr>
              <w:t>SAMPLE</w:t>
            </w:r>
          </w:p>
        </w:tc>
        <w:tc>
          <w:tcPr>
            <w:tcW w:w="2520" w:type="dxa"/>
            <w:tcBorders>
              <w:top w:val="single" w:sz="4" w:space="0" w:color="000000"/>
              <w:left w:val="single" w:sz="4" w:space="0" w:color="000000"/>
              <w:bottom w:val="single" w:sz="4" w:space="0" w:color="000000"/>
              <w:right w:val="single" w:sz="4" w:space="0" w:color="000000"/>
            </w:tcBorders>
          </w:tcPr>
          <w:p w:rsidR="001C6A3E" w:rsidRPr="00DB4F58" w:rsidRDefault="001C6A3E" w:rsidP="00BA1EE2">
            <w:pPr>
              <w:spacing w:line="240" w:lineRule="auto"/>
              <w:rPr>
                <w:rFonts w:cs="Calibri"/>
                <w:b/>
                <w:sz w:val="20"/>
                <w:szCs w:val="20"/>
                <w:lang w:val="en-GB"/>
              </w:rPr>
            </w:pPr>
            <w:r w:rsidRPr="00F67CC4">
              <w:rPr>
                <w:rFonts w:cs="Calibri"/>
                <w:b/>
                <w:sz w:val="20"/>
                <w:szCs w:val="20"/>
                <w:lang w:val="en-GB"/>
              </w:rPr>
              <w:t>METHODOLOG</w:t>
            </w:r>
            <w:r w:rsidRPr="00DB4F58">
              <w:rPr>
                <w:rFonts w:cs="Calibri"/>
                <w:b/>
                <w:sz w:val="20"/>
                <w:szCs w:val="20"/>
                <w:lang w:val="en-GB"/>
              </w:rPr>
              <w:t>Y</w:t>
            </w:r>
          </w:p>
        </w:tc>
        <w:tc>
          <w:tcPr>
            <w:tcW w:w="3006" w:type="dxa"/>
            <w:tcBorders>
              <w:top w:val="single" w:sz="4" w:space="0" w:color="000000"/>
              <w:left w:val="single" w:sz="4" w:space="0" w:color="000000"/>
              <w:bottom w:val="single" w:sz="4" w:space="0" w:color="000000"/>
              <w:right w:val="single" w:sz="4" w:space="0" w:color="000000"/>
            </w:tcBorders>
          </w:tcPr>
          <w:p w:rsidR="001C6A3E" w:rsidRPr="00DB4F58" w:rsidRDefault="001C6A3E" w:rsidP="00BA1EE2">
            <w:pPr>
              <w:spacing w:line="240" w:lineRule="auto"/>
              <w:rPr>
                <w:rFonts w:cs="Calibri"/>
                <w:b/>
                <w:sz w:val="20"/>
                <w:szCs w:val="20"/>
                <w:lang w:val="en-GB"/>
              </w:rPr>
            </w:pPr>
            <w:r w:rsidRPr="00DB4F58">
              <w:rPr>
                <w:rFonts w:cs="Calibri"/>
                <w:b/>
                <w:sz w:val="20"/>
                <w:szCs w:val="20"/>
                <w:lang w:val="en-GB"/>
              </w:rPr>
              <w:t>CONCLUSION</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Ball R.  (2006)</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F726A7">
            <w:pPr>
              <w:spacing w:line="240" w:lineRule="auto"/>
              <w:rPr>
                <w:rFonts w:cs="Calibri"/>
                <w:sz w:val="20"/>
                <w:szCs w:val="20"/>
                <w:lang w:val="en-GB"/>
              </w:rPr>
            </w:pPr>
            <w:r w:rsidRPr="00F67CC4">
              <w:rPr>
                <w:rFonts w:cs="Calibri"/>
                <w:sz w:val="20"/>
                <w:szCs w:val="20"/>
                <w:lang w:val="en-GB"/>
              </w:rPr>
              <w:t xml:space="preserve">Discussion on the </w:t>
            </w:r>
            <w:r w:rsidR="00F726A7" w:rsidRPr="00F67CC4">
              <w:rPr>
                <w:rFonts w:cs="Calibri"/>
                <w:sz w:val="20"/>
                <w:szCs w:val="20"/>
                <w:lang w:val="en-GB"/>
              </w:rPr>
              <w:t>advantages and disadvantages of the implementation of IFRS for investors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n/a</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Literature review</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F726A7" w:rsidP="00B92ED7">
            <w:pPr>
              <w:spacing w:line="240" w:lineRule="auto"/>
              <w:rPr>
                <w:rFonts w:cs="Calibri"/>
                <w:sz w:val="20"/>
                <w:szCs w:val="20"/>
                <w:lang w:val="en-GB"/>
              </w:rPr>
            </w:pPr>
            <w:r w:rsidRPr="00F67CC4">
              <w:rPr>
                <w:rFonts w:cs="Calibri"/>
                <w:sz w:val="20"/>
                <w:szCs w:val="20"/>
                <w:lang w:val="en-GB"/>
              </w:rPr>
              <w:t>Due to large implementation of the standards, convergence in standards</w:t>
            </w:r>
            <w:r w:rsidR="00B92ED7" w:rsidRPr="00F67CC4">
              <w:rPr>
                <w:rFonts w:cs="Calibri"/>
                <w:sz w:val="20"/>
                <w:szCs w:val="20"/>
                <w:lang w:val="en-GB"/>
              </w:rPr>
              <w:t xml:space="preserve"> has been achieved. But the question is whether there will be local differences among the countries that have implemented IFRS. Next to this, the value of ‘fair value accounting’ is questioned. </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Bolt-lee C. and Smith L.M. (2009)</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B92ED7">
            <w:pPr>
              <w:spacing w:line="240" w:lineRule="auto"/>
              <w:rPr>
                <w:rFonts w:cs="Calibri"/>
                <w:sz w:val="20"/>
                <w:szCs w:val="20"/>
                <w:lang w:val="en-GB"/>
              </w:rPr>
            </w:pPr>
            <w:r w:rsidRPr="00F67CC4">
              <w:rPr>
                <w:rFonts w:cs="Calibri"/>
                <w:sz w:val="20"/>
                <w:szCs w:val="20"/>
                <w:lang w:val="en-GB"/>
              </w:rPr>
              <w:t xml:space="preserve">Highlight </w:t>
            </w:r>
            <w:r w:rsidR="00B92ED7" w:rsidRPr="00F67CC4">
              <w:rPr>
                <w:rFonts w:cs="Calibri"/>
                <w:sz w:val="20"/>
                <w:szCs w:val="20"/>
                <w:lang w:val="en-GB"/>
              </w:rPr>
              <w:t xml:space="preserve">of </w:t>
            </w:r>
            <w:r w:rsidRPr="00F67CC4">
              <w:rPr>
                <w:rFonts w:cs="Calibri"/>
                <w:sz w:val="20"/>
                <w:szCs w:val="20"/>
                <w:lang w:val="en-GB"/>
              </w:rPr>
              <w:t>IFRS research</w:t>
            </w:r>
            <w:r w:rsidR="00FF5653" w:rsidRPr="00F67CC4">
              <w:rPr>
                <w:rFonts w:cs="Calibri"/>
                <w:sz w:val="20"/>
                <w:szCs w:val="20"/>
                <w:lang w:val="en-GB"/>
              </w:rPr>
              <w:t>, conversion US GAAP to IFRS investigated</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n/a</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Literature review</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FF5653" w:rsidP="00FF5653">
            <w:pPr>
              <w:spacing w:line="240" w:lineRule="auto"/>
              <w:rPr>
                <w:rFonts w:cs="Calibri"/>
                <w:sz w:val="20"/>
                <w:szCs w:val="20"/>
                <w:lang w:val="en-GB"/>
              </w:rPr>
            </w:pPr>
            <w:r w:rsidRPr="00F67CC4">
              <w:rPr>
                <w:rFonts w:cs="Calibri"/>
                <w:sz w:val="20"/>
                <w:szCs w:val="20"/>
                <w:lang w:val="en-GB"/>
              </w:rPr>
              <w:t>Questionable whether the benefits of the new standards will exceed the costs of transition</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de-DE"/>
              </w:rPr>
            </w:pPr>
            <w:r w:rsidRPr="00F67CC4">
              <w:rPr>
                <w:rFonts w:cs="Calibri"/>
                <w:sz w:val="20"/>
                <w:szCs w:val="20"/>
                <w:lang w:val="de-DE"/>
              </w:rPr>
              <w:t>Burgstahler D. and Dichev I. (1997)</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FF5653" w:rsidP="00FF5653">
            <w:pPr>
              <w:spacing w:line="240" w:lineRule="auto"/>
              <w:rPr>
                <w:rFonts w:cs="Calibri"/>
                <w:sz w:val="20"/>
                <w:szCs w:val="20"/>
                <w:lang w:val="en-GB"/>
              </w:rPr>
            </w:pPr>
            <w:r w:rsidRPr="00F67CC4">
              <w:rPr>
                <w:rFonts w:cs="Calibri"/>
                <w:sz w:val="20"/>
                <w:szCs w:val="20"/>
                <w:lang w:val="en-GB"/>
              </w:rPr>
              <w:t xml:space="preserve">Checking whether </w:t>
            </w:r>
            <w:r w:rsidR="00004E14" w:rsidRPr="00F67CC4">
              <w:rPr>
                <w:rFonts w:cs="Calibri"/>
                <w:sz w:val="20"/>
                <w:szCs w:val="20"/>
                <w:lang w:val="en-GB"/>
              </w:rPr>
              <w:t>firms manage earnings to avoid earnings decreases and losses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Total number of observations is 64.644</w:t>
            </w:r>
            <w:r w:rsidR="00FF5653" w:rsidRPr="00F67CC4">
              <w:rPr>
                <w:rFonts w:cs="Calibri"/>
                <w:sz w:val="20"/>
                <w:szCs w:val="20"/>
                <w:lang w:val="en-GB"/>
              </w:rPr>
              <w:t xml:space="preserve"> with a total of observations per year varying from approximately 3000 to 4000</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FF5653" w:rsidP="00BA1EE2">
            <w:pPr>
              <w:spacing w:line="240" w:lineRule="auto"/>
              <w:rPr>
                <w:rFonts w:cs="Calibri"/>
                <w:sz w:val="20"/>
                <w:szCs w:val="20"/>
                <w:lang w:val="en-GB"/>
              </w:rPr>
            </w:pPr>
            <w:r w:rsidRPr="00F67CC4">
              <w:rPr>
                <w:rFonts w:cs="Calibri"/>
                <w:sz w:val="20"/>
                <w:szCs w:val="20"/>
                <w:lang w:val="en-GB"/>
              </w:rPr>
              <w:t>Cross-sectional distributions of earnings</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FF5653" w:rsidP="00FF5653">
            <w:pPr>
              <w:spacing w:line="240" w:lineRule="auto"/>
              <w:rPr>
                <w:rFonts w:cs="Calibri"/>
                <w:sz w:val="20"/>
                <w:szCs w:val="20"/>
                <w:lang w:val="en-GB"/>
              </w:rPr>
            </w:pPr>
            <w:r w:rsidRPr="00F67CC4">
              <w:rPr>
                <w:rFonts w:cs="Calibri"/>
                <w:sz w:val="20"/>
                <w:szCs w:val="20"/>
                <w:lang w:val="en-GB"/>
              </w:rPr>
              <w:t>Earnings are managed to avoid earnings decreases or losses. This is done mostly with cash flow from operations and changes in working capital</w:t>
            </w:r>
          </w:p>
        </w:tc>
      </w:tr>
      <w:tr w:rsidR="00004E14" w:rsidRPr="0046079D"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B</w:t>
            </w:r>
            <w:r w:rsidR="001B1F80" w:rsidRPr="00F67CC4">
              <w:rPr>
                <w:rFonts w:cs="Calibri"/>
                <w:sz w:val="20"/>
                <w:szCs w:val="20"/>
                <w:lang w:val="en-GB"/>
              </w:rPr>
              <w:t>urgstahler D. and Eames M. (2006</w:t>
            </w:r>
            <w:r w:rsidRPr="00F67CC4">
              <w:rPr>
                <w:rFonts w:cs="Calibri"/>
                <w:sz w:val="20"/>
                <w:szCs w:val="20"/>
                <w:lang w:val="en-GB"/>
              </w:rPr>
              <w:t>)</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D23D50" w:rsidP="008F5A7F">
            <w:pPr>
              <w:spacing w:line="240" w:lineRule="auto"/>
              <w:rPr>
                <w:rFonts w:cs="Calibri"/>
                <w:b/>
                <w:sz w:val="20"/>
                <w:szCs w:val="20"/>
                <w:lang w:val="en-GB"/>
              </w:rPr>
            </w:pPr>
            <w:r w:rsidRPr="00F67CC4">
              <w:rPr>
                <w:rFonts w:cs="Calibri"/>
                <w:sz w:val="20"/>
                <w:szCs w:val="20"/>
                <w:lang w:val="en-GB"/>
              </w:rPr>
              <w:t>Do managers manage earnings in order to avoid reporting earnings lower than analyst forecasts?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25.951 observations</w:t>
            </w:r>
            <w:r w:rsidR="00D23D50" w:rsidRPr="00F67CC4">
              <w:rPr>
                <w:rFonts w:cs="Calibri"/>
                <w:sz w:val="20"/>
                <w:szCs w:val="20"/>
                <w:lang w:val="en-GB"/>
              </w:rPr>
              <w:t xml:space="preserve"> in the period 1986 - 2000</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D23D50">
            <w:pPr>
              <w:spacing w:line="240" w:lineRule="auto"/>
              <w:rPr>
                <w:rFonts w:cs="Calibri"/>
                <w:sz w:val="20"/>
                <w:szCs w:val="20"/>
                <w:lang w:val="en-GB"/>
              </w:rPr>
            </w:pPr>
            <w:r w:rsidRPr="00F67CC4">
              <w:rPr>
                <w:rFonts w:cs="Calibri"/>
                <w:sz w:val="20"/>
                <w:szCs w:val="20"/>
                <w:lang w:val="en-GB"/>
              </w:rPr>
              <w:t>Jones model</w:t>
            </w:r>
            <w:r w:rsidR="00D23D50" w:rsidRPr="00F67CC4">
              <w:rPr>
                <w:rFonts w:cs="Calibri"/>
                <w:sz w:val="20"/>
                <w:szCs w:val="20"/>
                <w:lang w:val="en-GB"/>
              </w:rPr>
              <w:t xml:space="preserve"> (1991) and the</w:t>
            </w:r>
            <w:r w:rsidRPr="00F67CC4">
              <w:rPr>
                <w:rFonts w:cs="Calibri"/>
                <w:sz w:val="20"/>
                <w:szCs w:val="20"/>
                <w:lang w:val="en-GB"/>
              </w:rPr>
              <w:t xml:space="preserve"> Matsumoto model</w:t>
            </w:r>
            <w:r w:rsidR="00D23D50" w:rsidRPr="00F67CC4">
              <w:rPr>
                <w:rFonts w:cs="Calibri"/>
                <w:sz w:val="20"/>
                <w:szCs w:val="20"/>
                <w:lang w:val="en-GB"/>
              </w:rPr>
              <w:t xml:space="preserve"> (2002)</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D23D50" w:rsidP="00BA1EE2">
            <w:pPr>
              <w:spacing w:line="240" w:lineRule="auto"/>
              <w:rPr>
                <w:rFonts w:cs="Calibri"/>
                <w:sz w:val="20"/>
                <w:szCs w:val="20"/>
                <w:lang w:val="en-GB"/>
              </w:rPr>
            </w:pPr>
            <w:r w:rsidRPr="00F67CC4">
              <w:rPr>
                <w:rFonts w:cs="Calibri"/>
                <w:sz w:val="20"/>
                <w:szCs w:val="20"/>
                <w:lang w:val="en-GB"/>
              </w:rPr>
              <w:t>Earnings are managed both upwards and downwards to achieve zero and small positive earnings surprises. Both operating cash flow and discretionary accruals are managed</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 xml:space="preserve">Cai,L. </w:t>
            </w:r>
            <w:r w:rsidRPr="00864822">
              <w:rPr>
                <w:rFonts w:cs="Calibri"/>
                <w:sz w:val="20"/>
                <w:szCs w:val="20"/>
                <w:lang w:val="en-GB"/>
              </w:rPr>
              <w:br/>
              <w:t>Courtenay, S. and</w:t>
            </w:r>
            <w:r w:rsidRPr="00864822">
              <w:rPr>
                <w:rFonts w:cs="Calibri"/>
                <w:sz w:val="20"/>
                <w:szCs w:val="20"/>
                <w:lang w:val="en-GB"/>
              </w:rPr>
              <w:br/>
              <w:t>Rahman, A. (2008)</w:t>
            </w:r>
          </w:p>
        </w:tc>
        <w:tc>
          <w:tcPr>
            <w:tcW w:w="1848"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Whether adoption and enforcement of IFRS leads to a reduction of earnings management</w:t>
            </w:r>
          </w:p>
        </w:tc>
        <w:tc>
          <w:tcPr>
            <w:tcW w:w="1626"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102.636 firm-year observations in 32 countries during 2006-2006</w:t>
            </w:r>
          </w:p>
        </w:tc>
        <w:tc>
          <w:tcPr>
            <w:tcW w:w="2520"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Accruals approach: Comparing mean difference in earnings management and Ordinary Least Square Regressions</w:t>
            </w:r>
          </w:p>
        </w:tc>
        <w:tc>
          <w:tcPr>
            <w:tcW w:w="3006"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Earnings management did decline at countries that have adopted IFRS, with an important role for the level of enforcement.</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2054AB" w:rsidRPr="00F67CC4" w:rsidRDefault="002054AB" w:rsidP="00BA1EE2">
            <w:pPr>
              <w:spacing w:line="240" w:lineRule="auto"/>
              <w:rPr>
                <w:rFonts w:cs="Calibri"/>
                <w:sz w:val="20"/>
                <w:szCs w:val="20"/>
                <w:lang w:val="en-GB"/>
              </w:rPr>
            </w:pPr>
            <w:r w:rsidRPr="00F67CC4">
              <w:rPr>
                <w:rFonts w:cs="Calibri"/>
                <w:sz w:val="20"/>
                <w:szCs w:val="20"/>
                <w:lang w:val="en-GB"/>
              </w:rPr>
              <w:t>Cohen, Dey, Lys (2008)</w:t>
            </w:r>
          </w:p>
        </w:tc>
        <w:tc>
          <w:tcPr>
            <w:tcW w:w="1848" w:type="dxa"/>
            <w:tcBorders>
              <w:top w:val="single" w:sz="4" w:space="0" w:color="000000"/>
              <w:left w:val="single" w:sz="4" w:space="0" w:color="000000"/>
              <w:bottom w:val="single" w:sz="4" w:space="0" w:color="000000"/>
              <w:right w:val="single" w:sz="4" w:space="0" w:color="000000"/>
            </w:tcBorders>
          </w:tcPr>
          <w:p w:rsidR="002054AB" w:rsidRPr="00F67CC4" w:rsidRDefault="002054AB" w:rsidP="00BA1EE2">
            <w:pPr>
              <w:spacing w:line="240" w:lineRule="auto"/>
              <w:rPr>
                <w:rFonts w:cs="Calibri"/>
                <w:sz w:val="20"/>
                <w:szCs w:val="20"/>
                <w:lang w:val="en-GB"/>
              </w:rPr>
            </w:pPr>
            <w:r w:rsidRPr="00F67CC4">
              <w:rPr>
                <w:rFonts w:cs="Calibri"/>
                <w:sz w:val="20"/>
                <w:szCs w:val="20"/>
                <w:lang w:val="en-GB"/>
              </w:rPr>
              <w:t>The influence of the Sarbanes-Oxley Act (SOX) on the use of earnings management, both real and accrual-based</w:t>
            </w:r>
          </w:p>
        </w:tc>
        <w:tc>
          <w:tcPr>
            <w:tcW w:w="1626" w:type="dxa"/>
            <w:tcBorders>
              <w:top w:val="single" w:sz="4" w:space="0" w:color="000000"/>
              <w:left w:val="single" w:sz="4" w:space="0" w:color="000000"/>
              <w:bottom w:val="single" w:sz="4" w:space="0" w:color="000000"/>
              <w:right w:val="single" w:sz="4" w:space="0" w:color="000000"/>
            </w:tcBorders>
          </w:tcPr>
          <w:p w:rsidR="002054AB" w:rsidRPr="00F67CC4" w:rsidRDefault="002054AB" w:rsidP="00BA1EE2">
            <w:pPr>
              <w:spacing w:line="240" w:lineRule="auto"/>
              <w:rPr>
                <w:rFonts w:cs="Calibri"/>
                <w:sz w:val="20"/>
                <w:szCs w:val="20"/>
                <w:lang w:val="en-GB"/>
              </w:rPr>
            </w:pPr>
            <w:r w:rsidRPr="00F67CC4">
              <w:rPr>
                <w:rFonts w:cs="Calibri"/>
                <w:sz w:val="20"/>
                <w:szCs w:val="20"/>
                <w:lang w:val="en-GB"/>
              </w:rPr>
              <w:t>A sample consisting 2,018 firms and 31,668 firm-year observations in the period of 1992-2005</w:t>
            </w:r>
          </w:p>
        </w:tc>
        <w:tc>
          <w:tcPr>
            <w:tcW w:w="2520" w:type="dxa"/>
            <w:tcBorders>
              <w:top w:val="single" w:sz="4" w:space="0" w:color="000000"/>
              <w:left w:val="single" w:sz="4" w:space="0" w:color="000000"/>
              <w:bottom w:val="single" w:sz="4" w:space="0" w:color="000000"/>
              <w:right w:val="single" w:sz="4" w:space="0" w:color="000000"/>
            </w:tcBorders>
          </w:tcPr>
          <w:p w:rsidR="002054AB" w:rsidRPr="00F67CC4" w:rsidRDefault="001E7DB5" w:rsidP="00BA1EE2">
            <w:pPr>
              <w:spacing w:line="240" w:lineRule="auto"/>
              <w:rPr>
                <w:rFonts w:cs="Calibri"/>
                <w:sz w:val="20"/>
                <w:szCs w:val="20"/>
                <w:lang w:val="en-GB"/>
              </w:rPr>
            </w:pPr>
            <w:r w:rsidRPr="00F67CC4">
              <w:rPr>
                <w:rFonts w:cs="Calibri"/>
                <w:sz w:val="20"/>
                <w:szCs w:val="20"/>
                <w:lang w:val="en-GB"/>
              </w:rPr>
              <w:t>Accruals-based: modified cross-sectional Jones model (1991)</w:t>
            </w:r>
          </w:p>
          <w:p w:rsidR="001E7DB5" w:rsidRPr="00F67CC4" w:rsidRDefault="001E7DB5" w:rsidP="00BA1EE2">
            <w:pPr>
              <w:spacing w:line="240" w:lineRule="auto"/>
              <w:rPr>
                <w:rFonts w:cs="Calibri"/>
                <w:sz w:val="20"/>
                <w:szCs w:val="20"/>
                <w:lang w:val="en-GB"/>
              </w:rPr>
            </w:pPr>
            <w:r w:rsidRPr="00F67CC4">
              <w:rPr>
                <w:rFonts w:cs="Calibri"/>
                <w:sz w:val="20"/>
                <w:szCs w:val="20"/>
                <w:lang w:val="en-GB"/>
              </w:rPr>
              <w:t xml:space="preserve">Real earnings management: use of model developed by Dechow et al. (1998) for normal level of CFO, COGS, inventory growth, production cost and </w:t>
            </w:r>
            <w:r w:rsidRPr="00F67CC4">
              <w:rPr>
                <w:rFonts w:cs="Calibri"/>
                <w:sz w:val="20"/>
                <w:szCs w:val="20"/>
                <w:lang w:val="en-GB"/>
              </w:rPr>
              <w:lastRenderedPageBreak/>
              <w:t>discretionary accruals</w:t>
            </w:r>
          </w:p>
        </w:tc>
        <w:tc>
          <w:tcPr>
            <w:tcW w:w="3006" w:type="dxa"/>
            <w:tcBorders>
              <w:top w:val="single" w:sz="4" w:space="0" w:color="000000"/>
              <w:left w:val="single" w:sz="4" w:space="0" w:color="000000"/>
              <w:bottom w:val="single" w:sz="4" w:space="0" w:color="000000"/>
              <w:right w:val="single" w:sz="4" w:space="0" w:color="000000"/>
            </w:tcBorders>
          </w:tcPr>
          <w:p w:rsidR="002054AB" w:rsidRPr="00F67CC4" w:rsidRDefault="001E7DB5" w:rsidP="00BA1EE2">
            <w:pPr>
              <w:spacing w:line="240" w:lineRule="auto"/>
              <w:rPr>
                <w:rFonts w:cs="Calibri"/>
                <w:sz w:val="20"/>
                <w:szCs w:val="20"/>
                <w:lang w:val="en-GB"/>
              </w:rPr>
            </w:pPr>
            <w:r w:rsidRPr="00F67CC4">
              <w:rPr>
                <w:rFonts w:cs="Calibri"/>
                <w:sz w:val="20"/>
                <w:szCs w:val="20"/>
                <w:lang w:val="en-GB"/>
              </w:rPr>
              <w:lastRenderedPageBreak/>
              <w:t xml:space="preserve">Earnings management increased over the sample period, with meeting or beating prior year’s earnings numbers, analysts’ forecasts and avoiding losses as incentives. There is an increase in earnings management in the period preceding the passage of SOX. </w:t>
            </w:r>
            <w:r w:rsidR="006E1F8E" w:rsidRPr="00F67CC4">
              <w:rPr>
                <w:rFonts w:cs="Calibri"/>
                <w:sz w:val="20"/>
                <w:szCs w:val="20"/>
                <w:lang w:val="en-GB"/>
              </w:rPr>
              <w:t xml:space="preserve">Next to this, the level of accrual-based earnings management declined and the </w:t>
            </w:r>
            <w:r w:rsidR="006E1F8E" w:rsidRPr="00F67CC4">
              <w:rPr>
                <w:rFonts w:cs="Calibri"/>
                <w:sz w:val="20"/>
                <w:szCs w:val="20"/>
                <w:lang w:val="en-GB"/>
              </w:rPr>
              <w:lastRenderedPageBreak/>
              <w:t>level of real earnings management activities increased significantly suggesting a substitution-effect</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lastRenderedPageBreak/>
              <w:t>Gunny (2010)</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The examination of the extent to which real earnings management affects operating performance by meeting earnings benchmarks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Differs per type of real earnings management; minimum of 28,308 observations and 4,028 firms</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Real earnings management by R&amp;D, SG&amp;A, assets sales and production costs are detected by own developed models</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Real earnings management is positively associated with firms meeting benchmarks. Managers try to attain benefits that allow better future performance or signalling.</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Healy P.M. and Wahlen J.M. (1999)</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Review of the academic evidence on earnings management and its implications for accounting standards setters and regulators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n/a</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tabs>
                <w:tab w:val="center" w:pos="955"/>
              </w:tabs>
              <w:spacing w:line="240" w:lineRule="auto"/>
              <w:rPr>
                <w:rFonts w:cs="Calibri"/>
                <w:sz w:val="20"/>
                <w:szCs w:val="20"/>
                <w:lang w:val="en-GB"/>
              </w:rPr>
            </w:pPr>
            <w:r w:rsidRPr="00F67CC4">
              <w:rPr>
                <w:rFonts w:cs="Calibri"/>
                <w:sz w:val="20"/>
                <w:szCs w:val="20"/>
                <w:lang w:val="en-GB"/>
              </w:rPr>
              <w:t>Literature review</w:t>
            </w:r>
            <w:r w:rsidRPr="00F67CC4">
              <w:rPr>
                <w:rFonts w:cs="Calibri"/>
                <w:sz w:val="20"/>
                <w:szCs w:val="20"/>
                <w:lang w:val="en-GB"/>
              </w:rPr>
              <w:tab/>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Earnings management literature currently provides only modest insights for standard setters.</w:t>
            </w:r>
            <w:r w:rsidRPr="00F67CC4">
              <w:rPr>
                <w:rFonts w:cs="Calibri"/>
                <w:b/>
                <w:sz w:val="20"/>
                <w:szCs w:val="20"/>
                <w:lang w:val="en-GB"/>
              </w:rPr>
              <w:t xml:space="preserve"> </w:t>
            </w:r>
            <w:r w:rsidR="00F83CAB" w:rsidRPr="00F67CC4">
              <w:rPr>
                <w:rFonts w:cs="Calibri"/>
                <w:sz w:val="20"/>
                <w:szCs w:val="20"/>
                <w:lang w:val="en-GB"/>
              </w:rPr>
              <w:t>Reasons for managing earnings are influencing stock market perceptions, increase management compensation, reduce the likelihood of violating lending agreements and to avoid regulatory intervention</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484869">
            <w:pPr>
              <w:spacing w:line="240" w:lineRule="auto"/>
              <w:rPr>
                <w:rFonts w:cs="Calibri"/>
                <w:sz w:val="20"/>
                <w:szCs w:val="20"/>
                <w:lang w:val="en-GB"/>
              </w:rPr>
            </w:pPr>
            <w:r w:rsidRPr="00F67CC4">
              <w:rPr>
                <w:rFonts w:cs="Calibri"/>
                <w:sz w:val="20"/>
                <w:szCs w:val="20"/>
                <w:lang w:val="en-GB"/>
              </w:rPr>
              <w:t>Heem</w:t>
            </w:r>
            <w:r w:rsidR="00484869" w:rsidRPr="00F67CC4">
              <w:rPr>
                <w:rFonts w:cs="Calibri"/>
                <w:sz w:val="20"/>
                <w:szCs w:val="20"/>
                <w:lang w:val="en-GB"/>
              </w:rPr>
              <w:t>skerk, M.J.L. and Tas, L.G. (2006</w:t>
            </w:r>
            <w:r w:rsidRPr="00F67CC4">
              <w:rPr>
                <w:rFonts w:cs="Calibri"/>
                <w:sz w:val="20"/>
                <w:szCs w:val="20"/>
                <w:lang w:val="en-GB"/>
              </w:rPr>
              <w:t>)</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A10281">
            <w:pPr>
              <w:spacing w:line="240" w:lineRule="auto"/>
              <w:rPr>
                <w:rFonts w:cs="Calibri"/>
                <w:sz w:val="20"/>
                <w:szCs w:val="20"/>
                <w:lang w:val="en-GB"/>
              </w:rPr>
            </w:pPr>
            <w:r w:rsidRPr="00F67CC4">
              <w:rPr>
                <w:rFonts w:cs="Calibri"/>
                <w:sz w:val="20"/>
                <w:szCs w:val="20"/>
                <w:lang w:val="en-GB"/>
              </w:rPr>
              <w:t>Determine whether</w:t>
            </w:r>
            <w:r w:rsidR="00A10281" w:rsidRPr="00F67CC4">
              <w:rPr>
                <w:rFonts w:cs="Calibri"/>
                <w:sz w:val="20"/>
                <w:szCs w:val="20"/>
                <w:lang w:val="en-GB"/>
              </w:rPr>
              <w:t xml:space="preserve"> earnings management has declined by focussing on early adopters of IFRS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 xml:space="preserve">160 German and Swiss </w:t>
            </w:r>
            <w:r w:rsidR="00A10281" w:rsidRPr="00F67CC4">
              <w:rPr>
                <w:rFonts w:cs="Calibri"/>
                <w:sz w:val="20"/>
                <w:szCs w:val="20"/>
                <w:lang w:val="en-GB"/>
              </w:rPr>
              <w:t>early IFRS-adopting companies</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F83CAB">
            <w:pPr>
              <w:spacing w:line="240" w:lineRule="auto"/>
              <w:rPr>
                <w:rFonts w:cs="Calibri"/>
                <w:sz w:val="20"/>
                <w:szCs w:val="20"/>
                <w:lang w:val="en-GB"/>
              </w:rPr>
            </w:pPr>
            <w:r w:rsidRPr="00F67CC4">
              <w:rPr>
                <w:rFonts w:cs="Calibri"/>
                <w:sz w:val="20"/>
                <w:szCs w:val="20"/>
                <w:lang w:val="en-GB"/>
              </w:rPr>
              <w:t xml:space="preserve">Modified Jones Model </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004E14" w:rsidP="00A10281">
            <w:pPr>
              <w:spacing w:line="240" w:lineRule="auto"/>
              <w:rPr>
                <w:rFonts w:cs="Calibri"/>
                <w:sz w:val="20"/>
                <w:szCs w:val="20"/>
                <w:lang w:val="en-GB"/>
              </w:rPr>
            </w:pPr>
            <w:r w:rsidRPr="00F67CC4">
              <w:rPr>
                <w:rFonts w:cs="Calibri"/>
                <w:sz w:val="20"/>
                <w:szCs w:val="20"/>
                <w:lang w:val="en-GB"/>
              </w:rPr>
              <w:t xml:space="preserve">Earnings Management </w:t>
            </w:r>
            <w:r w:rsidR="00A10281" w:rsidRPr="00F67CC4">
              <w:rPr>
                <w:rFonts w:cs="Calibri"/>
                <w:sz w:val="20"/>
                <w:szCs w:val="20"/>
                <w:lang w:val="en-GB"/>
              </w:rPr>
              <w:t>by discretionary accruals did not decline. Contrary to this, the use of it might even have increased</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Jeanjean, T. and Stolowy, H. (2008)</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A10281" w:rsidP="00BA1EE2">
            <w:pPr>
              <w:spacing w:line="240" w:lineRule="auto"/>
              <w:rPr>
                <w:rFonts w:cs="Calibri"/>
                <w:sz w:val="20"/>
                <w:szCs w:val="20"/>
                <w:lang w:val="en-GB"/>
              </w:rPr>
            </w:pPr>
            <w:r w:rsidRPr="00F67CC4">
              <w:rPr>
                <w:rFonts w:cs="Calibri"/>
                <w:sz w:val="20"/>
                <w:szCs w:val="20"/>
                <w:lang w:val="en-GB"/>
              </w:rPr>
              <w:t xml:space="preserve">The effect of the mandatory introduction </w:t>
            </w:r>
            <w:r w:rsidR="000A58AB" w:rsidRPr="00F67CC4">
              <w:rPr>
                <w:rFonts w:cs="Calibri"/>
                <w:sz w:val="20"/>
                <w:szCs w:val="20"/>
                <w:lang w:val="en-GB"/>
              </w:rPr>
              <w:t>of IFRS on earnings quality</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0A58AB">
            <w:pPr>
              <w:spacing w:line="240" w:lineRule="auto"/>
              <w:rPr>
                <w:rFonts w:cs="Calibri"/>
                <w:sz w:val="20"/>
                <w:szCs w:val="20"/>
                <w:lang w:val="en-GB"/>
              </w:rPr>
            </w:pPr>
            <w:r w:rsidRPr="00F67CC4">
              <w:rPr>
                <w:rFonts w:cs="Calibri"/>
                <w:sz w:val="20"/>
                <w:szCs w:val="20"/>
                <w:lang w:val="en-GB"/>
              </w:rPr>
              <w:t>1146 France, U.K. and Australian companies</w:t>
            </w:r>
            <w:r w:rsidR="000A58AB" w:rsidRPr="00F67CC4">
              <w:rPr>
                <w:rFonts w:cs="Calibri"/>
                <w:sz w:val="20"/>
                <w:szCs w:val="20"/>
                <w:lang w:val="en-GB"/>
              </w:rPr>
              <w:t xml:space="preserve"> (early adopters)</w:t>
            </w:r>
            <w:r w:rsidRPr="00F67CC4">
              <w:rPr>
                <w:rFonts w:cs="Calibri"/>
                <w:sz w:val="20"/>
                <w:szCs w:val="20"/>
                <w:lang w:val="en-GB"/>
              </w:rPr>
              <w:t xml:space="preserve"> </w:t>
            </w:r>
            <w:r w:rsidR="000A58AB" w:rsidRPr="00F67CC4">
              <w:rPr>
                <w:rFonts w:cs="Calibri"/>
                <w:sz w:val="20"/>
                <w:szCs w:val="20"/>
                <w:lang w:val="en-GB"/>
              </w:rPr>
              <w:t>in the period</w:t>
            </w:r>
            <w:r w:rsidRPr="00F67CC4">
              <w:rPr>
                <w:rFonts w:cs="Calibri"/>
                <w:sz w:val="20"/>
                <w:szCs w:val="20"/>
                <w:lang w:val="en-GB"/>
              </w:rPr>
              <w:t xml:space="preserve"> 2002-2006</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A58AB" w:rsidP="000A58AB">
            <w:pPr>
              <w:spacing w:line="240" w:lineRule="auto"/>
              <w:rPr>
                <w:rFonts w:cs="Calibri"/>
                <w:sz w:val="20"/>
                <w:szCs w:val="20"/>
                <w:lang w:val="en-GB"/>
              </w:rPr>
            </w:pPr>
            <w:r w:rsidRPr="00F67CC4">
              <w:rPr>
                <w:rFonts w:cs="Calibri"/>
                <w:sz w:val="20"/>
                <w:szCs w:val="20"/>
                <w:lang w:val="en-GB"/>
              </w:rPr>
              <w:t>Wilcoxon rank-sum test</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0A58AB" w:rsidP="000A58AB">
            <w:pPr>
              <w:spacing w:line="240" w:lineRule="auto"/>
              <w:rPr>
                <w:rFonts w:cs="Calibri"/>
                <w:sz w:val="20"/>
                <w:szCs w:val="20"/>
                <w:lang w:val="en-GB"/>
              </w:rPr>
            </w:pPr>
            <w:r w:rsidRPr="00F67CC4">
              <w:rPr>
                <w:rFonts w:cs="Calibri"/>
                <w:sz w:val="20"/>
                <w:szCs w:val="20"/>
                <w:lang w:val="en-GB"/>
              </w:rPr>
              <w:t>The pervasiveness of earnings management did not decline after the implementation of IFRS, it even increased in France</w:t>
            </w:r>
          </w:p>
        </w:tc>
      </w:tr>
      <w:tr w:rsidR="00004E14" w:rsidRPr="0046079D"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Lippens, M. (2010)</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A58AB" w:rsidP="008F5A7F">
            <w:pPr>
              <w:spacing w:line="240" w:lineRule="auto"/>
              <w:rPr>
                <w:rFonts w:cs="Calibri"/>
                <w:sz w:val="20"/>
                <w:szCs w:val="20"/>
                <w:lang w:val="en-GB"/>
              </w:rPr>
            </w:pPr>
            <w:r w:rsidRPr="00F67CC4">
              <w:rPr>
                <w:rFonts w:cs="Calibri"/>
                <w:sz w:val="20"/>
                <w:szCs w:val="20"/>
                <w:lang w:val="en-GB"/>
              </w:rPr>
              <w:t>Whether the mandatory adoption of IFRS by all listed companies in the EU has led to significant lower levels of earnings management</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 xml:space="preserve">Listed companies from Belgium, The Netherlands, Denmark, Italy, Sweden </w:t>
            </w:r>
          </w:p>
          <w:p w:rsidR="00004E14" w:rsidRPr="00F67CC4" w:rsidRDefault="00004E14" w:rsidP="00BA1EE2">
            <w:pPr>
              <w:spacing w:line="240" w:lineRule="auto"/>
              <w:rPr>
                <w:rFonts w:cs="Calibri"/>
                <w:b/>
                <w:sz w:val="20"/>
                <w:szCs w:val="20"/>
                <w:lang w:val="en-GB"/>
              </w:rPr>
            </w:pP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 xml:space="preserve">Cross-sectional Jones Model </w:t>
            </w:r>
            <w:r w:rsidR="006F0590" w:rsidRPr="00F67CC4">
              <w:rPr>
                <w:rFonts w:cs="Calibri"/>
                <w:sz w:val="20"/>
                <w:szCs w:val="20"/>
                <w:lang w:val="en-GB"/>
              </w:rPr>
              <w:t>and model of Roychowdhury</w:t>
            </w:r>
          </w:p>
          <w:p w:rsidR="00004E14" w:rsidRPr="00F67CC4" w:rsidRDefault="00004E14" w:rsidP="00BA1EE2">
            <w:pPr>
              <w:spacing w:line="240" w:lineRule="auto"/>
              <w:rPr>
                <w:rFonts w:cs="Calibri"/>
                <w:sz w:val="20"/>
                <w:szCs w:val="20"/>
                <w:lang w:val="en-GB"/>
              </w:rPr>
            </w:pP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6F0590" w:rsidP="006F0590">
            <w:pPr>
              <w:spacing w:line="240" w:lineRule="auto"/>
              <w:rPr>
                <w:rFonts w:cs="Calibri"/>
                <w:sz w:val="20"/>
                <w:szCs w:val="20"/>
                <w:lang w:val="en-GB"/>
              </w:rPr>
            </w:pPr>
            <w:r w:rsidRPr="00F67CC4">
              <w:rPr>
                <w:rFonts w:cs="Calibri"/>
                <w:sz w:val="20"/>
                <w:szCs w:val="20"/>
                <w:lang w:val="en-GB"/>
              </w:rPr>
              <w:t>Both accruals-</w:t>
            </w:r>
            <w:r w:rsidR="00004E14" w:rsidRPr="00F67CC4">
              <w:rPr>
                <w:rFonts w:cs="Calibri"/>
                <w:sz w:val="20"/>
                <w:szCs w:val="20"/>
                <w:lang w:val="en-GB"/>
              </w:rPr>
              <w:t xml:space="preserve">based and real earnings management increased after implementation of IRFS. </w:t>
            </w:r>
            <w:r w:rsidRPr="00F67CC4">
              <w:rPr>
                <w:rFonts w:cs="Calibri"/>
                <w:sz w:val="20"/>
                <w:szCs w:val="20"/>
                <w:lang w:val="en-GB"/>
              </w:rPr>
              <w:t>The methods are used as substitutes</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McNichols M.F. (2000)</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 xml:space="preserve">Discussion of trade-offs associated with three research designs commonly used in the earnings management </w:t>
            </w:r>
            <w:r w:rsidRPr="00F67CC4">
              <w:rPr>
                <w:rFonts w:cs="Calibri"/>
                <w:sz w:val="20"/>
                <w:szCs w:val="20"/>
                <w:lang w:val="en-GB"/>
              </w:rPr>
              <w:lastRenderedPageBreak/>
              <w:t>literature</w:t>
            </w:r>
            <w:r w:rsidR="006F0590" w:rsidRPr="00F67CC4">
              <w:rPr>
                <w:rFonts w:cs="Calibri"/>
                <w:sz w:val="20"/>
                <w:szCs w:val="20"/>
                <w:lang w:val="en-GB"/>
              </w:rPr>
              <w:t>: aggregate accruals, specific accruals and the distribution of earnings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lastRenderedPageBreak/>
              <w:t>n/a</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6F0590" w:rsidP="006F0590">
            <w:pPr>
              <w:spacing w:line="240" w:lineRule="auto"/>
              <w:rPr>
                <w:rFonts w:cs="Calibri"/>
                <w:sz w:val="20"/>
                <w:szCs w:val="20"/>
                <w:lang w:val="en-GB"/>
              </w:rPr>
            </w:pPr>
            <w:r w:rsidRPr="00F67CC4">
              <w:rPr>
                <w:rFonts w:cs="Calibri"/>
                <w:sz w:val="20"/>
                <w:szCs w:val="20"/>
                <w:lang w:val="en-GB"/>
              </w:rPr>
              <w:t>A</w:t>
            </w:r>
            <w:r w:rsidR="00004E14" w:rsidRPr="00F67CC4">
              <w:rPr>
                <w:rFonts w:cs="Calibri"/>
                <w:sz w:val="20"/>
                <w:szCs w:val="20"/>
                <w:lang w:val="en-GB"/>
              </w:rPr>
              <w:t xml:space="preserve">ggregate accruals, specific accruals and distribution of earnings </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004E14" w:rsidP="00E9363B">
            <w:pPr>
              <w:spacing w:line="240" w:lineRule="auto"/>
              <w:rPr>
                <w:rFonts w:cs="Calibri"/>
                <w:sz w:val="20"/>
                <w:szCs w:val="20"/>
                <w:lang w:val="en-GB"/>
              </w:rPr>
            </w:pPr>
            <w:r w:rsidRPr="00F67CC4">
              <w:rPr>
                <w:rFonts w:cs="Calibri"/>
                <w:sz w:val="20"/>
                <w:szCs w:val="20"/>
                <w:lang w:val="en-GB"/>
              </w:rPr>
              <w:t xml:space="preserve">The trade-off </w:t>
            </w:r>
            <w:r w:rsidR="00E9363B" w:rsidRPr="00F67CC4">
              <w:rPr>
                <w:rFonts w:cs="Calibri"/>
                <w:sz w:val="20"/>
                <w:szCs w:val="20"/>
                <w:lang w:val="en-GB"/>
              </w:rPr>
              <w:t>in</w:t>
            </w:r>
            <w:r w:rsidR="006F0590" w:rsidRPr="00F67CC4">
              <w:rPr>
                <w:rFonts w:cs="Calibri"/>
                <w:sz w:val="20"/>
                <w:szCs w:val="20"/>
                <w:lang w:val="en-GB"/>
              </w:rPr>
              <w:t xml:space="preserve"> approaches </w:t>
            </w:r>
            <w:r w:rsidRPr="00F67CC4">
              <w:rPr>
                <w:rFonts w:cs="Calibri"/>
                <w:sz w:val="20"/>
                <w:szCs w:val="20"/>
                <w:lang w:val="en-GB"/>
              </w:rPr>
              <w:t>depend</w:t>
            </w:r>
            <w:r w:rsidR="006F0590" w:rsidRPr="00F67CC4">
              <w:rPr>
                <w:rFonts w:cs="Calibri"/>
                <w:sz w:val="20"/>
                <w:szCs w:val="20"/>
                <w:lang w:val="en-GB"/>
              </w:rPr>
              <w:t>s</w:t>
            </w:r>
            <w:r w:rsidR="00E9363B" w:rsidRPr="00F67CC4">
              <w:rPr>
                <w:rFonts w:cs="Calibri"/>
                <w:sz w:val="20"/>
                <w:szCs w:val="20"/>
                <w:lang w:val="en-GB"/>
              </w:rPr>
              <w:t xml:space="preserve"> on the central question, </w:t>
            </w:r>
            <w:r w:rsidRPr="00F67CC4">
              <w:rPr>
                <w:rFonts w:cs="Calibri"/>
                <w:sz w:val="20"/>
                <w:szCs w:val="20"/>
                <w:lang w:val="en-GB"/>
              </w:rPr>
              <w:t xml:space="preserve">objective </w:t>
            </w:r>
            <w:r w:rsidR="00E9363B" w:rsidRPr="00F67CC4">
              <w:rPr>
                <w:rFonts w:cs="Calibri"/>
                <w:sz w:val="20"/>
                <w:szCs w:val="20"/>
                <w:lang w:val="en-GB"/>
              </w:rPr>
              <w:t>method and incentives of a research</w:t>
            </w:r>
            <w:r w:rsidR="006F0590" w:rsidRPr="00F67CC4">
              <w:rPr>
                <w:rFonts w:cs="Calibri"/>
                <w:sz w:val="20"/>
                <w:szCs w:val="20"/>
                <w:lang w:val="en-GB"/>
              </w:rPr>
              <w:t xml:space="preserve"> </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lastRenderedPageBreak/>
              <w:t>Soderstrom N. and Sun K.J. (2007)</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E9363B" w:rsidP="00BA1EE2">
            <w:pPr>
              <w:spacing w:line="240" w:lineRule="auto"/>
              <w:rPr>
                <w:rFonts w:cs="Calibri"/>
                <w:sz w:val="20"/>
                <w:szCs w:val="20"/>
                <w:lang w:val="en-GB"/>
              </w:rPr>
            </w:pPr>
            <w:r w:rsidRPr="00F67CC4">
              <w:rPr>
                <w:rFonts w:cs="Calibri"/>
                <w:sz w:val="20"/>
                <w:szCs w:val="20"/>
                <w:lang w:val="en-GB"/>
              </w:rPr>
              <w:t>Review the change in accounting quality and the determinants causing this following widespread IFRS adoption in the EU</w:t>
            </w:r>
            <w:r w:rsidR="00004E14" w:rsidRPr="00F67CC4">
              <w:rPr>
                <w:rFonts w:cs="Calibri"/>
                <w:sz w:val="20"/>
                <w:szCs w:val="20"/>
                <w:lang w:val="en-GB"/>
              </w:rPr>
              <w:t xml:space="preserve"> </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n/a</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E9363B" w:rsidP="00E9363B">
            <w:pPr>
              <w:spacing w:line="240" w:lineRule="auto"/>
              <w:rPr>
                <w:rFonts w:cs="Calibri"/>
                <w:sz w:val="20"/>
                <w:szCs w:val="20"/>
                <w:lang w:val="en-GB"/>
              </w:rPr>
            </w:pPr>
            <w:r w:rsidRPr="00F67CC4">
              <w:rPr>
                <w:rFonts w:cs="Calibri"/>
                <w:sz w:val="20"/>
                <w:szCs w:val="20"/>
                <w:lang w:val="en-GB"/>
              </w:rPr>
              <w:t>Literature review</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E9363B" w:rsidP="00E9363B">
            <w:pPr>
              <w:spacing w:line="240" w:lineRule="auto"/>
              <w:rPr>
                <w:rFonts w:cs="Calibri"/>
                <w:sz w:val="20"/>
                <w:szCs w:val="20"/>
                <w:lang w:val="en-GB"/>
              </w:rPr>
            </w:pPr>
            <w:r w:rsidRPr="00F67CC4">
              <w:rPr>
                <w:rFonts w:cs="Calibri"/>
                <w:sz w:val="20"/>
                <w:szCs w:val="20"/>
                <w:lang w:val="en-GB"/>
              </w:rPr>
              <w:t>Accounting q</w:t>
            </w:r>
            <w:r w:rsidR="00004E14" w:rsidRPr="00F67CC4">
              <w:rPr>
                <w:rFonts w:cs="Calibri"/>
                <w:sz w:val="20"/>
                <w:szCs w:val="20"/>
                <w:lang w:val="en-GB"/>
              </w:rPr>
              <w:t xml:space="preserve">uality depends on: </w:t>
            </w:r>
            <w:r w:rsidRPr="00F67CC4">
              <w:rPr>
                <w:rFonts w:cs="Calibri"/>
                <w:sz w:val="20"/>
                <w:szCs w:val="20"/>
                <w:lang w:val="en-GB"/>
              </w:rPr>
              <w:t xml:space="preserve">(1) </w:t>
            </w:r>
            <w:r w:rsidR="00004E14" w:rsidRPr="00F67CC4">
              <w:rPr>
                <w:rFonts w:cs="Calibri"/>
                <w:sz w:val="20"/>
                <w:szCs w:val="20"/>
                <w:lang w:val="en-GB"/>
              </w:rPr>
              <w:t xml:space="preserve">quality of standards, </w:t>
            </w:r>
            <w:r w:rsidRPr="00F67CC4">
              <w:rPr>
                <w:rFonts w:cs="Calibri"/>
                <w:sz w:val="20"/>
                <w:szCs w:val="20"/>
                <w:lang w:val="en-GB"/>
              </w:rPr>
              <w:t xml:space="preserve">(2) </w:t>
            </w:r>
            <w:r w:rsidR="00004E14" w:rsidRPr="00F67CC4">
              <w:rPr>
                <w:rFonts w:cs="Calibri"/>
                <w:sz w:val="20"/>
                <w:szCs w:val="20"/>
                <w:lang w:val="en-GB"/>
              </w:rPr>
              <w:t xml:space="preserve">country’s legal and political system and </w:t>
            </w:r>
            <w:r w:rsidRPr="00F67CC4">
              <w:rPr>
                <w:rFonts w:cs="Calibri"/>
                <w:sz w:val="20"/>
                <w:szCs w:val="20"/>
                <w:lang w:val="en-GB"/>
              </w:rPr>
              <w:t xml:space="preserve">(3) </w:t>
            </w:r>
            <w:r w:rsidR="00004E14" w:rsidRPr="00F67CC4">
              <w:rPr>
                <w:rFonts w:cs="Calibri"/>
                <w:sz w:val="20"/>
                <w:szCs w:val="20"/>
                <w:lang w:val="en-GB"/>
              </w:rPr>
              <w:t xml:space="preserve">financial reporting incentives </w:t>
            </w:r>
          </w:p>
        </w:tc>
      </w:tr>
      <w:tr w:rsidR="00004E14" w:rsidRPr="0046079D"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Ronen and Yaari (2008)</w:t>
            </w:r>
          </w:p>
        </w:tc>
        <w:tc>
          <w:tcPr>
            <w:tcW w:w="1848"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Give insight in the theory, practice and research that is done about earnings management</w:t>
            </w:r>
          </w:p>
        </w:tc>
        <w:tc>
          <w:tcPr>
            <w:tcW w:w="1626"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n/a</w:t>
            </w:r>
          </w:p>
        </w:tc>
        <w:tc>
          <w:tcPr>
            <w:tcW w:w="2520" w:type="dxa"/>
            <w:tcBorders>
              <w:top w:val="single" w:sz="4" w:space="0" w:color="000000"/>
              <w:left w:val="single" w:sz="4" w:space="0" w:color="000000"/>
              <w:bottom w:val="single" w:sz="4" w:space="0" w:color="000000"/>
              <w:right w:val="single" w:sz="4" w:space="0" w:color="000000"/>
            </w:tcBorders>
          </w:tcPr>
          <w:p w:rsidR="00004E14" w:rsidRPr="00864822" w:rsidRDefault="00004E14" w:rsidP="00BA1EE2">
            <w:pPr>
              <w:spacing w:line="240" w:lineRule="auto"/>
              <w:rPr>
                <w:rFonts w:cs="Calibri"/>
                <w:sz w:val="20"/>
                <w:szCs w:val="20"/>
                <w:lang w:val="en-GB"/>
              </w:rPr>
            </w:pPr>
            <w:r w:rsidRPr="00864822">
              <w:rPr>
                <w:rFonts w:cs="Calibri"/>
                <w:sz w:val="20"/>
                <w:szCs w:val="20"/>
                <w:lang w:val="en-GB"/>
              </w:rPr>
              <w:t>Literature review including explanations of different methodologies</w:t>
            </w:r>
          </w:p>
        </w:tc>
        <w:tc>
          <w:tcPr>
            <w:tcW w:w="3006" w:type="dxa"/>
            <w:tcBorders>
              <w:top w:val="single" w:sz="4" w:space="0" w:color="000000"/>
              <w:left w:val="single" w:sz="4" w:space="0" w:color="000000"/>
              <w:bottom w:val="single" w:sz="4" w:space="0" w:color="000000"/>
              <w:right w:val="single" w:sz="4" w:space="0" w:color="000000"/>
            </w:tcBorders>
          </w:tcPr>
          <w:p w:rsidR="00004E14" w:rsidRPr="00864822" w:rsidRDefault="00864822" w:rsidP="00BA1EE2">
            <w:pPr>
              <w:spacing w:line="240" w:lineRule="auto"/>
              <w:rPr>
                <w:rFonts w:cs="Calibri"/>
                <w:sz w:val="20"/>
                <w:szCs w:val="20"/>
              </w:rPr>
            </w:pPr>
            <w:r w:rsidRPr="00864822">
              <w:rPr>
                <w:rFonts w:cs="Calibri"/>
                <w:sz w:val="20"/>
                <w:szCs w:val="20"/>
              </w:rPr>
              <w:t>n/a</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Roychowdhury (2008)</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Whether managers manipulate real activities to avoid reporting annual losses</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In the period of 1987 and 2001 are 21,758 firm-years, 36 industries and 4252 individual firms tested</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Own models estimate normal levels of sales, discretionary expenditures and COGS to compare this with the real numbers</w:t>
            </w:r>
          </w:p>
        </w:tc>
        <w:tc>
          <w:tcPr>
            <w:tcW w:w="3006"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Real activities manipulation is used to avoid losses and/or negative annual forecast errors</w:t>
            </w:r>
          </w:p>
        </w:tc>
      </w:tr>
      <w:tr w:rsidR="0046079D" w:rsidRPr="0013388B"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Tendeloo, B.</w:t>
            </w:r>
            <w:r w:rsidRPr="00F67CC4">
              <w:rPr>
                <w:rFonts w:cs="Calibri"/>
                <w:sz w:val="20"/>
                <w:szCs w:val="20"/>
                <w:lang w:val="en-GB"/>
              </w:rPr>
              <w:br/>
              <w:t>and Vanstraelen, A. (2005)</w:t>
            </w:r>
          </w:p>
        </w:tc>
        <w:tc>
          <w:tcPr>
            <w:tcW w:w="1848" w:type="dxa"/>
            <w:tcBorders>
              <w:top w:val="single" w:sz="4" w:space="0" w:color="000000"/>
              <w:left w:val="single" w:sz="4" w:space="0" w:color="000000"/>
              <w:bottom w:val="single" w:sz="4" w:space="0" w:color="000000"/>
              <w:right w:val="single" w:sz="4" w:space="0" w:color="000000"/>
            </w:tcBorders>
          </w:tcPr>
          <w:p w:rsidR="00E9363B" w:rsidRPr="00F67CC4" w:rsidRDefault="00E9363B" w:rsidP="00BA1EE2">
            <w:pPr>
              <w:spacing w:line="240" w:lineRule="auto"/>
              <w:rPr>
                <w:rFonts w:cs="Calibri"/>
                <w:sz w:val="20"/>
                <w:szCs w:val="20"/>
                <w:lang w:val="en-GB"/>
              </w:rPr>
            </w:pPr>
            <w:r w:rsidRPr="00F67CC4">
              <w:rPr>
                <w:rFonts w:cs="Calibri"/>
                <w:sz w:val="20"/>
                <w:szCs w:val="20"/>
                <w:lang w:val="en-GB"/>
              </w:rPr>
              <w:t>Whether voluntary adoption of IFRS is associated with lower earnings management</w:t>
            </w:r>
          </w:p>
          <w:p w:rsidR="00004E14" w:rsidRPr="00F67CC4" w:rsidRDefault="00004E14" w:rsidP="00BA1EE2">
            <w:pPr>
              <w:spacing w:line="240" w:lineRule="auto"/>
              <w:rPr>
                <w:rFonts w:cs="Calibri"/>
                <w:sz w:val="20"/>
                <w:szCs w:val="20"/>
                <w:lang w:val="en-GB"/>
              </w:rPr>
            </w:pP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004E14" w:rsidP="00E9363B">
            <w:pPr>
              <w:spacing w:line="240" w:lineRule="auto"/>
              <w:rPr>
                <w:rFonts w:cs="Calibri"/>
                <w:sz w:val="20"/>
                <w:szCs w:val="20"/>
                <w:lang w:val="en-GB"/>
              </w:rPr>
            </w:pPr>
            <w:r w:rsidRPr="00F67CC4">
              <w:rPr>
                <w:rFonts w:cs="Calibri"/>
                <w:sz w:val="20"/>
                <w:szCs w:val="20"/>
                <w:lang w:val="en-GB"/>
              </w:rPr>
              <w:t xml:space="preserve">636 German listed companies </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Aggregate Accruals: Cross-sectional Jones Mode (regression)</w:t>
            </w:r>
          </w:p>
        </w:tc>
        <w:tc>
          <w:tcPr>
            <w:tcW w:w="3006" w:type="dxa"/>
            <w:tcBorders>
              <w:top w:val="single" w:sz="4" w:space="0" w:color="000000"/>
              <w:left w:val="single" w:sz="4" w:space="0" w:color="000000"/>
              <w:bottom w:val="single" w:sz="4" w:space="0" w:color="000000"/>
              <w:right w:val="single" w:sz="4" w:space="0" w:color="000000"/>
            </w:tcBorders>
          </w:tcPr>
          <w:p w:rsidR="00E9363B" w:rsidRPr="00F67CC4" w:rsidRDefault="00E9363B" w:rsidP="00BA1EE2">
            <w:pPr>
              <w:spacing w:line="240" w:lineRule="auto"/>
              <w:rPr>
                <w:rFonts w:cs="Calibri"/>
                <w:sz w:val="20"/>
                <w:szCs w:val="20"/>
                <w:lang w:val="en-GB"/>
              </w:rPr>
            </w:pPr>
            <w:r w:rsidRPr="00F67CC4">
              <w:rPr>
                <w:rFonts w:cs="Calibri"/>
                <w:sz w:val="20"/>
                <w:szCs w:val="20"/>
                <w:lang w:val="en-GB"/>
              </w:rPr>
              <w:t>There is no difference in earnings management found comparing companies using IFRS and companies using German GAAP</w:t>
            </w:r>
            <w:r w:rsidR="00407269" w:rsidRPr="00F67CC4">
              <w:rPr>
                <w:rFonts w:cs="Calibri"/>
                <w:sz w:val="20"/>
                <w:szCs w:val="20"/>
                <w:lang w:val="en-GB"/>
              </w:rPr>
              <w:t xml:space="preserve">. </w:t>
            </w:r>
          </w:p>
          <w:p w:rsidR="00004E14" w:rsidRPr="00F67CC4" w:rsidRDefault="00004E14" w:rsidP="00BA1EE2">
            <w:pPr>
              <w:spacing w:line="240" w:lineRule="auto"/>
              <w:rPr>
                <w:rFonts w:cs="Calibri"/>
                <w:sz w:val="20"/>
                <w:szCs w:val="20"/>
                <w:lang w:val="en-GB"/>
              </w:rPr>
            </w:pPr>
          </w:p>
        </w:tc>
      </w:tr>
      <w:tr w:rsidR="00004E14" w:rsidRPr="0046079D" w:rsidTr="0012210F">
        <w:trPr>
          <w:jc w:val="center"/>
        </w:trPr>
        <w:tc>
          <w:tcPr>
            <w:tcW w:w="16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Xu, Taylor and Dugan (2007)</w:t>
            </w:r>
          </w:p>
        </w:tc>
        <w:tc>
          <w:tcPr>
            <w:tcW w:w="1848"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Review of real earnings management literature</w:t>
            </w:r>
          </w:p>
        </w:tc>
        <w:tc>
          <w:tcPr>
            <w:tcW w:w="1626" w:type="dxa"/>
            <w:tcBorders>
              <w:top w:val="single" w:sz="4" w:space="0" w:color="000000"/>
              <w:left w:val="single" w:sz="4" w:space="0" w:color="000000"/>
              <w:bottom w:val="single" w:sz="4" w:space="0" w:color="000000"/>
              <w:right w:val="single" w:sz="4" w:space="0" w:color="000000"/>
            </w:tcBorders>
          </w:tcPr>
          <w:p w:rsidR="00004E14" w:rsidRPr="00F67CC4" w:rsidRDefault="002054AB" w:rsidP="00BA1EE2">
            <w:pPr>
              <w:spacing w:line="240" w:lineRule="auto"/>
              <w:rPr>
                <w:rFonts w:cs="Calibri"/>
                <w:sz w:val="20"/>
                <w:szCs w:val="20"/>
              </w:rPr>
            </w:pPr>
            <w:r w:rsidRPr="00F67CC4">
              <w:rPr>
                <w:rFonts w:cs="Calibri"/>
                <w:sz w:val="20"/>
                <w:szCs w:val="20"/>
                <w:lang w:val="en-GB"/>
              </w:rPr>
              <w:t>n/a</w:t>
            </w:r>
          </w:p>
        </w:tc>
        <w:tc>
          <w:tcPr>
            <w:tcW w:w="2520" w:type="dxa"/>
            <w:tcBorders>
              <w:top w:val="single" w:sz="4" w:space="0" w:color="000000"/>
              <w:left w:val="single" w:sz="4" w:space="0" w:color="000000"/>
              <w:bottom w:val="single" w:sz="4" w:space="0" w:color="000000"/>
              <w:right w:val="single" w:sz="4" w:space="0" w:color="000000"/>
            </w:tcBorders>
          </w:tcPr>
          <w:p w:rsidR="00004E14" w:rsidRPr="00F67CC4" w:rsidRDefault="00004E14" w:rsidP="00BA1EE2">
            <w:pPr>
              <w:spacing w:line="240" w:lineRule="auto"/>
              <w:rPr>
                <w:rFonts w:cs="Calibri"/>
                <w:sz w:val="20"/>
                <w:szCs w:val="20"/>
                <w:lang w:val="en-GB"/>
              </w:rPr>
            </w:pPr>
            <w:r w:rsidRPr="00F67CC4">
              <w:rPr>
                <w:rFonts w:cs="Calibri"/>
                <w:sz w:val="20"/>
                <w:szCs w:val="20"/>
                <w:lang w:val="en-GB"/>
              </w:rPr>
              <w:t>Literature review on evidence, models, consequences and investors’ reactions on real earnings management</w:t>
            </w:r>
          </w:p>
        </w:tc>
        <w:tc>
          <w:tcPr>
            <w:tcW w:w="3006" w:type="dxa"/>
            <w:tcBorders>
              <w:top w:val="single" w:sz="4" w:space="0" w:color="000000"/>
              <w:left w:val="single" w:sz="4" w:space="0" w:color="000000"/>
              <w:bottom w:val="single" w:sz="4" w:space="0" w:color="000000"/>
              <w:right w:val="single" w:sz="4" w:space="0" w:color="000000"/>
            </w:tcBorders>
          </w:tcPr>
          <w:p w:rsidR="00004E14" w:rsidRPr="00864822" w:rsidRDefault="00864822" w:rsidP="00BA1EE2">
            <w:pPr>
              <w:spacing w:line="240" w:lineRule="auto"/>
              <w:rPr>
                <w:rFonts w:cs="Calibri"/>
                <w:sz w:val="20"/>
                <w:szCs w:val="20"/>
                <w:lang w:val="en-GB"/>
              </w:rPr>
            </w:pPr>
            <w:r>
              <w:rPr>
                <w:rFonts w:cs="Calibri"/>
                <w:sz w:val="20"/>
                <w:szCs w:val="20"/>
                <w:lang w:val="en-GB"/>
              </w:rPr>
              <w:t>n/a</w:t>
            </w:r>
          </w:p>
        </w:tc>
      </w:tr>
    </w:tbl>
    <w:p w:rsidR="001C6A3E" w:rsidRPr="00F67CC4" w:rsidRDefault="001C6A3E" w:rsidP="00F74511">
      <w:pPr>
        <w:spacing w:after="0" w:line="360" w:lineRule="auto"/>
        <w:rPr>
          <w:rFonts w:cs="Calibri"/>
          <w:spacing w:val="32"/>
          <w:sz w:val="20"/>
          <w:szCs w:val="20"/>
          <w:lang w:val="en-GB"/>
        </w:rPr>
      </w:pPr>
    </w:p>
    <w:p w:rsidR="001C6A3E" w:rsidRPr="00F67CC4" w:rsidRDefault="001C6A3E" w:rsidP="00F74511">
      <w:pPr>
        <w:spacing w:after="0" w:line="360" w:lineRule="auto"/>
        <w:rPr>
          <w:rFonts w:cs="Calibri"/>
          <w:b/>
          <w:sz w:val="20"/>
          <w:szCs w:val="20"/>
          <w:lang w:val="en-GB"/>
        </w:rPr>
      </w:pPr>
    </w:p>
    <w:p w:rsidR="001C6A3E" w:rsidRPr="00F67CC4" w:rsidRDefault="001C6A3E" w:rsidP="00F74511">
      <w:pPr>
        <w:spacing w:after="0" w:line="360" w:lineRule="auto"/>
        <w:rPr>
          <w:rFonts w:cs="Calibri"/>
          <w:b/>
          <w:sz w:val="20"/>
          <w:szCs w:val="20"/>
          <w:lang w:val="en-GB"/>
        </w:rPr>
      </w:pPr>
    </w:p>
    <w:p w:rsidR="001C6A3E" w:rsidRPr="00F67CC4" w:rsidRDefault="001C6A3E" w:rsidP="00F74511">
      <w:pPr>
        <w:spacing w:after="0" w:line="360" w:lineRule="auto"/>
        <w:rPr>
          <w:rFonts w:cs="Calibri"/>
          <w:b/>
          <w:sz w:val="20"/>
          <w:szCs w:val="20"/>
          <w:lang w:val="en-GB"/>
        </w:rPr>
      </w:pPr>
    </w:p>
    <w:p w:rsidR="001C6A3E" w:rsidRPr="00F67CC4" w:rsidRDefault="001C6A3E" w:rsidP="00F74511">
      <w:pPr>
        <w:spacing w:after="0" w:line="360" w:lineRule="auto"/>
        <w:rPr>
          <w:rFonts w:cs="Calibri"/>
          <w:b/>
          <w:sz w:val="20"/>
          <w:szCs w:val="20"/>
          <w:lang w:val="en-GB"/>
        </w:rPr>
      </w:pPr>
    </w:p>
    <w:p w:rsidR="00AB4290" w:rsidRPr="00E652FA" w:rsidRDefault="00A967E6" w:rsidP="00DB4639">
      <w:pPr>
        <w:spacing w:line="360" w:lineRule="auto"/>
        <w:rPr>
          <w:rFonts w:cs="Calibri"/>
          <w:b/>
          <w:bCs/>
          <w:sz w:val="24"/>
          <w:szCs w:val="24"/>
          <w:lang w:val="en-GB"/>
        </w:rPr>
      </w:pPr>
      <w:r>
        <w:rPr>
          <w:rFonts w:cs="Calibri"/>
          <w:b/>
          <w:bCs/>
          <w:sz w:val="24"/>
          <w:szCs w:val="24"/>
          <w:lang w:val="en-GB"/>
        </w:rPr>
        <w:br w:type="page"/>
      </w:r>
      <w:r w:rsidR="00DB4639" w:rsidRPr="00E652FA">
        <w:rPr>
          <w:rFonts w:cs="Calibri"/>
          <w:b/>
          <w:bCs/>
          <w:sz w:val="24"/>
          <w:szCs w:val="24"/>
          <w:lang w:val="en-GB"/>
        </w:rPr>
        <w:lastRenderedPageBreak/>
        <w:t>Appendix</w:t>
      </w:r>
      <w:r w:rsidR="008F5A7F" w:rsidRPr="00E652FA">
        <w:rPr>
          <w:rFonts w:cs="Calibri"/>
          <w:b/>
          <w:bCs/>
          <w:sz w:val="24"/>
          <w:szCs w:val="24"/>
          <w:lang w:val="en-GB"/>
        </w:rPr>
        <w:t xml:space="preserve"> 2</w:t>
      </w:r>
      <w:r w:rsidR="00DB4639" w:rsidRPr="00E652FA">
        <w:rPr>
          <w:rFonts w:cs="Calibri"/>
          <w:b/>
          <w:bCs/>
          <w:sz w:val="24"/>
          <w:szCs w:val="24"/>
          <w:lang w:val="en-GB"/>
        </w:rPr>
        <w:t xml:space="preserve"> Companies used </w:t>
      </w:r>
      <w:r w:rsidR="00F86B4F" w:rsidRPr="00E652FA">
        <w:rPr>
          <w:rFonts w:cs="Calibri"/>
          <w:b/>
          <w:bCs/>
          <w:sz w:val="24"/>
          <w:szCs w:val="24"/>
          <w:lang w:val="en-GB"/>
        </w:rPr>
        <w:t>for this research</w:t>
      </w:r>
    </w:p>
    <w:p w:rsidR="00276D87" w:rsidRPr="00F67CC4" w:rsidRDefault="00276D87" w:rsidP="00DB4639">
      <w:pPr>
        <w:spacing w:line="360" w:lineRule="auto"/>
        <w:rPr>
          <w:rFonts w:cs="Calibri"/>
          <w:b/>
          <w:bCs/>
          <w:sz w:val="24"/>
          <w:szCs w:val="24"/>
          <w:lang w:val="en-GB"/>
        </w:rPr>
      </w:pPr>
      <w:r w:rsidRPr="00F67CC4">
        <w:rPr>
          <w:rFonts w:cs="Calibri"/>
          <w:b/>
          <w:bCs/>
          <w:sz w:val="24"/>
          <w:szCs w:val="24"/>
          <w:lang w:val="en-GB"/>
        </w:rPr>
        <w:t>The Netherlands</w:t>
      </w:r>
    </w:p>
    <w:tbl>
      <w:tblPr>
        <w:tblW w:w="96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0"/>
        <w:gridCol w:w="2320"/>
        <w:gridCol w:w="2460"/>
        <w:gridCol w:w="2380"/>
      </w:tblGrid>
      <w:tr w:rsidR="00276D87" w:rsidRPr="00A967E6"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AKZO NOBEL N.V.</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GOUDA VUURVAST HLD</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KONINKLIJKE KPN NV</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SIMAC TECHNIEK NV</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AMSTERDAM COMM</w:t>
            </w:r>
          </w:p>
        </w:tc>
        <w:tc>
          <w:tcPr>
            <w:tcW w:w="232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GRONTMIJ</w:t>
            </w:r>
          </w:p>
        </w:tc>
        <w:tc>
          <w:tcPr>
            <w:tcW w:w="246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KONINKLIJKE TEN CATE</w:t>
            </w:r>
          </w:p>
        </w:tc>
        <w:tc>
          <w:tcPr>
            <w:tcW w:w="238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SLIGRO FOOD GROUP NV</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ARCADIS NV</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HEINEKEN HOLDING</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MEDIQ NV</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SMIT INTERNATIONALE</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BALLAST NEDAM NV</w:t>
            </w:r>
          </w:p>
        </w:tc>
        <w:tc>
          <w:tcPr>
            <w:tcW w:w="232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HEINEKEN N.V.</w:t>
            </w:r>
          </w:p>
        </w:tc>
        <w:tc>
          <w:tcPr>
            <w:tcW w:w="246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N.V. PORCELEYNE FLES</w:t>
            </w:r>
          </w:p>
        </w:tc>
        <w:tc>
          <w:tcPr>
            <w:tcW w:w="238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STERN GROEP NV</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BATENBURG TECHN</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HUNTER DOUGLAS N.V.</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NEDFIELD</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TELEGRAAF MEDIA</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BE SEMICONDUCTOR IND</w:t>
            </w:r>
          </w:p>
        </w:tc>
        <w:tc>
          <w:tcPr>
            <w:tcW w:w="232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IMTECH NV</w:t>
            </w:r>
          </w:p>
        </w:tc>
        <w:tc>
          <w:tcPr>
            <w:tcW w:w="246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NEWAYS ELECTRONICS</w:t>
            </w:r>
          </w:p>
        </w:tc>
        <w:tc>
          <w:tcPr>
            <w:tcW w:w="238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TKH GROUP N.V.</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BETER BED HOLDING</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KENDRION NV</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NUTRECO N.V.</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UNILEVER N.V.</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BRUNEL INTERNATIONAL</w:t>
            </w:r>
          </w:p>
        </w:tc>
        <w:tc>
          <w:tcPr>
            <w:tcW w:w="232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 BOSKALIS WESTM.</w:t>
            </w:r>
          </w:p>
        </w:tc>
        <w:tc>
          <w:tcPr>
            <w:tcW w:w="246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ORANJEWOUD NV</w:t>
            </w:r>
          </w:p>
        </w:tc>
        <w:tc>
          <w:tcPr>
            <w:tcW w:w="238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USG PEOPLE N.V.</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CROWN VAN GELDER</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 ECONOSTO N.V.</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ORDINA NV</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WEGENER N.V.</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CSM NV</w:t>
            </w:r>
          </w:p>
        </w:tc>
        <w:tc>
          <w:tcPr>
            <w:tcW w:w="232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KONINK. WESSANEN</w:t>
            </w:r>
          </w:p>
        </w:tc>
        <w:tc>
          <w:tcPr>
            <w:tcW w:w="246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POSTNL</w:t>
            </w:r>
          </w:p>
        </w:tc>
        <w:tc>
          <w:tcPr>
            <w:tcW w:w="238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WITTE MOLEN NV</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DOCDATA NV</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KONINKLIJKE AHOLD NV</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RANDSTAD HOLDING</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WOLTERS KLUWER N.V.</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ERIKS N.V.</w:t>
            </w:r>
          </w:p>
        </w:tc>
        <w:tc>
          <w:tcPr>
            <w:tcW w:w="232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KONINKLIJKE BAM GRP</w:t>
            </w:r>
          </w:p>
        </w:tc>
        <w:tc>
          <w:tcPr>
            <w:tcW w:w="246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ROOD MICROTEC</w:t>
            </w:r>
          </w:p>
        </w:tc>
        <w:tc>
          <w:tcPr>
            <w:tcW w:w="238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GAMMA HOLDING NV</w:t>
            </w:r>
          </w:p>
        </w:tc>
        <w:tc>
          <w:tcPr>
            <w:tcW w:w="232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KONINKLIJKE DSM N.V.</w:t>
            </w:r>
          </w:p>
        </w:tc>
        <w:tc>
          <w:tcPr>
            <w:tcW w:w="246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ROTO SMEETS GROUP NV</w:t>
            </w:r>
          </w:p>
        </w:tc>
        <w:tc>
          <w:tcPr>
            <w:tcW w:w="238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p>
        </w:tc>
      </w:tr>
    </w:tbl>
    <w:p w:rsidR="00276D87" w:rsidRPr="00F67CC4" w:rsidRDefault="004C7518" w:rsidP="00DB4639">
      <w:pPr>
        <w:spacing w:line="360" w:lineRule="auto"/>
        <w:rPr>
          <w:rFonts w:cs="Calibri"/>
          <w:b/>
          <w:bCs/>
          <w:sz w:val="24"/>
          <w:szCs w:val="24"/>
          <w:lang w:val="en-GB"/>
        </w:rPr>
      </w:pPr>
      <w:r w:rsidRPr="00F67CC4">
        <w:rPr>
          <w:rFonts w:cs="Calibri"/>
          <w:b/>
          <w:bCs/>
          <w:lang w:val="en-GB"/>
        </w:rPr>
        <w:br/>
      </w:r>
      <w:r w:rsidRPr="00F67CC4">
        <w:rPr>
          <w:rFonts w:cs="Calibri"/>
          <w:b/>
          <w:bCs/>
          <w:sz w:val="24"/>
          <w:szCs w:val="24"/>
          <w:lang w:val="en-GB"/>
        </w:rPr>
        <w:t>Belgium</w:t>
      </w:r>
    </w:p>
    <w:tbl>
      <w:tblPr>
        <w:tblW w:w="250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0"/>
      </w:tblGrid>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D'IETEREN S.A.</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ETABLISSEMENT DELHAI</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SIPEF SA</w:t>
            </w:r>
          </w:p>
        </w:tc>
      </w:tr>
      <w:tr w:rsidR="00276D87" w:rsidRPr="00276D87" w:rsidTr="00276D87">
        <w:trPr>
          <w:trHeight w:val="300"/>
        </w:trPr>
        <w:tc>
          <w:tcPr>
            <w:tcW w:w="2500" w:type="dxa"/>
            <w:shd w:val="clear" w:color="auto" w:fill="auto"/>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SOLVAY SA</w:t>
            </w:r>
          </w:p>
        </w:tc>
      </w:tr>
      <w:tr w:rsidR="00276D87" w:rsidRPr="00276D87" w:rsidTr="00276D87">
        <w:trPr>
          <w:trHeight w:val="300"/>
        </w:trPr>
        <w:tc>
          <w:tcPr>
            <w:tcW w:w="2500" w:type="dxa"/>
            <w:shd w:val="clear" w:color="DCE6F1" w:fill="DCE6F1"/>
            <w:noWrap/>
            <w:vAlign w:val="bottom"/>
            <w:hideMark/>
          </w:tcPr>
          <w:p w:rsidR="00276D87" w:rsidRPr="00276D87" w:rsidRDefault="00276D87" w:rsidP="00276D87">
            <w:pPr>
              <w:spacing w:after="0" w:line="240" w:lineRule="auto"/>
              <w:rPr>
                <w:rFonts w:eastAsia="Times New Roman" w:cs="Calibri"/>
                <w:color w:val="000000"/>
                <w:sz w:val="20"/>
                <w:szCs w:val="20"/>
                <w:lang w:val="en-US"/>
              </w:rPr>
            </w:pPr>
            <w:r w:rsidRPr="00276D87">
              <w:rPr>
                <w:rFonts w:eastAsia="Times New Roman" w:cs="Calibri"/>
                <w:color w:val="000000"/>
                <w:sz w:val="20"/>
                <w:szCs w:val="20"/>
                <w:lang w:val="en-US"/>
              </w:rPr>
              <w:t>SPADEL SA</w:t>
            </w:r>
          </w:p>
        </w:tc>
      </w:tr>
    </w:tbl>
    <w:p w:rsidR="00276D87" w:rsidRPr="00F67CC4" w:rsidRDefault="00276D87" w:rsidP="00DB4639">
      <w:pPr>
        <w:spacing w:line="360" w:lineRule="auto"/>
        <w:rPr>
          <w:rFonts w:cs="Calibri"/>
          <w:b/>
          <w:bCs/>
          <w:lang w:val="en-GB"/>
        </w:rPr>
      </w:pPr>
    </w:p>
    <w:p w:rsidR="00176482" w:rsidRPr="00F67CC4" w:rsidRDefault="00276D87" w:rsidP="00DB4639">
      <w:pPr>
        <w:spacing w:line="360" w:lineRule="auto"/>
        <w:rPr>
          <w:rFonts w:cs="Calibri"/>
          <w:b/>
          <w:bCs/>
          <w:sz w:val="24"/>
          <w:szCs w:val="24"/>
          <w:lang w:val="en-GB"/>
        </w:rPr>
      </w:pPr>
      <w:r w:rsidRPr="00F67CC4">
        <w:rPr>
          <w:rFonts w:cs="Calibri"/>
          <w:b/>
          <w:bCs/>
          <w:sz w:val="24"/>
          <w:szCs w:val="24"/>
          <w:lang w:val="en-GB"/>
        </w:rPr>
        <w:t>France</w:t>
      </w:r>
    </w:p>
    <w:tbl>
      <w:tblPr>
        <w:tblW w:w="96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00"/>
        <w:gridCol w:w="2320"/>
        <w:gridCol w:w="2460"/>
        <w:gridCol w:w="2380"/>
      </w:tblGrid>
      <w:tr w:rsidR="00176482" w:rsidRPr="00176482" w:rsidTr="00176482">
        <w:trPr>
          <w:trHeight w:val="300"/>
        </w:trPr>
        <w:tc>
          <w:tcPr>
            <w:tcW w:w="250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ALCATEL-LUCENT SA</w:t>
            </w:r>
          </w:p>
        </w:tc>
        <w:tc>
          <w:tcPr>
            <w:tcW w:w="232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DYNACTION SA</w:t>
            </w:r>
          </w:p>
        </w:tc>
        <w:tc>
          <w:tcPr>
            <w:tcW w:w="246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GROUPE EUROTUNNEL</w:t>
            </w:r>
          </w:p>
        </w:tc>
        <w:tc>
          <w:tcPr>
            <w:tcW w:w="238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NRJ GROUPE</w:t>
            </w:r>
          </w:p>
        </w:tc>
      </w:tr>
      <w:tr w:rsidR="00176482" w:rsidRPr="00176482" w:rsidTr="00176482">
        <w:trPr>
          <w:trHeight w:val="300"/>
        </w:trPr>
        <w:tc>
          <w:tcPr>
            <w:tcW w:w="250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BOIRON SA</w:t>
            </w:r>
          </w:p>
        </w:tc>
        <w:tc>
          <w:tcPr>
            <w:tcW w:w="232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ERAMET SA</w:t>
            </w:r>
          </w:p>
        </w:tc>
        <w:tc>
          <w:tcPr>
            <w:tcW w:w="246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GROUPE FLO SA</w:t>
            </w:r>
          </w:p>
        </w:tc>
        <w:tc>
          <w:tcPr>
            <w:tcW w:w="238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PRODUITS CHEMIQ</w:t>
            </w:r>
          </w:p>
        </w:tc>
      </w:tr>
      <w:tr w:rsidR="00176482" w:rsidRPr="00176482" w:rsidTr="00176482">
        <w:trPr>
          <w:trHeight w:val="300"/>
        </w:trPr>
        <w:tc>
          <w:tcPr>
            <w:tcW w:w="250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BOLLORE</w:t>
            </w:r>
          </w:p>
        </w:tc>
        <w:tc>
          <w:tcPr>
            <w:tcW w:w="232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ETAM DEVELOPPEMENT</w:t>
            </w:r>
          </w:p>
        </w:tc>
        <w:tc>
          <w:tcPr>
            <w:tcW w:w="246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GROUPE GUILLIN SA</w:t>
            </w:r>
          </w:p>
        </w:tc>
        <w:tc>
          <w:tcPr>
            <w:tcW w:w="238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REXEL S.A.</w:t>
            </w:r>
          </w:p>
        </w:tc>
      </w:tr>
      <w:tr w:rsidR="00176482" w:rsidRPr="00176482" w:rsidTr="00176482">
        <w:trPr>
          <w:trHeight w:val="300"/>
        </w:trPr>
        <w:tc>
          <w:tcPr>
            <w:tcW w:w="250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BOUYGUES SA</w:t>
            </w:r>
          </w:p>
        </w:tc>
        <w:tc>
          <w:tcPr>
            <w:tcW w:w="232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ETS. MAUREL ET PROM</w:t>
            </w:r>
          </w:p>
        </w:tc>
        <w:tc>
          <w:tcPr>
            <w:tcW w:w="246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HAVAS SA</w:t>
            </w:r>
          </w:p>
        </w:tc>
        <w:tc>
          <w:tcPr>
            <w:tcW w:w="238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RHODIA</w:t>
            </w:r>
          </w:p>
        </w:tc>
      </w:tr>
      <w:tr w:rsidR="00176482" w:rsidRPr="00176482" w:rsidTr="00176482">
        <w:trPr>
          <w:trHeight w:val="300"/>
        </w:trPr>
        <w:tc>
          <w:tcPr>
            <w:tcW w:w="250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BRICORAMA SA</w:t>
            </w:r>
          </w:p>
        </w:tc>
        <w:tc>
          <w:tcPr>
            <w:tcW w:w="232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FAURECIA SA</w:t>
            </w:r>
          </w:p>
        </w:tc>
        <w:tc>
          <w:tcPr>
            <w:tcW w:w="246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HERMES INTERNATIONAL</w:t>
            </w:r>
          </w:p>
        </w:tc>
        <w:tc>
          <w:tcPr>
            <w:tcW w:w="238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RUBIS SA</w:t>
            </w:r>
          </w:p>
        </w:tc>
      </w:tr>
      <w:tr w:rsidR="00176482" w:rsidRPr="00176482" w:rsidTr="00176482">
        <w:trPr>
          <w:trHeight w:val="300"/>
        </w:trPr>
        <w:tc>
          <w:tcPr>
            <w:tcW w:w="250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CARREFOUR S.A.</w:t>
            </w:r>
          </w:p>
        </w:tc>
        <w:tc>
          <w:tcPr>
            <w:tcW w:w="232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FRANCE TELECOM SA</w:t>
            </w:r>
          </w:p>
        </w:tc>
        <w:tc>
          <w:tcPr>
            <w:tcW w:w="246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HYPARLO</w:t>
            </w:r>
          </w:p>
        </w:tc>
        <w:tc>
          <w:tcPr>
            <w:tcW w:w="238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SAGA SA</w:t>
            </w:r>
          </w:p>
        </w:tc>
      </w:tr>
      <w:tr w:rsidR="00176482" w:rsidRPr="0013388B" w:rsidTr="00176482">
        <w:trPr>
          <w:trHeight w:val="300"/>
        </w:trPr>
        <w:tc>
          <w:tcPr>
            <w:tcW w:w="250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COLAS SA</w:t>
            </w:r>
          </w:p>
        </w:tc>
        <w:tc>
          <w:tcPr>
            <w:tcW w:w="232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GASCOGNE</w:t>
            </w:r>
          </w:p>
        </w:tc>
        <w:tc>
          <w:tcPr>
            <w:tcW w:w="246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JACQUET METAL</w:t>
            </w:r>
          </w:p>
        </w:tc>
        <w:tc>
          <w:tcPr>
            <w:tcW w:w="238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STE FERM CAS MUN CAN</w:t>
            </w:r>
          </w:p>
        </w:tc>
      </w:tr>
      <w:tr w:rsidR="00176482" w:rsidRPr="00176482" w:rsidTr="00176482">
        <w:trPr>
          <w:trHeight w:val="300"/>
        </w:trPr>
        <w:tc>
          <w:tcPr>
            <w:tcW w:w="250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COMPAGNIE GENERALE</w:t>
            </w:r>
          </w:p>
        </w:tc>
        <w:tc>
          <w:tcPr>
            <w:tcW w:w="232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GAUMONT SA</w:t>
            </w:r>
          </w:p>
        </w:tc>
        <w:tc>
          <w:tcPr>
            <w:tcW w:w="246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L'OREAL SA</w:t>
            </w:r>
          </w:p>
        </w:tc>
        <w:tc>
          <w:tcPr>
            <w:tcW w:w="238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SYNERGIE SA</w:t>
            </w:r>
          </w:p>
        </w:tc>
      </w:tr>
      <w:tr w:rsidR="00176482" w:rsidRPr="00176482" w:rsidTr="00176482">
        <w:trPr>
          <w:trHeight w:val="300"/>
        </w:trPr>
        <w:tc>
          <w:tcPr>
            <w:tcW w:w="250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CS COMMUN &amp; SYSTEMES</w:t>
            </w:r>
          </w:p>
        </w:tc>
        <w:tc>
          <w:tcPr>
            <w:tcW w:w="232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GDF SUEZ</w:t>
            </w:r>
          </w:p>
        </w:tc>
        <w:tc>
          <w:tcPr>
            <w:tcW w:w="246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M6 - METROPOLE TV</w:t>
            </w:r>
          </w:p>
        </w:tc>
        <w:tc>
          <w:tcPr>
            <w:tcW w:w="2380" w:type="dxa"/>
            <w:shd w:val="clear" w:color="DCE6F1" w:fill="DCE6F1"/>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TELEVISION FRANCA 1</w:t>
            </w:r>
          </w:p>
        </w:tc>
      </w:tr>
      <w:tr w:rsidR="00176482" w:rsidRPr="00176482" w:rsidTr="00176482">
        <w:trPr>
          <w:trHeight w:val="300"/>
        </w:trPr>
        <w:tc>
          <w:tcPr>
            <w:tcW w:w="250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DISTRIBORG GROUPE</w:t>
            </w:r>
          </w:p>
        </w:tc>
        <w:tc>
          <w:tcPr>
            <w:tcW w:w="232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GROUPE DANONE SA</w:t>
            </w:r>
          </w:p>
        </w:tc>
        <w:tc>
          <w:tcPr>
            <w:tcW w:w="246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MEDASYS SA</w:t>
            </w:r>
          </w:p>
        </w:tc>
        <w:tc>
          <w:tcPr>
            <w:tcW w:w="2380" w:type="dxa"/>
            <w:shd w:val="clear" w:color="auto" w:fill="auto"/>
            <w:noWrap/>
            <w:vAlign w:val="bottom"/>
            <w:hideMark/>
          </w:tcPr>
          <w:p w:rsidR="00176482" w:rsidRPr="00176482" w:rsidRDefault="00176482" w:rsidP="00176482">
            <w:pPr>
              <w:spacing w:after="0" w:line="240" w:lineRule="auto"/>
              <w:rPr>
                <w:rFonts w:eastAsia="Times New Roman" w:cs="Calibri"/>
                <w:color w:val="000000"/>
                <w:sz w:val="20"/>
                <w:szCs w:val="20"/>
                <w:lang w:val="en-US"/>
              </w:rPr>
            </w:pPr>
            <w:r w:rsidRPr="00176482">
              <w:rPr>
                <w:rFonts w:eastAsia="Times New Roman" w:cs="Calibri"/>
                <w:color w:val="000000"/>
                <w:sz w:val="20"/>
                <w:szCs w:val="20"/>
                <w:lang w:val="en-US"/>
              </w:rPr>
              <w:t>TIPIAK SA</w:t>
            </w:r>
          </w:p>
        </w:tc>
      </w:tr>
    </w:tbl>
    <w:p w:rsidR="00DB4639" w:rsidRPr="00731535" w:rsidRDefault="00AB4290" w:rsidP="00DB4639">
      <w:pPr>
        <w:spacing w:line="360" w:lineRule="auto"/>
        <w:rPr>
          <w:rFonts w:cs="Calibri"/>
          <w:b/>
          <w:bCs/>
          <w:sz w:val="24"/>
          <w:szCs w:val="24"/>
          <w:lang w:val="en-GB"/>
        </w:rPr>
      </w:pPr>
      <w:r w:rsidRPr="00F67CC4">
        <w:rPr>
          <w:rFonts w:cs="Calibri"/>
          <w:b/>
          <w:bCs/>
          <w:sz w:val="28"/>
          <w:szCs w:val="28"/>
          <w:lang w:val="en-GB"/>
        </w:rPr>
        <w:br w:type="page"/>
      </w:r>
      <w:r w:rsidR="008F5A7F" w:rsidRPr="00731535">
        <w:rPr>
          <w:rFonts w:cs="Calibri"/>
          <w:b/>
          <w:bCs/>
          <w:sz w:val="24"/>
          <w:szCs w:val="24"/>
          <w:lang w:val="en-GB"/>
        </w:rPr>
        <w:lastRenderedPageBreak/>
        <w:t>Appendix 3</w:t>
      </w:r>
      <w:r w:rsidRPr="00731535">
        <w:rPr>
          <w:rFonts w:cs="Calibri"/>
          <w:b/>
          <w:bCs/>
          <w:sz w:val="24"/>
          <w:szCs w:val="24"/>
          <w:lang w:val="en-GB"/>
        </w:rPr>
        <w:t xml:space="preserve"> Results from SPSS</w:t>
      </w:r>
    </w:p>
    <w:tbl>
      <w:tblPr>
        <w:tblW w:w="8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63"/>
        <w:gridCol w:w="1010"/>
        <w:gridCol w:w="199"/>
        <w:gridCol w:w="592"/>
        <w:gridCol w:w="19"/>
        <w:gridCol w:w="267"/>
        <w:gridCol w:w="578"/>
        <w:gridCol w:w="245"/>
        <w:gridCol w:w="215"/>
        <w:gridCol w:w="418"/>
        <w:gridCol w:w="131"/>
        <w:gridCol w:w="246"/>
        <w:gridCol w:w="528"/>
        <w:gridCol w:w="551"/>
        <w:gridCol w:w="73"/>
        <w:gridCol w:w="832"/>
        <w:gridCol w:w="178"/>
        <w:gridCol w:w="832"/>
        <w:gridCol w:w="178"/>
        <w:gridCol w:w="832"/>
      </w:tblGrid>
      <w:tr w:rsidR="000D0B44" w:rsidRPr="0013388B" w:rsidTr="000D0B44">
        <w:trPr>
          <w:gridAfter w:val="8"/>
          <w:wAfter w:w="4004" w:type="dxa"/>
        </w:trPr>
        <w:tc>
          <w:tcPr>
            <w:tcW w:w="4710" w:type="dxa"/>
            <w:gridSpan w:val="13"/>
            <w:tcBorders>
              <w:top w:val="nil"/>
              <w:left w:val="nil"/>
              <w:bottom w:val="nil"/>
              <w:right w:val="nil"/>
            </w:tcBorders>
            <w:shd w:val="clear" w:color="auto" w:fill="FFFFFF"/>
            <w:vAlign w:val="center"/>
          </w:tcPr>
          <w:p w:rsidR="000D0B44" w:rsidRPr="00E652FA" w:rsidRDefault="000D0B44" w:rsidP="000D0B44">
            <w:pPr>
              <w:autoSpaceDE w:val="0"/>
              <w:autoSpaceDN w:val="0"/>
              <w:adjustRightInd w:val="0"/>
              <w:spacing w:after="0" w:line="320" w:lineRule="atLeast"/>
              <w:ind w:left="60" w:right="60"/>
              <w:rPr>
                <w:rFonts w:cs="Calibri"/>
                <w:b/>
                <w:bCs/>
                <w:sz w:val="24"/>
                <w:szCs w:val="24"/>
                <w:lang w:val="en-GB"/>
              </w:rPr>
            </w:pPr>
            <w:r w:rsidRPr="00E652FA">
              <w:rPr>
                <w:rFonts w:cs="Calibri"/>
                <w:b/>
                <w:bCs/>
                <w:sz w:val="24"/>
                <w:szCs w:val="24"/>
                <w:lang w:val="en-GB"/>
              </w:rPr>
              <w:t>Total Accruals</w:t>
            </w:r>
          </w:p>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F67CC4">
              <w:rPr>
                <w:rFonts w:cs="Calibri"/>
                <w:b/>
                <w:bCs/>
                <w:sz w:val="28"/>
                <w:szCs w:val="28"/>
                <w:lang w:val="en-GB"/>
              </w:rPr>
              <w:br/>
            </w:r>
            <w:r w:rsidRPr="000D0B44">
              <w:rPr>
                <w:rFonts w:ascii="Arial" w:hAnsi="Arial"/>
                <w:b/>
                <w:bCs/>
                <w:color w:val="000000"/>
                <w:sz w:val="18"/>
                <w:szCs w:val="18"/>
                <w:lang w:val="en-US"/>
              </w:rPr>
              <w:t>Variables Entered/Removed</w:t>
            </w:r>
            <w:r w:rsidRPr="000D0B44">
              <w:rPr>
                <w:rFonts w:ascii="Arial" w:hAnsi="Arial"/>
                <w:b/>
                <w:bCs/>
                <w:color w:val="000000"/>
                <w:sz w:val="18"/>
                <w:szCs w:val="18"/>
                <w:vertAlign w:val="superscript"/>
                <w:lang w:val="en-US"/>
              </w:rPr>
              <w:t>b</w:t>
            </w:r>
          </w:p>
        </w:tc>
      </w:tr>
      <w:tr w:rsidR="000D0B44" w:rsidRPr="000D0B44" w:rsidTr="000D0B44">
        <w:trPr>
          <w:gridAfter w:val="8"/>
          <w:wAfter w:w="4004"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820"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Entered</w:t>
            </w:r>
          </w:p>
        </w:tc>
        <w:tc>
          <w:tcPr>
            <w:tcW w:w="1090" w:type="dxa"/>
            <w:gridSpan w:val="3"/>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Removed</w:t>
            </w:r>
          </w:p>
        </w:tc>
        <w:tc>
          <w:tcPr>
            <w:tcW w:w="1010"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Method</w:t>
            </w:r>
          </w:p>
        </w:tc>
      </w:tr>
      <w:tr w:rsidR="000D0B44" w:rsidRPr="000D0B44" w:rsidTr="000D0B44">
        <w:trPr>
          <w:gridAfter w:val="8"/>
          <w:wAfter w:w="4004"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820" w:type="dxa"/>
            <w:gridSpan w:val="4"/>
            <w:tcBorders>
              <w:top w:val="single" w:sz="16" w:space="0" w:color="000000"/>
              <w:left w:val="single" w:sz="16" w:space="0" w:color="000000"/>
              <w:bottom w:val="single" w:sz="16" w:space="0" w:color="000000"/>
            </w:tcBorders>
            <w:shd w:val="clear" w:color="auto" w:fill="FFFFFF"/>
          </w:tcPr>
          <w:p w:rsidR="008C358C"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PPE / A </w:t>
            </w:r>
            <w:r w:rsidR="00E17DC6">
              <w:rPr>
                <w:rFonts w:ascii="Arial" w:hAnsi="Arial"/>
                <w:color w:val="000000"/>
                <w:sz w:val="18"/>
                <w:szCs w:val="18"/>
                <w:lang w:val="en-US"/>
              </w:rPr>
              <w:t>(</w:t>
            </w:r>
            <w:r>
              <w:rPr>
                <w:rFonts w:ascii="Arial" w:hAnsi="Arial"/>
                <w:color w:val="000000"/>
                <w:sz w:val="18"/>
                <w:szCs w:val="18"/>
                <w:lang w:val="en-US"/>
              </w:rPr>
              <w:t>t-</w:t>
            </w:r>
            <w:r w:rsidRPr="000D0B44">
              <w:rPr>
                <w:rFonts w:ascii="Arial" w:hAnsi="Arial"/>
                <w:color w:val="000000"/>
                <w:sz w:val="18"/>
                <w:szCs w:val="18"/>
                <w:lang w:val="en-US"/>
              </w:rPr>
              <w:t>1</w:t>
            </w:r>
            <w:r>
              <w:rPr>
                <w:rFonts w:ascii="Arial" w:hAnsi="Arial"/>
                <w:color w:val="000000"/>
                <w:sz w:val="18"/>
                <w:szCs w:val="18"/>
                <w:lang w:val="en-US"/>
              </w:rPr>
              <w:t xml:space="preserve">), </w:t>
            </w:r>
          </w:p>
          <w:p w:rsidR="008C358C"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1</w:t>
            </w:r>
            <w:r w:rsidR="00E17DC6">
              <w:rPr>
                <w:rFonts w:ascii="Arial" w:hAnsi="Arial"/>
                <w:color w:val="000000"/>
                <w:sz w:val="18"/>
                <w:szCs w:val="18"/>
                <w:lang w:val="en-US"/>
              </w:rPr>
              <w:t xml:space="preserve"> / </w:t>
            </w:r>
            <w:r>
              <w:rPr>
                <w:rFonts w:ascii="Arial" w:hAnsi="Arial"/>
                <w:color w:val="000000"/>
                <w:sz w:val="18"/>
                <w:szCs w:val="18"/>
                <w:lang w:val="en-US"/>
              </w:rPr>
              <w:t xml:space="preserve">A </w:t>
            </w:r>
            <w:r w:rsidR="00E17DC6">
              <w:rPr>
                <w:rFonts w:ascii="Arial" w:hAnsi="Arial"/>
                <w:color w:val="000000"/>
                <w:sz w:val="18"/>
                <w:szCs w:val="18"/>
                <w:lang w:val="en-US"/>
              </w:rPr>
              <w:t>(</w:t>
            </w:r>
            <w:r>
              <w:rPr>
                <w:rFonts w:ascii="Arial" w:hAnsi="Arial"/>
                <w:color w:val="000000"/>
                <w:sz w:val="18"/>
                <w:szCs w:val="18"/>
                <w:lang w:val="en-US"/>
              </w:rPr>
              <w:t>t-</w:t>
            </w:r>
            <w:r w:rsidRPr="000D0B44">
              <w:rPr>
                <w:rFonts w:ascii="Arial" w:hAnsi="Arial"/>
                <w:color w:val="000000"/>
                <w:sz w:val="18"/>
                <w:szCs w:val="18"/>
                <w:lang w:val="en-US"/>
              </w:rPr>
              <w:t>1</w:t>
            </w:r>
            <w:r>
              <w:rPr>
                <w:rFonts w:ascii="Arial" w:hAnsi="Arial"/>
                <w:color w:val="000000"/>
                <w:sz w:val="18"/>
                <w:szCs w:val="18"/>
                <w:lang w:val="en-US"/>
              </w:rPr>
              <w:t xml:space="preserve">), </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Pr="000D0B44">
              <w:rPr>
                <w:rFonts w:ascii="Arial" w:hAnsi="Arial"/>
                <w:color w:val="000000"/>
                <w:sz w:val="18"/>
                <w:szCs w:val="18"/>
                <w:lang w:val="en-US"/>
              </w:rPr>
              <w:t>S</w:t>
            </w:r>
            <w:r w:rsidR="00E17DC6">
              <w:rPr>
                <w:rFonts w:ascii="Arial" w:hAnsi="Arial"/>
                <w:color w:val="000000"/>
                <w:sz w:val="18"/>
                <w:szCs w:val="18"/>
                <w:lang w:val="en-US"/>
              </w:rPr>
              <w:t xml:space="preserve"> / </w:t>
            </w:r>
            <w:r>
              <w:rPr>
                <w:rFonts w:ascii="Arial" w:hAnsi="Arial"/>
                <w:color w:val="000000"/>
                <w:sz w:val="18"/>
                <w:szCs w:val="18"/>
                <w:lang w:val="en-US"/>
              </w:rPr>
              <w:t xml:space="preserve">A </w:t>
            </w:r>
            <w:r w:rsidR="00E17DC6">
              <w:rPr>
                <w:rFonts w:ascii="Arial" w:hAnsi="Arial"/>
                <w:color w:val="000000"/>
                <w:sz w:val="18"/>
                <w:szCs w:val="18"/>
                <w:lang w:val="en-US"/>
              </w:rPr>
              <w:t>(</w:t>
            </w:r>
            <w:r>
              <w:rPr>
                <w:rFonts w:ascii="Arial" w:hAnsi="Arial"/>
                <w:color w:val="000000"/>
                <w:sz w:val="18"/>
                <w:szCs w:val="18"/>
                <w:lang w:val="en-US"/>
              </w:rPr>
              <w:t>t-</w:t>
            </w:r>
            <w:r w:rsidRPr="000D0B44">
              <w:rPr>
                <w:rFonts w:ascii="Arial" w:hAnsi="Arial"/>
                <w:color w:val="000000"/>
                <w:sz w:val="18"/>
                <w:szCs w:val="18"/>
                <w:lang w:val="en-US"/>
              </w:rPr>
              <w:t>1</w:t>
            </w:r>
            <w:r>
              <w:rPr>
                <w:rFonts w:ascii="Arial" w:hAnsi="Arial"/>
                <w:color w:val="000000"/>
                <w:sz w:val="18"/>
                <w:szCs w:val="18"/>
                <w:lang w:val="en-US"/>
              </w:rPr>
              <w:t>)</w:t>
            </w:r>
          </w:p>
        </w:tc>
        <w:tc>
          <w:tcPr>
            <w:tcW w:w="1090" w:type="dxa"/>
            <w:gridSpan w:val="3"/>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w:t>
            </w:r>
          </w:p>
        </w:tc>
        <w:tc>
          <w:tcPr>
            <w:tcW w:w="1010"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Enter</w:t>
            </w:r>
          </w:p>
        </w:tc>
      </w:tr>
      <w:tr w:rsidR="000D0B44" w:rsidRPr="0013388B" w:rsidTr="000D0B44">
        <w:trPr>
          <w:gridAfter w:val="8"/>
          <w:wAfter w:w="4004" w:type="dxa"/>
        </w:trPr>
        <w:tc>
          <w:tcPr>
            <w:tcW w:w="4710" w:type="dxa"/>
            <w:gridSpan w:val="13"/>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All requested variables entered.</w:t>
            </w:r>
          </w:p>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b. Dependent Variable: TA / </w:t>
            </w:r>
            <w:r w:rsidR="000D0B44">
              <w:rPr>
                <w:rFonts w:ascii="Arial" w:hAnsi="Arial"/>
                <w:color w:val="000000"/>
                <w:sz w:val="18"/>
                <w:szCs w:val="18"/>
                <w:lang w:val="en-US"/>
              </w:rPr>
              <w:t xml:space="preserve">A / </w:t>
            </w:r>
            <w:r>
              <w:rPr>
                <w:rFonts w:ascii="Arial" w:hAnsi="Arial"/>
                <w:color w:val="000000"/>
                <w:sz w:val="18"/>
                <w:szCs w:val="18"/>
                <w:lang w:val="en-US"/>
              </w:rPr>
              <w:t>(</w:t>
            </w:r>
            <w:r w:rsidR="000D0B44">
              <w:rPr>
                <w:rFonts w:ascii="Arial" w:hAnsi="Arial"/>
                <w:color w:val="000000"/>
                <w:sz w:val="18"/>
                <w:szCs w:val="18"/>
                <w:lang w:val="en-US"/>
              </w:rPr>
              <w:t>t-</w:t>
            </w:r>
            <w:r w:rsidR="000D0B44" w:rsidRPr="000D0B44">
              <w:rPr>
                <w:rFonts w:ascii="Arial" w:hAnsi="Arial"/>
                <w:color w:val="000000"/>
                <w:sz w:val="18"/>
                <w:szCs w:val="18"/>
                <w:lang w:val="en-US"/>
              </w:rPr>
              <w:t>1</w:t>
            </w:r>
            <w:r w:rsidR="000D0B44">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rPr>
          <w:gridAfter w:val="6"/>
          <w:wAfter w:w="2925" w:type="dxa"/>
        </w:trPr>
        <w:tc>
          <w:tcPr>
            <w:tcW w:w="5789" w:type="dxa"/>
            <w:gridSpan w:val="15"/>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Model Summary</w:t>
            </w:r>
          </w:p>
        </w:tc>
      </w:tr>
      <w:tr w:rsidR="000D0B44" w:rsidRPr="0013388B" w:rsidTr="000D0B44">
        <w:trPr>
          <w:gridAfter w:val="6"/>
          <w:wAfter w:w="2925"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w:t>
            </w:r>
          </w:p>
        </w:tc>
        <w:tc>
          <w:tcPr>
            <w:tcW w:w="1077"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 Square</w:t>
            </w:r>
          </w:p>
        </w:tc>
        <w:tc>
          <w:tcPr>
            <w:tcW w:w="1456"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Adjusted R Square</w:t>
            </w:r>
          </w:p>
        </w:tc>
        <w:tc>
          <w:tcPr>
            <w:tcW w:w="1456"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 of the Estimate</w:t>
            </w:r>
          </w:p>
        </w:tc>
      </w:tr>
      <w:tr w:rsidR="000D0B44" w:rsidRPr="000D0B44" w:rsidTr="000D0B44">
        <w:trPr>
          <w:gridAfter w:val="6"/>
          <w:wAfter w:w="2925"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.544</w:t>
            </w:r>
            <w:r w:rsidRPr="000D0B44">
              <w:rPr>
                <w:rFonts w:ascii="Arial" w:hAnsi="Arial"/>
                <w:color w:val="000000"/>
                <w:sz w:val="18"/>
                <w:szCs w:val="18"/>
                <w:vertAlign w:val="superscript"/>
                <w:lang w:val="en-US"/>
              </w:rPr>
              <w:t>a</w:t>
            </w:r>
          </w:p>
        </w:tc>
        <w:tc>
          <w:tcPr>
            <w:tcW w:w="1077"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.296</w:t>
            </w:r>
          </w:p>
        </w:tc>
        <w:tc>
          <w:tcPr>
            <w:tcW w:w="1456"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.291</w:t>
            </w:r>
          </w:p>
        </w:tc>
        <w:tc>
          <w:tcPr>
            <w:tcW w:w="1456"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.16852</w:t>
            </w:r>
          </w:p>
        </w:tc>
      </w:tr>
      <w:tr w:rsidR="000D0B44" w:rsidRPr="0013388B" w:rsidTr="000D0B44">
        <w:trPr>
          <w:gridAfter w:val="6"/>
          <w:wAfter w:w="2925" w:type="dxa"/>
        </w:trPr>
        <w:tc>
          <w:tcPr>
            <w:tcW w:w="5789" w:type="dxa"/>
            <w:gridSpan w:val="15"/>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a. Predictors: (Constant), PPE / A </w:t>
            </w:r>
            <w:r w:rsidR="00E17DC6">
              <w:rPr>
                <w:rFonts w:ascii="Arial" w:hAnsi="Arial"/>
                <w:color w:val="000000"/>
                <w:sz w:val="18"/>
                <w:szCs w:val="18"/>
                <w:lang w:val="en-US"/>
              </w:rPr>
              <w:t>(</w:t>
            </w:r>
            <w:r>
              <w:rPr>
                <w:rFonts w:ascii="Arial" w:hAnsi="Arial"/>
                <w:color w:val="000000"/>
                <w:sz w:val="18"/>
                <w:szCs w:val="18"/>
                <w:lang w:val="en-US"/>
              </w:rPr>
              <w:t>t-</w:t>
            </w:r>
            <w:r w:rsidRPr="000D0B44">
              <w:rPr>
                <w:rFonts w:ascii="Arial" w:hAnsi="Arial"/>
                <w:color w:val="000000"/>
                <w:sz w:val="18"/>
                <w:szCs w:val="18"/>
                <w:lang w:val="en-US"/>
              </w:rPr>
              <w:t>1</w:t>
            </w:r>
            <w:r>
              <w:rPr>
                <w:rFonts w:ascii="Arial" w:hAnsi="Arial"/>
                <w:color w:val="000000"/>
                <w:sz w:val="18"/>
                <w:szCs w:val="18"/>
                <w:lang w:val="en-US"/>
              </w:rPr>
              <w:t>)</w:t>
            </w:r>
            <w:r w:rsidRPr="000D0B44">
              <w:rPr>
                <w:rFonts w:ascii="Arial" w:hAnsi="Arial"/>
                <w:color w:val="000000"/>
                <w:sz w:val="18"/>
                <w:szCs w:val="18"/>
                <w:lang w:val="en-US"/>
              </w:rPr>
              <w:t>, 1</w:t>
            </w:r>
            <w:r>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 xml:space="preserve">), Change </w:t>
            </w:r>
            <w:r w:rsidRPr="000D0B44">
              <w:rPr>
                <w:rFonts w:ascii="Arial" w:hAnsi="Arial"/>
                <w:color w:val="000000"/>
                <w:sz w:val="18"/>
                <w:szCs w:val="18"/>
                <w:lang w:val="en-US"/>
              </w:rPr>
              <w:t>S</w:t>
            </w:r>
            <w:r w:rsidR="00E17DC6">
              <w:rPr>
                <w:rFonts w:ascii="Arial" w:hAnsi="Arial"/>
                <w:color w:val="000000"/>
                <w:sz w:val="18"/>
                <w:szCs w:val="18"/>
                <w:lang w:val="en-US"/>
              </w:rPr>
              <w:t xml:space="preserve"> / </w:t>
            </w:r>
            <w:r>
              <w:rPr>
                <w:rFonts w:ascii="Arial" w:hAnsi="Arial"/>
                <w:color w:val="000000"/>
                <w:sz w:val="18"/>
                <w:szCs w:val="18"/>
                <w:lang w:val="en-US"/>
              </w:rPr>
              <w:t xml:space="preserve">A </w:t>
            </w:r>
            <w:r w:rsidR="00E17DC6">
              <w:rPr>
                <w:rFonts w:ascii="Arial" w:hAnsi="Arial"/>
                <w:color w:val="000000"/>
                <w:sz w:val="18"/>
                <w:szCs w:val="18"/>
                <w:lang w:val="en-US"/>
              </w:rPr>
              <w:t>(</w:t>
            </w:r>
            <w:r>
              <w:rPr>
                <w:rFonts w:ascii="Arial" w:hAnsi="Arial"/>
                <w:color w:val="000000"/>
                <w:sz w:val="18"/>
                <w:szCs w:val="18"/>
                <w:lang w:val="en-US"/>
              </w:rPr>
              <w:t>t-</w:t>
            </w:r>
            <w:r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rPr>
          <w:gridAfter w:val="1"/>
          <w:wAfter w:w="832" w:type="dxa"/>
        </w:trPr>
        <w:tc>
          <w:tcPr>
            <w:tcW w:w="7882" w:type="dxa"/>
            <w:gridSpan w:val="20"/>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ANOVA</w:t>
            </w:r>
            <w:r w:rsidRPr="000D0B44">
              <w:rPr>
                <w:rFonts w:ascii="Arial" w:hAnsi="Arial"/>
                <w:b/>
                <w:bCs/>
                <w:color w:val="000000"/>
                <w:sz w:val="18"/>
                <w:szCs w:val="18"/>
                <w:vertAlign w:val="superscript"/>
                <w:lang w:val="en-US"/>
              </w:rPr>
              <w:t>b</w:t>
            </w:r>
          </w:p>
        </w:tc>
      </w:tr>
      <w:tr w:rsidR="000D0B44" w:rsidRPr="000D0B44" w:rsidTr="000D0B44">
        <w:trPr>
          <w:gridAfter w:val="1"/>
          <w:wAfter w:w="832" w:type="dxa"/>
        </w:trPr>
        <w:tc>
          <w:tcPr>
            <w:tcW w:w="1999" w:type="dxa"/>
            <w:gridSpan w:val="4"/>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456"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Sum of Squares</w:t>
            </w:r>
          </w:p>
        </w:tc>
        <w:tc>
          <w:tcPr>
            <w:tcW w:w="1009"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df</w:t>
            </w:r>
          </w:p>
        </w:tc>
        <w:tc>
          <w:tcPr>
            <w:tcW w:w="1398"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Mean Square</w:t>
            </w:r>
          </w:p>
        </w:tc>
        <w:tc>
          <w:tcPr>
            <w:tcW w:w="1010" w:type="dxa"/>
            <w:gridSpan w:val="2"/>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F</w:t>
            </w:r>
          </w:p>
        </w:tc>
        <w:tc>
          <w:tcPr>
            <w:tcW w:w="1010" w:type="dxa"/>
            <w:gridSpan w:val="2"/>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D0B44">
        <w:trPr>
          <w:gridAfter w:val="1"/>
          <w:wAfter w:w="832" w:type="dxa"/>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272" w:type="dxa"/>
            <w:gridSpan w:val="3"/>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Regression</w:t>
            </w:r>
          </w:p>
        </w:tc>
        <w:tc>
          <w:tcPr>
            <w:tcW w:w="1456"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5.616</w:t>
            </w:r>
          </w:p>
        </w:tc>
        <w:tc>
          <w:tcPr>
            <w:tcW w:w="1009"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w:t>
            </w:r>
          </w:p>
        </w:tc>
        <w:tc>
          <w:tcPr>
            <w:tcW w:w="1398"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1.872</w:t>
            </w:r>
          </w:p>
        </w:tc>
        <w:tc>
          <w:tcPr>
            <w:tcW w:w="1010"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65.916</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r w:rsidRPr="000D0B44">
              <w:rPr>
                <w:rFonts w:ascii="Arial" w:hAnsi="Arial"/>
                <w:color w:val="000000"/>
                <w:sz w:val="18"/>
                <w:szCs w:val="18"/>
                <w:vertAlign w:val="superscript"/>
                <w:lang w:val="en-US"/>
              </w:rPr>
              <w:t>a</w:t>
            </w:r>
          </w:p>
        </w:tc>
      </w:tr>
      <w:tr w:rsidR="000D0B44" w:rsidRPr="000D0B44" w:rsidTr="000D0B44">
        <w:trPr>
          <w:gridAfter w:val="1"/>
          <w:wAfter w:w="832"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72" w:type="dxa"/>
            <w:gridSpan w:val="3"/>
            <w:tcBorders>
              <w:top w:val="nil"/>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Residual</w:t>
            </w:r>
          </w:p>
        </w:tc>
        <w:tc>
          <w:tcPr>
            <w:tcW w:w="1456"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13.376</w:t>
            </w:r>
          </w:p>
        </w:tc>
        <w:tc>
          <w:tcPr>
            <w:tcW w:w="1009"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471</w:t>
            </w:r>
          </w:p>
        </w:tc>
        <w:tc>
          <w:tcPr>
            <w:tcW w:w="1398"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.028</w:t>
            </w:r>
          </w:p>
        </w:tc>
        <w:tc>
          <w:tcPr>
            <w:tcW w:w="1010" w:type="dxa"/>
            <w:gridSpan w:val="2"/>
            <w:tcBorders>
              <w:top w:val="nil"/>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nil"/>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0D0B44" w:rsidTr="000D0B44">
        <w:trPr>
          <w:gridAfter w:val="1"/>
          <w:wAfter w:w="832"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Times New Roman" w:hAnsi="Times New Roman" w:cs="Times New Roman"/>
                <w:sz w:val="24"/>
                <w:szCs w:val="24"/>
                <w:lang w:val="en-US"/>
              </w:rPr>
            </w:pPr>
          </w:p>
        </w:tc>
        <w:tc>
          <w:tcPr>
            <w:tcW w:w="1272" w:type="dxa"/>
            <w:gridSpan w:val="3"/>
            <w:tcBorders>
              <w:top w:val="nil"/>
              <w:left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Total</w:t>
            </w:r>
          </w:p>
        </w:tc>
        <w:tc>
          <w:tcPr>
            <w:tcW w:w="1456"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18.991</w:t>
            </w:r>
          </w:p>
        </w:tc>
        <w:tc>
          <w:tcPr>
            <w:tcW w:w="1009"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474</w:t>
            </w:r>
          </w:p>
        </w:tc>
        <w:tc>
          <w:tcPr>
            <w:tcW w:w="1398" w:type="dxa"/>
            <w:gridSpan w:val="4"/>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single" w:sz="16" w:space="0" w:color="000000"/>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13388B" w:rsidTr="000D0B44">
        <w:trPr>
          <w:gridAfter w:val="1"/>
          <w:wAfter w:w="832" w:type="dxa"/>
        </w:trPr>
        <w:tc>
          <w:tcPr>
            <w:tcW w:w="7882" w:type="dxa"/>
            <w:gridSpan w:val="20"/>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Predicto</w:t>
            </w:r>
            <w:r>
              <w:rPr>
                <w:rFonts w:ascii="Arial" w:hAnsi="Arial"/>
                <w:color w:val="000000"/>
                <w:sz w:val="18"/>
                <w:szCs w:val="18"/>
                <w:lang w:val="en-US"/>
              </w:rPr>
              <w:t>rs: (Constant), PPE</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r w:rsidRPr="000D0B44">
              <w:rPr>
                <w:rFonts w:ascii="Arial" w:hAnsi="Arial"/>
                <w:color w:val="000000"/>
                <w:sz w:val="18"/>
                <w:szCs w:val="18"/>
                <w:lang w:val="en-US"/>
              </w:rPr>
              <w:t>, 1</w:t>
            </w:r>
            <w:r>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r w:rsidRPr="000D0B44">
              <w:rPr>
                <w:rFonts w:ascii="Arial" w:hAnsi="Arial"/>
                <w:color w:val="000000"/>
                <w:sz w:val="18"/>
                <w:szCs w:val="18"/>
                <w:lang w:val="en-US"/>
              </w:rPr>
              <w:t>, Change</w:t>
            </w:r>
            <w:r>
              <w:rPr>
                <w:rFonts w:ascii="Arial" w:hAnsi="Arial"/>
                <w:color w:val="000000"/>
                <w:sz w:val="18"/>
                <w:szCs w:val="18"/>
                <w:lang w:val="en-US"/>
              </w:rPr>
              <w:t xml:space="preserve"> </w:t>
            </w:r>
            <w:r w:rsidRPr="000D0B44">
              <w:rPr>
                <w:rFonts w:ascii="Arial" w:hAnsi="Arial"/>
                <w:color w:val="000000"/>
                <w:sz w:val="18"/>
                <w:szCs w:val="18"/>
                <w:lang w:val="en-US"/>
              </w:rPr>
              <w:t>S</w:t>
            </w:r>
            <w:r>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b. Dependent Variable: TA</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c>
          <w:tcPr>
            <w:tcW w:w="8714" w:type="dxa"/>
            <w:gridSpan w:val="21"/>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Coefficients</w:t>
            </w:r>
            <w:r w:rsidRPr="000D0B44">
              <w:rPr>
                <w:rFonts w:ascii="Arial" w:hAnsi="Arial"/>
                <w:b/>
                <w:bCs/>
                <w:color w:val="000000"/>
                <w:sz w:val="18"/>
                <w:szCs w:val="18"/>
                <w:vertAlign w:val="superscript"/>
                <w:lang w:val="en-US"/>
              </w:rPr>
              <w:t>a</w:t>
            </w:r>
          </w:p>
        </w:tc>
      </w:tr>
      <w:tr w:rsidR="000D0B44" w:rsidRPr="000D0B44" w:rsidTr="000D0B44">
        <w:tc>
          <w:tcPr>
            <w:tcW w:w="2591" w:type="dxa"/>
            <w:gridSpan w:val="5"/>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647" w:type="dxa"/>
            <w:gridSpan w:val="9"/>
            <w:tcBorders>
              <w:top w:val="single" w:sz="16" w:space="0" w:color="000000"/>
              <w:lef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Unstandardized Coefficients</w:t>
            </w:r>
          </w:p>
        </w:tc>
        <w:tc>
          <w:tcPr>
            <w:tcW w:w="1456" w:type="dxa"/>
            <w:gridSpan w:val="3"/>
            <w:tcBorders>
              <w:top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t</w:t>
            </w:r>
          </w:p>
        </w:tc>
        <w:tc>
          <w:tcPr>
            <w:tcW w:w="1010" w:type="dxa"/>
            <w:gridSpan w:val="2"/>
            <w:vMerge w:val="restart"/>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D0B44">
        <w:tc>
          <w:tcPr>
            <w:tcW w:w="2591" w:type="dxa"/>
            <w:gridSpan w:val="5"/>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324" w:type="dxa"/>
            <w:gridSpan w:val="5"/>
            <w:tcBorders>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w:t>
            </w:r>
          </w:p>
        </w:tc>
        <w:tc>
          <w:tcPr>
            <w:tcW w:w="1323" w:type="dxa"/>
            <w:gridSpan w:val="4"/>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w:t>
            </w:r>
          </w:p>
        </w:tc>
        <w:tc>
          <w:tcPr>
            <w:tcW w:w="1456" w:type="dxa"/>
            <w:gridSpan w:val="3"/>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010" w:type="dxa"/>
            <w:gridSpan w:val="2"/>
            <w:vMerge/>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r>
      <w:tr w:rsidR="000D0B44" w:rsidRPr="000D0B44" w:rsidTr="000D0B44">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864" w:type="dxa"/>
            <w:gridSpan w:val="4"/>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(Constant)</w:t>
            </w:r>
          </w:p>
        </w:tc>
        <w:tc>
          <w:tcPr>
            <w:tcW w:w="1324" w:type="dxa"/>
            <w:gridSpan w:val="5"/>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-.572</w:t>
            </w:r>
          </w:p>
        </w:tc>
        <w:tc>
          <w:tcPr>
            <w:tcW w:w="1323"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.015</w:t>
            </w:r>
          </w:p>
        </w:tc>
        <w:tc>
          <w:tcPr>
            <w:tcW w:w="1456" w:type="dxa"/>
            <w:gridSpan w:val="3"/>
            <w:tcBorders>
              <w:top w:val="single" w:sz="16" w:space="0" w:color="000000"/>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-38.843</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864" w:type="dxa"/>
            <w:gridSpan w:val="4"/>
            <w:tcBorders>
              <w:top w:val="nil"/>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1</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3.420</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.298</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.444</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11.475</w:t>
            </w:r>
          </w:p>
        </w:tc>
        <w:tc>
          <w:tcPr>
            <w:tcW w:w="1010" w:type="dxa"/>
            <w:gridSpan w:val="2"/>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864" w:type="dxa"/>
            <w:gridSpan w:val="4"/>
            <w:tcBorders>
              <w:top w:val="nil"/>
              <w:left w:val="nil"/>
              <w:bottom w:val="nil"/>
              <w:right w:val="single" w:sz="16" w:space="0" w:color="000000"/>
            </w:tcBorders>
            <w:shd w:val="clear" w:color="auto" w:fill="FFFFFF"/>
          </w:tcPr>
          <w:p w:rsidR="000D0B44" w:rsidRPr="000D0B44" w:rsidRDefault="000D0B44"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Pr="000D0B44">
              <w:rPr>
                <w:rFonts w:ascii="Arial" w:hAnsi="Arial"/>
                <w:color w:val="000000"/>
                <w:sz w:val="18"/>
                <w:szCs w:val="18"/>
                <w:lang w:val="en-US"/>
              </w:rPr>
              <w:t>S</w:t>
            </w:r>
            <w:r>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.044</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.011</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.155</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3.988</w:t>
            </w:r>
          </w:p>
        </w:tc>
        <w:tc>
          <w:tcPr>
            <w:tcW w:w="1010" w:type="dxa"/>
            <w:gridSpan w:val="2"/>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864" w:type="dxa"/>
            <w:gridSpan w:val="4"/>
            <w:tcBorders>
              <w:top w:val="nil"/>
              <w:left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PPE</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.248</w:t>
            </w:r>
          </w:p>
        </w:tc>
        <w:tc>
          <w:tcPr>
            <w:tcW w:w="1323"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.037</w:t>
            </w:r>
          </w:p>
        </w:tc>
        <w:tc>
          <w:tcPr>
            <w:tcW w:w="1456" w:type="dxa"/>
            <w:gridSpan w:val="3"/>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.258</w:t>
            </w:r>
          </w:p>
        </w:tc>
        <w:tc>
          <w:tcPr>
            <w:tcW w:w="1010" w:type="dxa"/>
            <w:gridSpan w:val="2"/>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6.661</w:t>
            </w:r>
          </w:p>
        </w:tc>
        <w:tc>
          <w:tcPr>
            <w:tcW w:w="1010" w:type="dxa"/>
            <w:gridSpan w:val="2"/>
            <w:tcBorders>
              <w:top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13388B" w:rsidTr="000D0B44">
        <w:tc>
          <w:tcPr>
            <w:tcW w:w="8714" w:type="dxa"/>
            <w:gridSpan w:val="21"/>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a. Dependent Variable: TA</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Pr>
                <w:rFonts w:ascii="Arial" w:hAnsi="Arial"/>
                <w:color w:val="000000"/>
                <w:sz w:val="18"/>
                <w:szCs w:val="18"/>
                <w:lang w:val="en-US"/>
              </w:rPr>
              <w:t>-</w:t>
            </w:r>
            <w:r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bl>
    <w:p w:rsidR="000D0B44" w:rsidRPr="00F67CC4" w:rsidRDefault="000D0B44" w:rsidP="000D0B44">
      <w:pPr>
        <w:tabs>
          <w:tab w:val="left" w:pos="4035"/>
        </w:tabs>
        <w:spacing w:line="360" w:lineRule="auto"/>
        <w:rPr>
          <w:rFonts w:cs="Calibri"/>
          <w:b/>
          <w:bCs/>
          <w:lang w:val="en-GB"/>
        </w:rPr>
      </w:pPr>
      <w:r w:rsidRPr="00F67CC4">
        <w:rPr>
          <w:rFonts w:cs="Calibri"/>
          <w:b/>
          <w:bCs/>
          <w:lang w:val="en-GB"/>
        </w:rPr>
        <w:tab/>
      </w:r>
    </w:p>
    <w:p w:rsidR="000D0B44" w:rsidRPr="00E652FA" w:rsidRDefault="000D0B44" w:rsidP="000D0B44">
      <w:pPr>
        <w:rPr>
          <w:rFonts w:ascii="Times New Roman" w:hAnsi="Times New Roman" w:cs="Times New Roman"/>
          <w:sz w:val="24"/>
          <w:szCs w:val="24"/>
          <w:lang w:val="en-US"/>
        </w:rPr>
      </w:pPr>
      <w:r w:rsidRPr="00E652FA">
        <w:rPr>
          <w:rFonts w:cs="Calibri"/>
          <w:b/>
          <w:bCs/>
          <w:sz w:val="24"/>
          <w:szCs w:val="24"/>
          <w:lang w:val="en-GB"/>
        </w:rPr>
        <w:lastRenderedPageBreak/>
        <w:t>Cash Flow of Operations</w:t>
      </w:r>
      <w:r w:rsidRPr="00E652FA">
        <w:rPr>
          <w:rFonts w:cs="Calibri"/>
          <w:b/>
          <w:bCs/>
          <w:sz w:val="24"/>
          <w:szCs w:val="24"/>
          <w:lang w:val="en-GB"/>
        </w:rPr>
        <w:br/>
      </w:r>
    </w:p>
    <w:tbl>
      <w:tblPr>
        <w:tblW w:w="87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62"/>
        <w:gridCol w:w="1010"/>
        <w:gridCol w:w="200"/>
        <w:gridCol w:w="553"/>
        <w:gridCol w:w="39"/>
        <w:gridCol w:w="285"/>
        <w:gridCol w:w="579"/>
        <w:gridCol w:w="244"/>
        <w:gridCol w:w="216"/>
        <w:gridCol w:w="417"/>
        <w:gridCol w:w="132"/>
        <w:gridCol w:w="245"/>
        <w:gridCol w:w="529"/>
        <w:gridCol w:w="550"/>
        <w:gridCol w:w="74"/>
        <w:gridCol w:w="832"/>
        <w:gridCol w:w="178"/>
        <w:gridCol w:w="832"/>
        <w:gridCol w:w="178"/>
        <w:gridCol w:w="832"/>
      </w:tblGrid>
      <w:tr w:rsidR="000D0B44" w:rsidRPr="000D0B44" w:rsidTr="00920498">
        <w:trPr>
          <w:gridAfter w:val="8"/>
          <w:wAfter w:w="4005" w:type="dxa"/>
        </w:trPr>
        <w:tc>
          <w:tcPr>
            <w:tcW w:w="4709" w:type="dxa"/>
            <w:gridSpan w:val="13"/>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Variables Entered/Removed</w:t>
            </w:r>
            <w:r w:rsidRPr="000D0B44">
              <w:rPr>
                <w:rFonts w:ascii="Arial" w:hAnsi="Arial"/>
                <w:b/>
                <w:bCs/>
                <w:color w:val="000000"/>
                <w:sz w:val="18"/>
                <w:szCs w:val="18"/>
                <w:vertAlign w:val="superscript"/>
                <w:lang w:val="en-US"/>
              </w:rPr>
              <w:t>b</w:t>
            </w:r>
          </w:p>
        </w:tc>
      </w:tr>
      <w:tr w:rsidR="000D0B44" w:rsidRPr="000D0B44" w:rsidTr="008C358C">
        <w:trPr>
          <w:gridAfter w:val="8"/>
          <w:wAfter w:w="4005"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763" w:type="dxa"/>
            <w:gridSpan w:val="3"/>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Entered</w:t>
            </w:r>
          </w:p>
        </w:tc>
        <w:tc>
          <w:tcPr>
            <w:tcW w:w="1147"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Removed</w:t>
            </w:r>
          </w:p>
        </w:tc>
        <w:tc>
          <w:tcPr>
            <w:tcW w:w="1010"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Method</w:t>
            </w:r>
          </w:p>
        </w:tc>
      </w:tr>
      <w:tr w:rsidR="000D0B44" w:rsidRPr="000D0B44" w:rsidTr="008C358C">
        <w:trPr>
          <w:gridAfter w:val="8"/>
          <w:wAfter w:w="4005"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763" w:type="dxa"/>
            <w:gridSpan w:val="3"/>
            <w:tcBorders>
              <w:top w:val="single" w:sz="16" w:space="0" w:color="000000"/>
              <w:left w:val="single" w:sz="16" w:space="0" w:color="000000"/>
              <w:bottom w:val="single" w:sz="16" w:space="0" w:color="000000"/>
            </w:tcBorders>
            <w:shd w:val="clear" w:color="auto" w:fill="FFFFFF"/>
          </w:tcPr>
          <w:p w:rsidR="008C358C" w:rsidRDefault="00920498"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 A </w:t>
            </w:r>
            <w:r w:rsidR="00E17DC6">
              <w:rPr>
                <w:rFonts w:ascii="Arial" w:hAnsi="Arial"/>
                <w:color w:val="000000"/>
                <w:sz w:val="18"/>
                <w:szCs w:val="18"/>
                <w:lang w:val="en-US"/>
              </w:rPr>
              <w:t>(</w:t>
            </w:r>
            <w:r>
              <w:rPr>
                <w:rFonts w:ascii="Arial" w:hAnsi="Arial"/>
                <w:color w:val="000000"/>
                <w:sz w:val="18"/>
                <w:szCs w:val="18"/>
                <w:lang w:val="en-US"/>
              </w:rPr>
              <w:t>t-</w:t>
            </w:r>
            <w:r w:rsidR="000D0B44" w:rsidRPr="000D0B44">
              <w:rPr>
                <w:rFonts w:ascii="Arial" w:hAnsi="Arial"/>
                <w:color w:val="000000"/>
                <w:sz w:val="18"/>
                <w:szCs w:val="18"/>
                <w:lang w:val="en-US"/>
              </w:rPr>
              <w:t>1</w:t>
            </w:r>
            <w:r>
              <w:rPr>
                <w:rFonts w:ascii="Arial" w:hAnsi="Arial"/>
                <w:color w:val="000000"/>
                <w:sz w:val="18"/>
                <w:szCs w:val="18"/>
                <w:lang w:val="en-US"/>
              </w:rPr>
              <w:t xml:space="preserve">), </w:t>
            </w:r>
            <w:r w:rsidR="000D0B44" w:rsidRPr="000D0B44">
              <w:rPr>
                <w:rFonts w:ascii="Arial" w:hAnsi="Arial"/>
                <w:color w:val="000000"/>
                <w:sz w:val="18"/>
                <w:szCs w:val="18"/>
                <w:lang w:val="en-US"/>
              </w:rPr>
              <w:t>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w:t>
            </w:r>
          </w:p>
          <w:p w:rsidR="000D0B44" w:rsidRPr="000D0B44" w:rsidRDefault="00920498"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S / A </w:t>
            </w:r>
            <w:r w:rsidR="00E17DC6">
              <w:rPr>
                <w:rFonts w:ascii="Arial" w:hAnsi="Arial"/>
                <w:color w:val="000000"/>
                <w:sz w:val="18"/>
                <w:szCs w:val="18"/>
                <w:lang w:val="en-US"/>
              </w:rPr>
              <w:t>(</w:t>
            </w:r>
            <w:r>
              <w:rPr>
                <w:rFonts w:ascii="Arial" w:hAnsi="Arial"/>
                <w:color w:val="000000"/>
                <w:sz w:val="18"/>
                <w:szCs w:val="18"/>
                <w:lang w:val="en-US"/>
              </w:rPr>
              <w:t>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147"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w:t>
            </w:r>
          </w:p>
        </w:tc>
        <w:tc>
          <w:tcPr>
            <w:tcW w:w="1010"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Enter</w:t>
            </w:r>
          </w:p>
        </w:tc>
      </w:tr>
      <w:tr w:rsidR="000D0B44" w:rsidRPr="0013388B" w:rsidTr="00920498">
        <w:trPr>
          <w:gridAfter w:val="8"/>
          <w:wAfter w:w="4005" w:type="dxa"/>
        </w:trPr>
        <w:tc>
          <w:tcPr>
            <w:tcW w:w="4709" w:type="dxa"/>
            <w:gridSpan w:val="13"/>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All requested variables entered.</w:t>
            </w:r>
          </w:p>
          <w:p w:rsidR="000D0B44" w:rsidRPr="000D0B44" w:rsidRDefault="00920498"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b. Dependent Variable: CFO</w:t>
            </w:r>
            <w:r w:rsidR="00E17DC6">
              <w:rPr>
                <w:rFonts w:ascii="Arial" w:hAnsi="Arial"/>
                <w:color w:val="000000"/>
                <w:sz w:val="18"/>
                <w:szCs w:val="18"/>
                <w:lang w:val="en-US"/>
              </w:rPr>
              <w:t xml:space="preserve"> / </w:t>
            </w:r>
            <w:r>
              <w:rPr>
                <w:rFonts w:ascii="Arial" w:hAnsi="Arial"/>
                <w:color w:val="000000"/>
                <w:sz w:val="18"/>
                <w:szCs w:val="18"/>
                <w:lang w:val="en-US"/>
              </w:rPr>
              <w:t xml:space="preserve">A </w:t>
            </w:r>
            <w:r w:rsidR="00E17DC6">
              <w:rPr>
                <w:rFonts w:ascii="Arial" w:hAnsi="Arial"/>
                <w:color w:val="000000"/>
                <w:sz w:val="18"/>
                <w:szCs w:val="18"/>
                <w:lang w:val="en-US"/>
              </w:rPr>
              <w:t>(</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920498">
        <w:trPr>
          <w:gridAfter w:val="6"/>
          <w:wAfter w:w="2926" w:type="dxa"/>
        </w:trPr>
        <w:tc>
          <w:tcPr>
            <w:tcW w:w="5788" w:type="dxa"/>
            <w:gridSpan w:val="15"/>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Model Summary</w:t>
            </w:r>
          </w:p>
        </w:tc>
      </w:tr>
      <w:tr w:rsidR="000D0B44" w:rsidRPr="0013388B" w:rsidTr="00920498">
        <w:trPr>
          <w:gridAfter w:val="6"/>
          <w:wAfter w:w="2926"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w:t>
            </w:r>
          </w:p>
        </w:tc>
        <w:tc>
          <w:tcPr>
            <w:tcW w:w="1077"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 Square</w:t>
            </w:r>
          </w:p>
        </w:tc>
        <w:tc>
          <w:tcPr>
            <w:tcW w:w="1456"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Adjusted R Square</w:t>
            </w:r>
          </w:p>
        </w:tc>
        <w:tc>
          <w:tcPr>
            <w:tcW w:w="1456"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 of the Estimate</w:t>
            </w:r>
          </w:p>
        </w:tc>
      </w:tr>
      <w:tr w:rsidR="000D0B44" w:rsidRPr="000D0B44" w:rsidTr="00920498">
        <w:trPr>
          <w:gridAfter w:val="6"/>
          <w:wAfter w:w="2926"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.295</w:t>
            </w:r>
            <w:r w:rsidRPr="000D0B44">
              <w:rPr>
                <w:rFonts w:ascii="Arial" w:hAnsi="Arial"/>
                <w:color w:val="000000"/>
                <w:sz w:val="18"/>
                <w:szCs w:val="18"/>
                <w:vertAlign w:val="superscript"/>
                <w:lang w:val="en-US"/>
              </w:rPr>
              <w:t>a</w:t>
            </w:r>
          </w:p>
        </w:tc>
        <w:tc>
          <w:tcPr>
            <w:tcW w:w="1077"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.087</w:t>
            </w:r>
          </w:p>
        </w:tc>
        <w:tc>
          <w:tcPr>
            <w:tcW w:w="1456"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.081</w:t>
            </w:r>
          </w:p>
        </w:tc>
        <w:tc>
          <w:tcPr>
            <w:tcW w:w="1456"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.11898</w:t>
            </w:r>
          </w:p>
        </w:tc>
      </w:tr>
      <w:tr w:rsidR="000D0B44" w:rsidRPr="0013388B" w:rsidTr="00920498">
        <w:trPr>
          <w:gridAfter w:val="6"/>
          <w:wAfter w:w="2926" w:type="dxa"/>
        </w:trPr>
        <w:tc>
          <w:tcPr>
            <w:tcW w:w="5788" w:type="dxa"/>
            <w:gridSpan w:val="15"/>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Pr</w:t>
            </w:r>
            <w:r w:rsidR="00920498">
              <w:rPr>
                <w:rFonts w:ascii="Arial" w:hAnsi="Arial"/>
                <w:color w:val="000000"/>
                <w:sz w:val="18"/>
                <w:szCs w:val="18"/>
                <w:lang w:val="en-US"/>
              </w:rPr>
              <w:t xml:space="preserve">edictors: (Constant), Change S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w:t>
            </w:r>
            <w:r w:rsidRPr="000D0B44">
              <w:rPr>
                <w:rFonts w:ascii="Arial" w:hAnsi="Arial"/>
                <w:color w:val="000000"/>
                <w:sz w:val="18"/>
                <w:szCs w:val="18"/>
                <w:lang w:val="en-US"/>
              </w:rPr>
              <w:t>1</w:t>
            </w:r>
            <w:r w:rsidR="00920498">
              <w:rPr>
                <w:rFonts w:ascii="Arial" w:hAnsi="Arial"/>
                <w:color w:val="000000"/>
                <w:sz w:val="18"/>
                <w:szCs w:val="18"/>
                <w:lang w:val="en-US"/>
              </w:rPr>
              <w:t>)</w:t>
            </w:r>
            <w:r w:rsidRPr="000D0B44">
              <w:rPr>
                <w:rFonts w:ascii="Arial" w:hAnsi="Arial"/>
                <w:color w:val="000000"/>
                <w:sz w:val="18"/>
                <w:szCs w:val="18"/>
                <w:lang w:val="en-US"/>
              </w:rPr>
              <w:t>, 1</w:t>
            </w:r>
            <w:r w:rsidR="00920498">
              <w:rPr>
                <w:rFonts w:ascii="Arial" w:hAnsi="Arial"/>
                <w:color w:val="000000"/>
                <w:sz w:val="18"/>
                <w:szCs w:val="18"/>
                <w:lang w:val="en-US"/>
              </w:rPr>
              <w:t xml:space="preserve">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w:t>
            </w:r>
            <w:r w:rsidRPr="000D0B44">
              <w:rPr>
                <w:rFonts w:ascii="Arial" w:hAnsi="Arial"/>
                <w:color w:val="000000"/>
                <w:sz w:val="18"/>
                <w:szCs w:val="18"/>
                <w:lang w:val="en-US"/>
              </w:rPr>
              <w:t>1</w:t>
            </w:r>
            <w:r w:rsidR="00920498">
              <w:rPr>
                <w:rFonts w:ascii="Arial" w:hAnsi="Arial"/>
                <w:color w:val="000000"/>
                <w:sz w:val="18"/>
                <w:szCs w:val="18"/>
                <w:lang w:val="en-US"/>
              </w:rPr>
              <w:t>)</w:t>
            </w:r>
            <w:r w:rsidRPr="000D0B44">
              <w:rPr>
                <w:rFonts w:ascii="Arial" w:hAnsi="Arial"/>
                <w:color w:val="000000"/>
                <w:sz w:val="18"/>
                <w:szCs w:val="18"/>
                <w:lang w:val="en-US"/>
              </w:rPr>
              <w:t>, S</w:t>
            </w:r>
            <w:r w:rsidR="00920498">
              <w:rPr>
                <w:rFonts w:ascii="Arial" w:hAnsi="Arial"/>
                <w:color w:val="000000"/>
                <w:sz w:val="18"/>
                <w:szCs w:val="18"/>
                <w:lang w:val="en-US"/>
              </w:rPr>
              <w:t xml:space="preserve">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w:t>
            </w:r>
            <w:r w:rsidRPr="000D0B44">
              <w:rPr>
                <w:rFonts w:ascii="Arial" w:hAnsi="Arial"/>
                <w:color w:val="000000"/>
                <w:sz w:val="18"/>
                <w:szCs w:val="18"/>
                <w:lang w:val="en-US"/>
              </w:rPr>
              <w:t>1</w:t>
            </w:r>
            <w:r w:rsidR="00920498">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920498">
        <w:trPr>
          <w:gridAfter w:val="1"/>
          <w:wAfter w:w="832" w:type="dxa"/>
        </w:trPr>
        <w:tc>
          <w:tcPr>
            <w:tcW w:w="7882" w:type="dxa"/>
            <w:gridSpan w:val="20"/>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ANOVA</w:t>
            </w:r>
            <w:r w:rsidRPr="000D0B44">
              <w:rPr>
                <w:rFonts w:ascii="Arial" w:hAnsi="Arial"/>
                <w:b/>
                <w:bCs/>
                <w:color w:val="000000"/>
                <w:sz w:val="18"/>
                <w:szCs w:val="18"/>
                <w:vertAlign w:val="superscript"/>
                <w:lang w:val="en-US"/>
              </w:rPr>
              <w:t>b</w:t>
            </w:r>
          </w:p>
        </w:tc>
      </w:tr>
      <w:tr w:rsidR="000D0B44" w:rsidRPr="000D0B44" w:rsidTr="00920498">
        <w:trPr>
          <w:gridAfter w:val="1"/>
          <w:wAfter w:w="832" w:type="dxa"/>
        </w:trPr>
        <w:tc>
          <w:tcPr>
            <w:tcW w:w="1999" w:type="dxa"/>
            <w:gridSpan w:val="4"/>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456"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Sum of Squares</w:t>
            </w:r>
          </w:p>
        </w:tc>
        <w:tc>
          <w:tcPr>
            <w:tcW w:w="1009"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df</w:t>
            </w:r>
          </w:p>
        </w:tc>
        <w:tc>
          <w:tcPr>
            <w:tcW w:w="1398"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Mean Square</w:t>
            </w:r>
          </w:p>
        </w:tc>
        <w:tc>
          <w:tcPr>
            <w:tcW w:w="1010" w:type="dxa"/>
            <w:gridSpan w:val="2"/>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F</w:t>
            </w:r>
          </w:p>
        </w:tc>
        <w:tc>
          <w:tcPr>
            <w:tcW w:w="1010" w:type="dxa"/>
            <w:gridSpan w:val="2"/>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920498">
        <w:trPr>
          <w:gridAfter w:val="1"/>
          <w:wAfter w:w="832" w:type="dxa"/>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272" w:type="dxa"/>
            <w:gridSpan w:val="3"/>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Regression</w:t>
            </w:r>
          </w:p>
        </w:tc>
        <w:tc>
          <w:tcPr>
            <w:tcW w:w="1456"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.634</w:t>
            </w:r>
          </w:p>
        </w:tc>
        <w:tc>
          <w:tcPr>
            <w:tcW w:w="1009"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w:t>
            </w:r>
          </w:p>
        </w:tc>
        <w:tc>
          <w:tcPr>
            <w:tcW w:w="1398"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.211</w:t>
            </w:r>
          </w:p>
        </w:tc>
        <w:tc>
          <w:tcPr>
            <w:tcW w:w="1010"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14.941</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r w:rsidRPr="000D0B44">
              <w:rPr>
                <w:rFonts w:ascii="Arial" w:hAnsi="Arial"/>
                <w:color w:val="000000"/>
                <w:sz w:val="18"/>
                <w:szCs w:val="18"/>
                <w:vertAlign w:val="superscript"/>
                <w:lang w:val="en-US"/>
              </w:rPr>
              <w:t>a</w:t>
            </w:r>
          </w:p>
        </w:tc>
      </w:tr>
      <w:tr w:rsidR="000D0B44" w:rsidRPr="000D0B44" w:rsidTr="00920498">
        <w:trPr>
          <w:gridAfter w:val="1"/>
          <w:wAfter w:w="832"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72" w:type="dxa"/>
            <w:gridSpan w:val="3"/>
            <w:tcBorders>
              <w:top w:val="nil"/>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Residual</w:t>
            </w:r>
          </w:p>
        </w:tc>
        <w:tc>
          <w:tcPr>
            <w:tcW w:w="1456"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6.667</w:t>
            </w:r>
          </w:p>
        </w:tc>
        <w:tc>
          <w:tcPr>
            <w:tcW w:w="1009"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471</w:t>
            </w:r>
          </w:p>
        </w:tc>
        <w:tc>
          <w:tcPr>
            <w:tcW w:w="1398"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.014</w:t>
            </w:r>
          </w:p>
        </w:tc>
        <w:tc>
          <w:tcPr>
            <w:tcW w:w="1010" w:type="dxa"/>
            <w:gridSpan w:val="2"/>
            <w:tcBorders>
              <w:top w:val="nil"/>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nil"/>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0D0B44" w:rsidTr="00920498">
        <w:trPr>
          <w:gridAfter w:val="1"/>
          <w:wAfter w:w="832"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Times New Roman" w:hAnsi="Times New Roman" w:cs="Times New Roman"/>
                <w:sz w:val="24"/>
                <w:szCs w:val="24"/>
                <w:lang w:val="en-US"/>
              </w:rPr>
            </w:pPr>
          </w:p>
        </w:tc>
        <w:tc>
          <w:tcPr>
            <w:tcW w:w="1272" w:type="dxa"/>
            <w:gridSpan w:val="3"/>
            <w:tcBorders>
              <w:top w:val="nil"/>
              <w:left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Total</w:t>
            </w:r>
          </w:p>
        </w:tc>
        <w:tc>
          <w:tcPr>
            <w:tcW w:w="1456"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7.302</w:t>
            </w:r>
          </w:p>
        </w:tc>
        <w:tc>
          <w:tcPr>
            <w:tcW w:w="1009"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474</w:t>
            </w:r>
          </w:p>
        </w:tc>
        <w:tc>
          <w:tcPr>
            <w:tcW w:w="1398" w:type="dxa"/>
            <w:gridSpan w:val="4"/>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single" w:sz="16" w:space="0" w:color="000000"/>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13388B" w:rsidTr="00920498">
        <w:trPr>
          <w:gridAfter w:val="1"/>
          <w:wAfter w:w="832" w:type="dxa"/>
        </w:trPr>
        <w:tc>
          <w:tcPr>
            <w:tcW w:w="7882" w:type="dxa"/>
            <w:gridSpan w:val="20"/>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Predicto</w:t>
            </w:r>
            <w:r w:rsidR="00920498">
              <w:rPr>
                <w:rFonts w:ascii="Arial" w:hAnsi="Arial"/>
                <w:color w:val="000000"/>
                <w:sz w:val="18"/>
                <w:szCs w:val="18"/>
                <w:lang w:val="en-US"/>
              </w:rPr>
              <w:t xml:space="preserve">rs: (Constant), Change </w:t>
            </w:r>
            <w:r w:rsidRPr="000D0B44">
              <w:rPr>
                <w:rFonts w:ascii="Arial" w:hAnsi="Arial"/>
                <w:color w:val="000000"/>
                <w:sz w:val="18"/>
                <w:szCs w:val="18"/>
                <w:lang w:val="en-US"/>
              </w:rPr>
              <w:t>S</w:t>
            </w:r>
            <w:r w:rsidR="00920498">
              <w:rPr>
                <w:rFonts w:ascii="Arial" w:hAnsi="Arial"/>
                <w:color w:val="000000"/>
                <w:sz w:val="18"/>
                <w:szCs w:val="18"/>
                <w:lang w:val="en-US"/>
              </w:rPr>
              <w:t xml:space="preserve">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w:t>
            </w:r>
            <w:r w:rsidRPr="000D0B44">
              <w:rPr>
                <w:rFonts w:ascii="Arial" w:hAnsi="Arial"/>
                <w:color w:val="000000"/>
                <w:sz w:val="18"/>
                <w:szCs w:val="18"/>
                <w:lang w:val="en-US"/>
              </w:rPr>
              <w:t>1</w:t>
            </w:r>
            <w:r w:rsidR="00920498">
              <w:rPr>
                <w:rFonts w:ascii="Arial" w:hAnsi="Arial"/>
                <w:color w:val="000000"/>
                <w:sz w:val="18"/>
                <w:szCs w:val="18"/>
                <w:lang w:val="en-US"/>
              </w:rPr>
              <w:t>)</w:t>
            </w:r>
            <w:r w:rsidRPr="000D0B44">
              <w:rPr>
                <w:rFonts w:ascii="Arial" w:hAnsi="Arial"/>
                <w:color w:val="000000"/>
                <w:sz w:val="18"/>
                <w:szCs w:val="18"/>
                <w:lang w:val="en-US"/>
              </w:rPr>
              <w:t>, 1</w:t>
            </w:r>
            <w:r w:rsidR="00920498">
              <w:rPr>
                <w:rFonts w:ascii="Arial" w:hAnsi="Arial"/>
                <w:color w:val="000000"/>
                <w:sz w:val="18"/>
                <w:szCs w:val="18"/>
                <w:lang w:val="en-US"/>
              </w:rPr>
              <w:t xml:space="preserve">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w:t>
            </w:r>
            <w:r w:rsidRPr="000D0B44">
              <w:rPr>
                <w:rFonts w:ascii="Arial" w:hAnsi="Arial"/>
                <w:color w:val="000000"/>
                <w:sz w:val="18"/>
                <w:szCs w:val="18"/>
                <w:lang w:val="en-US"/>
              </w:rPr>
              <w:t>1</w:t>
            </w:r>
            <w:r w:rsidR="00920498">
              <w:rPr>
                <w:rFonts w:ascii="Arial" w:hAnsi="Arial"/>
                <w:color w:val="000000"/>
                <w:sz w:val="18"/>
                <w:szCs w:val="18"/>
                <w:lang w:val="en-US"/>
              </w:rPr>
              <w:t>)</w:t>
            </w:r>
            <w:r w:rsidRPr="000D0B44">
              <w:rPr>
                <w:rFonts w:ascii="Arial" w:hAnsi="Arial"/>
                <w:color w:val="000000"/>
                <w:sz w:val="18"/>
                <w:szCs w:val="18"/>
                <w:lang w:val="en-US"/>
              </w:rPr>
              <w:t>, S</w:t>
            </w:r>
            <w:r w:rsidR="00920498">
              <w:rPr>
                <w:rFonts w:ascii="Arial" w:hAnsi="Arial"/>
                <w:color w:val="000000"/>
                <w:sz w:val="18"/>
                <w:szCs w:val="18"/>
                <w:lang w:val="en-US"/>
              </w:rPr>
              <w:t xml:space="preserve">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-1)</w:t>
            </w:r>
          </w:p>
          <w:p w:rsidR="000D0B44" w:rsidRPr="000D0B44" w:rsidRDefault="00920498"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b. Dependent Variable: CFO</w:t>
            </w:r>
            <w:r w:rsidR="00E17DC6">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c>
          <w:tcPr>
            <w:tcW w:w="8714" w:type="dxa"/>
            <w:gridSpan w:val="21"/>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Coefficients</w:t>
            </w:r>
            <w:r w:rsidRPr="000D0B44">
              <w:rPr>
                <w:rFonts w:ascii="Arial" w:hAnsi="Arial"/>
                <w:b/>
                <w:bCs/>
                <w:color w:val="000000"/>
                <w:sz w:val="18"/>
                <w:szCs w:val="18"/>
                <w:vertAlign w:val="superscript"/>
                <w:lang w:val="en-US"/>
              </w:rPr>
              <w:t>a</w:t>
            </w:r>
          </w:p>
        </w:tc>
      </w:tr>
      <w:tr w:rsidR="000D0B44" w:rsidRPr="000D0B44" w:rsidTr="000D0B44">
        <w:tc>
          <w:tcPr>
            <w:tcW w:w="2591" w:type="dxa"/>
            <w:gridSpan w:val="6"/>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647" w:type="dxa"/>
            <w:gridSpan w:val="8"/>
            <w:tcBorders>
              <w:top w:val="single" w:sz="16" w:space="0" w:color="000000"/>
              <w:lef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Unstandardized Coefficients</w:t>
            </w:r>
          </w:p>
        </w:tc>
        <w:tc>
          <w:tcPr>
            <w:tcW w:w="1456" w:type="dxa"/>
            <w:gridSpan w:val="3"/>
            <w:tcBorders>
              <w:top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t</w:t>
            </w:r>
          </w:p>
        </w:tc>
        <w:tc>
          <w:tcPr>
            <w:tcW w:w="1010" w:type="dxa"/>
            <w:gridSpan w:val="2"/>
            <w:vMerge w:val="restart"/>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D0B44">
        <w:tc>
          <w:tcPr>
            <w:tcW w:w="2591" w:type="dxa"/>
            <w:gridSpan w:val="6"/>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324" w:type="dxa"/>
            <w:gridSpan w:val="4"/>
            <w:tcBorders>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w:t>
            </w:r>
          </w:p>
        </w:tc>
        <w:tc>
          <w:tcPr>
            <w:tcW w:w="1323" w:type="dxa"/>
            <w:gridSpan w:val="4"/>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w:t>
            </w:r>
          </w:p>
        </w:tc>
        <w:tc>
          <w:tcPr>
            <w:tcW w:w="1456" w:type="dxa"/>
            <w:gridSpan w:val="3"/>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010" w:type="dxa"/>
            <w:gridSpan w:val="2"/>
            <w:vMerge/>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r>
      <w:tr w:rsidR="000D0B44" w:rsidRPr="000D0B44" w:rsidTr="000D0B44">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864" w:type="dxa"/>
            <w:gridSpan w:val="5"/>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(Constant)</w:t>
            </w:r>
          </w:p>
        </w:tc>
        <w:tc>
          <w:tcPr>
            <w:tcW w:w="1324"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.105</w:t>
            </w:r>
          </w:p>
        </w:tc>
        <w:tc>
          <w:tcPr>
            <w:tcW w:w="1323"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.011</w:t>
            </w:r>
          </w:p>
        </w:tc>
        <w:tc>
          <w:tcPr>
            <w:tcW w:w="1456" w:type="dxa"/>
            <w:gridSpan w:val="3"/>
            <w:tcBorders>
              <w:top w:val="single" w:sz="16" w:space="0" w:color="000000"/>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9.293</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864" w:type="dxa"/>
            <w:gridSpan w:val="5"/>
            <w:tcBorders>
              <w:top w:val="nil"/>
              <w:left w:val="nil"/>
              <w:bottom w:val="nil"/>
              <w:right w:val="single" w:sz="16" w:space="0" w:color="000000"/>
            </w:tcBorders>
            <w:shd w:val="clear" w:color="auto" w:fill="FFFFFF"/>
          </w:tcPr>
          <w:p w:rsidR="000D0B44" w:rsidRPr="000D0B44" w:rsidRDefault="00920498" w:rsidP="00920498">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1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.144</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.211</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.030</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.680</w:t>
            </w:r>
          </w:p>
        </w:tc>
        <w:tc>
          <w:tcPr>
            <w:tcW w:w="1010" w:type="dxa"/>
            <w:gridSpan w:val="2"/>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.497</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864" w:type="dxa"/>
            <w:gridSpan w:val="5"/>
            <w:tcBorders>
              <w:top w:val="nil"/>
              <w:left w:val="nil"/>
              <w:bottom w:val="nil"/>
              <w:right w:val="single" w:sz="16" w:space="0" w:color="000000"/>
            </w:tcBorders>
            <w:shd w:val="clear" w:color="auto" w:fill="FFFFFF"/>
          </w:tcPr>
          <w:p w:rsidR="000D0B44" w:rsidRPr="000D0B44" w:rsidRDefault="00920498"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S / A </w:t>
            </w:r>
            <w:r w:rsidR="00E17DC6">
              <w:rPr>
                <w:rFonts w:ascii="Arial" w:hAnsi="Arial"/>
                <w:color w:val="000000"/>
                <w:sz w:val="18"/>
                <w:szCs w:val="18"/>
                <w:lang w:val="en-US"/>
              </w:rPr>
              <w:t>(</w:t>
            </w:r>
            <w:r>
              <w:rPr>
                <w:rFonts w:ascii="Arial" w:hAnsi="Arial"/>
                <w:color w:val="000000"/>
                <w:sz w:val="18"/>
                <w:szCs w:val="18"/>
                <w:lang w:val="en-US"/>
              </w:rPr>
              <w:t>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-.009</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.007</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-.085</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-1.332</w:t>
            </w:r>
          </w:p>
        </w:tc>
        <w:tc>
          <w:tcPr>
            <w:tcW w:w="1010" w:type="dxa"/>
            <w:gridSpan w:val="2"/>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.184</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864" w:type="dxa"/>
            <w:gridSpan w:val="5"/>
            <w:tcBorders>
              <w:top w:val="nil"/>
              <w:left w:val="nil"/>
              <w:bottom w:val="single" w:sz="16" w:space="0" w:color="000000"/>
              <w:right w:val="single" w:sz="16" w:space="0" w:color="000000"/>
            </w:tcBorders>
            <w:shd w:val="clear" w:color="auto" w:fill="FFFFFF"/>
          </w:tcPr>
          <w:p w:rsidR="000D0B44" w:rsidRPr="000D0B44" w:rsidRDefault="000D0B44" w:rsidP="00E17DC6">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Change</w:t>
            </w:r>
            <w:r w:rsidR="00920498">
              <w:rPr>
                <w:rFonts w:ascii="Arial" w:hAnsi="Arial"/>
                <w:color w:val="000000"/>
                <w:sz w:val="18"/>
                <w:szCs w:val="18"/>
                <w:lang w:val="en-US"/>
              </w:rPr>
              <w:t xml:space="preserve"> </w:t>
            </w:r>
            <w:r w:rsidRPr="000D0B44">
              <w:rPr>
                <w:rFonts w:ascii="Arial" w:hAnsi="Arial"/>
                <w:color w:val="000000"/>
                <w:sz w:val="18"/>
                <w:szCs w:val="18"/>
                <w:lang w:val="en-US"/>
              </w:rPr>
              <w:t>S</w:t>
            </w:r>
            <w:r w:rsidR="00920498">
              <w:rPr>
                <w:rFonts w:ascii="Arial" w:hAnsi="Arial"/>
                <w:color w:val="000000"/>
                <w:sz w:val="18"/>
                <w:szCs w:val="18"/>
                <w:lang w:val="en-US"/>
              </w:rPr>
              <w:t xml:space="preserve"> / </w:t>
            </w:r>
            <w:r w:rsidRPr="000D0B44">
              <w:rPr>
                <w:rFonts w:ascii="Arial" w:hAnsi="Arial"/>
                <w:color w:val="000000"/>
                <w:sz w:val="18"/>
                <w:szCs w:val="18"/>
                <w:lang w:val="en-US"/>
              </w:rPr>
              <w:t>A</w:t>
            </w:r>
            <w:r w:rsidR="00920498">
              <w:rPr>
                <w:rFonts w:ascii="Arial" w:hAnsi="Arial"/>
                <w:color w:val="000000"/>
                <w:sz w:val="18"/>
                <w:szCs w:val="18"/>
                <w:lang w:val="en-US"/>
              </w:rPr>
              <w:t xml:space="preserve"> </w:t>
            </w:r>
            <w:r w:rsidR="00E17DC6">
              <w:rPr>
                <w:rFonts w:ascii="Arial" w:hAnsi="Arial"/>
                <w:color w:val="000000"/>
                <w:sz w:val="18"/>
                <w:szCs w:val="18"/>
                <w:lang w:val="en-US"/>
              </w:rPr>
              <w:t>(</w:t>
            </w:r>
            <w:r w:rsidRPr="000D0B44">
              <w:rPr>
                <w:rFonts w:ascii="Arial" w:hAnsi="Arial"/>
                <w:color w:val="000000"/>
                <w:sz w:val="18"/>
                <w:szCs w:val="18"/>
                <w:lang w:val="en-US"/>
              </w:rPr>
              <w:t>t</w:t>
            </w:r>
            <w:r w:rsidR="00920498">
              <w:rPr>
                <w:rFonts w:ascii="Arial" w:hAnsi="Arial"/>
                <w:color w:val="000000"/>
                <w:sz w:val="18"/>
                <w:szCs w:val="18"/>
                <w:lang w:val="en-US"/>
              </w:rPr>
              <w:t>-</w:t>
            </w:r>
            <w:r w:rsidRPr="000D0B44">
              <w:rPr>
                <w:rFonts w:ascii="Arial" w:hAnsi="Arial"/>
                <w:color w:val="000000"/>
                <w:sz w:val="18"/>
                <w:szCs w:val="18"/>
                <w:lang w:val="en-US"/>
              </w:rPr>
              <w:t>1</w:t>
            </w:r>
            <w:r w:rsidR="00920498">
              <w:rPr>
                <w:rFonts w:ascii="Arial" w:hAnsi="Arial"/>
                <w:color w:val="000000"/>
                <w:sz w:val="18"/>
                <w:szCs w:val="18"/>
                <w:lang w:val="en-US"/>
              </w:rPr>
              <w:t>)</w:t>
            </w:r>
          </w:p>
        </w:tc>
        <w:tc>
          <w:tcPr>
            <w:tcW w:w="1324"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.061</w:t>
            </w:r>
          </w:p>
        </w:tc>
        <w:tc>
          <w:tcPr>
            <w:tcW w:w="1323"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.011</w:t>
            </w:r>
          </w:p>
        </w:tc>
        <w:tc>
          <w:tcPr>
            <w:tcW w:w="1456" w:type="dxa"/>
            <w:gridSpan w:val="3"/>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.347</w:t>
            </w:r>
          </w:p>
        </w:tc>
        <w:tc>
          <w:tcPr>
            <w:tcW w:w="1010" w:type="dxa"/>
            <w:gridSpan w:val="2"/>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5.476</w:t>
            </w:r>
          </w:p>
        </w:tc>
        <w:tc>
          <w:tcPr>
            <w:tcW w:w="1010" w:type="dxa"/>
            <w:gridSpan w:val="2"/>
            <w:tcBorders>
              <w:top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13388B" w:rsidTr="000D0B44">
        <w:tc>
          <w:tcPr>
            <w:tcW w:w="8714" w:type="dxa"/>
            <w:gridSpan w:val="21"/>
            <w:tcBorders>
              <w:top w:val="nil"/>
              <w:left w:val="nil"/>
              <w:bottom w:val="nil"/>
              <w:right w:val="nil"/>
            </w:tcBorders>
            <w:shd w:val="clear" w:color="auto" w:fill="FFFFFF"/>
          </w:tcPr>
          <w:p w:rsidR="000D0B44" w:rsidRPr="000D0B44" w:rsidRDefault="00920498"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a. Dependent Variable: CFO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E17DC6">
              <w:rPr>
                <w:rFonts w:ascii="Arial" w:hAnsi="Arial"/>
                <w:color w:val="000000"/>
                <w:sz w:val="18"/>
                <w:szCs w:val="18"/>
                <w:lang w:val="en-US"/>
              </w:rPr>
              <w:t>(</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bl>
    <w:p w:rsidR="000D0B44" w:rsidRPr="000D0B44" w:rsidRDefault="000D0B44" w:rsidP="000D0B44">
      <w:pPr>
        <w:autoSpaceDE w:val="0"/>
        <w:autoSpaceDN w:val="0"/>
        <w:adjustRightInd w:val="0"/>
        <w:spacing w:after="0" w:line="400" w:lineRule="atLeast"/>
        <w:rPr>
          <w:rFonts w:ascii="Times New Roman" w:hAnsi="Times New Roman" w:cs="Times New Roman"/>
          <w:sz w:val="24"/>
          <w:szCs w:val="24"/>
          <w:lang w:val="en-US"/>
        </w:rPr>
      </w:pPr>
    </w:p>
    <w:p w:rsidR="000D0B44" w:rsidRPr="00F67CC4" w:rsidRDefault="000D0B44" w:rsidP="00DB4639">
      <w:pPr>
        <w:spacing w:line="360" w:lineRule="auto"/>
        <w:rPr>
          <w:rFonts w:cs="Calibri"/>
          <w:b/>
          <w:bCs/>
          <w:lang w:val="en-US"/>
        </w:rPr>
      </w:pPr>
    </w:p>
    <w:p w:rsidR="000D0B44" w:rsidRPr="00E652FA" w:rsidRDefault="000D0B44" w:rsidP="000D0B44">
      <w:pPr>
        <w:rPr>
          <w:rFonts w:ascii="Times New Roman" w:hAnsi="Times New Roman" w:cs="Times New Roman"/>
          <w:sz w:val="24"/>
          <w:szCs w:val="24"/>
          <w:lang w:val="en-US"/>
        </w:rPr>
      </w:pPr>
      <w:r w:rsidRPr="00E652FA">
        <w:rPr>
          <w:rFonts w:cs="Calibri"/>
          <w:b/>
          <w:bCs/>
          <w:sz w:val="24"/>
          <w:szCs w:val="24"/>
          <w:lang w:val="en-US"/>
        </w:rPr>
        <w:t xml:space="preserve">Costs </w:t>
      </w:r>
      <w:r w:rsidR="00920498" w:rsidRPr="00E652FA">
        <w:rPr>
          <w:rFonts w:cs="Calibri"/>
          <w:b/>
          <w:bCs/>
          <w:sz w:val="24"/>
          <w:szCs w:val="24"/>
          <w:lang w:val="en-US"/>
        </w:rPr>
        <w:t>of</w:t>
      </w:r>
      <w:r w:rsidRPr="00E652FA">
        <w:rPr>
          <w:rFonts w:cs="Calibri"/>
          <w:b/>
          <w:bCs/>
          <w:sz w:val="24"/>
          <w:szCs w:val="24"/>
          <w:lang w:val="en-US"/>
        </w:rPr>
        <w:t xml:space="preserve"> Goods Sold</w:t>
      </w:r>
      <w:r w:rsidRPr="00E652FA">
        <w:rPr>
          <w:rFonts w:cs="Calibri"/>
          <w:b/>
          <w:bCs/>
          <w:sz w:val="24"/>
          <w:szCs w:val="24"/>
          <w:lang w:val="en-US"/>
        </w:rPr>
        <w:br/>
      </w:r>
    </w:p>
    <w:tbl>
      <w:tblPr>
        <w:tblW w:w="810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8"/>
        <w:gridCol w:w="62"/>
        <w:gridCol w:w="1010"/>
        <w:gridCol w:w="186"/>
        <w:gridCol w:w="14"/>
        <w:gridCol w:w="246"/>
        <w:gridCol w:w="631"/>
        <w:gridCol w:w="433"/>
        <w:gridCol w:w="146"/>
        <w:gridCol w:w="244"/>
        <w:gridCol w:w="633"/>
        <w:gridCol w:w="132"/>
        <w:gridCol w:w="167"/>
        <w:gridCol w:w="78"/>
        <w:gridCol w:w="1079"/>
        <w:gridCol w:w="74"/>
        <w:gridCol w:w="225"/>
        <w:gridCol w:w="861"/>
        <w:gridCol w:w="149"/>
        <w:gridCol w:w="861"/>
        <w:gridCol w:w="149"/>
      </w:tblGrid>
      <w:tr w:rsidR="000D0B44" w:rsidRPr="000D0B44" w:rsidTr="000D0B44">
        <w:trPr>
          <w:gridAfter w:val="7"/>
          <w:wAfter w:w="3398" w:type="dxa"/>
        </w:trPr>
        <w:tc>
          <w:tcPr>
            <w:tcW w:w="4710" w:type="dxa"/>
            <w:gridSpan w:val="14"/>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Variables Entered/Removed</w:t>
            </w:r>
            <w:r w:rsidRPr="000D0B44">
              <w:rPr>
                <w:rFonts w:ascii="Arial" w:hAnsi="Arial"/>
                <w:b/>
                <w:bCs/>
                <w:color w:val="000000"/>
                <w:sz w:val="18"/>
                <w:szCs w:val="18"/>
                <w:vertAlign w:val="superscript"/>
                <w:lang w:val="en-US"/>
              </w:rPr>
              <w:t>b</w:t>
            </w:r>
          </w:p>
        </w:tc>
      </w:tr>
      <w:tr w:rsidR="000D0B44" w:rsidRPr="000D0B44" w:rsidTr="000D0B44">
        <w:trPr>
          <w:gridAfter w:val="7"/>
          <w:wAfter w:w="3398"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456"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Entered</w:t>
            </w:r>
          </w:p>
        </w:tc>
        <w:tc>
          <w:tcPr>
            <w:tcW w:w="1454"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Removed</w:t>
            </w:r>
          </w:p>
        </w:tc>
        <w:tc>
          <w:tcPr>
            <w:tcW w:w="1010"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Method</w:t>
            </w:r>
          </w:p>
        </w:tc>
      </w:tr>
      <w:tr w:rsidR="000D0B44" w:rsidRPr="000D0B44" w:rsidTr="000D0B44">
        <w:trPr>
          <w:gridAfter w:val="7"/>
          <w:wAfter w:w="3398"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456" w:type="dxa"/>
            <w:gridSpan w:val="4"/>
            <w:tcBorders>
              <w:top w:val="single" w:sz="16" w:space="0" w:color="000000"/>
              <w:left w:val="single" w:sz="16" w:space="0" w:color="000000"/>
              <w:bottom w:val="single" w:sz="16" w:space="0" w:color="000000"/>
            </w:tcBorders>
            <w:shd w:val="clear" w:color="auto" w:fill="FFFFFF"/>
          </w:tcPr>
          <w:p w:rsidR="008C358C" w:rsidRDefault="00E17DC6"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S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w:t>
            </w:r>
          </w:p>
          <w:p w:rsidR="000D0B44" w:rsidRPr="000D0B44" w:rsidRDefault="00E17DC6"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1 / A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454"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w:t>
            </w:r>
          </w:p>
        </w:tc>
        <w:tc>
          <w:tcPr>
            <w:tcW w:w="1010"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Enter</w:t>
            </w:r>
          </w:p>
        </w:tc>
      </w:tr>
      <w:tr w:rsidR="000D0B44" w:rsidRPr="0013388B" w:rsidTr="000D0B44">
        <w:trPr>
          <w:gridAfter w:val="7"/>
          <w:wAfter w:w="3398" w:type="dxa"/>
        </w:trPr>
        <w:tc>
          <w:tcPr>
            <w:tcW w:w="4710" w:type="dxa"/>
            <w:gridSpan w:val="14"/>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All requested variables entered.</w:t>
            </w:r>
          </w:p>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b. Dependent Variable: CGOS / A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rPr>
          <w:gridAfter w:val="6"/>
          <w:wAfter w:w="2319" w:type="dxa"/>
        </w:trPr>
        <w:tc>
          <w:tcPr>
            <w:tcW w:w="5789" w:type="dxa"/>
            <w:gridSpan w:val="15"/>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Model Summary</w:t>
            </w:r>
          </w:p>
        </w:tc>
      </w:tr>
      <w:tr w:rsidR="000D0B44" w:rsidRPr="0013388B" w:rsidTr="000D0B44">
        <w:trPr>
          <w:gridAfter w:val="6"/>
          <w:wAfter w:w="2319"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w:t>
            </w:r>
          </w:p>
        </w:tc>
        <w:tc>
          <w:tcPr>
            <w:tcW w:w="1077"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 Square</w:t>
            </w:r>
          </w:p>
        </w:tc>
        <w:tc>
          <w:tcPr>
            <w:tcW w:w="1456"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Adjusted R Square</w:t>
            </w:r>
          </w:p>
        </w:tc>
        <w:tc>
          <w:tcPr>
            <w:tcW w:w="1456"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 of the Estimate</w:t>
            </w:r>
          </w:p>
        </w:tc>
      </w:tr>
      <w:tr w:rsidR="000D0B44" w:rsidRPr="000D0B44" w:rsidTr="000D0B44">
        <w:trPr>
          <w:gridAfter w:val="6"/>
          <w:wAfter w:w="2319" w:type="dxa"/>
        </w:trPr>
        <w:tc>
          <w:tcPr>
            <w:tcW w:w="790"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.979</w:t>
            </w:r>
            <w:r w:rsidRPr="000D0B44">
              <w:rPr>
                <w:rFonts w:ascii="Arial" w:hAnsi="Arial"/>
                <w:color w:val="000000"/>
                <w:sz w:val="18"/>
                <w:szCs w:val="18"/>
                <w:vertAlign w:val="superscript"/>
                <w:lang w:val="en-US"/>
              </w:rPr>
              <w:t>a</w:t>
            </w:r>
          </w:p>
        </w:tc>
        <w:tc>
          <w:tcPr>
            <w:tcW w:w="1077"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.957</w:t>
            </w:r>
          </w:p>
        </w:tc>
        <w:tc>
          <w:tcPr>
            <w:tcW w:w="1456"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.957</w:t>
            </w:r>
          </w:p>
        </w:tc>
        <w:tc>
          <w:tcPr>
            <w:tcW w:w="1456"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.22764</w:t>
            </w:r>
          </w:p>
        </w:tc>
      </w:tr>
      <w:tr w:rsidR="000D0B44" w:rsidRPr="0013388B" w:rsidTr="000D0B44">
        <w:trPr>
          <w:gridAfter w:val="6"/>
          <w:wAfter w:w="2319" w:type="dxa"/>
        </w:trPr>
        <w:tc>
          <w:tcPr>
            <w:tcW w:w="5789" w:type="dxa"/>
            <w:gridSpan w:val="15"/>
            <w:tcBorders>
              <w:top w:val="nil"/>
              <w:left w:val="nil"/>
              <w:bottom w:val="nil"/>
              <w:right w:val="nil"/>
            </w:tcBorders>
            <w:shd w:val="clear" w:color="auto" w:fill="FFFFFF"/>
          </w:tcPr>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a. Predictors: (Constant), S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r w:rsidR="000D0B44" w:rsidRPr="000D0B44">
              <w:rPr>
                <w:rFonts w:ascii="Arial" w:hAnsi="Arial"/>
                <w:color w:val="000000"/>
                <w:sz w:val="18"/>
                <w:szCs w:val="18"/>
                <w:lang w:val="en-US"/>
              </w:rPr>
              <w:t>, 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rPr>
          <w:gridAfter w:val="1"/>
          <w:wAfter w:w="149" w:type="dxa"/>
        </w:trPr>
        <w:tc>
          <w:tcPr>
            <w:tcW w:w="7959" w:type="dxa"/>
            <w:gridSpan w:val="20"/>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ANOVA</w:t>
            </w:r>
            <w:r w:rsidRPr="000D0B44">
              <w:rPr>
                <w:rFonts w:ascii="Arial" w:hAnsi="Arial"/>
                <w:b/>
                <w:bCs/>
                <w:color w:val="000000"/>
                <w:sz w:val="18"/>
                <w:szCs w:val="18"/>
                <w:vertAlign w:val="superscript"/>
                <w:lang w:val="en-US"/>
              </w:rPr>
              <w:t>b</w:t>
            </w:r>
          </w:p>
        </w:tc>
      </w:tr>
      <w:tr w:rsidR="000D0B44" w:rsidRPr="000D0B44" w:rsidTr="000D0B44">
        <w:trPr>
          <w:gridAfter w:val="1"/>
          <w:wAfter w:w="149" w:type="dxa"/>
        </w:trPr>
        <w:tc>
          <w:tcPr>
            <w:tcW w:w="2000" w:type="dxa"/>
            <w:gridSpan w:val="5"/>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456"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Sum of Squares</w:t>
            </w:r>
          </w:p>
        </w:tc>
        <w:tc>
          <w:tcPr>
            <w:tcW w:w="1009" w:type="dxa"/>
            <w:gridSpan w:val="3"/>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df</w:t>
            </w:r>
          </w:p>
        </w:tc>
        <w:tc>
          <w:tcPr>
            <w:tcW w:w="1398"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Mean Square</w:t>
            </w:r>
          </w:p>
        </w:tc>
        <w:tc>
          <w:tcPr>
            <w:tcW w:w="1086" w:type="dxa"/>
            <w:gridSpan w:val="2"/>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F</w:t>
            </w:r>
          </w:p>
        </w:tc>
        <w:tc>
          <w:tcPr>
            <w:tcW w:w="1010" w:type="dxa"/>
            <w:gridSpan w:val="2"/>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D0B44">
        <w:trPr>
          <w:gridAfter w:val="1"/>
          <w:wAfter w:w="149" w:type="dxa"/>
        </w:trPr>
        <w:tc>
          <w:tcPr>
            <w:tcW w:w="728"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272" w:type="dxa"/>
            <w:gridSpan w:val="4"/>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Regression</w:t>
            </w:r>
          </w:p>
        </w:tc>
        <w:tc>
          <w:tcPr>
            <w:tcW w:w="1456"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550.718</w:t>
            </w:r>
          </w:p>
        </w:tc>
        <w:tc>
          <w:tcPr>
            <w:tcW w:w="1009" w:type="dxa"/>
            <w:gridSpan w:val="3"/>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w:t>
            </w:r>
          </w:p>
        </w:tc>
        <w:tc>
          <w:tcPr>
            <w:tcW w:w="1398"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275.359</w:t>
            </w:r>
          </w:p>
        </w:tc>
        <w:tc>
          <w:tcPr>
            <w:tcW w:w="1086"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5313.918</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r w:rsidRPr="000D0B44">
              <w:rPr>
                <w:rFonts w:ascii="Arial" w:hAnsi="Arial"/>
                <w:color w:val="000000"/>
                <w:sz w:val="18"/>
                <w:szCs w:val="18"/>
                <w:vertAlign w:val="superscript"/>
                <w:lang w:val="en-US"/>
              </w:rPr>
              <w:t>a</w:t>
            </w:r>
          </w:p>
        </w:tc>
      </w:tr>
      <w:tr w:rsidR="000D0B44" w:rsidRPr="000D0B44" w:rsidTr="000D0B44">
        <w:trPr>
          <w:gridAfter w:val="1"/>
          <w:wAfter w:w="149" w:type="dxa"/>
        </w:trPr>
        <w:tc>
          <w:tcPr>
            <w:tcW w:w="728"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72" w:type="dxa"/>
            <w:gridSpan w:val="4"/>
            <w:tcBorders>
              <w:top w:val="nil"/>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Residual</w:t>
            </w:r>
          </w:p>
        </w:tc>
        <w:tc>
          <w:tcPr>
            <w:tcW w:w="1456"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24.458</w:t>
            </w:r>
          </w:p>
        </w:tc>
        <w:tc>
          <w:tcPr>
            <w:tcW w:w="1009"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472</w:t>
            </w:r>
          </w:p>
        </w:tc>
        <w:tc>
          <w:tcPr>
            <w:tcW w:w="1398"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.052</w:t>
            </w:r>
          </w:p>
        </w:tc>
        <w:tc>
          <w:tcPr>
            <w:tcW w:w="1086" w:type="dxa"/>
            <w:gridSpan w:val="2"/>
            <w:tcBorders>
              <w:top w:val="nil"/>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nil"/>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0D0B44" w:rsidTr="000D0B44">
        <w:trPr>
          <w:gridAfter w:val="1"/>
          <w:wAfter w:w="149" w:type="dxa"/>
        </w:trPr>
        <w:tc>
          <w:tcPr>
            <w:tcW w:w="728"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Times New Roman" w:hAnsi="Times New Roman" w:cs="Times New Roman"/>
                <w:sz w:val="24"/>
                <w:szCs w:val="24"/>
                <w:lang w:val="en-US"/>
              </w:rPr>
            </w:pPr>
          </w:p>
        </w:tc>
        <w:tc>
          <w:tcPr>
            <w:tcW w:w="1272" w:type="dxa"/>
            <w:gridSpan w:val="4"/>
            <w:tcBorders>
              <w:top w:val="nil"/>
              <w:left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Total</w:t>
            </w:r>
          </w:p>
        </w:tc>
        <w:tc>
          <w:tcPr>
            <w:tcW w:w="1456"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575.177</w:t>
            </w:r>
          </w:p>
        </w:tc>
        <w:tc>
          <w:tcPr>
            <w:tcW w:w="1009" w:type="dxa"/>
            <w:gridSpan w:val="3"/>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474</w:t>
            </w:r>
          </w:p>
        </w:tc>
        <w:tc>
          <w:tcPr>
            <w:tcW w:w="1398" w:type="dxa"/>
            <w:gridSpan w:val="4"/>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86" w:type="dxa"/>
            <w:gridSpan w:val="2"/>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single" w:sz="16" w:space="0" w:color="000000"/>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13388B" w:rsidTr="000D0B44">
        <w:trPr>
          <w:gridAfter w:val="1"/>
          <w:wAfter w:w="149" w:type="dxa"/>
        </w:trPr>
        <w:tc>
          <w:tcPr>
            <w:tcW w:w="7959" w:type="dxa"/>
            <w:gridSpan w:val="20"/>
            <w:tcBorders>
              <w:top w:val="nil"/>
              <w:left w:val="nil"/>
              <w:bottom w:val="nil"/>
              <w:right w:val="nil"/>
            </w:tcBorders>
            <w:shd w:val="clear" w:color="auto" w:fill="FFFFFF"/>
          </w:tcPr>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a. Predictors: (Constant), S / A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r w:rsidR="000D0B44" w:rsidRPr="000D0B44">
              <w:rPr>
                <w:rFonts w:ascii="Arial" w:hAnsi="Arial"/>
                <w:color w:val="000000"/>
                <w:sz w:val="18"/>
                <w:szCs w:val="18"/>
                <w:lang w:val="en-US"/>
              </w:rPr>
              <w:t>, 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b</w:t>
            </w:r>
            <w:r w:rsidR="00E17DC6">
              <w:rPr>
                <w:rFonts w:ascii="Arial" w:hAnsi="Arial"/>
                <w:color w:val="000000"/>
                <w:sz w:val="18"/>
                <w:szCs w:val="18"/>
                <w:lang w:val="en-US"/>
              </w:rPr>
              <w:t>. Dependent Variable: CGOS / A (t-</w:t>
            </w:r>
            <w:r w:rsidRPr="000D0B44">
              <w:rPr>
                <w:rFonts w:ascii="Arial" w:hAnsi="Arial"/>
                <w:color w:val="000000"/>
                <w:sz w:val="18"/>
                <w:szCs w:val="18"/>
                <w:lang w:val="en-US"/>
              </w:rPr>
              <w:t>1</w:t>
            </w:r>
            <w:r w:rsidR="00E17DC6">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c>
          <w:tcPr>
            <w:tcW w:w="8108" w:type="dxa"/>
            <w:gridSpan w:val="21"/>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Coefficients</w:t>
            </w:r>
            <w:r w:rsidRPr="000D0B44">
              <w:rPr>
                <w:rFonts w:ascii="Arial" w:hAnsi="Arial"/>
                <w:b/>
                <w:bCs/>
                <w:color w:val="000000"/>
                <w:sz w:val="18"/>
                <w:szCs w:val="18"/>
                <w:vertAlign w:val="superscript"/>
                <w:lang w:val="en-US"/>
              </w:rPr>
              <w:t>a</w:t>
            </w:r>
          </w:p>
        </w:tc>
      </w:tr>
      <w:tr w:rsidR="000D0B44" w:rsidRPr="000D0B44" w:rsidTr="000D0B44">
        <w:tc>
          <w:tcPr>
            <w:tcW w:w="1986"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646" w:type="dxa"/>
            <w:gridSpan w:val="9"/>
            <w:tcBorders>
              <w:top w:val="single" w:sz="16" w:space="0" w:color="000000"/>
              <w:lef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Unstandardized Coefficients</w:t>
            </w:r>
          </w:p>
        </w:tc>
        <w:tc>
          <w:tcPr>
            <w:tcW w:w="1456" w:type="dxa"/>
            <w:gridSpan w:val="4"/>
            <w:tcBorders>
              <w:top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t</w:t>
            </w:r>
          </w:p>
        </w:tc>
        <w:tc>
          <w:tcPr>
            <w:tcW w:w="1010" w:type="dxa"/>
            <w:gridSpan w:val="2"/>
            <w:vMerge w:val="restart"/>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D0B44">
        <w:tc>
          <w:tcPr>
            <w:tcW w:w="1986" w:type="dxa"/>
            <w:gridSpan w:val="4"/>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324" w:type="dxa"/>
            <w:gridSpan w:val="4"/>
            <w:tcBorders>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w:t>
            </w:r>
          </w:p>
        </w:tc>
        <w:tc>
          <w:tcPr>
            <w:tcW w:w="1322" w:type="dxa"/>
            <w:gridSpan w:val="5"/>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w:t>
            </w:r>
          </w:p>
        </w:tc>
        <w:tc>
          <w:tcPr>
            <w:tcW w:w="1456" w:type="dxa"/>
            <w:gridSpan w:val="4"/>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010" w:type="dxa"/>
            <w:gridSpan w:val="2"/>
            <w:vMerge/>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r>
      <w:tr w:rsidR="000D0B44" w:rsidRPr="000D0B44" w:rsidTr="000D0B44">
        <w:tc>
          <w:tcPr>
            <w:tcW w:w="728"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258" w:type="dxa"/>
            <w:gridSpan w:val="3"/>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(Constant)</w:t>
            </w:r>
          </w:p>
        </w:tc>
        <w:tc>
          <w:tcPr>
            <w:tcW w:w="1324"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-.166</w:t>
            </w:r>
          </w:p>
        </w:tc>
        <w:tc>
          <w:tcPr>
            <w:tcW w:w="1322" w:type="dxa"/>
            <w:gridSpan w:val="5"/>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.019</w:t>
            </w:r>
          </w:p>
        </w:tc>
        <w:tc>
          <w:tcPr>
            <w:tcW w:w="1456" w:type="dxa"/>
            <w:gridSpan w:val="4"/>
            <w:tcBorders>
              <w:top w:val="single" w:sz="16" w:space="0" w:color="000000"/>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-8.848</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D0B44">
        <w:tc>
          <w:tcPr>
            <w:tcW w:w="728"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58" w:type="dxa"/>
            <w:gridSpan w:val="3"/>
            <w:tcBorders>
              <w:top w:val="nil"/>
              <w:left w:val="nil"/>
              <w:bottom w:val="nil"/>
              <w:right w:val="single" w:sz="16" w:space="0" w:color="000000"/>
            </w:tcBorders>
            <w:shd w:val="clear" w:color="auto" w:fill="FFFFFF"/>
          </w:tcPr>
          <w:p w:rsidR="000D0B44" w:rsidRPr="000D0B44" w:rsidRDefault="000D0B44" w:rsidP="00E17DC6">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w:t>
            </w:r>
          </w:p>
        </w:tc>
        <w:tc>
          <w:tcPr>
            <w:tcW w:w="1324"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-.206</w:t>
            </w:r>
          </w:p>
        </w:tc>
        <w:tc>
          <w:tcPr>
            <w:tcW w:w="1322" w:type="dxa"/>
            <w:gridSpan w:val="5"/>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.403</w:t>
            </w:r>
          </w:p>
        </w:tc>
        <w:tc>
          <w:tcPr>
            <w:tcW w:w="1456"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-.005</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-.511</w:t>
            </w:r>
          </w:p>
        </w:tc>
        <w:tc>
          <w:tcPr>
            <w:tcW w:w="1010" w:type="dxa"/>
            <w:gridSpan w:val="2"/>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.610</w:t>
            </w:r>
          </w:p>
        </w:tc>
      </w:tr>
      <w:tr w:rsidR="000D0B44" w:rsidRPr="000D0B44" w:rsidTr="000D0B44">
        <w:tc>
          <w:tcPr>
            <w:tcW w:w="728"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58" w:type="dxa"/>
            <w:gridSpan w:val="3"/>
            <w:tcBorders>
              <w:top w:val="nil"/>
              <w:left w:val="nil"/>
              <w:bottom w:val="single" w:sz="16" w:space="0" w:color="000000"/>
              <w:right w:val="single" w:sz="16" w:space="0" w:color="000000"/>
            </w:tcBorders>
            <w:shd w:val="clear" w:color="auto" w:fill="FFFFFF"/>
          </w:tcPr>
          <w:p w:rsidR="000D0B44" w:rsidRPr="000D0B44" w:rsidRDefault="00E17DC6"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S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.896</w:t>
            </w:r>
          </w:p>
        </w:tc>
        <w:tc>
          <w:tcPr>
            <w:tcW w:w="1322" w:type="dxa"/>
            <w:gridSpan w:val="5"/>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.009</w:t>
            </w:r>
          </w:p>
        </w:tc>
        <w:tc>
          <w:tcPr>
            <w:tcW w:w="1456"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.979</w:t>
            </w:r>
          </w:p>
        </w:tc>
        <w:tc>
          <w:tcPr>
            <w:tcW w:w="1010" w:type="dxa"/>
            <w:gridSpan w:val="2"/>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102.770</w:t>
            </w:r>
          </w:p>
        </w:tc>
        <w:tc>
          <w:tcPr>
            <w:tcW w:w="1010" w:type="dxa"/>
            <w:gridSpan w:val="2"/>
            <w:tcBorders>
              <w:top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13388B" w:rsidTr="000D0B44">
        <w:tc>
          <w:tcPr>
            <w:tcW w:w="8108" w:type="dxa"/>
            <w:gridSpan w:val="21"/>
            <w:tcBorders>
              <w:top w:val="nil"/>
              <w:left w:val="nil"/>
              <w:bottom w:val="nil"/>
              <w:right w:val="nil"/>
            </w:tcBorders>
            <w:shd w:val="clear" w:color="auto" w:fill="FFFFFF"/>
          </w:tcPr>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a. Dependent Variable: CGOS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bl>
    <w:p w:rsidR="000D0B44" w:rsidRPr="00F67CC4" w:rsidRDefault="000D0B44" w:rsidP="000D0B44">
      <w:pPr>
        <w:spacing w:line="360" w:lineRule="auto"/>
        <w:rPr>
          <w:rFonts w:cs="Calibri"/>
          <w:b/>
          <w:bCs/>
          <w:lang w:val="en-US"/>
        </w:rPr>
      </w:pPr>
    </w:p>
    <w:p w:rsidR="000D0B44" w:rsidRPr="00F67CC4" w:rsidRDefault="000D0B44" w:rsidP="000D0B44">
      <w:pPr>
        <w:spacing w:line="360" w:lineRule="auto"/>
        <w:rPr>
          <w:rFonts w:cs="Calibri"/>
          <w:b/>
          <w:bCs/>
          <w:lang w:val="en-US"/>
        </w:rPr>
      </w:pPr>
    </w:p>
    <w:p w:rsidR="000D0B44" w:rsidRPr="00F67CC4" w:rsidRDefault="000D0B44" w:rsidP="000D0B44">
      <w:pPr>
        <w:spacing w:line="360" w:lineRule="auto"/>
        <w:rPr>
          <w:rFonts w:cs="Calibri"/>
          <w:b/>
          <w:bCs/>
          <w:lang w:val="en-US"/>
        </w:rPr>
      </w:pPr>
    </w:p>
    <w:p w:rsidR="000D0B44" w:rsidRPr="00F67CC4" w:rsidRDefault="000D0B44" w:rsidP="000D0B44">
      <w:pPr>
        <w:spacing w:line="360" w:lineRule="auto"/>
        <w:rPr>
          <w:rFonts w:cs="Calibri"/>
          <w:b/>
          <w:bCs/>
          <w:lang w:val="en-US"/>
        </w:rPr>
      </w:pPr>
    </w:p>
    <w:p w:rsidR="000D0B44" w:rsidRPr="00E652FA" w:rsidRDefault="005773A4" w:rsidP="000D0B44">
      <w:pPr>
        <w:rPr>
          <w:rFonts w:ascii="Times New Roman" w:hAnsi="Times New Roman" w:cs="Times New Roman"/>
          <w:sz w:val="24"/>
          <w:szCs w:val="24"/>
          <w:lang w:val="en-US"/>
        </w:rPr>
      </w:pPr>
      <w:r>
        <w:rPr>
          <w:rFonts w:cs="Calibri"/>
          <w:b/>
          <w:bCs/>
          <w:sz w:val="24"/>
          <w:szCs w:val="24"/>
          <w:lang w:val="en-US"/>
        </w:rPr>
        <w:t xml:space="preserve">Change in </w:t>
      </w:r>
      <w:r w:rsidR="000D0B44" w:rsidRPr="00E652FA">
        <w:rPr>
          <w:rFonts w:cs="Calibri"/>
          <w:b/>
          <w:bCs/>
          <w:sz w:val="24"/>
          <w:szCs w:val="24"/>
          <w:lang w:val="en-US"/>
        </w:rPr>
        <w:t>Inventory</w:t>
      </w:r>
      <w:r w:rsidR="000D0B44" w:rsidRPr="00E652FA">
        <w:rPr>
          <w:rFonts w:cs="Calibri"/>
          <w:b/>
          <w:bCs/>
          <w:sz w:val="24"/>
          <w:szCs w:val="24"/>
          <w:lang w:val="en-US"/>
        </w:rPr>
        <w:br/>
      </w:r>
    </w:p>
    <w:tbl>
      <w:tblPr>
        <w:tblW w:w="89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62"/>
        <w:gridCol w:w="1010"/>
        <w:gridCol w:w="200"/>
        <w:gridCol w:w="836"/>
        <w:gridCol w:w="14"/>
        <w:gridCol w:w="27"/>
        <w:gridCol w:w="579"/>
        <w:gridCol w:w="373"/>
        <w:gridCol w:w="345"/>
        <w:gridCol w:w="159"/>
        <w:gridCol w:w="132"/>
        <w:gridCol w:w="245"/>
        <w:gridCol w:w="787"/>
        <w:gridCol w:w="292"/>
        <w:gridCol w:w="74"/>
        <w:gridCol w:w="1010"/>
        <w:gridCol w:w="80"/>
        <w:gridCol w:w="930"/>
        <w:gridCol w:w="80"/>
        <w:gridCol w:w="1010"/>
      </w:tblGrid>
      <w:tr w:rsidR="000D0B44" w:rsidRPr="000D0B44" w:rsidTr="00E17DC6">
        <w:trPr>
          <w:gridAfter w:val="8"/>
          <w:wAfter w:w="4263" w:type="dxa"/>
        </w:trPr>
        <w:tc>
          <w:tcPr>
            <w:tcW w:w="4709" w:type="dxa"/>
            <w:gridSpan w:val="13"/>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Variables Entered/Removed</w:t>
            </w:r>
            <w:r w:rsidRPr="000D0B44">
              <w:rPr>
                <w:rFonts w:ascii="Arial" w:hAnsi="Arial"/>
                <w:b/>
                <w:bCs/>
                <w:color w:val="000000"/>
                <w:sz w:val="18"/>
                <w:szCs w:val="18"/>
                <w:vertAlign w:val="superscript"/>
                <w:lang w:val="en-US"/>
              </w:rPr>
              <w:t>b</w:t>
            </w:r>
          </w:p>
        </w:tc>
      </w:tr>
      <w:tr w:rsidR="000D0B44" w:rsidRPr="000D0B44" w:rsidTr="008C358C">
        <w:trPr>
          <w:gridAfter w:val="8"/>
          <w:wAfter w:w="4263"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046" w:type="dxa"/>
            <w:gridSpan w:val="3"/>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Entered</w:t>
            </w:r>
          </w:p>
        </w:tc>
        <w:tc>
          <w:tcPr>
            <w:tcW w:w="993"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Removed</w:t>
            </w:r>
          </w:p>
        </w:tc>
        <w:tc>
          <w:tcPr>
            <w:tcW w:w="881"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Method</w:t>
            </w:r>
          </w:p>
        </w:tc>
      </w:tr>
      <w:tr w:rsidR="000D0B44" w:rsidRPr="000D0B44" w:rsidTr="008C358C">
        <w:trPr>
          <w:gridAfter w:val="8"/>
          <w:wAfter w:w="4263"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2046" w:type="dxa"/>
            <w:gridSpan w:val="3"/>
            <w:tcBorders>
              <w:top w:val="single" w:sz="16" w:space="0" w:color="000000"/>
              <w:left w:val="single" w:sz="16" w:space="0" w:color="000000"/>
              <w:bottom w:val="single" w:sz="16" w:space="0" w:color="000000"/>
            </w:tcBorders>
            <w:shd w:val="clear" w:color="auto" w:fill="FFFFFF"/>
          </w:tcPr>
          <w:p w:rsidR="008C358C" w:rsidRDefault="00E17DC6"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 xml:space="preserve">-1)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w:t>
            </w:r>
            <w:r w:rsidR="000D0B44" w:rsidRPr="000D0B44">
              <w:rPr>
                <w:rFonts w:ascii="Arial" w:hAnsi="Arial"/>
                <w:color w:val="000000"/>
                <w:sz w:val="18"/>
                <w:szCs w:val="18"/>
                <w:lang w:val="en-US"/>
              </w:rPr>
              <w:t>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 xml:space="preserve">-1), </w:t>
            </w:r>
          </w:p>
          <w:p w:rsidR="000D0B44" w:rsidRPr="000D0B44" w:rsidRDefault="00E17DC6" w:rsidP="00E17DC6">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993"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w:t>
            </w:r>
          </w:p>
        </w:tc>
        <w:tc>
          <w:tcPr>
            <w:tcW w:w="881"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Enter</w:t>
            </w:r>
          </w:p>
        </w:tc>
      </w:tr>
      <w:tr w:rsidR="000D0B44" w:rsidRPr="0013388B" w:rsidTr="00E17DC6">
        <w:trPr>
          <w:gridAfter w:val="8"/>
          <w:wAfter w:w="4263" w:type="dxa"/>
        </w:trPr>
        <w:tc>
          <w:tcPr>
            <w:tcW w:w="4709" w:type="dxa"/>
            <w:gridSpan w:val="13"/>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All requested variables entered.</w:t>
            </w:r>
          </w:p>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b. Dependent Variable: Change </w:t>
            </w:r>
            <w:r w:rsidR="000D0B44" w:rsidRPr="000D0B44">
              <w:rPr>
                <w:rFonts w:ascii="Arial" w:hAnsi="Arial"/>
                <w:color w:val="000000"/>
                <w:sz w:val="18"/>
                <w:szCs w:val="18"/>
                <w:lang w:val="en-US"/>
              </w:rPr>
              <w:t>INV</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E17DC6">
        <w:trPr>
          <w:gridAfter w:val="6"/>
          <w:wAfter w:w="3184" w:type="dxa"/>
        </w:trPr>
        <w:tc>
          <w:tcPr>
            <w:tcW w:w="5788" w:type="dxa"/>
            <w:gridSpan w:val="15"/>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Model Summary</w:t>
            </w:r>
          </w:p>
        </w:tc>
      </w:tr>
      <w:tr w:rsidR="000D0B44" w:rsidRPr="0013388B" w:rsidTr="00E17DC6">
        <w:trPr>
          <w:gridAfter w:val="6"/>
          <w:wAfter w:w="3184"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010" w:type="dxa"/>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w:t>
            </w:r>
          </w:p>
        </w:tc>
        <w:tc>
          <w:tcPr>
            <w:tcW w:w="1077"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 Square</w:t>
            </w:r>
          </w:p>
        </w:tc>
        <w:tc>
          <w:tcPr>
            <w:tcW w:w="1456"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Adjusted R Square</w:t>
            </w:r>
          </w:p>
        </w:tc>
        <w:tc>
          <w:tcPr>
            <w:tcW w:w="1456"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 of the Estimate</w:t>
            </w:r>
          </w:p>
        </w:tc>
      </w:tr>
      <w:tr w:rsidR="000D0B44" w:rsidRPr="000D0B44" w:rsidTr="00E17DC6">
        <w:trPr>
          <w:gridAfter w:val="6"/>
          <w:wAfter w:w="3184" w:type="dxa"/>
        </w:trPr>
        <w:tc>
          <w:tcPr>
            <w:tcW w:w="789"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010" w:type="dxa"/>
            <w:tcBorders>
              <w:top w:val="single" w:sz="16" w:space="0" w:color="000000"/>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.534</w:t>
            </w:r>
            <w:r w:rsidRPr="000D0B44">
              <w:rPr>
                <w:rFonts w:ascii="Arial" w:hAnsi="Arial"/>
                <w:color w:val="000000"/>
                <w:sz w:val="18"/>
                <w:szCs w:val="18"/>
                <w:vertAlign w:val="superscript"/>
                <w:lang w:val="en-US"/>
              </w:rPr>
              <w:t>a</w:t>
            </w:r>
          </w:p>
        </w:tc>
        <w:tc>
          <w:tcPr>
            <w:tcW w:w="1077"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.285</w:t>
            </w:r>
          </w:p>
        </w:tc>
        <w:tc>
          <w:tcPr>
            <w:tcW w:w="1456" w:type="dxa"/>
            <w:gridSpan w:val="4"/>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.281</w:t>
            </w:r>
          </w:p>
        </w:tc>
        <w:tc>
          <w:tcPr>
            <w:tcW w:w="1456"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.06461</w:t>
            </w:r>
          </w:p>
        </w:tc>
      </w:tr>
      <w:tr w:rsidR="000D0B44" w:rsidRPr="0013388B" w:rsidTr="00E17DC6">
        <w:trPr>
          <w:gridAfter w:val="6"/>
          <w:wAfter w:w="3184" w:type="dxa"/>
        </w:trPr>
        <w:tc>
          <w:tcPr>
            <w:tcW w:w="5788" w:type="dxa"/>
            <w:gridSpan w:val="15"/>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w:t>
            </w:r>
            <w:r w:rsidR="00E17DC6">
              <w:rPr>
                <w:rFonts w:ascii="Arial" w:hAnsi="Arial"/>
                <w:color w:val="000000"/>
                <w:sz w:val="18"/>
                <w:szCs w:val="18"/>
                <w:lang w:val="en-US"/>
              </w:rPr>
              <w:t xml:space="preserve"> Predictors: (Constant), Change </w:t>
            </w:r>
            <w:r w:rsidRPr="000D0B44">
              <w:rPr>
                <w:rFonts w:ascii="Arial" w:hAnsi="Arial"/>
                <w:color w:val="000000"/>
                <w:sz w:val="18"/>
                <w:szCs w:val="18"/>
                <w:lang w:val="en-US"/>
              </w:rPr>
              <w:t>S</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 xml:space="preserve">-1) / </w:t>
            </w:r>
            <w:r w:rsidRPr="000D0B44">
              <w:rPr>
                <w:rFonts w:ascii="Arial" w:hAnsi="Arial"/>
                <w:color w:val="000000"/>
                <w:sz w:val="18"/>
                <w:szCs w:val="18"/>
                <w:lang w:val="en-US"/>
              </w:rPr>
              <w:t>A</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 xml:space="preserve">), </w:t>
            </w:r>
            <w:r w:rsidRPr="000D0B44">
              <w:rPr>
                <w:rFonts w:ascii="Arial" w:hAnsi="Arial"/>
                <w:color w:val="000000"/>
                <w:sz w:val="18"/>
                <w:szCs w:val="18"/>
                <w:lang w:val="en-US"/>
              </w:rPr>
              <w:t>1</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 Change S / A (t-</w:t>
            </w:r>
            <w:r w:rsidRPr="000D0B44">
              <w:rPr>
                <w:rFonts w:ascii="Arial" w:hAnsi="Arial"/>
                <w:color w:val="000000"/>
                <w:sz w:val="18"/>
                <w:szCs w:val="18"/>
                <w:lang w:val="en-US"/>
              </w:rPr>
              <w:t>1</w:t>
            </w:r>
            <w:r w:rsidR="00E17DC6">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E17DC6">
        <w:trPr>
          <w:gridAfter w:val="2"/>
          <w:wAfter w:w="1090" w:type="dxa"/>
        </w:trPr>
        <w:tc>
          <w:tcPr>
            <w:tcW w:w="7882" w:type="dxa"/>
            <w:gridSpan w:val="19"/>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ANOVA</w:t>
            </w:r>
            <w:r w:rsidRPr="000D0B44">
              <w:rPr>
                <w:rFonts w:ascii="Arial" w:hAnsi="Arial"/>
                <w:b/>
                <w:bCs/>
                <w:color w:val="000000"/>
                <w:sz w:val="18"/>
                <w:szCs w:val="18"/>
                <w:vertAlign w:val="superscript"/>
                <w:lang w:val="en-US"/>
              </w:rPr>
              <w:t>b</w:t>
            </w:r>
          </w:p>
        </w:tc>
      </w:tr>
      <w:tr w:rsidR="000D0B44" w:rsidRPr="000D0B44" w:rsidTr="00E17DC6">
        <w:trPr>
          <w:gridAfter w:val="2"/>
          <w:wAfter w:w="1090" w:type="dxa"/>
        </w:trPr>
        <w:tc>
          <w:tcPr>
            <w:tcW w:w="1999" w:type="dxa"/>
            <w:gridSpan w:val="4"/>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456"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Sum of Squares</w:t>
            </w:r>
          </w:p>
        </w:tc>
        <w:tc>
          <w:tcPr>
            <w:tcW w:w="1009"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df</w:t>
            </w:r>
          </w:p>
        </w:tc>
        <w:tc>
          <w:tcPr>
            <w:tcW w:w="1398"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Mean Square</w:t>
            </w:r>
          </w:p>
        </w:tc>
        <w:tc>
          <w:tcPr>
            <w:tcW w:w="1010" w:type="dxa"/>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F</w:t>
            </w:r>
          </w:p>
        </w:tc>
        <w:tc>
          <w:tcPr>
            <w:tcW w:w="1010" w:type="dxa"/>
            <w:gridSpan w:val="2"/>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E17DC6">
        <w:trPr>
          <w:gridAfter w:val="2"/>
          <w:wAfter w:w="1090" w:type="dxa"/>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272" w:type="dxa"/>
            <w:gridSpan w:val="3"/>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Regression</w:t>
            </w:r>
          </w:p>
        </w:tc>
        <w:tc>
          <w:tcPr>
            <w:tcW w:w="1456"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.785</w:t>
            </w:r>
          </w:p>
        </w:tc>
        <w:tc>
          <w:tcPr>
            <w:tcW w:w="1009"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w:t>
            </w:r>
          </w:p>
        </w:tc>
        <w:tc>
          <w:tcPr>
            <w:tcW w:w="1398"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.262</w:t>
            </w:r>
          </w:p>
        </w:tc>
        <w:tc>
          <w:tcPr>
            <w:tcW w:w="1010" w:type="dxa"/>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62.713</w:t>
            </w:r>
          </w:p>
        </w:tc>
        <w:tc>
          <w:tcPr>
            <w:tcW w:w="1010" w:type="dxa"/>
            <w:gridSpan w:val="2"/>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r w:rsidRPr="000D0B44">
              <w:rPr>
                <w:rFonts w:ascii="Arial" w:hAnsi="Arial"/>
                <w:color w:val="000000"/>
                <w:sz w:val="18"/>
                <w:szCs w:val="18"/>
                <w:vertAlign w:val="superscript"/>
                <w:lang w:val="en-US"/>
              </w:rPr>
              <w:t>a</w:t>
            </w:r>
          </w:p>
        </w:tc>
      </w:tr>
      <w:tr w:rsidR="000D0B44" w:rsidRPr="000D0B44" w:rsidTr="00E17DC6">
        <w:trPr>
          <w:gridAfter w:val="2"/>
          <w:wAfter w:w="1090"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72" w:type="dxa"/>
            <w:gridSpan w:val="3"/>
            <w:tcBorders>
              <w:top w:val="nil"/>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Residual</w:t>
            </w:r>
          </w:p>
        </w:tc>
        <w:tc>
          <w:tcPr>
            <w:tcW w:w="1456"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1.966</w:t>
            </w:r>
          </w:p>
        </w:tc>
        <w:tc>
          <w:tcPr>
            <w:tcW w:w="1009"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471</w:t>
            </w:r>
          </w:p>
        </w:tc>
        <w:tc>
          <w:tcPr>
            <w:tcW w:w="1398"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.004</w:t>
            </w:r>
          </w:p>
        </w:tc>
        <w:tc>
          <w:tcPr>
            <w:tcW w:w="1010" w:type="dxa"/>
            <w:tcBorders>
              <w:top w:val="nil"/>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nil"/>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0D0B44" w:rsidTr="00E17DC6">
        <w:trPr>
          <w:gridAfter w:val="2"/>
          <w:wAfter w:w="1090"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Times New Roman" w:hAnsi="Times New Roman" w:cs="Times New Roman"/>
                <w:sz w:val="24"/>
                <w:szCs w:val="24"/>
                <w:lang w:val="en-US"/>
              </w:rPr>
            </w:pPr>
          </w:p>
        </w:tc>
        <w:tc>
          <w:tcPr>
            <w:tcW w:w="1272" w:type="dxa"/>
            <w:gridSpan w:val="3"/>
            <w:tcBorders>
              <w:top w:val="nil"/>
              <w:left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Total</w:t>
            </w:r>
          </w:p>
        </w:tc>
        <w:tc>
          <w:tcPr>
            <w:tcW w:w="1456"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2.752</w:t>
            </w:r>
          </w:p>
        </w:tc>
        <w:tc>
          <w:tcPr>
            <w:tcW w:w="1009"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474</w:t>
            </w:r>
          </w:p>
        </w:tc>
        <w:tc>
          <w:tcPr>
            <w:tcW w:w="1398" w:type="dxa"/>
            <w:gridSpan w:val="4"/>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nil"/>
              <w:bottom w:val="single" w:sz="16" w:space="0" w:color="000000"/>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13388B" w:rsidTr="00E17DC6">
        <w:trPr>
          <w:gridAfter w:val="2"/>
          <w:wAfter w:w="1090" w:type="dxa"/>
        </w:trPr>
        <w:tc>
          <w:tcPr>
            <w:tcW w:w="7882" w:type="dxa"/>
            <w:gridSpan w:val="19"/>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w:t>
            </w:r>
            <w:r w:rsidR="00E17DC6">
              <w:rPr>
                <w:rFonts w:ascii="Arial" w:hAnsi="Arial"/>
                <w:color w:val="000000"/>
                <w:sz w:val="18"/>
                <w:szCs w:val="18"/>
                <w:lang w:val="en-US"/>
              </w:rPr>
              <w:t xml:space="preserve"> Predictors: (Constant), Change </w:t>
            </w:r>
            <w:r w:rsidRPr="000D0B44">
              <w:rPr>
                <w:rFonts w:ascii="Arial" w:hAnsi="Arial"/>
                <w:color w:val="000000"/>
                <w:sz w:val="18"/>
                <w:szCs w:val="18"/>
                <w:lang w:val="en-US"/>
              </w:rPr>
              <w:t>S</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w:t>
            </w:r>
            <w:r w:rsidRPr="000D0B44">
              <w:rPr>
                <w:rFonts w:ascii="Arial" w:hAnsi="Arial"/>
                <w:color w:val="000000"/>
                <w:sz w:val="18"/>
                <w:szCs w:val="18"/>
                <w:lang w:val="en-US"/>
              </w:rPr>
              <w:t>, 1</w:t>
            </w:r>
            <w:r w:rsidR="00E17DC6">
              <w:rPr>
                <w:rFonts w:ascii="Arial" w:hAnsi="Arial"/>
                <w:color w:val="000000"/>
                <w:sz w:val="18"/>
                <w:szCs w:val="18"/>
                <w:lang w:val="en-US"/>
              </w:rPr>
              <w:t xml:space="preserve"> / A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w:t>
            </w:r>
            <w:r w:rsidRPr="000D0B44">
              <w:rPr>
                <w:rFonts w:ascii="Arial" w:hAnsi="Arial"/>
                <w:color w:val="000000"/>
                <w:sz w:val="18"/>
                <w:szCs w:val="18"/>
                <w:lang w:val="en-US"/>
              </w:rPr>
              <w:t>, Change</w:t>
            </w:r>
            <w:r w:rsidR="00E17DC6">
              <w:rPr>
                <w:rFonts w:ascii="Arial" w:hAnsi="Arial"/>
                <w:color w:val="000000"/>
                <w:sz w:val="18"/>
                <w:szCs w:val="18"/>
                <w:lang w:val="en-US"/>
              </w:rPr>
              <w:t xml:space="preserve"> </w:t>
            </w:r>
            <w:r w:rsidRPr="000D0B44">
              <w:rPr>
                <w:rFonts w:ascii="Arial" w:hAnsi="Arial"/>
                <w:color w:val="000000"/>
                <w:sz w:val="18"/>
                <w:szCs w:val="18"/>
                <w:lang w:val="en-US"/>
              </w:rPr>
              <w:t>S</w:t>
            </w:r>
            <w:r w:rsidR="00E17DC6">
              <w:rPr>
                <w:rFonts w:ascii="Arial" w:hAnsi="Arial"/>
                <w:color w:val="000000"/>
                <w:sz w:val="18"/>
                <w:szCs w:val="18"/>
                <w:lang w:val="en-US"/>
              </w:rPr>
              <w:t xml:space="preserve"> / </w:t>
            </w:r>
            <w:r w:rsidRPr="000D0B44">
              <w:rPr>
                <w:rFonts w:ascii="Arial" w:hAnsi="Arial"/>
                <w:color w:val="000000"/>
                <w:sz w:val="18"/>
                <w:szCs w:val="18"/>
                <w:lang w:val="en-US"/>
              </w:rPr>
              <w:t>A</w:t>
            </w:r>
            <w:r w:rsidR="00E17DC6">
              <w:rPr>
                <w:rFonts w:ascii="Arial" w:hAnsi="Arial"/>
                <w:color w:val="000000"/>
                <w:sz w:val="18"/>
                <w:szCs w:val="18"/>
                <w:lang w:val="en-US"/>
              </w:rPr>
              <w:t xml:space="preserve"> (</w:t>
            </w:r>
            <w:r w:rsidRPr="000D0B44">
              <w:rPr>
                <w:rFonts w:ascii="Arial" w:hAnsi="Arial"/>
                <w:color w:val="000000"/>
                <w:sz w:val="18"/>
                <w:szCs w:val="18"/>
                <w:lang w:val="en-US"/>
              </w:rPr>
              <w:t>t</w:t>
            </w:r>
            <w:r w:rsidR="00E17DC6">
              <w:rPr>
                <w:rFonts w:ascii="Arial" w:hAnsi="Arial"/>
                <w:color w:val="000000"/>
                <w:sz w:val="18"/>
                <w:szCs w:val="18"/>
                <w:lang w:val="en-US"/>
              </w:rPr>
              <w:t>-</w:t>
            </w:r>
            <w:r w:rsidRPr="000D0B44">
              <w:rPr>
                <w:rFonts w:ascii="Arial" w:hAnsi="Arial"/>
                <w:color w:val="000000"/>
                <w:sz w:val="18"/>
                <w:szCs w:val="18"/>
                <w:lang w:val="en-US"/>
              </w:rPr>
              <w:t>1</w:t>
            </w:r>
            <w:r w:rsidR="00E17DC6">
              <w:rPr>
                <w:rFonts w:ascii="Arial" w:hAnsi="Arial"/>
                <w:color w:val="000000"/>
                <w:sz w:val="18"/>
                <w:szCs w:val="18"/>
                <w:lang w:val="en-US"/>
              </w:rPr>
              <w:t>)</w:t>
            </w:r>
          </w:p>
          <w:p w:rsidR="000D0B44" w:rsidRPr="000D0B44" w:rsidRDefault="00E17DC6"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b. Dependent Variable: Change </w:t>
            </w:r>
            <w:r w:rsidR="000D0B44" w:rsidRPr="000D0B44">
              <w:rPr>
                <w:rFonts w:ascii="Arial" w:hAnsi="Arial"/>
                <w:color w:val="000000"/>
                <w:sz w:val="18"/>
                <w:szCs w:val="18"/>
                <w:lang w:val="en-US"/>
              </w:rPr>
              <w:t>INV</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c>
          <w:tcPr>
            <w:tcW w:w="8972" w:type="dxa"/>
            <w:gridSpan w:val="21"/>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Coefficients</w:t>
            </w:r>
            <w:r w:rsidRPr="000D0B44">
              <w:rPr>
                <w:rFonts w:ascii="Arial" w:hAnsi="Arial"/>
                <w:b/>
                <w:bCs/>
                <w:color w:val="000000"/>
                <w:sz w:val="18"/>
                <w:szCs w:val="18"/>
                <w:vertAlign w:val="superscript"/>
                <w:lang w:val="en-US"/>
              </w:rPr>
              <w:t>a</w:t>
            </w:r>
          </w:p>
        </w:tc>
      </w:tr>
      <w:tr w:rsidR="000D0B44" w:rsidRPr="000D0B44" w:rsidTr="000D0B44">
        <w:tc>
          <w:tcPr>
            <w:tcW w:w="2849" w:type="dxa"/>
            <w:gridSpan w:val="6"/>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647" w:type="dxa"/>
            <w:gridSpan w:val="8"/>
            <w:tcBorders>
              <w:top w:val="single" w:sz="16" w:space="0" w:color="000000"/>
              <w:lef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Unstandardized Coefficients</w:t>
            </w:r>
          </w:p>
        </w:tc>
        <w:tc>
          <w:tcPr>
            <w:tcW w:w="1456" w:type="dxa"/>
            <w:gridSpan w:val="4"/>
            <w:tcBorders>
              <w:top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Standardized Coefficients</w:t>
            </w:r>
          </w:p>
        </w:tc>
        <w:tc>
          <w:tcPr>
            <w:tcW w:w="1010" w:type="dxa"/>
            <w:gridSpan w:val="2"/>
            <w:vMerge w:val="restart"/>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t</w:t>
            </w:r>
          </w:p>
        </w:tc>
        <w:tc>
          <w:tcPr>
            <w:tcW w:w="1010" w:type="dxa"/>
            <w:vMerge w:val="restart"/>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D0B44">
        <w:tc>
          <w:tcPr>
            <w:tcW w:w="2849" w:type="dxa"/>
            <w:gridSpan w:val="6"/>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324" w:type="dxa"/>
            <w:gridSpan w:val="4"/>
            <w:tcBorders>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w:t>
            </w:r>
          </w:p>
        </w:tc>
        <w:tc>
          <w:tcPr>
            <w:tcW w:w="1323" w:type="dxa"/>
            <w:gridSpan w:val="4"/>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w:t>
            </w:r>
          </w:p>
        </w:tc>
        <w:tc>
          <w:tcPr>
            <w:tcW w:w="1456" w:type="dxa"/>
            <w:gridSpan w:val="4"/>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Beta</w:t>
            </w:r>
          </w:p>
        </w:tc>
        <w:tc>
          <w:tcPr>
            <w:tcW w:w="1010" w:type="dxa"/>
            <w:gridSpan w:val="2"/>
            <w:vMerge/>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010" w:type="dxa"/>
            <w:vMerge/>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r>
      <w:tr w:rsidR="000D0B44" w:rsidRPr="000D0B44" w:rsidTr="000D0B44">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2122" w:type="dxa"/>
            <w:gridSpan w:val="5"/>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(Constant)</w:t>
            </w:r>
          </w:p>
        </w:tc>
        <w:tc>
          <w:tcPr>
            <w:tcW w:w="1324"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.006</w:t>
            </w:r>
          </w:p>
        </w:tc>
        <w:tc>
          <w:tcPr>
            <w:tcW w:w="1323"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.003</w:t>
            </w:r>
          </w:p>
        </w:tc>
        <w:tc>
          <w:tcPr>
            <w:tcW w:w="1456" w:type="dxa"/>
            <w:gridSpan w:val="4"/>
            <w:tcBorders>
              <w:top w:val="single" w:sz="16" w:space="0" w:color="000000"/>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gridSpan w:val="2"/>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1.774</w:t>
            </w:r>
          </w:p>
        </w:tc>
        <w:tc>
          <w:tcPr>
            <w:tcW w:w="1010" w:type="dxa"/>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.077</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22" w:type="dxa"/>
            <w:gridSpan w:val="5"/>
            <w:tcBorders>
              <w:top w:val="nil"/>
              <w:left w:val="nil"/>
              <w:bottom w:val="nil"/>
              <w:right w:val="single" w:sz="16" w:space="0" w:color="000000"/>
            </w:tcBorders>
            <w:shd w:val="clear" w:color="auto" w:fill="FFFFFF"/>
          </w:tcPr>
          <w:p w:rsidR="000D0B44" w:rsidRPr="000D0B44" w:rsidRDefault="000D0B44" w:rsidP="000A6865">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p>
        </w:tc>
        <w:tc>
          <w:tcPr>
            <w:tcW w:w="1324"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-.057</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.115</w:t>
            </w:r>
          </w:p>
        </w:tc>
        <w:tc>
          <w:tcPr>
            <w:tcW w:w="1456"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-.019</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-.494</w:t>
            </w:r>
          </w:p>
        </w:tc>
        <w:tc>
          <w:tcPr>
            <w:tcW w:w="1010" w:type="dxa"/>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.622</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22" w:type="dxa"/>
            <w:gridSpan w:val="5"/>
            <w:tcBorders>
              <w:top w:val="nil"/>
              <w:left w:val="nil"/>
              <w:bottom w:val="nil"/>
              <w:right w:val="single" w:sz="16" w:space="0" w:color="000000"/>
            </w:tcBorders>
            <w:shd w:val="clear" w:color="auto" w:fill="FFFFFF"/>
          </w:tcPr>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.058</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.004</w:t>
            </w:r>
          </w:p>
        </w:tc>
        <w:tc>
          <w:tcPr>
            <w:tcW w:w="1456"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.538</w:t>
            </w:r>
          </w:p>
        </w:tc>
        <w:tc>
          <w:tcPr>
            <w:tcW w:w="1010" w:type="dxa"/>
            <w:gridSpan w:val="2"/>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13.701</w:t>
            </w:r>
          </w:p>
        </w:tc>
        <w:tc>
          <w:tcPr>
            <w:tcW w:w="1010" w:type="dxa"/>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D0B44">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22" w:type="dxa"/>
            <w:gridSpan w:val="5"/>
            <w:tcBorders>
              <w:top w:val="nil"/>
              <w:left w:val="nil"/>
              <w:bottom w:val="single" w:sz="16" w:space="0" w:color="000000"/>
              <w:right w:val="single" w:sz="16" w:space="0" w:color="000000"/>
            </w:tcBorders>
            <w:shd w:val="clear" w:color="auto" w:fill="FFFFFF"/>
          </w:tcPr>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-.008</w:t>
            </w:r>
          </w:p>
        </w:tc>
        <w:tc>
          <w:tcPr>
            <w:tcW w:w="1323"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.007</w:t>
            </w:r>
          </w:p>
        </w:tc>
        <w:tc>
          <w:tcPr>
            <w:tcW w:w="1456"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-.043</w:t>
            </w:r>
          </w:p>
        </w:tc>
        <w:tc>
          <w:tcPr>
            <w:tcW w:w="1010" w:type="dxa"/>
            <w:gridSpan w:val="2"/>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-1.100</w:t>
            </w:r>
          </w:p>
        </w:tc>
        <w:tc>
          <w:tcPr>
            <w:tcW w:w="1010" w:type="dxa"/>
            <w:tcBorders>
              <w:top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.272</w:t>
            </w:r>
          </w:p>
        </w:tc>
      </w:tr>
      <w:tr w:rsidR="000D0B44" w:rsidRPr="0013388B" w:rsidTr="000D0B44">
        <w:tc>
          <w:tcPr>
            <w:tcW w:w="8972" w:type="dxa"/>
            <w:gridSpan w:val="21"/>
            <w:tcBorders>
              <w:top w:val="nil"/>
              <w:left w:val="nil"/>
              <w:bottom w:val="nil"/>
              <w:right w:val="nil"/>
            </w:tcBorders>
            <w:shd w:val="clear" w:color="auto" w:fill="FFFFFF"/>
          </w:tcPr>
          <w:p w:rsidR="000D0B44" w:rsidRPr="000D0B44" w:rsidRDefault="000A6865"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a. Dependent Variable: Change </w:t>
            </w:r>
            <w:r w:rsidR="000D0B44" w:rsidRPr="000D0B44">
              <w:rPr>
                <w:rFonts w:ascii="Arial" w:hAnsi="Arial"/>
                <w:color w:val="000000"/>
                <w:sz w:val="18"/>
                <w:szCs w:val="18"/>
                <w:lang w:val="en-US"/>
              </w:rPr>
              <w:t>INV</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bl>
    <w:p w:rsidR="000D0B44" w:rsidRDefault="000D0B44" w:rsidP="000D0B44">
      <w:pPr>
        <w:autoSpaceDE w:val="0"/>
        <w:autoSpaceDN w:val="0"/>
        <w:adjustRightInd w:val="0"/>
        <w:spacing w:after="0" w:line="400" w:lineRule="atLeast"/>
        <w:rPr>
          <w:rFonts w:ascii="Times New Roman" w:hAnsi="Times New Roman" w:cs="Times New Roman"/>
          <w:sz w:val="24"/>
          <w:szCs w:val="24"/>
          <w:lang w:val="en-US"/>
        </w:rPr>
      </w:pPr>
    </w:p>
    <w:p w:rsidR="000A6865" w:rsidRDefault="000A6865" w:rsidP="000D0B44">
      <w:pPr>
        <w:autoSpaceDE w:val="0"/>
        <w:autoSpaceDN w:val="0"/>
        <w:adjustRightInd w:val="0"/>
        <w:spacing w:after="0" w:line="400" w:lineRule="atLeast"/>
        <w:rPr>
          <w:rFonts w:ascii="Times New Roman" w:hAnsi="Times New Roman" w:cs="Times New Roman"/>
          <w:sz w:val="24"/>
          <w:szCs w:val="24"/>
          <w:lang w:val="en-US"/>
        </w:rPr>
      </w:pPr>
    </w:p>
    <w:p w:rsidR="000D0B44" w:rsidRPr="00E652FA" w:rsidRDefault="000D0B44" w:rsidP="000D0B44">
      <w:pPr>
        <w:rPr>
          <w:rFonts w:ascii="Times New Roman" w:hAnsi="Times New Roman" w:cs="Times New Roman"/>
          <w:sz w:val="24"/>
          <w:szCs w:val="24"/>
          <w:lang w:val="en-US"/>
        </w:rPr>
      </w:pPr>
      <w:r w:rsidRPr="00E652FA">
        <w:rPr>
          <w:rFonts w:cs="Calibri"/>
          <w:b/>
          <w:sz w:val="24"/>
          <w:szCs w:val="24"/>
          <w:lang w:val="en-US"/>
        </w:rPr>
        <w:t>Production Costs</w:t>
      </w:r>
      <w:r w:rsidRPr="00E652FA">
        <w:rPr>
          <w:rFonts w:cs="Calibri"/>
          <w:b/>
          <w:sz w:val="24"/>
          <w:szCs w:val="24"/>
          <w:lang w:val="en-US"/>
        </w:rPr>
        <w:br/>
      </w:r>
    </w:p>
    <w:tbl>
      <w:tblPr>
        <w:tblW w:w="897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7"/>
        <w:gridCol w:w="61"/>
        <w:gridCol w:w="1009"/>
        <w:gridCol w:w="199"/>
        <w:gridCol w:w="850"/>
        <w:gridCol w:w="27"/>
        <w:gridCol w:w="104"/>
        <w:gridCol w:w="475"/>
        <w:gridCol w:w="517"/>
        <w:gridCol w:w="201"/>
        <w:gridCol w:w="159"/>
        <w:gridCol w:w="132"/>
        <w:gridCol w:w="359"/>
        <w:gridCol w:w="673"/>
        <w:gridCol w:w="292"/>
        <w:gridCol w:w="74"/>
        <w:gridCol w:w="1090"/>
        <w:gridCol w:w="1010"/>
        <w:gridCol w:w="1013"/>
      </w:tblGrid>
      <w:tr w:rsidR="000D0B44" w:rsidRPr="000D0B44" w:rsidTr="008C358C">
        <w:trPr>
          <w:gridAfter w:val="6"/>
          <w:wAfter w:w="4152" w:type="dxa"/>
        </w:trPr>
        <w:tc>
          <w:tcPr>
            <w:tcW w:w="4820" w:type="dxa"/>
            <w:gridSpan w:val="13"/>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Variables Entered/Removed</w:t>
            </w:r>
            <w:r w:rsidRPr="000D0B44">
              <w:rPr>
                <w:rFonts w:ascii="Arial" w:hAnsi="Arial"/>
                <w:b/>
                <w:bCs/>
                <w:color w:val="000000"/>
                <w:sz w:val="18"/>
                <w:szCs w:val="18"/>
                <w:vertAlign w:val="superscript"/>
                <w:lang w:val="en-US"/>
              </w:rPr>
              <w:t>b</w:t>
            </w:r>
          </w:p>
        </w:tc>
      </w:tr>
      <w:tr w:rsidR="000D0B44" w:rsidRPr="000D0B44" w:rsidTr="008C358C">
        <w:trPr>
          <w:gridAfter w:val="6"/>
          <w:wAfter w:w="4152" w:type="dxa"/>
        </w:trPr>
        <w:tc>
          <w:tcPr>
            <w:tcW w:w="788"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189" w:type="dxa"/>
            <w:gridSpan w:val="5"/>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Entered</w:t>
            </w:r>
          </w:p>
        </w:tc>
        <w:tc>
          <w:tcPr>
            <w:tcW w:w="992" w:type="dxa"/>
            <w:gridSpan w:val="2"/>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Variables Removed</w:t>
            </w:r>
          </w:p>
        </w:tc>
        <w:tc>
          <w:tcPr>
            <w:tcW w:w="851"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Method</w:t>
            </w:r>
          </w:p>
        </w:tc>
      </w:tr>
      <w:tr w:rsidR="000D0B44" w:rsidRPr="000D0B44" w:rsidTr="008C358C">
        <w:trPr>
          <w:gridAfter w:val="6"/>
          <w:wAfter w:w="4152" w:type="dxa"/>
        </w:trPr>
        <w:tc>
          <w:tcPr>
            <w:tcW w:w="788"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2189" w:type="dxa"/>
            <w:gridSpan w:val="5"/>
            <w:tcBorders>
              <w:top w:val="single" w:sz="16" w:space="0" w:color="000000"/>
              <w:left w:val="single" w:sz="16" w:space="0" w:color="000000"/>
              <w:bottom w:val="single" w:sz="16" w:space="0" w:color="000000"/>
            </w:tcBorders>
            <w:shd w:val="clear" w:color="auto" w:fill="FFFFFF"/>
          </w:tcPr>
          <w:p w:rsidR="008C358C"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w:t>
            </w:r>
          </w:p>
          <w:p w:rsidR="008C358C" w:rsidRDefault="000D0B44" w:rsidP="000A6865">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 xml:space="preserve">), </w:t>
            </w:r>
          </w:p>
          <w:p w:rsidR="008C358C"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w:t>
            </w:r>
          </w:p>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S / A (t-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992" w:type="dxa"/>
            <w:gridSpan w:val="2"/>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w:t>
            </w:r>
          </w:p>
        </w:tc>
        <w:tc>
          <w:tcPr>
            <w:tcW w:w="851"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Enter</w:t>
            </w:r>
          </w:p>
        </w:tc>
      </w:tr>
      <w:tr w:rsidR="000D0B44" w:rsidRPr="0013388B" w:rsidTr="008C358C">
        <w:trPr>
          <w:gridAfter w:val="6"/>
          <w:wAfter w:w="4152" w:type="dxa"/>
        </w:trPr>
        <w:tc>
          <w:tcPr>
            <w:tcW w:w="4820" w:type="dxa"/>
            <w:gridSpan w:val="13"/>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 All requested variables entered.</w:t>
            </w:r>
          </w:p>
          <w:p w:rsidR="000D0B44" w:rsidRPr="000D0B44" w:rsidRDefault="000A6865"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b. Dependent Variable: PROD / A (t-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A6865">
        <w:trPr>
          <w:gridAfter w:val="4"/>
          <w:wAfter w:w="3187" w:type="dxa"/>
        </w:trPr>
        <w:tc>
          <w:tcPr>
            <w:tcW w:w="5785" w:type="dxa"/>
            <w:gridSpan w:val="15"/>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Model Summary</w:t>
            </w:r>
          </w:p>
        </w:tc>
      </w:tr>
      <w:tr w:rsidR="000D0B44" w:rsidRPr="0013388B" w:rsidTr="000A6865">
        <w:trPr>
          <w:gridAfter w:val="4"/>
          <w:wAfter w:w="3187" w:type="dxa"/>
        </w:trPr>
        <w:tc>
          <w:tcPr>
            <w:tcW w:w="788"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009" w:type="dxa"/>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w:t>
            </w:r>
          </w:p>
        </w:tc>
        <w:tc>
          <w:tcPr>
            <w:tcW w:w="1076" w:type="dxa"/>
            <w:gridSpan w:val="3"/>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R Square</w:t>
            </w:r>
          </w:p>
        </w:tc>
        <w:tc>
          <w:tcPr>
            <w:tcW w:w="1456" w:type="dxa"/>
            <w:gridSpan w:val="5"/>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Adjusted R Square</w:t>
            </w:r>
          </w:p>
        </w:tc>
        <w:tc>
          <w:tcPr>
            <w:tcW w:w="1456" w:type="dxa"/>
            <w:gridSpan w:val="4"/>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 of the Estimate</w:t>
            </w:r>
          </w:p>
        </w:tc>
      </w:tr>
      <w:tr w:rsidR="000D0B44" w:rsidRPr="000D0B44" w:rsidTr="000A6865">
        <w:trPr>
          <w:gridAfter w:val="4"/>
          <w:wAfter w:w="3187" w:type="dxa"/>
        </w:trPr>
        <w:tc>
          <w:tcPr>
            <w:tcW w:w="788"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009" w:type="dxa"/>
            <w:tcBorders>
              <w:top w:val="single" w:sz="16" w:space="0" w:color="000000"/>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.978</w:t>
            </w:r>
            <w:r w:rsidRPr="000D0B44">
              <w:rPr>
                <w:rFonts w:ascii="Arial" w:hAnsi="Arial"/>
                <w:color w:val="000000"/>
                <w:sz w:val="18"/>
                <w:szCs w:val="18"/>
                <w:vertAlign w:val="superscript"/>
                <w:lang w:val="en-US"/>
              </w:rPr>
              <w:t>a</w:t>
            </w:r>
          </w:p>
        </w:tc>
        <w:tc>
          <w:tcPr>
            <w:tcW w:w="1076" w:type="dxa"/>
            <w:gridSpan w:val="3"/>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.957</w:t>
            </w:r>
          </w:p>
        </w:tc>
        <w:tc>
          <w:tcPr>
            <w:tcW w:w="1456" w:type="dxa"/>
            <w:gridSpan w:val="5"/>
            <w:tcBorders>
              <w:top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.956</w:t>
            </w:r>
          </w:p>
        </w:tc>
        <w:tc>
          <w:tcPr>
            <w:tcW w:w="1456" w:type="dxa"/>
            <w:gridSpan w:val="4"/>
            <w:tcBorders>
              <w:top w:val="single" w:sz="16" w:space="0" w:color="000000"/>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.23687</w:t>
            </w:r>
          </w:p>
        </w:tc>
      </w:tr>
      <w:tr w:rsidR="000D0B44" w:rsidRPr="0013388B" w:rsidTr="000A6865">
        <w:trPr>
          <w:gridAfter w:val="4"/>
          <w:wAfter w:w="3187" w:type="dxa"/>
        </w:trPr>
        <w:tc>
          <w:tcPr>
            <w:tcW w:w="5785" w:type="dxa"/>
            <w:gridSpan w:val="15"/>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w:t>
            </w:r>
            <w:r w:rsidR="000A6865">
              <w:rPr>
                <w:rFonts w:ascii="Arial" w:hAnsi="Arial"/>
                <w:color w:val="000000"/>
                <w:sz w:val="18"/>
                <w:szCs w:val="18"/>
                <w:lang w:val="en-US"/>
              </w:rPr>
              <w:t xml:space="preserve"> Predictors: (Constant), Change </w:t>
            </w:r>
            <w:r w:rsidRPr="000D0B44">
              <w:rPr>
                <w:rFonts w:ascii="Arial" w:hAnsi="Arial"/>
                <w:color w:val="000000"/>
                <w:sz w:val="18"/>
                <w:szCs w:val="18"/>
                <w:lang w:val="en-US"/>
              </w:rPr>
              <w:t>S</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r w:rsidRPr="000D0B44">
              <w:rPr>
                <w:rFonts w:ascii="Arial" w:hAnsi="Arial"/>
                <w:color w:val="000000"/>
                <w:sz w:val="18"/>
                <w:szCs w:val="18"/>
                <w:lang w:val="en-US"/>
              </w:rPr>
              <w:t>, 1</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r w:rsidRPr="000D0B44">
              <w:rPr>
                <w:rFonts w:ascii="Arial" w:hAnsi="Arial"/>
                <w:color w:val="000000"/>
                <w:sz w:val="18"/>
                <w:szCs w:val="18"/>
                <w:lang w:val="en-US"/>
              </w:rPr>
              <w:t>, Change</w:t>
            </w:r>
            <w:r w:rsidR="000A6865">
              <w:rPr>
                <w:rFonts w:ascii="Arial" w:hAnsi="Arial"/>
                <w:color w:val="000000"/>
                <w:sz w:val="18"/>
                <w:szCs w:val="18"/>
                <w:lang w:val="en-US"/>
              </w:rPr>
              <w:t xml:space="preserve"> </w:t>
            </w:r>
            <w:r w:rsidRPr="000D0B44">
              <w:rPr>
                <w:rFonts w:ascii="Arial" w:hAnsi="Arial"/>
                <w:color w:val="000000"/>
                <w:sz w:val="18"/>
                <w:szCs w:val="18"/>
                <w:lang w:val="en-US"/>
              </w:rPr>
              <w:t>S</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r w:rsidRPr="000D0B44">
              <w:rPr>
                <w:rFonts w:ascii="Arial" w:hAnsi="Arial"/>
                <w:color w:val="000000"/>
                <w:sz w:val="18"/>
                <w:szCs w:val="18"/>
                <w:lang w:val="en-US"/>
              </w:rPr>
              <w:t>, S</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rPr>
          <w:gridAfter w:val="1"/>
          <w:wAfter w:w="1013" w:type="dxa"/>
        </w:trPr>
        <w:tc>
          <w:tcPr>
            <w:tcW w:w="7959" w:type="dxa"/>
            <w:gridSpan w:val="18"/>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ANOVA</w:t>
            </w:r>
            <w:r w:rsidRPr="000D0B44">
              <w:rPr>
                <w:rFonts w:ascii="Arial" w:hAnsi="Arial"/>
                <w:b/>
                <w:bCs/>
                <w:color w:val="000000"/>
                <w:sz w:val="18"/>
                <w:szCs w:val="18"/>
                <w:vertAlign w:val="superscript"/>
                <w:lang w:val="en-US"/>
              </w:rPr>
              <w:t>b</w:t>
            </w:r>
          </w:p>
        </w:tc>
      </w:tr>
      <w:tr w:rsidR="000D0B44" w:rsidRPr="000D0B44" w:rsidTr="000A6865">
        <w:trPr>
          <w:gridAfter w:val="1"/>
          <w:wAfter w:w="1013" w:type="dxa"/>
        </w:trPr>
        <w:tc>
          <w:tcPr>
            <w:tcW w:w="1996" w:type="dxa"/>
            <w:gridSpan w:val="4"/>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1456" w:type="dxa"/>
            <w:gridSpan w:val="4"/>
            <w:tcBorders>
              <w:top w:val="single" w:sz="16" w:space="0" w:color="000000"/>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Sum of Squares</w:t>
            </w:r>
          </w:p>
        </w:tc>
        <w:tc>
          <w:tcPr>
            <w:tcW w:w="1009"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df</w:t>
            </w:r>
          </w:p>
        </w:tc>
        <w:tc>
          <w:tcPr>
            <w:tcW w:w="1398" w:type="dxa"/>
            <w:gridSpan w:val="4"/>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Mean Square</w:t>
            </w:r>
          </w:p>
        </w:tc>
        <w:tc>
          <w:tcPr>
            <w:tcW w:w="1090" w:type="dxa"/>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F</w:t>
            </w:r>
          </w:p>
        </w:tc>
        <w:tc>
          <w:tcPr>
            <w:tcW w:w="1010" w:type="dxa"/>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A6865">
        <w:trPr>
          <w:gridAfter w:val="1"/>
          <w:wAfter w:w="1013" w:type="dxa"/>
        </w:trPr>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1269" w:type="dxa"/>
            <w:gridSpan w:val="3"/>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Regression</w:t>
            </w:r>
          </w:p>
        </w:tc>
        <w:tc>
          <w:tcPr>
            <w:tcW w:w="1456" w:type="dxa"/>
            <w:gridSpan w:val="4"/>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580.414</w:t>
            </w:r>
          </w:p>
        </w:tc>
        <w:tc>
          <w:tcPr>
            <w:tcW w:w="1009"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w:t>
            </w:r>
          </w:p>
        </w:tc>
        <w:tc>
          <w:tcPr>
            <w:tcW w:w="1398"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145.103</w:t>
            </w:r>
          </w:p>
        </w:tc>
        <w:tc>
          <w:tcPr>
            <w:tcW w:w="1090" w:type="dxa"/>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2586.240</w:t>
            </w:r>
          </w:p>
        </w:tc>
        <w:tc>
          <w:tcPr>
            <w:tcW w:w="1010" w:type="dxa"/>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r w:rsidRPr="000D0B44">
              <w:rPr>
                <w:rFonts w:ascii="Arial" w:hAnsi="Arial"/>
                <w:color w:val="000000"/>
                <w:sz w:val="18"/>
                <w:szCs w:val="18"/>
                <w:vertAlign w:val="superscript"/>
                <w:lang w:val="en-US"/>
              </w:rPr>
              <w:t>a</w:t>
            </w:r>
          </w:p>
        </w:tc>
      </w:tr>
      <w:tr w:rsidR="000D0B44" w:rsidRPr="000D0B44" w:rsidTr="000A6865">
        <w:trPr>
          <w:gridAfter w:val="1"/>
          <w:wAfter w:w="1013"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269" w:type="dxa"/>
            <w:gridSpan w:val="3"/>
            <w:tcBorders>
              <w:top w:val="nil"/>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Residual</w:t>
            </w:r>
          </w:p>
        </w:tc>
        <w:tc>
          <w:tcPr>
            <w:tcW w:w="1456" w:type="dxa"/>
            <w:gridSpan w:val="4"/>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26.370</w:t>
            </w:r>
          </w:p>
        </w:tc>
        <w:tc>
          <w:tcPr>
            <w:tcW w:w="1009"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470</w:t>
            </w:r>
          </w:p>
        </w:tc>
        <w:tc>
          <w:tcPr>
            <w:tcW w:w="1398"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.056</w:t>
            </w:r>
          </w:p>
        </w:tc>
        <w:tc>
          <w:tcPr>
            <w:tcW w:w="1090" w:type="dxa"/>
            <w:tcBorders>
              <w:top w:val="nil"/>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tcBorders>
              <w:top w:val="nil"/>
              <w:bottom w:val="nil"/>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0D0B44" w:rsidTr="000A6865">
        <w:trPr>
          <w:gridAfter w:val="1"/>
          <w:wAfter w:w="1013" w:type="dxa"/>
        </w:trPr>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Times New Roman" w:hAnsi="Times New Roman" w:cs="Times New Roman"/>
                <w:sz w:val="24"/>
                <w:szCs w:val="24"/>
                <w:lang w:val="en-US"/>
              </w:rPr>
            </w:pPr>
          </w:p>
        </w:tc>
        <w:tc>
          <w:tcPr>
            <w:tcW w:w="1269" w:type="dxa"/>
            <w:gridSpan w:val="3"/>
            <w:tcBorders>
              <w:top w:val="nil"/>
              <w:left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Total</w:t>
            </w:r>
          </w:p>
        </w:tc>
        <w:tc>
          <w:tcPr>
            <w:tcW w:w="1456" w:type="dxa"/>
            <w:gridSpan w:val="4"/>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606.784</w:t>
            </w:r>
          </w:p>
        </w:tc>
        <w:tc>
          <w:tcPr>
            <w:tcW w:w="1009"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474</w:t>
            </w:r>
          </w:p>
        </w:tc>
        <w:tc>
          <w:tcPr>
            <w:tcW w:w="1398" w:type="dxa"/>
            <w:gridSpan w:val="4"/>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90" w:type="dxa"/>
            <w:tcBorders>
              <w:top w:val="nil"/>
              <w:bottom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tcBorders>
              <w:top w:val="nil"/>
              <w:bottom w:val="single" w:sz="16" w:space="0" w:color="000000"/>
              <w:right w:val="single" w:sz="16" w:space="0" w:color="000000"/>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r>
      <w:tr w:rsidR="000D0B44" w:rsidRPr="0013388B" w:rsidTr="000D0B44">
        <w:trPr>
          <w:gridAfter w:val="1"/>
          <w:wAfter w:w="1013" w:type="dxa"/>
        </w:trPr>
        <w:tc>
          <w:tcPr>
            <w:tcW w:w="7959" w:type="dxa"/>
            <w:gridSpan w:val="18"/>
            <w:tcBorders>
              <w:top w:val="nil"/>
              <w:left w:val="nil"/>
              <w:bottom w:val="nil"/>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a.</w:t>
            </w:r>
            <w:r w:rsidR="000A6865">
              <w:rPr>
                <w:rFonts w:ascii="Arial" w:hAnsi="Arial"/>
                <w:color w:val="000000"/>
                <w:sz w:val="18"/>
                <w:szCs w:val="18"/>
                <w:lang w:val="en-US"/>
              </w:rPr>
              <w:t xml:space="preserve"> Predictors: (Constant), Change </w:t>
            </w:r>
            <w:r w:rsidRPr="000D0B44">
              <w:rPr>
                <w:rFonts w:ascii="Arial" w:hAnsi="Arial"/>
                <w:color w:val="000000"/>
                <w:sz w:val="18"/>
                <w:szCs w:val="18"/>
                <w:lang w:val="en-US"/>
              </w:rPr>
              <w:t>S</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r w:rsidRPr="000D0B44">
              <w:rPr>
                <w:rFonts w:ascii="Arial" w:hAnsi="Arial"/>
                <w:color w:val="000000"/>
                <w:sz w:val="18"/>
                <w:szCs w:val="18"/>
                <w:lang w:val="en-US"/>
              </w:rPr>
              <w:t>, 1</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r w:rsidRPr="000D0B44">
              <w:rPr>
                <w:rFonts w:ascii="Arial" w:hAnsi="Arial"/>
                <w:color w:val="000000"/>
                <w:sz w:val="18"/>
                <w:szCs w:val="18"/>
                <w:lang w:val="en-US"/>
              </w:rPr>
              <w:t>, Change</w:t>
            </w:r>
            <w:r w:rsidR="000A6865">
              <w:rPr>
                <w:rFonts w:ascii="Arial" w:hAnsi="Arial"/>
                <w:color w:val="000000"/>
                <w:sz w:val="18"/>
                <w:szCs w:val="18"/>
                <w:lang w:val="en-US"/>
              </w:rPr>
              <w:t xml:space="preserve"> </w:t>
            </w:r>
            <w:r w:rsidRPr="000D0B44">
              <w:rPr>
                <w:rFonts w:ascii="Arial" w:hAnsi="Arial"/>
                <w:color w:val="000000"/>
                <w:sz w:val="18"/>
                <w:szCs w:val="18"/>
                <w:lang w:val="en-US"/>
              </w:rPr>
              <w:t>S</w:t>
            </w:r>
            <w:r w:rsidR="000A6865">
              <w:rPr>
                <w:rFonts w:ascii="Arial" w:hAnsi="Arial"/>
                <w:color w:val="000000"/>
                <w:sz w:val="18"/>
                <w:szCs w:val="18"/>
                <w:lang w:val="en-US"/>
              </w:rPr>
              <w:t xml:space="preserve"> / </w:t>
            </w:r>
            <w:r w:rsidRPr="000D0B44">
              <w:rPr>
                <w:rFonts w:ascii="Arial" w:hAnsi="Arial"/>
                <w:color w:val="000000"/>
                <w:sz w:val="18"/>
                <w:szCs w:val="18"/>
                <w:lang w:val="en-US"/>
              </w:rPr>
              <w:t>A</w:t>
            </w:r>
            <w:r w:rsidR="000A6865">
              <w:rPr>
                <w:rFonts w:ascii="Arial" w:hAnsi="Arial"/>
                <w:color w:val="000000"/>
                <w:sz w:val="18"/>
                <w:szCs w:val="18"/>
                <w:lang w:val="en-US"/>
              </w:rPr>
              <w:t xml:space="preserve"> (</w:t>
            </w:r>
            <w:r w:rsidRPr="000D0B44">
              <w:rPr>
                <w:rFonts w:ascii="Arial" w:hAnsi="Arial"/>
                <w:color w:val="000000"/>
                <w:sz w:val="18"/>
                <w:szCs w:val="18"/>
                <w:lang w:val="en-US"/>
              </w:rPr>
              <w:t>t</w:t>
            </w:r>
            <w:r w:rsidR="000A6865">
              <w:rPr>
                <w:rFonts w:ascii="Arial" w:hAnsi="Arial"/>
                <w:color w:val="000000"/>
                <w:sz w:val="18"/>
                <w:szCs w:val="18"/>
                <w:lang w:val="en-US"/>
              </w:rPr>
              <w:t>-</w:t>
            </w:r>
            <w:r w:rsidRPr="000D0B44">
              <w:rPr>
                <w:rFonts w:ascii="Arial" w:hAnsi="Arial"/>
                <w:color w:val="000000"/>
                <w:sz w:val="18"/>
                <w:szCs w:val="18"/>
                <w:lang w:val="en-US"/>
              </w:rPr>
              <w:t>1</w:t>
            </w:r>
            <w:r w:rsidR="000A6865">
              <w:rPr>
                <w:rFonts w:ascii="Arial" w:hAnsi="Arial"/>
                <w:color w:val="000000"/>
                <w:sz w:val="18"/>
                <w:szCs w:val="18"/>
                <w:lang w:val="en-US"/>
              </w:rPr>
              <w:t>)</w:t>
            </w:r>
            <w:r w:rsidRPr="000D0B44">
              <w:rPr>
                <w:rFonts w:ascii="Arial" w:hAnsi="Arial"/>
                <w:color w:val="000000"/>
                <w:sz w:val="18"/>
                <w:szCs w:val="18"/>
                <w:lang w:val="en-US"/>
              </w:rPr>
              <w:t>, S</w:t>
            </w:r>
            <w:r w:rsidR="000A6865">
              <w:rPr>
                <w:rFonts w:ascii="Arial" w:hAnsi="Arial"/>
                <w:color w:val="000000"/>
                <w:sz w:val="18"/>
                <w:szCs w:val="18"/>
                <w:lang w:val="en-US"/>
              </w:rPr>
              <w:t xml:space="preserve"> / A (t-</w:t>
            </w:r>
            <w:r w:rsidRPr="000D0B44">
              <w:rPr>
                <w:rFonts w:ascii="Arial" w:hAnsi="Arial"/>
                <w:color w:val="000000"/>
                <w:sz w:val="18"/>
                <w:szCs w:val="18"/>
                <w:lang w:val="en-US"/>
              </w:rPr>
              <w:t>1</w:t>
            </w:r>
            <w:r w:rsidR="000A6865">
              <w:rPr>
                <w:rFonts w:ascii="Arial" w:hAnsi="Arial"/>
                <w:color w:val="000000"/>
                <w:sz w:val="18"/>
                <w:szCs w:val="18"/>
                <w:lang w:val="en-US"/>
              </w:rPr>
              <w:t>)</w:t>
            </w:r>
          </w:p>
          <w:p w:rsidR="000D0B44" w:rsidRPr="000D0B44" w:rsidRDefault="000A6865"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b. Dependent Variable: PROD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r w:rsidR="000D0B44" w:rsidRPr="000D0B44" w:rsidTr="000D0B44">
        <w:tc>
          <w:tcPr>
            <w:tcW w:w="8972" w:type="dxa"/>
            <w:gridSpan w:val="19"/>
            <w:tcBorders>
              <w:top w:val="nil"/>
              <w:left w:val="nil"/>
              <w:bottom w:val="nil"/>
              <w:right w:val="nil"/>
            </w:tcBorders>
            <w:shd w:val="clear" w:color="auto" w:fill="FFFFFF"/>
            <w:vAlign w:val="center"/>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b/>
                <w:bCs/>
                <w:color w:val="000000"/>
                <w:sz w:val="18"/>
                <w:szCs w:val="18"/>
                <w:lang w:val="en-US"/>
              </w:rPr>
              <w:t>Coefficients</w:t>
            </w:r>
            <w:r w:rsidRPr="000D0B44">
              <w:rPr>
                <w:rFonts w:ascii="Arial" w:hAnsi="Arial"/>
                <w:b/>
                <w:bCs/>
                <w:color w:val="000000"/>
                <w:sz w:val="18"/>
                <w:szCs w:val="18"/>
                <w:vertAlign w:val="superscript"/>
                <w:lang w:val="en-US"/>
              </w:rPr>
              <w:t>a</w:t>
            </w:r>
          </w:p>
        </w:tc>
      </w:tr>
      <w:tr w:rsidR="000D0B44" w:rsidRPr="000D0B44" w:rsidTr="000A6865">
        <w:tc>
          <w:tcPr>
            <w:tcW w:w="2846" w:type="dxa"/>
            <w:gridSpan w:val="5"/>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Model</w:t>
            </w:r>
          </w:p>
        </w:tc>
        <w:tc>
          <w:tcPr>
            <w:tcW w:w="2647" w:type="dxa"/>
            <w:gridSpan w:val="9"/>
            <w:tcBorders>
              <w:top w:val="single" w:sz="16" w:space="0" w:color="000000"/>
              <w:lef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Unstandardized Coefficients</w:t>
            </w:r>
          </w:p>
        </w:tc>
        <w:tc>
          <w:tcPr>
            <w:tcW w:w="1456" w:type="dxa"/>
            <w:gridSpan w:val="3"/>
            <w:tcBorders>
              <w:top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Standardized Coefficients</w:t>
            </w:r>
          </w:p>
        </w:tc>
        <w:tc>
          <w:tcPr>
            <w:tcW w:w="1010" w:type="dxa"/>
            <w:vMerge w:val="restart"/>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t</w:t>
            </w:r>
          </w:p>
        </w:tc>
        <w:tc>
          <w:tcPr>
            <w:tcW w:w="1013" w:type="dxa"/>
            <w:vMerge w:val="restart"/>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Sig.</w:t>
            </w:r>
          </w:p>
        </w:tc>
      </w:tr>
      <w:tr w:rsidR="000D0B44" w:rsidRPr="000D0B44" w:rsidTr="000A6865">
        <w:tc>
          <w:tcPr>
            <w:tcW w:w="2846" w:type="dxa"/>
            <w:gridSpan w:val="5"/>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324" w:type="dxa"/>
            <w:gridSpan w:val="5"/>
            <w:tcBorders>
              <w:left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w:t>
            </w:r>
          </w:p>
        </w:tc>
        <w:tc>
          <w:tcPr>
            <w:tcW w:w="1323" w:type="dxa"/>
            <w:gridSpan w:val="4"/>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Std. Error</w:t>
            </w:r>
          </w:p>
        </w:tc>
        <w:tc>
          <w:tcPr>
            <w:tcW w:w="1456" w:type="dxa"/>
            <w:gridSpan w:val="3"/>
            <w:tcBorders>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320" w:lineRule="atLeast"/>
              <w:ind w:left="60" w:right="60"/>
              <w:jc w:val="center"/>
              <w:rPr>
                <w:rFonts w:ascii="Arial" w:hAnsi="Arial"/>
                <w:color w:val="000000"/>
                <w:sz w:val="18"/>
                <w:szCs w:val="18"/>
                <w:lang w:val="en-US"/>
              </w:rPr>
            </w:pPr>
            <w:r w:rsidRPr="000D0B44">
              <w:rPr>
                <w:rFonts w:ascii="Arial" w:hAnsi="Arial"/>
                <w:color w:val="000000"/>
                <w:sz w:val="18"/>
                <w:szCs w:val="18"/>
                <w:lang w:val="en-US"/>
              </w:rPr>
              <w:t>Beta</w:t>
            </w:r>
          </w:p>
        </w:tc>
        <w:tc>
          <w:tcPr>
            <w:tcW w:w="1010" w:type="dxa"/>
            <w:vMerge/>
            <w:tcBorders>
              <w:top w:val="single" w:sz="16" w:space="0" w:color="000000"/>
              <w:bottom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1013" w:type="dxa"/>
            <w:vMerge/>
            <w:tcBorders>
              <w:top w:val="single" w:sz="16" w:space="0" w:color="000000"/>
              <w:bottom w:val="single" w:sz="16" w:space="0" w:color="000000"/>
              <w:right w:val="single" w:sz="16" w:space="0" w:color="000000"/>
            </w:tcBorders>
            <w:shd w:val="clear" w:color="auto" w:fill="FFFFFF"/>
            <w:vAlign w:val="bottom"/>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r>
      <w:tr w:rsidR="000D0B44" w:rsidRPr="000D0B44" w:rsidTr="000A6865">
        <w:tc>
          <w:tcPr>
            <w:tcW w:w="727" w:type="dxa"/>
            <w:vMerge w:val="restart"/>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1</w:t>
            </w:r>
          </w:p>
        </w:tc>
        <w:tc>
          <w:tcPr>
            <w:tcW w:w="2119" w:type="dxa"/>
            <w:gridSpan w:val="4"/>
            <w:tcBorders>
              <w:top w:val="single" w:sz="16" w:space="0" w:color="000000"/>
              <w:left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r w:rsidRPr="000D0B44">
              <w:rPr>
                <w:rFonts w:ascii="Arial" w:hAnsi="Arial"/>
                <w:color w:val="000000"/>
                <w:sz w:val="18"/>
                <w:szCs w:val="18"/>
                <w:lang w:val="en-US"/>
              </w:rPr>
              <w:t>(Constant)</w:t>
            </w:r>
          </w:p>
        </w:tc>
        <w:tc>
          <w:tcPr>
            <w:tcW w:w="1324" w:type="dxa"/>
            <w:gridSpan w:val="5"/>
            <w:tcBorders>
              <w:top w:val="single" w:sz="16" w:space="0" w:color="000000"/>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-.216</w:t>
            </w:r>
          </w:p>
        </w:tc>
        <w:tc>
          <w:tcPr>
            <w:tcW w:w="1323" w:type="dxa"/>
            <w:gridSpan w:val="4"/>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.023</w:t>
            </w:r>
          </w:p>
        </w:tc>
        <w:tc>
          <w:tcPr>
            <w:tcW w:w="1456" w:type="dxa"/>
            <w:gridSpan w:val="3"/>
            <w:tcBorders>
              <w:top w:val="single" w:sz="16" w:space="0" w:color="000000"/>
              <w:bottom w:val="nil"/>
            </w:tcBorders>
            <w:shd w:val="clear" w:color="auto" w:fill="FFFFFF"/>
            <w:vAlign w:val="center"/>
          </w:tcPr>
          <w:p w:rsidR="000D0B44" w:rsidRPr="000D0B44" w:rsidRDefault="000D0B44" w:rsidP="000D0B44">
            <w:pPr>
              <w:autoSpaceDE w:val="0"/>
              <w:autoSpaceDN w:val="0"/>
              <w:adjustRightInd w:val="0"/>
              <w:spacing w:after="0" w:line="240" w:lineRule="auto"/>
              <w:jc w:val="center"/>
              <w:rPr>
                <w:rFonts w:ascii="Times New Roman" w:hAnsi="Times New Roman" w:cs="Times New Roman"/>
                <w:sz w:val="24"/>
                <w:szCs w:val="24"/>
                <w:lang w:val="en-US"/>
              </w:rPr>
            </w:pPr>
          </w:p>
        </w:tc>
        <w:tc>
          <w:tcPr>
            <w:tcW w:w="1010" w:type="dxa"/>
            <w:tcBorders>
              <w:top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-9.545</w:t>
            </w:r>
          </w:p>
        </w:tc>
        <w:tc>
          <w:tcPr>
            <w:tcW w:w="1013" w:type="dxa"/>
            <w:tcBorders>
              <w:top w:val="single" w:sz="16" w:space="0" w:color="000000"/>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A6865">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19" w:type="dxa"/>
            <w:gridSpan w:val="4"/>
            <w:tcBorders>
              <w:top w:val="nil"/>
              <w:left w:val="nil"/>
              <w:bottom w:val="nil"/>
              <w:right w:val="single" w:sz="16" w:space="0" w:color="000000"/>
            </w:tcBorders>
            <w:shd w:val="clear" w:color="auto" w:fill="FFFFFF"/>
          </w:tcPr>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1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-.434</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.422</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-.010</w:t>
            </w:r>
          </w:p>
        </w:tc>
        <w:tc>
          <w:tcPr>
            <w:tcW w:w="1010" w:type="dxa"/>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-1.028</w:t>
            </w:r>
          </w:p>
        </w:tc>
        <w:tc>
          <w:tcPr>
            <w:tcW w:w="1013" w:type="dxa"/>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.304</w:t>
            </w:r>
          </w:p>
        </w:tc>
      </w:tr>
      <w:tr w:rsidR="000D0B44" w:rsidRPr="000D0B44" w:rsidTr="000A6865">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19" w:type="dxa"/>
            <w:gridSpan w:val="4"/>
            <w:tcBorders>
              <w:top w:val="nil"/>
              <w:left w:val="nil"/>
              <w:bottom w:val="nil"/>
              <w:right w:val="single" w:sz="16" w:space="0" w:color="000000"/>
            </w:tcBorders>
            <w:shd w:val="clear" w:color="auto" w:fill="FFFFFF"/>
          </w:tcPr>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S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.950</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.013</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1.011</w:t>
            </w:r>
          </w:p>
        </w:tc>
        <w:tc>
          <w:tcPr>
            <w:tcW w:w="1010" w:type="dxa"/>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70.853</w:t>
            </w:r>
          </w:p>
        </w:tc>
        <w:tc>
          <w:tcPr>
            <w:tcW w:w="1013" w:type="dxa"/>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.000</w:t>
            </w:r>
          </w:p>
        </w:tc>
      </w:tr>
      <w:tr w:rsidR="000D0B44" w:rsidRPr="000D0B44" w:rsidTr="000A6865">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19" w:type="dxa"/>
            <w:gridSpan w:val="4"/>
            <w:tcBorders>
              <w:top w:val="nil"/>
              <w:left w:val="nil"/>
              <w:bottom w:val="nil"/>
              <w:right w:val="single" w:sz="16" w:space="0" w:color="000000"/>
            </w:tcBorders>
            <w:shd w:val="clear" w:color="auto" w:fill="FFFFFF"/>
          </w:tcPr>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-.055</w:t>
            </w:r>
          </w:p>
        </w:tc>
        <w:tc>
          <w:tcPr>
            <w:tcW w:w="1323" w:type="dxa"/>
            <w:gridSpan w:val="4"/>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.022</w:t>
            </w:r>
          </w:p>
        </w:tc>
        <w:tc>
          <w:tcPr>
            <w:tcW w:w="1456" w:type="dxa"/>
            <w:gridSpan w:val="3"/>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-.035</w:t>
            </w:r>
          </w:p>
        </w:tc>
        <w:tc>
          <w:tcPr>
            <w:tcW w:w="1010" w:type="dxa"/>
            <w:tcBorders>
              <w:top w:val="nil"/>
              <w:bottom w:val="nil"/>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-2.485</w:t>
            </w:r>
          </w:p>
        </w:tc>
        <w:tc>
          <w:tcPr>
            <w:tcW w:w="1013" w:type="dxa"/>
            <w:tcBorders>
              <w:top w:val="nil"/>
              <w:bottom w:val="nil"/>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.013</w:t>
            </w:r>
          </w:p>
        </w:tc>
      </w:tr>
      <w:tr w:rsidR="000D0B44" w:rsidRPr="000D0B44" w:rsidTr="000A6865">
        <w:tc>
          <w:tcPr>
            <w:tcW w:w="727" w:type="dxa"/>
            <w:vMerge/>
            <w:tcBorders>
              <w:top w:val="single" w:sz="16" w:space="0" w:color="000000"/>
              <w:left w:val="single" w:sz="16" w:space="0" w:color="000000"/>
              <w:bottom w:val="single" w:sz="16" w:space="0" w:color="000000"/>
              <w:right w:val="nil"/>
            </w:tcBorders>
            <w:shd w:val="clear" w:color="auto" w:fill="FFFFFF"/>
          </w:tcPr>
          <w:p w:rsidR="000D0B44" w:rsidRPr="000D0B44" w:rsidRDefault="000D0B44" w:rsidP="000D0B44">
            <w:pPr>
              <w:autoSpaceDE w:val="0"/>
              <w:autoSpaceDN w:val="0"/>
              <w:adjustRightInd w:val="0"/>
              <w:spacing w:after="0" w:line="240" w:lineRule="auto"/>
              <w:rPr>
                <w:rFonts w:ascii="Arial" w:hAnsi="Arial"/>
                <w:color w:val="000000"/>
                <w:sz w:val="18"/>
                <w:szCs w:val="18"/>
                <w:lang w:val="en-US"/>
              </w:rPr>
            </w:pPr>
          </w:p>
        </w:tc>
        <w:tc>
          <w:tcPr>
            <w:tcW w:w="2119" w:type="dxa"/>
            <w:gridSpan w:val="4"/>
            <w:tcBorders>
              <w:top w:val="nil"/>
              <w:left w:val="nil"/>
              <w:bottom w:val="single" w:sz="16" w:space="0" w:color="000000"/>
              <w:right w:val="single" w:sz="16" w:space="0" w:color="000000"/>
            </w:tcBorders>
            <w:shd w:val="clear" w:color="auto" w:fill="FFFFFF"/>
          </w:tcPr>
          <w:p w:rsidR="000D0B44" w:rsidRPr="000D0B44" w:rsidRDefault="000A6865" w:rsidP="000A6865">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Change </w:t>
            </w:r>
            <w:r w:rsidR="000D0B44" w:rsidRPr="000D0B44">
              <w:rPr>
                <w:rFonts w:ascii="Arial" w:hAnsi="Arial"/>
                <w:color w:val="000000"/>
                <w:sz w:val="18"/>
                <w:szCs w:val="18"/>
                <w:lang w:val="en-US"/>
              </w:rPr>
              <w:t>S</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 xml:space="preserve">)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tc>
        <w:tc>
          <w:tcPr>
            <w:tcW w:w="1324" w:type="dxa"/>
            <w:gridSpan w:val="5"/>
            <w:tcBorders>
              <w:top w:val="nil"/>
              <w:left w:val="single" w:sz="16" w:space="0" w:color="000000"/>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-.093</w:t>
            </w:r>
          </w:p>
        </w:tc>
        <w:tc>
          <w:tcPr>
            <w:tcW w:w="1323" w:type="dxa"/>
            <w:gridSpan w:val="4"/>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.027</w:t>
            </w:r>
          </w:p>
        </w:tc>
        <w:tc>
          <w:tcPr>
            <w:tcW w:w="1456" w:type="dxa"/>
            <w:gridSpan w:val="3"/>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-.034</w:t>
            </w:r>
          </w:p>
        </w:tc>
        <w:tc>
          <w:tcPr>
            <w:tcW w:w="1010" w:type="dxa"/>
            <w:tcBorders>
              <w:top w:val="nil"/>
              <w:bottom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-3.452</w:t>
            </w:r>
          </w:p>
        </w:tc>
        <w:tc>
          <w:tcPr>
            <w:tcW w:w="1013" w:type="dxa"/>
            <w:tcBorders>
              <w:top w:val="nil"/>
              <w:bottom w:val="single" w:sz="16" w:space="0" w:color="000000"/>
              <w:right w:val="single" w:sz="16" w:space="0" w:color="000000"/>
            </w:tcBorders>
            <w:shd w:val="clear" w:color="auto" w:fill="FFFFFF"/>
          </w:tcPr>
          <w:p w:rsidR="000D0B44" w:rsidRPr="000D0B44" w:rsidRDefault="000D0B44" w:rsidP="000D0B44">
            <w:pPr>
              <w:autoSpaceDE w:val="0"/>
              <w:autoSpaceDN w:val="0"/>
              <w:adjustRightInd w:val="0"/>
              <w:spacing w:after="0" w:line="320" w:lineRule="atLeast"/>
              <w:ind w:left="60" w:right="60"/>
              <w:jc w:val="right"/>
              <w:rPr>
                <w:rFonts w:ascii="Arial" w:hAnsi="Arial"/>
                <w:color w:val="000000"/>
                <w:sz w:val="18"/>
                <w:szCs w:val="18"/>
                <w:lang w:val="en-US"/>
              </w:rPr>
            </w:pPr>
            <w:r w:rsidRPr="000D0B44">
              <w:rPr>
                <w:rFonts w:ascii="Arial" w:hAnsi="Arial"/>
                <w:color w:val="000000"/>
                <w:sz w:val="18"/>
                <w:szCs w:val="18"/>
                <w:lang w:val="en-US"/>
              </w:rPr>
              <w:t>.001</w:t>
            </w:r>
          </w:p>
        </w:tc>
      </w:tr>
      <w:tr w:rsidR="000D0B44" w:rsidRPr="0013388B" w:rsidTr="000D0B44">
        <w:tc>
          <w:tcPr>
            <w:tcW w:w="8972" w:type="dxa"/>
            <w:gridSpan w:val="19"/>
            <w:tcBorders>
              <w:top w:val="nil"/>
              <w:left w:val="nil"/>
              <w:bottom w:val="nil"/>
              <w:right w:val="nil"/>
            </w:tcBorders>
            <w:shd w:val="clear" w:color="auto" w:fill="FFFFFF"/>
          </w:tcPr>
          <w:p w:rsidR="000D0B44" w:rsidRPr="000D0B44" w:rsidRDefault="000A6865" w:rsidP="000D0B44">
            <w:pPr>
              <w:autoSpaceDE w:val="0"/>
              <w:autoSpaceDN w:val="0"/>
              <w:adjustRightInd w:val="0"/>
              <w:spacing w:after="0" w:line="320" w:lineRule="atLeast"/>
              <w:ind w:left="60" w:right="60"/>
              <w:rPr>
                <w:rFonts w:ascii="Arial" w:hAnsi="Arial"/>
                <w:color w:val="000000"/>
                <w:sz w:val="18"/>
                <w:szCs w:val="18"/>
                <w:lang w:val="en-US"/>
              </w:rPr>
            </w:pPr>
            <w:r>
              <w:rPr>
                <w:rFonts w:ascii="Arial" w:hAnsi="Arial"/>
                <w:color w:val="000000"/>
                <w:sz w:val="18"/>
                <w:szCs w:val="18"/>
                <w:lang w:val="en-US"/>
              </w:rPr>
              <w:t xml:space="preserve">a. Dependent Variable: PROD / </w:t>
            </w:r>
            <w:r w:rsidR="000D0B44" w:rsidRPr="000D0B44">
              <w:rPr>
                <w:rFonts w:ascii="Arial" w:hAnsi="Arial"/>
                <w:color w:val="000000"/>
                <w:sz w:val="18"/>
                <w:szCs w:val="18"/>
                <w:lang w:val="en-US"/>
              </w:rPr>
              <w:t>A</w:t>
            </w:r>
            <w:r>
              <w:rPr>
                <w:rFonts w:ascii="Arial" w:hAnsi="Arial"/>
                <w:color w:val="000000"/>
                <w:sz w:val="18"/>
                <w:szCs w:val="18"/>
                <w:lang w:val="en-US"/>
              </w:rPr>
              <w:t xml:space="preserve"> (</w:t>
            </w:r>
            <w:r w:rsidR="000D0B44" w:rsidRPr="000D0B44">
              <w:rPr>
                <w:rFonts w:ascii="Arial" w:hAnsi="Arial"/>
                <w:color w:val="000000"/>
                <w:sz w:val="18"/>
                <w:szCs w:val="18"/>
                <w:lang w:val="en-US"/>
              </w:rPr>
              <w:t>t</w:t>
            </w:r>
            <w:r>
              <w:rPr>
                <w:rFonts w:ascii="Arial" w:hAnsi="Arial"/>
                <w:color w:val="000000"/>
                <w:sz w:val="18"/>
                <w:szCs w:val="18"/>
                <w:lang w:val="en-US"/>
              </w:rPr>
              <w:t>-</w:t>
            </w:r>
            <w:r w:rsidR="000D0B44" w:rsidRPr="000D0B44">
              <w:rPr>
                <w:rFonts w:ascii="Arial" w:hAnsi="Arial"/>
                <w:color w:val="000000"/>
                <w:sz w:val="18"/>
                <w:szCs w:val="18"/>
                <w:lang w:val="en-US"/>
              </w:rPr>
              <w:t>1</w:t>
            </w:r>
            <w:r>
              <w:rPr>
                <w:rFonts w:ascii="Arial" w:hAnsi="Arial"/>
                <w:color w:val="000000"/>
                <w:sz w:val="18"/>
                <w:szCs w:val="18"/>
                <w:lang w:val="en-US"/>
              </w:rPr>
              <w:t>)</w:t>
            </w:r>
          </w:p>
          <w:p w:rsidR="000D0B44" w:rsidRPr="000D0B44" w:rsidRDefault="000D0B44" w:rsidP="000D0B44">
            <w:pPr>
              <w:autoSpaceDE w:val="0"/>
              <w:autoSpaceDN w:val="0"/>
              <w:adjustRightInd w:val="0"/>
              <w:spacing w:after="0" w:line="320" w:lineRule="atLeast"/>
              <w:ind w:left="60" w:right="60"/>
              <w:rPr>
                <w:rFonts w:ascii="Arial" w:hAnsi="Arial"/>
                <w:color w:val="000000"/>
                <w:sz w:val="18"/>
                <w:szCs w:val="18"/>
                <w:lang w:val="en-US"/>
              </w:rPr>
            </w:pPr>
          </w:p>
        </w:tc>
      </w:tr>
    </w:tbl>
    <w:p w:rsidR="00E26F73" w:rsidRDefault="00E26F73" w:rsidP="000D0B44">
      <w:pPr>
        <w:autoSpaceDE w:val="0"/>
        <w:autoSpaceDN w:val="0"/>
        <w:adjustRightInd w:val="0"/>
        <w:spacing w:after="0" w:line="400" w:lineRule="atLeast"/>
        <w:rPr>
          <w:rFonts w:cs="Calibri"/>
          <w:b/>
          <w:lang w:val="en-US"/>
        </w:rPr>
      </w:pPr>
    </w:p>
    <w:p w:rsidR="00F62948" w:rsidRPr="00731535" w:rsidRDefault="00E26F73" w:rsidP="00F62948">
      <w:pPr>
        <w:autoSpaceDE w:val="0"/>
        <w:autoSpaceDN w:val="0"/>
        <w:adjustRightInd w:val="0"/>
        <w:spacing w:after="0" w:line="400" w:lineRule="atLeast"/>
        <w:rPr>
          <w:rFonts w:cs="Calibri"/>
          <w:b/>
          <w:sz w:val="24"/>
          <w:szCs w:val="24"/>
          <w:lang w:val="en-US"/>
        </w:rPr>
      </w:pPr>
      <w:r>
        <w:rPr>
          <w:rFonts w:cs="Calibri"/>
          <w:b/>
          <w:lang w:val="en-US"/>
        </w:rPr>
        <w:br w:type="page"/>
      </w:r>
      <w:r w:rsidR="00F62948" w:rsidRPr="00731535">
        <w:rPr>
          <w:rFonts w:cs="Calibri"/>
          <w:b/>
          <w:sz w:val="24"/>
          <w:szCs w:val="24"/>
          <w:lang w:val="en-US"/>
        </w:rPr>
        <w:t>Multiple Regressions</w:t>
      </w:r>
    </w:p>
    <w:p w:rsidR="00715C98" w:rsidRPr="00731535" w:rsidRDefault="00715C98" w:rsidP="00F62948">
      <w:pPr>
        <w:autoSpaceDE w:val="0"/>
        <w:autoSpaceDN w:val="0"/>
        <w:adjustRightInd w:val="0"/>
        <w:spacing w:after="0" w:line="400" w:lineRule="atLeast"/>
        <w:rPr>
          <w:rFonts w:cs="Calibri"/>
          <w:b/>
          <w:sz w:val="24"/>
          <w:szCs w:val="24"/>
          <w:lang w:val="en-US"/>
        </w:rPr>
      </w:pPr>
    </w:p>
    <w:p w:rsidR="00715C98" w:rsidRPr="00731535" w:rsidRDefault="00715C98" w:rsidP="00F62948">
      <w:pPr>
        <w:autoSpaceDE w:val="0"/>
        <w:autoSpaceDN w:val="0"/>
        <w:adjustRightInd w:val="0"/>
        <w:spacing w:after="0" w:line="400" w:lineRule="atLeast"/>
        <w:rPr>
          <w:rFonts w:cs="Calibri"/>
          <w:b/>
          <w:sz w:val="24"/>
          <w:szCs w:val="24"/>
          <w:lang w:val="en-US"/>
        </w:rPr>
      </w:pPr>
      <w:r w:rsidRPr="00731535">
        <w:rPr>
          <w:rFonts w:cs="Calibri"/>
          <w:b/>
          <w:sz w:val="24"/>
          <w:szCs w:val="24"/>
          <w:lang w:val="en-US"/>
        </w:rPr>
        <w:t>Total Earnings Management</w:t>
      </w:r>
    </w:p>
    <w:p w:rsidR="00715C98" w:rsidRDefault="00715C98" w:rsidP="00715C98">
      <w:pPr>
        <w:autoSpaceDE w:val="0"/>
        <w:autoSpaceDN w:val="0"/>
        <w:adjustRightInd w:val="0"/>
        <w:spacing w:after="0" w:line="240" w:lineRule="auto"/>
        <w:rPr>
          <w:rFonts w:ascii="Times New Roman" w:hAnsi="Times New Roman" w:cs="Times New Roman"/>
          <w:sz w:val="24"/>
          <w:szCs w:val="24"/>
          <w:lang w:val="en-GB"/>
        </w:rPr>
      </w:pPr>
    </w:p>
    <w:tbl>
      <w:tblPr>
        <w:tblW w:w="65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686"/>
        <w:gridCol w:w="1119"/>
        <w:gridCol w:w="1579"/>
        <w:gridCol w:w="1119"/>
      </w:tblGrid>
      <w:tr w:rsidR="00D65FE7" w:rsidRPr="000D3EB5" w:rsidTr="00131C52">
        <w:tc>
          <w:tcPr>
            <w:tcW w:w="6502" w:type="dxa"/>
            <w:gridSpan w:val="4"/>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Descriptive Statistics</w:t>
            </w:r>
          </w:p>
        </w:tc>
      </w:tr>
      <w:tr w:rsidR="00D65FE7" w:rsidRPr="000D3EB5" w:rsidTr="00131C52">
        <w:tc>
          <w:tcPr>
            <w:tcW w:w="2685"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w:t>
            </w:r>
          </w:p>
        </w:tc>
        <w:tc>
          <w:tcPr>
            <w:tcW w:w="1579"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Deviation</w:t>
            </w:r>
          </w:p>
        </w:tc>
        <w:tc>
          <w:tcPr>
            <w:tcW w:w="1119" w:type="dxa"/>
            <w:tcBorders>
              <w:top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N</w:t>
            </w:r>
          </w:p>
        </w:tc>
      </w:tr>
      <w:tr w:rsidR="00D65FE7" w:rsidRPr="000D3EB5" w:rsidTr="00131C52">
        <w:tc>
          <w:tcPr>
            <w:tcW w:w="2685" w:type="dxa"/>
            <w:tcBorders>
              <w:top w:val="single" w:sz="16" w:space="0" w:color="000000"/>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Total Earnings Management</w:t>
            </w:r>
          </w:p>
        </w:tc>
        <w:tc>
          <w:tcPr>
            <w:tcW w:w="1119" w:type="dxa"/>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.1386</w:t>
            </w:r>
          </w:p>
        </w:tc>
        <w:tc>
          <w:tcPr>
            <w:tcW w:w="1579"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.11337</w:t>
            </w:r>
          </w:p>
        </w:tc>
        <w:tc>
          <w:tcPr>
            <w:tcW w:w="1119" w:type="dxa"/>
            <w:tcBorders>
              <w:top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131C52">
        <w:tc>
          <w:tcPr>
            <w:tcW w:w="2685" w:type="dxa"/>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119"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.4491</w:t>
            </w:r>
          </w:p>
        </w:tc>
        <w:tc>
          <w:tcPr>
            <w:tcW w:w="1579"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.49787</w:t>
            </w:r>
          </w:p>
        </w:tc>
        <w:tc>
          <w:tcPr>
            <w:tcW w:w="1119"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131C52">
        <w:tc>
          <w:tcPr>
            <w:tcW w:w="2685" w:type="dxa"/>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119"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.5000</w:t>
            </w:r>
          </w:p>
        </w:tc>
        <w:tc>
          <w:tcPr>
            <w:tcW w:w="1579"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.50047</w:t>
            </w:r>
          </w:p>
        </w:tc>
        <w:tc>
          <w:tcPr>
            <w:tcW w:w="1119"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131C52">
        <w:tc>
          <w:tcPr>
            <w:tcW w:w="2685" w:type="dxa"/>
            <w:tcBorders>
              <w:top w:val="nil"/>
              <w:left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119" w:type="dxa"/>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.5151</w:t>
            </w:r>
          </w:p>
        </w:tc>
        <w:tc>
          <w:tcPr>
            <w:tcW w:w="1579"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.50024</w:t>
            </w:r>
          </w:p>
        </w:tc>
        <w:tc>
          <w:tcPr>
            <w:tcW w:w="1119" w:type="dxa"/>
            <w:tcBorders>
              <w:top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bl>
    <w:p w:rsidR="00212D36" w:rsidRPr="00212D36" w:rsidRDefault="00212D36" w:rsidP="00212D36">
      <w:pPr>
        <w:autoSpaceDE w:val="0"/>
        <w:autoSpaceDN w:val="0"/>
        <w:adjustRightInd w:val="0"/>
        <w:spacing w:after="0" w:line="240" w:lineRule="auto"/>
        <w:rPr>
          <w:rFonts w:ascii="Times New Roman" w:hAnsi="Times New Roman" w:cs="Times New Roman"/>
          <w:sz w:val="24"/>
          <w:szCs w:val="24"/>
          <w:lang w:val="en-US" w:eastAsia="nl-NL"/>
        </w:rPr>
      </w:pPr>
    </w:p>
    <w:tbl>
      <w:tblPr>
        <w:tblW w:w="916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800"/>
        <w:gridCol w:w="2520"/>
        <w:gridCol w:w="1530"/>
        <w:gridCol w:w="1064"/>
        <w:gridCol w:w="1260"/>
        <w:gridCol w:w="990"/>
      </w:tblGrid>
      <w:tr w:rsidR="00D65FE7" w:rsidRPr="000D3EB5" w:rsidTr="00D65FE7">
        <w:tc>
          <w:tcPr>
            <w:tcW w:w="9164" w:type="dxa"/>
            <w:gridSpan w:val="6"/>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Correlations</w:t>
            </w:r>
          </w:p>
        </w:tc>
      </w:tr>
      <w:tr w:rsidR="00D65FE7" w:rsidRPr="000D3EB5" w:rsidTr="00D65FE7">
        <w:tc>
          <w:tcPr>
            <w:tcW w:w="432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530" w:type="dxa"/>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Total Earnings Management</w:t>
            </w:r>
          </w:p>
        </w:tc>
        <w:tc>
          <w:tcPr>
            <w:tcW w:w="1064"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Country</w:t>
            </w:r>
          </w:p>
        </w:tc>
        <w:tc>
          <w:tcPr>
            <w:tcW w:w="1260"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Accounting Standard</w:t>
            </w:r>
          </w:p>
        </w:tc>
        <w:tc>
          <w:tcPr>
            <w:tcW w:w="990" w:type="dxa"/>
            <w:tcBorders>
              <w:top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Size</w:t>
            </w:r>
          </w:p>
        </w:tc>
      </w:tr>
      <w:tr w:rsidR="00D65FE7" w:rsidRPr="000D3EB5" w:rsidTr="00D65FE7">
        <w:tc>
          <w:tcPr>
            <w:tcW w:w="1800" w:type="dxa"/>
            <w:vMerge w:val="restart"/>
            <w:tcBorders>
              <w:top w:val="single" w:sz="16" w:space="0" w:color="000000"/>
              <w:left w:val="single" w:sz="16" w:space="0" w:color="000000"/>
              <w:right w:val="nil"/>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Pearson Correlation</w:t>
            </w:r>
          </w:p>
        </w:tc>
        <w:tc>
          <w:tcPr>
            <w:tcW w:w="2520" w:type="dxa"/>
            <w:tcBorders>
              <w:top w:val="single" w:sz="16" w:space="0" w:color="000000"/>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Total Earnings Management</w:t>
            </w:r>
          </w:p>
        </w:tc>
        <w:tc>
          <w:tcPr>
            <w:tcW w:w="1530" w:type="dxa"/>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064"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-.131</w:t>
            </w:r>
          </w:p>
        </w:tc>
        <w:tc>
          <w:tcPr>
            <w:tcW w:w="1260"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.032</w:t>
            </w:r>
          </w:p>
        </w:tc>
        <w:tc>
          <w:tcPr>
            <w:tcW w:w="990" w:type="dxa"/>
            <w:tcBorders>
              <w:top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-.207</w:t>
            </w:r>
          </w:p>
        </w:tc>
      </w:tr>
      <w:tr w:rsidR="00D65FE7" w:rsidRPr="000D3EB5" w:rsidTr="00D65FE7">
        <w:tc>
          <w:tcPr>
            <w:tcW w:w="1800" w:type="dxa"/>
            <w:vMerge/>
            <w:tcBorders>
              <w:top w:val="single" w:sz="16" w:space="0" w:color="000000"/>
              <w:left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530"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-.131</w:t>
            </w:r>
          </w:p>
        </w:tc>
        <w:tc>
          <w:tcPr>
            <w:tcW w:w="10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-.008</w:t>
            </w:r>
          </w:p>
        </w:tc>
        <w:tc>
          <w:tcPr>
            <w:tcW w:w="99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.102</w:t>
            </w:r>
          </w:p>
        </w:tc>
      </w:tr>
      <w:tr w:rsidR="00D65FE7" w:rsidRPr="000D3EB5" w:rsidTr="00D65FE7">
        <w:tc>
          <w:tcPr>
            <w:tcW w:w="1800" w:type="dxa"/>
            <w:vMerge/>
            <w:tcBorders>
              <w:top w:val="single" w:sz="16" w:space="0" w:color="000000"/>
              <w:left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530"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.032</w:t>
            </w:r>
          </w:p>
        </w:tc>
        <w:tc>
          <w:tcPr>
            <w:tcW w:w="10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-.008</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99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-.004</w:t>
            </w:r>
          </w:p>
        </w:tc>
      </w:tr>
      <w:tr w:rsidR="00D65FE7" w:rsidRPr="000D3EB5" w:rsidTr="00D65FE7">
        <w:tc>
          <w:tcPr>
            <w:tcW w:w="1800" w:type="dxa"/>
            <w:vMerge/>
            <w:tcBorders>
              <w:top w:val="single" w:sz="16" w:space="0" w:color="000000"/>
              <w:left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530" w:type="dxa"/>
            <w:tcBorders>
              <w:top w:val="nil"/>
              <w:lef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-.207</w:t>
            </w:r>
          </w:p>
        </w:tc>
        <w:tc>
          <w:tcPr>
            <w:tcW w:w="1064" w:type="dxa"/>
            <w:tcBorders>
              <w:top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.102</w:t>
            </w:r>
          </w:p>
        </w:tc>
        <w:tc>
          <w:tcPr>
            <w:tcW w:w="1260" w:type="dxa"/>
            <w:tcBorders>
              <w:top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-.004</w:t>
            </w:r>
          </w:p>
        </w:tc>
        <w:tc>
          <w:tcPr>
            <w:tcW w:w="990" w:type="dxa"/>
            <w:tcBorders>
              <w:top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D65FE7" w:rsidRPr="000D3EB5" w:rsidTr="00D65FE7">
        <w:tc>
          <w:tcPr>
            <w:tcW w:w="1800" w:type="dxa"/>
            <w:vMerge w:val="restart"/>
            <w:tcBorders>
              <w:left w:val="single" w:sz="16" w:space="0" w:color="000000"/>
              <w:right w:val="nil"/>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Sig. (1-tailed)</w:t>
            </w:r>
          </w:p>
        </w:tc>
        <w:tc>
          <w:tcPr>
            <w:tcW w:w="2520" w:type="dxa"/>
            <w:tcBorders>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Total Earnings Management</w:t>
            </w:r>
          </w:p>
        </w:tc>
        <w:tc>
          <w:tcPr>
            <w:tcW w:w="1530" w:type="dxa"/>
            <w:tcBorders>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064" w:type="dxa"/>
            <w:tcBorders>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.001</w:t>
            </w:r>
          </w:p>
        </w:tc>
        <w:tc>
          <w:tcPr>
            <w:tcW w:w="1260" w:type="dxa"/>
            <w:tcBorders>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.230</w:t>
            </w:r>
          </w:p>
        </w:tc>
        <w:tc>
          <w:tcPr>
            <w:tcW w:w="990" w:type="dxa"/>
            <w:tcBorders>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r>
      <w:tr w:rsidR="00D65FE7" w:rsidRPr="000D3EB5" w:rsidTr="00D65FE7">
        <w:tc>
          <w:tcPr>
            <w:tcW w:w="1800" w:type="dxa"/>
            <w:vMerge/>
            <w:tcBorders>
              <w:left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530"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.001</w:t>
            </w:r>
          </w:p>
        </w:tc>
        <w:tc>
          <w:tcPr>
            <w:tcW w:w="10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.431</w:t>
            </w:r>
          </w:p>
        </w:tc>
        <w:tc>
          <w:tcPr>
            <w:tcW w:w="99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r>
      <w:tr w:rsidR="00D65FE7" w:rsidRPr="000D3EB5" w:rsidTr="00D65FE7">
        <w:tc>
          <w:tcPr>
            <w:tcW w:w="1800" w:type="dxa"/>
            <w:vMerge/>
            <w:tcBorders>
              <w:left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530"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.230</w:t>
            </w:r>
          </w:p>
        </w:tc>
        <w:tc>
          <w:tcPr>
            <w:tcW w:w="10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.431</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99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.465</w:t>
            </w:r>
          </w:p>
        </w:tc>
      </w:tr>
      <w:tr w:rsidR="00D65FE7" w:rsidRPr="000D3EB5" w:rsidTr="00D65FE7">
        <w:tc>
          <w:tcPr>
            <w:tcW w:w="1800" w:type="dxa"/>
            <w:vMerge/>
            <w:tcBorders>
              <w:left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530" w:type="dxa"/>
            <w:tcBorders>
              <w:top w:val="nil"/>
              <w:lef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064" w:type="dxa"/>
            <w:tcBorders>
              <w:top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60" w:type="dxa"/>
            <w:tcBorders>
              <w:top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.465</w:t>
            </w:r>
          </w:p>
        </w:tc>
        <w:tc>
          <w:tcPr>
            <w:tcW w:w="990" w:type="dxa"/>
            <w:tcBorders>
              <w:top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r>
      <w:tr w:rsidR="00D65FE7" w:rsidRPr="000D3EB5" w:rsidTr="00D65FE7">
        <w:tc>
          <w:tcPr>
            <w:tcW w:w="1800" w:type="dxa"/>
            <w:vMerge w:val="restart"/>
            <w:tcBorders>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N</w:t>
            </w:r>
          </w:p>
        </w:tc>
        <w:tc>
          <w:tcPr>
            <w:tcW w:w="2520" w:type="dxa"/>
            <w:tcBorders>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Total Earnings Management</w:t>
            </w:r>
          </w:p>
        </w:tc>
        <w:tc>
          <w:tcPr>
            <w:tcW w:w="1530" w:type="dxa"/>
            <w:tcBorders>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064" w:type="dxa"/>
            <w:tcBorders>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260" w:type="dxa"/>
            <w:tcBorders>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990" w:type="dxa"/>
            <w:tcBorders>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D65FE7">
        <w:tc>
          <w:tcPr>
            <w:tcW w:w="1800" w:type="dxa"/>
            <w:vMerge/>
            <w:tcBorders>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530"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0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99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D65FE7">
        <w:tc>
          <w:tcPr>
            <w:tcW w:w="1800" w:type="dxa"/>
            <w:vMerge/>
            <w:tcBorders>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530"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0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99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D65FE7">
        <w:tc>
          <w:tcPr>
            <w:tcW w:w="1800" w:type="dxa"/>
            <w:vMerge/>
            <w:tcBorders>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2520" w:type="dxa"/>
            <w:tcBorders>
              <w:top w:val="nil"/>
              <w:left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530" w:type="dxa"/>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064"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26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990" w:type="dxa"/>
            <w:tcBorders>
              <w:top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tbl>
      <w:tblPr>
        <w:tblW w:w="5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5"/>
        <w:gridCol w:w="1612"/>
        <w:gridCol w:w="1610"/>
        <w:gridCol w:w="1119"/>
      </w:tblGrid>
      <w:tr w:rsidR="00D65FE7" w:rsidRPr="000D3EB5" w:rsidTr="00131C52">
        <w:tc>
          <w:tcPr>
            <w:tcW w:w="5214" w:type="dxa"/>
            <w:gridSpan w:val="4"/>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Variables Entered/Removed</w:t>
            </w:r>
            <w:r w:rsidRPr="000D3EB5">
              <w:rPr>
                <w:rFonts w:ascii="Arial" w:hAnsi="Arial"/>
                <w:b/>
                <w:bCs/>
                <w:color w:val="000000"/>
                <w:sz w:val="18"/>
                <w:szCs w:val="18"/>
                <w:vertAlign w:val="superscript"/>
              </w:rPr>
              <w:t>b</w:t>
            </w:r>
          </w:p>
        </w:tc>
      </w:tr>
      <w:tr w:rsidR="00D65FE7" w:rsidRPr="000D3EB5"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Variables Entered</w:t>
            </w:r>
          </w:p>
        </w:tc>
        <w:tc>
          <w:tcPr>
            <w:tcW w:w="1609"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Variables Removed</w:t>
            </w:r>
          </w:p>
        </w:tc>
        <w:tc>
          <w:tcPr>
            <w:tcW w:w="1119" w:type="dxa"/>
            <w:tcBorders>
              <w:top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Method</w:t>
            </w:r>
          </w:p>
        </w:tc>
      </w:tr>
      <w:tr w:rsidR="00D65FE7" w:rsidRPr="000D3EB5"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611" w:type="dxa"/>
            <w:tcBorders>
              <w:top w:val="single" w:sz="16" w:space="0" w:color="000000"/>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 Accounting Standard, Size</w:t>
            </w:r>
          </w:p>
        </w:tc>
        <w:tc>
          <w:tcPr>
            <w:tcW w:w="1609" w:type="dxa"/>
            <w:tcBorders>
              <w:top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119" w:type="dxa"/>
            <w:tcBorders>
              <w:top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Enter</w:t>
            </w:r>
          </w:p>
        </w:tc>
      </w:tr>
      <w:tr w:rsidR="00D65FE7" w:rsidRPr="0013388B" w:rsidTr="00131C52">
        <w:tc>
          <w:tcPr>
            <w:tcW w:w="5214" w:type="dxa"/>
            <w:gridSpan w:val="4"/>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All requested variables entered.</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b.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tbl>
      <w:tblPr>
        <w:tblW w:w="64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4"/>
        <w:gridCol w:w="1119"/>
        <w:gridCol w:w="1193"/>
        <w:gridCol w:w="1612"/>
        <w:gridCol w:w="1612"/>
      </w:tblGrid>
      <w:tr w:rsidR="00D65FE7" w:rsidRPr="000D3EB5" w:rsidTr="00131C52">
        <w:tc>
          <w:tcPr>
            <w:tcW w:w="6407" w:type="dxa"/>
            <w:gridSpan w:val="5"/>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Model Summary</w:t>
            </w:r>
            <w:r w:rsidRPr="000D3EB5">
              <w:rPr>
                <w:rFonts w:ascii="Arial" w:hAnsi="Arial"/>
                <w:b/>
                <w:bCs/>
                <w:color w:val="000000"/>
                <w:sz w:val="18"/>
                <w:szCs w:val="18"/>
                <w:vertAlign w:val="superscript"/>
              </w:rPr>
              <w:t>b</w:t>
            </w:r>
          </w:p>
        </w:tc>
      </w:tr>
      <w:tr w:rsidR="00D65FE7" w:rsidRPr="0013388B"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118" w:type="dxa"/>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w:t>
            </w:r>
          </w:p>
        </w:tc>
        <w:tc>
          <w:tcPr>
            <w:tcW w:w="1192"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 Square</w:t>
            </w:r>
          </w:p>
        </w:tc>
        <w:tc>
          <w:tcPr>
            <w:tcW w:w="1611"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Adjusted R Square</w:t>
            </w:r>
          </w:p>
        </w:tc>
        <w:tc>
          <w:tcPr>
            <w:tcW w:w="1611" w:type="dxa"/>
            <w:tcBorders>
              <w:top w:val="single" w:sz="16" w:space="0" w:color="000000"/>
              <w:bottom w:val="single" w:sz="16" w:space="0" w:color="000000"/>
              <w:right w:val="single" w:sz="16" w:space="0" w:color="000000"/>
            </w:tcBorders>
            <w:shd w:val="clear" w:color="auto" w:fill="FFFFFF"/>
            <w:vAlign w:val="bottom"/>
          </w:tcPr>
          <w:p w:rsidR="00D65FE7" w:rsidRPr="00D65FE7" w:rsidRDefault="00D65FE7" w:rsidP="00131C52">
            <w:pPr>
              <w:autoSpaceDE w:val="0"/>
              <w:autoSpaceDN w:val="0"/>
              <w:adjustRightInd w:val="0"/>
              <w:spacing w:after="0" w:line="320" w:lineRule="atLeast"/>
              <w:ind w:left="60" w:right="60"/>
              <w:jc w:val="center"/>
              <w:rPr>
                <w:rFonts w:ascii="Arial" w:hAnsi="Arial"/>
                <w:color w:val="000000"/>
                <w:sz w:val="18"/>
                <w:szCs w:val="18"/>
                <w:lang w:val="en-US"/>
              </w:rPr>
            </w:pPr>
            <w:r w:rsidRPr="00D65FE7">
              <w:rPr>
                <w:rFonts w:ascii="Arial" w:hAnsi="Arial"/>
                <w:color w:val="000000"/>
                <w:sz w:val="18"/>
                <w:szCs w:val="18"/>
                <w:lang w:val="en-US"/>
              </w:rPr>
              <w:t>Std. Error of the Estimate</w:t>
            </w:r>
          </w:p>
        </w:tc>
      </w:tr>
      <w:tr w:rsidR="00D65FE7" w:rsidRPr="000D3EB5"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18" w:type="dxa"/>
            <w:tcBorders>
              <w:top w:val="single" w:sz="16" w:space="0" w:color="000000"/>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.237</w:t>
            </w:r>
            <w:r w:rsidRPr="000D3EB5">
              <w:rPr>
                <w:rFonts w:ascii="Arial" w:hAnsi="Arial"/>
                <w:color w:val="000000"/>
                <w:sz w:val="18"/>
                <w:szCs w:val="18"/>
                <w:vertAlign w:val="superscript"/>
              </w:rPr>
              <w:t>a</w:t>
            </w:r>
          </w:p>
        </w:tc>
        <w:tc>
          <w:tcPr>
            <w:tcW w:w="1192" w:type="dxa"/>
            <w:tcBorders>
              <w:top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.056</w:t>
            </w:r>
          </w:p>
        </w:tc>
        <w:tc>
          <w:tcPr>
            <w:tcW w:w="1611" w:type="dxa"/>
            <w:tcBorders>
              <w:top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.051</w:t>
            </w:r>
          </w:p>
        </w:tc>
        <w:tc>
          <w:tcPr>
            <w:tcW w:w="1611" w:type="dxa"/>
            <w:tcBorders>
              <w:top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.11047</w:t>
            </w:r>
          </w:p>
        </w:tc>
      </w:tr>
      <w:tr w:rsidR="00D65FE7" w:rsidRPr="0013388B" w:rsidTr="00131C52">
        <w:tc>
          <w:tcPr>
            <w:tcW w:w="6407" w:type="dxa"/>
            <w:gridSpan w:val="5"/>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Predictors: (Constant), Country, Accounting Standard, Size</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b.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tbl>
      <w:tblPr>
        <w:tblW w:w="87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6"/>
        <w:gridCol w:w="1409"/>
        <w:gridCol w:w="1611"/>
        <w:gridCol w:w="1117"/>
        <w:gridCol w:w="1547"/>
        <w:gridCol w:w="1119"/>
        <w:gridCol w:w="1119"/>
      </w:tblGrid>
      <w:tr w:rsidR="00D65FE7" w:rsidRPr="000D3EB5" w:rsidTr="00131C52">
        <w:tc>
          <w:tcPr>
            <w:tcW w:w="8726" w:type="dxa"/>
            <w:gridSpan w:val="7"/>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ANOVA</w:t>
            </w:r>
            <w:r w:rsidRPr="000D3EB5">
              <w:rPr>
                <w:rFonts w:ascii="Arial" w:hAnsi="Arial"/>
                <w:b/>
                <w:bCs/>
                <w:color w:val="000000"/>
                <w:sz w:val="18"/>
                <w:szCs w:val="18"/>
                <w:vertAlign w:val="superscript"/>
              </w:rPr>
              <w:t>b</w:t>
            </w:r>
          </w:p>
        </w:tc>
      </w:tr>
      <w:tr w:rsidR="00D65FE7" w:rsidRPr="000D3EB5" w:rsidTr="00131C52">
        <w:tc>
          <w:tcPr>
            <w:tcW w:w="2213"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Sum of Squares</w:t>
            </w:r>
          </w:p>
        </w:tc>
        <w:tc>
          <w:tcPr>
            <w:tcW w:w="1117"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df</w:t>
            </w:r>
          </w:p>
        </w:tc>
        <w:tc>
          <w:tcPr>
            <w:tcW w:w="1547"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 Square</w:t>
            </w:r>
          </w:p>
        </w:tc>
        <w:tc>
          <w:tcPr>
            <w:tcW w:w="1119"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F</w:t>
            </w:r>
          </w:p>
        </w:tc>
        <w:tc>
          <w:tcPr>
            <w:tcW w:w="1119" w:type="dxa"/>
            <w:tcBorders>
              <w:top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r>
      <w:tr w:rsidR="00D65FE7" w:rsidRPr="000D3EB5" w:rsidTr="00131C52">
        <w:tc>
          <w:tcPr>
            <w:tcW w:w="805" w:type="dxa"/>
            <w:vMerge w:val="restart"/>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408" w:type="dxa"/>
            <w:tcBorders>
              <w:top w:val="single" w:sz="16" w:space="0" w:color="000000"/>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Regression</w:t>
            </w:r>
          </w:p>
        </w:tc>
        <w:tc>
          <w:tcPr>
            <w:tcW w:w="1611" w:type="dxa"/>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.381</w:t>
            </w:r>
          </w:p>
        </w:tc>
        <w:tc>
          <w:tcPr>
            <w:tcW w:w="1117"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w:t>
            </w:r>
          </w:p>
        </w:tc>
        <w:tc>
          <w:tcPr>
            <w:tcW w:w="1547"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.127</w:t>
            </w:r>
          </w:p>
        </w:tc>
        <w:tc>
          <w:tcPr>
            <w:tcW w:w="1119"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10.398</w:t>
            </w:r>
          </w:p>
        </w:tc>
        <w:tc>
          <w:tcPr>
            <w:tcW w:w="1119" w:type="dxa"/>
            <w:tcBorders>
              <w:top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r w:rsidRPr="000D3EB5">
              <w:rPr>
                <w:rFonts w:ascii="Arial" w:hAnsi="Arial"/>
                <w:color w:val="000000"/>
                <w:sz w:val="18"/>
                <w:szCs w:val="18"/>
                <w:vertAlign w:val="superscript"/>
              </w:rPr>
              <w:t>a</w:t>
            </w:r>
          </w:p>
        </w:tc>
      </w:tr>
      <w:tr w:rsidR="00D65FE7" w:rsidRPr="000D3EB5" w:rsidTr="00131C52">
        <w:tc>
          <w:tcPr>
            <w:tcW w:w="805"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408"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Residual</w:t>
            </w:r>
          </w:p>
        </w:tc>
        <w:tc>
          <w:tcPr>
            <w:tcW w:w="1611"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6.419</w:t>
            </w:r>
          </w:p>
        </w:tc>
        <w:tc>
          <w:tcPr>
            <w:tcW w:w="1117"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526</w:t>
            </w:r>
          </w:p>
        </w:tc>
        <w:tc>
          <w:tcPr>
            <w:tcW w:w="1547"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.012</w:t>
            </w:r>
          </w:p>
        </w:tc>
        <w:tc>
          <w:tcPr>
            <w:tcW w:w="1119" w:type="dxa"/>
            <w:tcBorders>
              <w:top w:val="nil"/>
              <w:bottom w:val="nil"/>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nil"/>
              <w:right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r>
      <w:tr w:rsidR="00D65FE7" w:rsidRPr="000D3EB5" w:rsidTr="00131C52">
        <w:tc>
          <w:tcPr>
            <w:tcW w:w="805"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Times New Roman" w:hAnsi="Times New Roman" w:cs="Times New Roman"/>
                <w:sz w:val="24"/>
                <w:szCs w:val="24"/>
              </w:rPr>
            </w:pPr>
          </w:p>
        </w:tc>
        <w:tc>
          <w:tcPr>
            <w:tcW w:w="1408" w:type="dxa"/>
            <w:tcBorders>
              <w:top w:val="nil"/>
              <w:left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Total</w:t>
            </w:r>
          </w:p>
        </w:tc>
        <w:tc>
          <w:tcPr>
            <w:tcW w:w="1611" w:type="dxa"/>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6.799</w:t>
            </w:r>
          </w:p>
        </w:tc>
        <w:tc>
          <w:tcPr>
            <w:tcW w:w="1117"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529</w:t>
            </w:r>
          </w:p>
        </w:tc>
        <w:tc>
          <w:tcPr>
            <w:tcW w:w="1547" w:type="dxa"/>
            <w:tcBorders>
              <w:top w:val="nil"/>
              <w:bottom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right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r>
      <w:tr w:rsidR="00D65FE7" w:rsidRPr="0013388B" w:rsidTr="00131C52">
        <w:tc>
          <w:tcPr>
            <w:tcW w:w="8726" w:type="dxa"/>
            <w:gridSpan w:val="7"/>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Predictors: (Constant), Country, Accounting Standard, Size</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b.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tbl>
      <w:tblPr>
        <w:tblW w:w="11186"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50"/>
        <w:gridCol w:w="1890"/>
        <w:gridCol w:w="566"/>
        <w:gridCol w:w="990"/>
        <w:gridCol w:w="1260"/>
        <w:gridCol w:w="720"/>
        <w:gridCol w:w="964"/>
        <w:gridCol w:w="1016"/>
        <w:gridCol w:w="720"/>
        <w:gridCol w:w="720"/>
        <w:gridCol w:w="1080"/>
        <w:gridCol w:w="810"/>
      </w:tblGrid>
      <w:tr w:rsidR="00D65FE7" w:rsidRPr="000D3EB5" w:rsidTr="00131C52">
        <w:trPr>
          <w:jc w:val="center"/>
        </w:trPr>
        <w:tc>
          <w:tcPr>
            <w:tcW w:w="11186" w:type="dxa"/>
            <w:gridSpan w:val="12"/>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Coefficients</w:t>
            </w:r>
            <w:r w:rsidRPr="000D3EB5">
              <w:rPr>
                <w:rFonts w:ascii="Arial" w:hAnsi="Arial"/>
                <w:b/>
                <w:bCs/>
                <w:color w:val="000000"/>
                <w:sz w:val="18"/>
                <w:szCs w:val="18"/>
                <w:vertAlign w:val="superscript"/>
              </w:rPr>
              <w:t>a</w:t>
            </w:r>
          </w:p>
        </w:tc>
      </w:tr>
      <w:tr w:rsidR="00131C52" w:rsidRPr="000D3EB5" w:rsidTr="00131C52">
        <w:trPr>
          <w:jc w:val="center"/>
        </w:trPr>
        <w:tc>
          <w:tcPr>
            <w:tcW w:w="234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556" w:type="dxa"/>
            <w:gridSpan w:val="2"/>
            <w:tcBorders>
              <w:top w:val="single" w:sz="16" w:space="0" w:color="000000"/>
              <w:lef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Unstandardized Coefficients</w:t>
            </w:r>
          </w:p>
        </w:tc>
        <w:tc>
          <w:tcPr>
            <w:tcW w:w="1260" w:type="dxa"/>
            <w:tcBorders>
              <w:top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Standardized Coefficients</w:t>
            </w:r>
          </w:p>
        </w:tc>
        <w:tc>
          <w:tcPr>
            <w:tcW w:w="720" w:type="dxa"/>
            <w:vMerge w:val="restart"/>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w:t>
            </w:r>
          </w:p>
        </w:tc>
        <w:tc>
          <w:tcPr>
            <w:tcW w:w="964" w:type="dxa"/>
            <w:vMerge w:val="restart"/>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c>
          <w:tcPr>
            <w:tcW w:w="2456" w:type="dxa"/>
            <w:gridSpan w:val="3"/>
            <w:tcBorders>
              <w:top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Correlations</w:t>
            </w:r>
          </w:p>
        </w:tc>
        <w:tc>
          <w:tcPr>
            <w:tcW w:w="1890" w:type="dxa"/>
            <w:gridSpan w:val="2"/>
            <w:tcBorders>
              <w:top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Collinearity Statistics</w:t>
            </w:r>
          </w:p>
        </w:tc>
      </w:tr>
      <w:tr w:rsidR="00131C52" w:rsidRPr="000D3EB5" w:rsidTr="00131C52">
        <w:trPr>
          <w:jc w:val="center"/>
        </w:trPr>
        <w:tc>
          <w:tcPr>
            <w:tcW w:w="234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566" w:type="dxa"/>
            <w:tcBorders>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w:t>
            </w:r>
          </w:p>
        </w:tc>
        <w:tc>
          <w:tcPr>
            <w:tcW w:w="990"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Error</w:t>
            </w:r>
          </w:p>
        </w:tc>
        <w:tc>
          <w:tcPr>
            <w:tcW w:w="1260"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Beta</w:t>
            </w:r>
          </w:p>
        </w:tc>
        <w:tc>
          <w:tcPr>
            <w:tcW w:w="720" w:type="dxa"/>
            <w:vMerge/>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964" w:type="dxa"/>
            <w:vMerge/>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016"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Zero-order</w:t>
            </w:r>
          </w:p>
        </w:tc>
        <w:tc>
          <w:tcPr>
            <w:tcW w:w="720"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Partial</w:t>
            </w:r>
          </w:p>
        </w:tc>
        <w:tc>
          <w:tcPr>
            <w:tcW w:w="720"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w:t>
            </w:r>
          </w:p>
        </w:tc>
        <w:tc>
          <w:tcPr>
            <w:tcW w:w="1080"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Tolerance</w:t>
            </w:r>
          </w:p>
        </w:tc>
        <w:tc>
          <w:tcPr>
            <w:tcW w:w="810" w:type="dxa"/>
            <w:tcBorders>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VIF</w:t>
            </w:r>
          </w:p>
        </w:tc>
      </w:tr>
      <w:tr w:rsidR="00131C52" w:rsidRPr="000D3EB5" w:rsidTr="00131C52">
        <w:trPr>
          <w:jc w:val="center"/>
        </w:trPr>
        <w:tc>
          <w:tcPr>
            <w:tcW w:w="450" w:type="dxa"/>
            <w:vMerge w:val="restart"/>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890" w:type="dxa"/>
            <w:tcBorders>
              <w:top w:val="single" w:sz="16" w:space="0" w:color="000000"/>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(Constant)</w:t>
            </w:r>
          </w:p>
        </w:tc>
        <w:tc>
          <w:tcPr>
            <w:tcW w:w="566" w:type="dxa"/>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.169</w:t>
            </w:r>
          </w:p>
        </w:tc>
        <w:tc>
          <w:tcPr>
            <w:tcW w:w="990"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60" w:type="dxa"/>
            <w:tcBorders>
              <w:top w:val="single" w:sz="16" w:space="0" w:color="000000"/>
              <w:bottom w:val="nil"/>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720"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18.285</w:t>
            </w:r>
          </w:p>
        </w:tc>
        <w:tc>
          <w:tcPr>
            <w:tcW w:w="964"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016" w:type="dxa"/>
            <w:tcBorders>
              <w:top w:val="single" w:sz="16" w:space="0" w:color="000000"/>
              <w:bottom w:val="nil"/>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720" w:type="dxa"/>
            <w:tcBorders>
              <w:top w:val="single" w:sz="16" w:space="0" w:color="000000"/>
              <w:bottom w:val="nil"/>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720" w:type="dxa"/>
            <w:tcBorders>
              <w:top w:val="single" w:sz="16" w:space="0" w:color="000000"/>
              <w:bottom w:val="nil"/>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080" w:type="dxa"/>
            <w:tcBorders>
              <w:top w:val="single" w:sz="16" w:space="0" w:color="000000"/>
              <w:bottom w:val="nil"/>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810" w:type="dxa"/>
            <w:tcBorders>
              <w:top w:val="single" w:sz="16" w:space="0" w:color="000000"/>
              <w:bottom w:val="nil"/>
              <w:right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r>
      <w:tr w:rsidR="00131C52" w:rsidRPr="000D3EB5" w:rsidTr="00131C52">
        <w:trPr>
          <w:jc w:val="center"/>
        </w:trPr>
        <w:tc>
          <w:tcPr>
            <w:tcW w:w="450"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Times New Roman" w:hAnsi="Times New Roman" w:cs="Times New Roman"/>
                <w:sz w:val="24"/>
                <w:szCs w:val="24"/>
              </w:rPr>
            </w:pPr>
          </w:p>
        </w:tc>
        <w:tc>
          <w:tcPr>
            <w:tcW w:w="189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566"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-.025</w:t>
            </w:r>
          </w:p>
        </w:tc>
        <w:tc>
          <w:tcPr>
            <w:tcW w:w="99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w:t>
            </w:r>
          </w:p>
        </w:tc>
        <w:tc>
          <w:tcPr>
            <w:tcW w:w="72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-2.594</w:t>
            </w:r>
          </w:p>
        </w:tc>
        <w:tc>
          <w:tcPr>
            <w:tcW w:w="9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016"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-.131</w:t>
            </w:r>
          </w:p>
        </w:tc>
        <w:tc>
          <w:tcPr>
            <w:tcW w:w="72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72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w:t>
            </w:r>
          </w:p>
        </w:tc>
        <w:tc>
          <w:tcPr>
            <w:tcW w:w="108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.990</w:t>
            </w:r>
          </w:p>
        </w:tc>
        <w:tc>
          <w:tcPr>
            <w:tcW w:w="81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1.011</w:t>
            </w:r>
          </w:p>
        </w:tc>
      </w:tr>
      <w:tr w:rsidR="00131C52" w:rsidRPr="000D3EB5" w:rsidTr="00131C52">
        <w:trPr>
          <w:jc w:val="center"/>
        </w:trPr>
        <w:tc>
          <w:tcPr>
            <w:tcW w:w="450"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566"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.007</w:t>
            </w:r>
          </w:p>
        </w:tc>
        <w:tc>
          <w:tcPr>
            <w:tcW w:w="99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6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.031</w:t>
            </w:r>
          </w:p>
        </w:tc>
        <w:tc>
          <w:tcPr>
            <w:tcW w:w="72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.722</w:t>
            </w:r>
          </w:p>
        </w:tc>
        <w:tc>
          <w:tcPr>
            <w:tcW w:w="964"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.470</w:t>
            </w:r>
          </w:p>
        </w:tc>
        <w:tc>
          <w:tcPr>
            <w:tcW w:w="1016"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.032</w:t>
            </w:r>
          </w:p>
        </w:tc>
        <w:tc>
          <w:tcPr>
            <w:tcW w:w="72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.031</w:t>
            </w:r>
          </w:p>
        </w:tc>
        <w:tc>
          <w:tcPr>
            <w:tcW w:w="72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.031</w:t>
            </w:r>
          </w:p>
        </w:tc>
        <w:tc>
          <w:tcPr>
            <w:tcW w:w="108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810"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131C52" w:rsidRPr="000D3EB5" w:rsidTr="00131C52">
        <w:trPr>
          <w:jc w:val="center"/>
        </w:trPr>
        <w:tc>
          <w:tcPr>
            <w:tcW w:w="450"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890" w:type="dxa"/>
            <w:tcBorders>
              <w:top w:val="nil"/>
              <w:left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566" w:type="dxa"/>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-.044</w:t>
            </w:r>
          </w:p>
        </w:tc>
        <w:tc>
          <w:tcPr>
            <w:tcW w:w="99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26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-.196</w:t>
            </w:r>
          </w:p>
        </w:tc>
        <w:tc>
          <w:tcPr>
            <w:tcW w:w="72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-4.598</w:t>
            </w:r>
          </w:p>
        </w:tc>
        <w:tc>
          <w:tcPr>
            <w:tcW w:w="964"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016"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-.207</w:t>
            </w:r>
          </w:p>
        </w:tc>
        <w:tc>
          <w:tcPr>
            <w:tcW w:w="72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-.197</w:t>
            </w:r>
          </w:p>
        </w:tc>
        <w:tc>
          <w:tcPr>
            <w:tcW w:w="72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-.195</w:t>
            </w:r>
          </w:p>
        </w:tc>
        <w:tc>
          <w:tcPr>
            <w:tcW w:w="108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.990</w:t>
            </w:r>
          </w:p>
        </w:tc>
        <w:tc>
          <w:tcPr>
            <w:tcW w:w="810" w:type="dxa"/>
            <w:tcBorders>
              <w:top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1.010</w:t>
            </w:r>
          </w:p>
        </w:tc>
      </w:tr>
      <w:tr w:rsidR="00D65FE7" w:rsidRPr="0013388B" w:rsidTr="00131C52">
        <w:trPr>
          <w:jc w:val="center"/>
        </w:trPr>
        <w:tc>
          <w:tcPr>
            <w:tcW w:w="11186" w:type="dxa"/>
            <w:gridSpan w:val="12"/>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tbl>
      <w:tblPr>
        <w:tblW w:w="9794"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5"/>
        <w:gridCol w:w="755"/>
        <w:gridCol w:w="440"/>
        <w:gridCol w:w="1124"/>
        <w:gridCol w:w="371"/>
        <w:gridCol w:w="1239"/>
        <w:gridCol w:w="371"/>
        <w:gridCol w:w="1241"/>
        <w:gridCol w:w="54"/>
        <w:gridCol w:w="1090"/>
        <w:gridCol w:w="17"/>
        <w:gridCol w:w="1153"/>
        <w:gridCol w:w="1064"/>
      </w:tblGrid>
      <w:tr w:rsidR="00D65FE7" w:rsidRPr="000D3EB5" w:rsidTr="00131C52">
        <w:trPr>
          <w:jc w:val="center"/>
        </w:trPr>
        <w:tc>
          <w:tcPr>
            <w:tcW w:w="9794" w:type="dxa"/>
            <w:gridSpan w:val="13"/>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Collinearity Diagnostics</w:t>
            </w:r>
            <w:r w:rsidRPr="000D3EB5">
              <w:rPr>
                <w:rFonts w:ascii="Arial" w:hAnsi="Arial"/>
                <w:b/>
                <w:bCs/>
                <w:color w:val="000000"/>
                <w:sz w:val="18"/>
                <w:szCs w:val="18"/>
                <w:vertAlign w:val="superscript"/>
              </w:rPr>
              <w:t>a</w:t>
            </w:r>
          </w:p>
        </w:tc>
      </w:tr>
      <w:tr w:rsidR="00D65FE7" w:rsidRPr="000D3EB5" w:rsidTr="00131C52">
        <w:trPr>
          <w:jc w:val="center"/>
        </w:trPr>
        <w:tc>
          <w:tcPr>
            <w:tcW w:w="875" w:type="dxa"/>
            <w:vMerge w:val="restart"/>
            <w:tcBorders>
              <w:top w:val="single" w:sz="16" w:space="0" w:color="000000"/>
              <w:left w:val="single" w:sz="16" w:space="0" w:color="000000"/>
              <w:bottom w:val="single" w:sz="16" w:space="0" w:color="000000"/>
              <w:right w:val="nil"/>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195"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Dimension</w:t>
            </w:r>
          </w:p>
        </w:tc>
        <w:tc>
          <w:tcPr>
            <w:tcW w:w="1495" w:type="dxa"/>
            <w:gridSpan w:val="2"/>
            <w:vMerge w:val="restart"/>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Eigenvalue</w:t>
            </w:r>
          </w:p>
        </w:tc>
        <w:tc>
          <w:tcPr>
            <w:tcW w:w="1610" w:type="dxa"/>
            <w:gridSpan w:val="2"/>
            <w:vMerge w:val="restart"/>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Condition Index</w:t>
            </w:r>
          </w:p>
        </w:tc>
        <w:tc>
          <w:tcPr>
            <w:tcW w:w="4619" w:type="dxa"/>
            <w:gridSpan w:val="6"/>
            <w:tcBorders>
              <w:top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Variance Proportions</w:t>
            </w:r>
          </w:p>
        </w:tc>
      </w:tr>
      <w:tr w:rsidR="00D65FE7" w:rsidRPr="000D3EB5" w:rsidTr="00131C52">
        <w:trPr>
          <w:jc w:val="center"/>
        </w:trPr>
        <w:tc>
          <w:tcPr>
            <w:tcW w:w="875" w:type="dxa"/>
            <w:vMerge/>
            <w:tcBorders>
              <w:top w:val="single" w:sz="16" w:space="0" w:color="000000"/>
              <w:left w:val="single" w:sz="16" w:space="0" w:color="000000"/>
              <w:bottom w:val="single" w:sz="16" w:space="0" w:color="000000"/>
              <w:right w:val="nil"/>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195" w:type="dxa"/>
            <w:gridSpan w:val="2"/>
            <w:vMerge/>
            <w:tcBorders>
              <w:top w:val="single" w:sz="16" w:space="0" w:color="000000"/>
              <w:left w:val="nil"/>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495" w:type="dxa"/>
            <w:gridSpan w:val="2"/>
            <w:vMerge/>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610" w:type="dxa"/>
            <w:gridSpan w:val="2"/>
            <w:vMerge/>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295" w:type="dxa"/>
            <w:gridSpan w:val="2"/>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(Constant)</w:t>
            </w:r>
          </w:p>
        </w:tc>
        <w:tc>
          <w:tcPr>
            <w:tcW w:w="1090" w:type="dxa"/>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Country</w:t>
            </w:r>
          </w:p>
        </w:tc>
        <w:tc>
          <w:tcPr>
            <w:tcW w:w="1170" w:type="dxa"/>
            <w:gridSpan w:val="2"/>
            <w:tcBorders>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Accounting Standard</w:t>
            </w:r>
          </w:p>
        </w:tc>
        <w:tc>
          <w:tcPr>
            <w:tcW w:w="1064" w:type="dxa"/>
            <w:tcBorders>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Size</w:t>
            </w:r>
          </w:p>
        </w:tc>
      </w:tr>
      <w:tr w:rsidR="00D65FE7" w:rsidRPr="000D3EB5" w:rsidTr="00131C52">
        <w:trPr>
          <w:jc w:val="center"/>
        </w:trPr>
        <w:tc>
          <w:tcPr>
            <w:tcW w:w="875" w:type="dxa"/>
            <w:vMerge w:val="restart"/>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95" w:type="dxa"/>
            <w:gridSpan w:val="2"/>
            <w:tcBorders>
              <w:top w:val="single" w:sz="16" w:space="0" w:color="000000"/>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495" w:type="dxa"/>
            <w:gridSpan w:val="2"/>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2.813</w:t>
            </w:r>
          </w:p>
        </w:tc>
        <w:tc>
          <w:tcPr>
            <w:tcW w:w="1610" w:type="dxa"/>
            <w:gridSpan w:val="2"/>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295" w:type="dxa"/>
            <w:gridSpan w:val="2"/>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w:t>
            </w:r>
          </w:p>
        </w:tc>
        <w:tc>
          <w:tcPr>
            <w:tcW w:w="1090"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c>
          <w:tcPr>
            <w:tcW w:w="1170" w:type="dxa"/>
            <w:gridSpan w:val="2"/>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c>
          <w:tcPr>
            <w:tcW w:w="1064" w:type="dxa"/>
            <w:tcBorders>
              <w:top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r>
      <w:tr w:rsidR="00D65FE7" w:rsidRPr="000D3EB5" w:rsidTr="00131C52">
        <w:trPr>
          <w:jc w:val="center"/>
        </w:trPr>
        <w:tc>
          <w:tcPr>
            <w:tcW w:w="875"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195" w:type="dxa"/>
            <w:gridSpan w:val="2"/>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2</w:t>
            </w:r>
          </w:p>
        </w:tc>
        <w:tc>
          <w:tcPr>
            <w:tcW w:w="1495" w:type="dxa"/>
            <w:gridSpan w:val="2"/>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.536</w:t>
            </w:r>
          </w:p>
        </w:tc>
        <w:tc>
          <w:tcPr>
            <w:tcW w:w="161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2.291</w:t>
            </w:r>
          </w:p>
        </w:tc>
        <w:tc>
          <w:tcPr>
            <w:tcW w:w="1295"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w:t>
            </w:r>
          </w:p>
        </w:tc>
        <w:tc>
          <w:tcPr>
            <w:tcW w:w="109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w:t>
            </w:r>
          </w:p>
        </w:tc>
        <w:tc>
          <w:tcPr>
            <w:tcW w:w="117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w:t>
            </w:r>
          </w:p>
        </w:tc>
        <w:tc>
          <w:tcPr>
            <w:tcW w:w="1064"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w:t>
            </w:r>
          </w:p>
        </w:tc>
      </w:tr>
      <w:tr w:rsidR="00D65FE7" w:rsidRPr="000D3EB5" w:rsidTr="00131C52">
        <w:trPr>
          <w:jc w:val="center"/>
        </w:trPr>
        <w:tc>
          <w:tcPr>
            <w:tcW w:w="875"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195" w:type="dxa"/>
            <w:gridSpan w:val="2"/>
            <w:tcBorders>
              <w:top w:val="nil"/>
              <w:left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3</w:t>
            </w:r>
          </w:p>
        </w:tc>
        <w:tc>
          <w:tcPr>
            <w:tcW w:w="1495" w:type="dxa"/>
            <w:gridSpan w:val="2"/>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.460</w:t>
            </w:r>
          </w:p>
        </w:tc>
        <w:tc>
          <w:tcPr>
            <w:tcW w:w="161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2.472</w:t>
            </w:r>
          </w:p>
        </w:tc>
        <w:tc>
          <w:tcPr>
            <w:tcW w:w="1295"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w:t>
            </w:r>
          </w:p>
        </w:tc>
        <w:tc>
          <w:tcPr>
            <w:tcW w:w="109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w:t>
            </w:r>
          </w:p>
        </w:tc>
        <w:tc>
          <w:tcPr>
            <w:tcW w:w="117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.08</w:t>
            </w:r>
          </w:p>
        </w:tc>
        <w:tc>
          <w:tcPr>
            <w:tcW w:w="1064"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.63</w:t>
            </w:r>
          </w:p>
        </w:tc>
      </w:tr>
      <w:tr w:rsidR="00D65FE7" w:rsidRPr="000D3EB5" w:rsidTr="00131C52">
        <w:trPr>
          <w:jc w:val="center"/>
        </w:trPr>
        <w:tc>
          <w:tcPr>
            <w:tcW w:w="875" w:type="dxa"/>
            <w:vMerge/>
            <w:tcBorders>
              <w:top w:val="single" w:sz="16" w:space="0" w:color="000000"/>
              <w:left w:val="single" w:sz="16" w:space="0" w:color="000000"/>
              <w:bottom w:val="single" w:sz="16" w:space="0" w:color="000000"/>
              <w:right w:val="nil"/>
            </w:tcBorders>
            <w:shd w:val="clear" w:color="auto" w:fill="FFFFFF"/>
          </w:tcPr>
          <w:p w:rsidR="00D65FE7" w:rsidRPr="000D3EB5" w:rsidRDefault="00D65FE7" w:rsidP="00131C52">
            <w:pPr>
              <w:autoSpaceDE w:val="0"/>
              <w:autoSpaceDN w:val="0"/>
              <w:adjustRightInd w:val="0"/>
              <w:spacing w:after="0" w:line="240" w:lineRule="auto"/>
              <w:rPr>
                <w:rFonts w:ascii="Arial" w:hAnsi="Arial"/>
                <w:color w:val="000000"/>
                <w:sz w:val="18"/>
                <w:szCs w:val="18"/>
              </w:rPr>
            </w:pPr>
          </w:p>
        </w:tc>
        <w:tc>
          <w:tcPr>
            <w:tcW w:w="1195" w:type="dxa"/>
            <w:gridSpan w:val="2"/>
            <w:tcBorders>
              <w:top w:val="nil"/>
              <w:left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4</w:t>
            </w:r>
          </w:p>
        </w:tc>
        <w:tc>
          <w:tcPr>
            <w:tcW w:w="1495" w:type="dxa"/>
            <w:gridSpan w:val="2"/>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.191</w:t>
            </w:r>
          </w:p>
        </w:tc>
        <w:tc>
          <w:tcPr>
            <w:tcW w:w="1610" w:type="dxa"/>
            <w:gridSpan w:val="2"/>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3.843</w:t>
            </w:r>
          </w:p>
        </w:tc>
        <w:tc>
          <w:tcPr>
            <w:tcW w:w="1295" w:type="dxa"/>
            <w:gridSpan w:val="2"/>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.97</w:t>
            </w:r>
          </w:p>
        </w:tc>
        <w:tc>
          <w:tcPr>
            <w:tcW w:w="109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.18</w:t>
            </w:r>
          </w:p>
        </w:tc>
        <w:tc>
          <w:tcPr>
            <w:tcW w:w="1170" w:type="dxa"/>
            <w:gridSpan w:val="2"/>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.35</w:t>
            </w:r>
          </w:p>
        </w:tc>
        <w:tc>
          <w:tcPr>
            <w:tcW w:w="1064" w:type="dxa"/>
            <w:tcBorders>
              <w:top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.30</w:t>
            </w:r>
          </w:p>
        </w:tc>
      </w:tr>
      <w:tr w:rsidR="00D65FE7" w:rsidRPr="0013388B" w:rsidTr="00131C52">
        <w:trPr>
          <w:jc w:val="center"/>
        </w:trPr>
        <w:tc>
          <w:tcPr>
            <w:tcW w:w="9794" w:type="dxa"/>
            <w:gridSpan w:val="13"/>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r w:rsidR="00D65FE7" w:rsidRPr="000D3EB5" w:rsidTr="00131C52">
        <w:trPr>
          <w:gridAfter w:val="2"/>
          <w:wAfter w:w="2217" w:type="dxa"/>
          <w:jc w:val="center"/>
        </w:trPr>
        <w:tc>
          <w:tcPr>
            <w:tcW w:w="7577" w:type="dxa"/>
            <w:gridSpan w:val="11"/>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Casewise Diagnostics</w:t>
            </w:r>
            <w:r w:rsidRPr="000D3EB5">
              <w:rPr>
                <w:rFonts w:ascii="Arial" w:hAnsi="Arial"/>
                <w:b/>
                <w:bCs/>
                <w:color w:val="000000"/>
                <w:sz w:val="18"/>
                <w:szCs w:val="18"/>
                <w:vertAlign w:val="superscript"/>
              </w:rPr>
              <w:t>a</w:t>
            </w:r>
          </w:p>
        </w:tc>
      </w:tr>
      <w:tr w:rsidR="00D65FE7" w:rsidRPr="000D3EB5" w:rsidTr="00131C52">
        <w:trPr>
          <w:gridAfter w:val="2"/>
          <w:wAfter w:w="2217" w:type="dxa"/>
          <w:jc w:val="center"/>
        </w:trPr>
        <w:tc>
          <w:tcPr>
            <w:tcW w:w="163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Case Number</w:t>
            </w:r>
          </w:p>
        </w:tc>
        <w:tc>
          <w:tcPr>
            <w:tcW w:w="1564" w:type="dxa"/>
            <w:gridSpan w:val="2"/>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Residual</w:t>
            </w:r>
          </w:p>
        </w:tc>
        <w:tc>
          <w:tcPr>
            <w:tcW w:w="1610" w:type="dxa"/>
            <w:gridSpan w:val="2"/>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Total Earnings Management</w:t>
            </w:r>
          </w:p>
        </w:tc>
        <w:tc>
          <w:tcPr>
            <w:tcW w:w="1612" w:type="dxa"/>
            <w:gridSpan w:val="2"/>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Predicted Value</w:t>
            </w:r>
          </w:p>
        </w:tc>
        <w:tc>
          <w:tcPr>
            <w:tcW w:w="1161" w:type="dxa"/>
            <w:gridSpan w:val="3"/>
            <w:tcBorders>
              <w:top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Residual</w:t>
            </w:r>
          </w:p>
        </w:tc>
      </w:tr>
      <w:tr w:rsidR="00D65FE7" w:rsidRPr="000D3EB5" w:rsidTr="00131C52">
        <w:trPr>
          <w:gridAfter w:val="2"/>
          <w:wAfter w:w="2217" w:type="dxa"/>
          <w:jc w:val="center"/>
        </w:trPr>
        <w:tc>
          <w:tcPr>
            <w:tcW w:w="1630" w:type="dxa"/>
            <w:gridSpan w:val="2"/>
            <w:tcBorders>
              <w:top w:val="single" w:sz="16" w:space="0" w:color="000000"/>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95</w:t>
            </w:r>
          </w:p>
        </w:tc>
        <w:tc>
          <w:tcPr>
            <w:tcW w:w="1564" w:type="dxa"/>
            <w:gridSpan w:val="2"/>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3.390</w:t>
            </w:r>
          </w:p>
        </w:tc>
        <w:tc>
          <w:tcPr>
            <w:tcW w:w="1610" w:type="dxa"/>
            <w:gridSpan w:val="2"/>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.55</w:t>
            </w:r>
          </w:p>
        </w:tc>
        <w:tc>
          <w:tcPr>
            <w:tcW w:w="1612" w:type="dxa"/>
            <w:gridSpan w:val="2"/>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.1763</w:t>
            </w:r>
          </w:p>
        </w:tc>
        <w:tc>
          <w:tcPr>
            <w:tcW w:w="1161" w:type="dxa"/>
            <w:gridSpan w:val="3"/>
            <w:tcBorders>
              <w:top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.37446</w:t>
            </w:r>
          </w:p>
        </w:tc>
      </w:tr>
      <w:tr w:rsidR="00D65FE7" w:rsidRPr="000D3EB5" w:rsidTr="00131C52">
        <w:trPr>
          <w:gridAfter w:val="2"/>
          <w:wAfter w:w="2217" w:type="dxa"/>
          <w:jc w:val="center"/>
        </w:trPr>
        <w:tc>
          <w:tcPr>
            <w:tcW w:w="1630" w:type="dxa"/>
            <w:gridSpan w:val="2"/>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127</w:t>
            </w:r>
          </w:p>
        </w:tc>
        <w:tc>
          <w:tcPr>
            <w:tcW w:w="1564" w:type="dxa"/>
            <w:gridSpan w:val="2"/>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3.661</w:t>
            </w:r>
          </w:p>
        </w:tc>
        <w:tc>
          <w:tcPr>
            <w:tcW w:w="161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.57</w:t>
            </w:r>
          </w:p>
        </w:tc>
        <w:tc>
          <w:tcPr>
            <w:tcW w:w="1612"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.1693</w:t>
            </w:r>
          </w:p>
        </w:tc>
        <w:tc>
          <w:tcPr>
            <w:tcW w:w="1161" w:type="dxa"/>
            <w:gridSpan w:val="3"/>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.40440</w:t>
            </w:r>
          </w:p>
        </w:tc>
      </w:tr>
      <w:tr w:rsidR="00D65FE7" w:rsidRPr="000D3EB5" w:rsidTr="00131C52">
        <w:trPr>
          <w:gridAfter w:val="2"/>
          <w:wAfter w:w="2217" w:type="dxa"/>
          <w:jc w:val="center"/>
        </w:trPr>
        <w:tc>
          <w:tcPr>
            <w:tcW w:w="1630" w:type="dxa"/>
            <w:gridSpan w:val="2"/>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128</w:t>
            </w:r>
          </w:p>
        </w:tc>
        <w:tc>
          <w:tcPr>
            <w:tcW w:w="1564" w:type="dxa"/>
            <w:gridSpan w:val="2"/>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4.407</w:t>
            </w:r>
          </w:p>
        </w:tc>
        <w:tc>
          <w:tcPr>
            <w:tcW w:w="161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.66</w:t>
            </w:r>
          </w:p>
        </w:tc>
        <w:tc>
          <w:tcPr>
            <w:tcW w:w="1612"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.1693</w:t>
            </w:r>
          </w:p>
        </w:tc>
        <w:tc>
          <w:tcPr>
            <w:tcW w:w="1161" w:type="dxa"/>
            <w:gridSpan w:val="3"/>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.48687</w:t>
            </w:r>
          </w:p>
        </w:tc>
      </w:tr>
      <w:tr w:rsidR="00D65FE7" w:rsidRPr="000D3EB5" w:rsidTr="00131C52">
        <w:trPr>
          <w:gridAfter w:val="2"/>
          <w:wAfter w:w="2217" w:type="dxa"/>
          <w:jc w:val="center"/>
        </w:trPr>
        <w:tc>
          <w:tcPr>
            <w:tcW w:w="1630" w:type="dxa"/>
            <w:gridSpan w:val="2"/>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188</w:t>
            </w:r>
          </w:p>
        </w:tc>
        <w:tc>
          <w:tcPr>
            <w:tcW w:w="1564" w:type="dxa"/>
            <w:gridSpan w:val="2"/>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4.514</w:t>
            </w:r>
          </w:p>
        </w:tc>
        <w:tc>
          <w:tcPr>
            <w:tcW w:w="161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.63</w:t>
            </w:r>
          </w:p>
        </w:tc>
        <w:tc>
          <w:tcPr>
            <w:tcW w:w="1612"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.1319</w:t>
            </w:r>
          </w:p>
        </w:tc>
        <w:tc>
          <w:tcPr>
            <w:tcW w:w="1161" w:type="dxa"/>
            <w:gridSpan w:val="3"/>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.49861</w:t>
            </w:r>
          </w:p>
        </w:tc>
      </w:tr>
      <w:tr w:rsidR="00D65FE7" w:rsidRPr="000D3EB5" w:rsidTr="00131C52">
        <w:trPr>
          <w:gridAfter w:val="2"/>
          <w:wAfter w:w="2217" w:type="dxa"/>
          <w:jc w:val="center"/>
        </w:trPr>
        <w:tc>
          <w:tcPr>
            <w:tcW w:w="1630" w:type="dxa"/>
            <w:gridSpan w:val="2"/>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234</w:t>
            </w:r>
          </w:p>
        </w:tc>
        <w:tc>
          <w:tcPr>
            <w:tcW w:w="1564" w:type="dxa"/>
            <w:gridSpan w:val="2"/>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4.062</w:t>
            </w:r>
          </w:p>
        </w:tc>
        <w:tc>
          <w:tcPr>
            <w:tcW w:w="1610"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.62</w:t>
            </w:r>
          </w:p>
        </w:tc>
        <w:tc>
          <w:tcPr>
            <w:tcW w:w="1612" w:type="dxa"/>
            <w:gridSpan w:val="2"/>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.1693</w:t>
            </w:r>
          </w:p>
        </w:tc>
        <w:tc>
          <w:tcPr>
            <w:tcW w:w="1161" w:type="dxa"/>
            <w:gridSpan w:val="3"/>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.44875</w:t>
            </w:r>
          </w:p>
        </w:tc>
      </w:tr>
      <w:tr w:rsidR="00D65FE7" w:rsidRPr="000D3EB5" w:rsidTr="00131C52">
        <w:trPr>
          <w:gridAfter w:val="2"/>
          <w:wAfter w:w="2217" w:type="dxa"/>
          <w:jc w:val="center"/>
        </w:trPr>
        <w:tc>
          <w:tcPr>
            <w:tcW w:w="1630" w:type="dxa"/>
            <w:gridSpan w:val="2"/>
            <w:tcBorders>
              <w:top w:val="nil"/>
              <w:left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271</w:t>
            </w:r>
          </w:p>
        </w:tc>
        <w:tc>
          <w:tcPr>
            <w:tcW w:w="1564" w:type="dxa"/>
            <w:gridSpan w:val="2"/>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3.478</w:t>
            </w:r>
          </w:p>
        </w:tc>
        <w:tc>
          <w:tcPr>
            <w:tcW w:w="1610" w:type="dxa"/>
            <w:gridSpan w:val="2"/>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.56</w:t>
            </w:r>
          </w:p>
        </w:tc>
        <w:tc>
          <w:tcPr>
            <w:tcW w:w="1612" w:type="dxa"/>
            <w:gridSpan w:val="2"/>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.1763</w:t>
            </w:r>
          </w:p>
        </w:tc>
        <w:tc>
          <w:tcPr>
            <w:tcW w:w="1161" w:type="dxa"/>
            <w:gridSpan w:val="3"/>
            <w:tcBorders>
              <w:top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.38420</w:t>
            </w:r>
          </w:p>
        </w:tc>
      </w:tr>
      <w:tr w:rsidR="00D65FE7" w:rsidRPr="0013388B" w:rsidTr="00131C52">
        <w:trPr>
          <w:gridAfter w:val="2"/>
          <w:wAfter w:w="2217" w:type="dxa"/>
          <w:jc w:val="center"/>
        </w:trPr>
        <w:tc>
          <w:tcPr>
            <w:tcW w:w="7577" w:type="dxa"/>
            <w:gridSpan w:val="11"/>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tbl>
      <w:tblPr>
        <w:tblW w:w="83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165"/>
        <w:gridCol w:w="1177"/>
        <w:gridCol w:w="1209"/>
        <w:gridCol w:w="1119"/>
        <w:gridCol w:w="1581"/>
        <w:gridCol w:w="1119"/>
      </w:tblGrid>
      <w:tr w:rsidR="00D65FE7" w:rsidRPr="000D3EB5" w:rsidTr="00131C52">
        <w:tc>
          <w:tcPr>
            <w:tcW w:w="8367" w:type="dxa"/>
            <w:gridSpan w:val="6"/>
            <w:tcBorders>
              <w:top w:val="nil"/>
              <w:left w:val="nil"/>
              <w:bottom w:val="nil"/>
              <w:right w:val="nil"/>
            </w:tcBorders>
            <w:shd w:val="clear" w:color="auto" w:fill="FFFFFF"/>
            <w:vAlign w:val="center"/>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Residuals Statistics</w:t>
            </w:r>
            <w:r w:rsidRPr="000D3EB5">
              <w:rPr>
                <w:rFonts w:ascii="Arial" w:hAnsi="Arial"/>
                <w:b/>
                <w:bCs/>
                <w:color w:val="000000"/>
                <w:sz w:val="18"/>
                <w:szCs w:val="18"/>
                <w:vertAlign w:val="superscript"/>
              </w:rPr>
              <w:t>a</w:t>
            </w:r>
          </w:p>
        </w:tc>
      </w:tr>
      <w:tr w:rsidR="00D65FE7" w:rsidRPr="000D3EB5" w:rsidTr="00131C52">
        <w:tc>
          <w:tcPr>
            <w:tcW w:w="2163"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D65FE7" w:rsidRPr="000D3EB5" w:rsidRDefault="00D65FE7" w:rsidP="00131C52">
            <w:pPr>
              <w:autoSpaceDE w:val="0"/>
              <w:autoSpaceDN w:val="0"/>
              <w:adjustRightInd w:val="0"/>
              <w:spacing w:after="0" w:line="240" w:lineRule="auto"/>
              <w:jc w:val="center"/>
              <w:rPr>
                <w:rFonts w:ascii="Times New Roman" w:hAnsi="Times New Roman" w:cs="Times New Roman"/>
                <w:sz w:val="24"/>
                <w:szCs w:val="24"/>
              </w:rPr>
            </w:pPr>
          </w:p>
        </w:tc>
        <w:tc>
          <w:tcPr>
            <w:tcW w:w="1177" w:type="dxa"/>
            <w:tcBorders>
              <w:top w:val="single" w:sz="16" w:space="0" w:color="000000"/>
              <w:left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Minimum</w:t>
            </w:r>
          </w:p>
        </w:tc>
        <w:tc>
          <w:tcPr>
            <w:tcW w:w="1209"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Maximum</w:t>
            </w:r>
          </w:p>
        </w:tc>
        <w:tc>
          <w:tcPr>
            <w:tcW w:w="1119"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w:t>
            </w:r>
          </w:p>
        </w:tc>
        <w:tc>
          <w:tcPr>
            <w:tcW w:w="1580" w:type="dxa"/>
            <w:tcBorders>
              <w:top w:val="single" w:sz="16" w:space="0" w:color="000000"/>
              <w:bottom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Deviation</w:t>
            </w:r>
          </w:p>
        </w:tc>
        <w:tc>
          <w:tcPr>
            <w:tcW w:w="1119" w:type="dxa"/>
            <w:tcBorders>
              <w:top w:val="single" w:sz="16" w:space="0" w:color="000000"/>
              <w:bottom w:val="single" w:sz="16" w:space="0" w:color="000000"/>
              <w:right w:val="single" w:sz="16" w:space="0" w:color="000000"/>
            </w:tcBorders>
            <w:shd w:val="clear" w:color="auto" w:fill="FFFFFF"/>
            <w:vAlign w:val="bottom"/>
          </w:tcPr>
          <w:p w:rsidR="00D65FE7" w:rsidRPr="000D3EB5" w:rsidRDefault="00D65FE7"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N</w:t>
            </w:r>
          </w:p>
        </w:tc>
      </w:tr>
      <w:tr w:rsidR="00D65FE7" w:rsidRPr="000D3EB5" w:rsidTr="00131C52">
        <w:tc>
          <w:tcPr>
            <w:tcW w:w="2163" w:type="dxa"/>
            <w:tcBorders>
              <w:top w:val="single" w:sz="16" w:space="0" w:color="000000"/>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Predicted Value</w:t>
            </w:r>
          </w:p>
        </w:tc>
        <w:tc>
          <w:tcPr>
            <w:tcW w:w="1177" w:type="dxa"/>
            <w:tcBorders>
              <w:top w:val="single" w:sz="16" w:space="0" w:color="000000"/>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.0998</w:t>
            </w:r>
          </w:p>
        </w:tc>
        <w:tc>
          <w:tcPr>
            <w:tcW w:w="1209"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.1763</w:t>
            </w:r>
          </w:p>
        </w:tc>
        <w:tc>
          <w:tcPr>
            <w:tcW w:w="1119"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.1386</w:t>
            </w:r>
          </w:p>
        </w:tc>
        <w:tc>
          <w:tcPr>
            <w:tcW w:w="1580" w:type="dxa"/>
            <w:tcBorders>
              <w:top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.02682</w:t>
            </w:r>
          </w:p>
        </w:tc>
        <w:tc>
          <w:tcPr>
            <w:tcW w:w="1119" w:type="dxa"/>
            <w:tcBorders>
              <w:top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131C52">
        <w:tc>
          <w:tcPr>
            <w:tcW w:w="2163" w:type="dxa"/>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Residual</w:t>
            </w:r>
          </w:p>
        </w:tc>
        <w:tc>
          <w:tcPr>
            <w:tcW w:w="1177"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-.17027</w:t>
            </w:r>
          </w:p>
        </w:tc>
        <w:tc>
          <w:tcPr>
            <w:tcW w:w="1209"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.49861</w:t>
            </w:r>
          </w:p>
        </w:tc>
        <w:tc>
          <w:tcPr>
            <w:tcW w:w="1119"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.00000</w:t>
            </w:r>
          </w:p>
        </w:tc>
        <w:tc>
          <w:tcPr>
            <w:tcW w:w="158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.11015</w:t>
            </w:r>
          </w:p>
        </w:tc>
        <w:tc>
          <w:tcPr>
            <w:tcW w:w="1119"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131C52">
        <w:tc>
          <w:tcPr>
            <w:tcW w:w="2163" w:type="dxa"/>
            <w:tcBorders>
              <w:top w:val="nil"/>
              <w:left w:val="single" w:sz="16" w:space="0" w:color="000000"/>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Std. Predicted Value</w:t>
            </w:r>
          </w:p>
        </w:tc>
        <w:tc>
          <w:tcPr>
            <w:tcW w:w="1177" w:type="dxa"/>
            <w:tcBorders>
              <w:top w:val="nil"/>
              <w:left w:val="single" w:sz="16" w:space="0" w:color="000000"/>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-1.448</w:t>
            </w:r>
          </w:p>
        </w:tc>
        <w:tc>
          <w:tcPr>
            <w:tcW w:w="1209"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1.403</w:t>
            </w:r>
          </w:p>
        </w:tc>
        <w:tc>
          <w:tcPr>
            <w:tcW w:w="1119"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580" w:type="dxa"/>
            <w:tcBorders>
              <w:top w:val="nil"/>
              <w:bottom w:val="nil"/>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119" w:type="dxa"/>
            <w:tcBorders>
              <w:top w:val="nil"/>
              <w:bottom w:val="nil"/>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0D3EB5" w:rsidTr="00131C52">
        <w:tc>
          <w:tcPr>
            <w:tcW w:w="2163" w:type="dxa"/>
            <w:tcBorders>
              <w:top w:val="nil"/>
              <w:left w:val="single" w:sz="16" w:space="0" w:color="000000"/>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Std. Residual</w:t>
            </w:r>
          </w:p>
        </w:tc>
        <w:tc>
          <w:tcPr>
            <w:tcW w:w="1177" w:type="dxa"/>
            <w:tcBorders>
              <w:top w:val="nil"/>
              <w:left w:val="single" w:sz="16" w:space="0" w:color="000000"/>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-1.541</w:t>
            </w:r>
          </w:p>
        </w:tc>
        <w:tc>
          <w:tcPr>
            <w:tcW w:w="1209"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4.514</w:t>
            </w:r>
          </w:p>
        </w:tc>
        <w:tc>
          <w:tcPr>
            <w:tcW w:w="1119"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580" w:type="dxa"/>
            <w:tcBorders>
              <w:top w:val="nil"/>
              <w:bottom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.997</w:t>
            </w:r>
          </w:p>
        </w:tc>
        <w:tc>
          <w:tcPr>
            <w:tcW w:w="1119" w:type="dxa"/>
            <w:tcBorders>
              <w:top w:val="nil"/>
              <w:bottom w:val="single" w:sz="16" w:space="0" w:color="000000"/>
              <w:right w:val="single" w:sz="16" w:space="0" w:color="000000"/>
            </w:tcBorders>
            <w:shd w:val="clear" w:color="auto" w:fill="FFFFFF"/>
          </w:tcPr>
          <w:p w:rsidR="00D65FE7" w:rsidRPr="000D3EB5" w:rsidRDefault="00D65FE7"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r>
      <w:tr w:rsidR="00D65FE7" w:rsidRPr="0013388B" w:rsidTr="00131C52">
        <w:tc>
          <w:tcPr>
            <w:tcW w:w="8367" w:type="dxa"/>
            <w:gridSpan w:val="6"/>
            <w:tcBorders>
              <w:top w:val="nil"/>
              <w:left w:val="nil"/>
              <w:bottom w:val="nil"/>
              <w:right w:val="nil"/>
            </w:tcBorders>
            <w:shd w:val="clear" w:color="auto" w:fill="FFFFFF"/>
          </w:tcPr>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r w:rsidRPr="00D65FE7">
              <w:rPr>
                <w:rFonts w:ascii="Arial" w:hAnsi="Arial"/>
                <w:color w:val="000000"/>
                <w:sz w:val="18"/>
                <w:szCs w:val="18"/>
                <w:lang w:val="en-US"/>
              </w:rPr>
              <w:t>a. Dependent Variable: Total Earnings Management</w:t>
            </w:r>
          </w:p>
          <w:p w:rsidR="00D65FE7" w:rsidRPr="00D65FE7" w:rsidRDefault="00D65FE7" w:rsidP="00131C52">
            <w:pPr>
              <w:autoSpaceDE w:val="0"/>
              <w:autoSpaceDN w:val="0"/>
              <w:adjustRightInd w:val="0"/>
              <w:spacing w:after="0" w:line="320" w:lineRule="atLeast"/>
              <w:ind w:left="60" w:right="60"/>
              <w:rPr>
                <w:rFonts w:ascii="Arial" w:hAnsi="Arial"/>
                <w:color w:val="000000"/>
                <w:sz w:val="18"/>
                <w:szCs w:val="18"/>
                <w:lang w:val="en-US"/>
              </w:rPr>
            </w:pPr>
          </w:p>
        </w:tc>
      </w:tr>
    </w:tbl>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p w:rsidR="00212D36" w:rsidRPr="00212D36" w:rsidRDefault="003365C2" w:rsidP="00212D36">
      <w:pPr>
        <w:autoSpaceDE w:val="0"/>
        <w:autoSpaceDN w:val="0"/>
        <w:adjustRightInd w:val="0"/>
        <w:spacing w:after="0" w:line="400" w:lineRule="atLeast"/>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380865" cy="3498215"/>
            <wp:effectExtent l="0" t="0" r="635" b="6985"/>
            <wp:docPr id="1"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80865" cy="3498215"/>
                    </a:xfrm>
                    <a:prstGeom prst="rect">
                      <a:avLst/>
                    </a:prstGeom>
                    <a:noFill/>
                    <a:ln>
                      <a:noFill/>
                    </a:ln>
                  </pic:spPr>
                </pic:pic>
              </a:graphicData>
            </a:graphic>
          </wp:inline>
        </w:drawing>
      </w:r>
    </w:p>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p w:rsidR="00212D36" w:rsidRP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p w:rsidR="00212D36" w:rsidRDefault="00212D36" w:rsidP="00212D36">
      <w:pPr>
        <w:autoSpaceDE w:val="0"/>
        <w:autoSpaceDN w:val="0"/>
        <w:adjustRightInd w:val="0"/>
        <w:spacing w:after="0" w:line="400" w:lineRule="atLeast"/>
        <w:rPr>
          <w:rFonts w:ascii="Times New Roman" w:hAnsi="Times New Roman" w:cs="Times New Roman"/>
          <w:sz w:val="24"/>
          <w:szCs w:val="24"/>
          <w:lang w:val="en-US" w:eastAsia="nl-NL"/>
        </w:rPr>
      </w:pPr>
    </w:p>
    <w:p w:rsidR="00212D36" w:rsidRPr="00212D36" w:rsidRDefault="003365C2" w:rsidP="00212D36">
      <w:pPr>
        <w:autoSpaceDE w:val="0"/>
        <w:autoSpaceDN w:val="0"/>
        <w:adjustRightInd w:val="0"/>
        <w:spacing w:after="0" w:line="400" w:lineRule="atLeast"/>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433570" cy="3540760"/>
            <wp:effectExtent l="0" t="0" r="5080" b="2540"/>
            <wp:docPr id="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33570" cy="3540760"/>
                    </a:xfrm>
                    <a:prstGeom prst="rect">
                      <a:avLst/>
                    </a:prstGeom>
                    <a:noFill/>
                    <a:ln>
                      <a:noFill/>
                    </a:ln>
                  </pic:spPr>
                </pic:pic>
              </a:graphicData>
            </a:graphic>
          </wp:inline>
        </w:drawing>
      </w:r>
    </w:p>
    <w:p w:rsidR="00212D36" w:rsidRDefault="00212D36" w:rsidP="00212D36">
      <w:pPr>
        <w:autoSpaceDE w:val="0"/>
        <w:autoSpaceDN w:val="0"/>
        <w:adjustRightInd w:val="0"/>
        <w:spacing w:after="0" w:line="240" w:lineRule="auto"/>
        <w:rPr>
          <w:rFonts w:ascii="Times New Roman" w:hAnsi="Times New Roman" w:cs="Times New Roman"/>
          <w:sz w:val="24"/>
          <w:szCs w:val="24"/>
          <w:lang w:val="en-US" w:eastAsia="nl-NL"/>
        </w:rPr>
      </w:pPr>
    </w:p>
    <w:p w:rsidR="00131C52" w:rsidRPr="00212D36" w:rsidRDefault="00131C52" w:rsidP="00212D36">
      <w:pPr>
        <w:autoSpaceDE w:val="0"/>
        <w:autoSpaceDN w:val="0"/>
        <w:adjustRightInd w:val="0"/>
        <w:spacing w:after="0" w:line="240" w:lineRule="auto"/>
        <w:rPr>
          <w:rFonts w:ascii="Times New Roman" w:hAnsi="Times New Roman" w:cs="Times New Roman"/>
          <w:sz w:val="24"/>
          <w:szCs w:val="24"/>
          <w:lang w:val="en-US" w:eastAsia="nl-NL"/>
        </w:rPr>
      </w:pPr>
    </w:p>
    <w:p w:rsidR="00212D36" w:rsidRPr="00212D36" w:rsidRDefault="003365C2" w:rsidP="00212D36">
      <w:pPr>
        <w:autoSpaceDE w:val="0"/>
        <w:autoSpaceDN w:val="0"/>
        <w:adjustRightInd w:val="0"/>
        <w:spacing w:after="0" w:line="240" w:lineRule="auto"/>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018915" cy="3211195"/>
            <wp:effectExtent l="0" t="0" r="635" b="8255"/>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8915" cy="3211195"/>
                    </a:xfrm>
                    <a:prstGeom prst="rect">
                      <a:avLst/>
                    </a:prstGeom>
                    <a:noFill/>
                    <a:ln>
                      <a:noFill/>
                    </a:ln>
                  </pic:spPr>
                </pic:pic>
              </a:graphicData>
            </a:graphic>
          </wp:inline>
        </w:drawing>
      </w:r>
    </w:p>
    <w:p w:rsidR="00212D36" w:rsidRPr="00212D36" w:rsidRDefault="00212D36" w:rsidP="00212D36">
      <w:pPr>
        <w:autoSpaceDE w:val="0"/>
        <w:autoSpaceDN w:val="0"/>
        <w:adjustRightInd w:val="0"/>
        <w:spacing w:after="0" w:line="240" w:lineRule="auto"/>
        <w:rPr>
          <w:rFonts w:ascii="Times New Roman" w:hAnsi="Times New Roman" w:cs="Times New Roman"/>
          <w:sz w:val="24"/>
          <w:szCs w:val="24"/>
          <w:lang w:val="en-US" w:eastAsia="nl-NL"/>
        </w:rPr>
      </w:pPr>
    </w:p>
    <w:p w:rsidR="00212D36" w:rsidRPr="00212D36" w:rsidRDefault="00212D36" w:rsidP="00212D36">
      <w:pPr>
        <w:autoSpaceDE w:val="0"/>
        <w:autoSpaceDN w:val="0"/>
        <w:adjustRightInd w:val="0"/>
        <w:spacing w:after="0" w:line="240" w:lineRule="auto"/>
        <w:rPr>
          <w:rFonts w:ascii="Times New Roman" w:hAnsi="Times New Roman" w:cs="Times New Roman"/>
          <w:sz w:val="24"/>
          <w:szCs w:val="24"/>
          <w:lang w:val="en-US" w:eastAsia="nl-NL"/>
        </w:rPr>
      </w:pPr>
    </w:p>
    <w:p w:rsidR="00212D36" w:rsidRPr="00212D36" w:rsidRDefault="00212D36" w:rsidP="00212D36">
      <w:pPr>
        <w:autoSpaceDE w:val="0"/>
        <w:autoSpaceDN w:val="0"/>
        <w:adjustRightInd w:val="0"/>
        <w:spacing w:after="0" w:line="240" w:lineRule="auto"/>
        <w:rPr>
          <w:rFonts w:ascii="Times New Roman" w:hAnsi="Times New Roman" w:cs="Times New Roman"/>
          <w:sz w:val="24"/>
          <w:szCs w:val="24"/>
          <w:lang w:val="en-US" w:eastAsia="nl-NL"/>
        </w:rPr>
      </w:pPr>
    </w:p>
    <w:p w:rsidR="00212D36" w:rsidRDefault="00212D36" w:rsidP="00212D36">
      <w:pPr>
        <w:autoSpaceDE w:val="0"/>
        <w:autoSpaceDN w:val="0"/>
        <w:adjustRightInd w:val="0"/>
        <w:spacing w:after="0" w:line="240" w:lineRule="auto"/>
        <w:rPr>
          <w:rFonts w:ascii="Times New Roman" w:hAnsi="Times New Roman" w:cs="Times New Roman"/>
          <w:sz w:val="24"/>
          <w:szCs w:val="24"/>
          <w:lang w:val="en-US" w:eastAsia="nl-NL"/>
        </w:rPr>
      </w:pPr>
    </w:p>
    <w:p w:rsidR="00212D36" w:rsidRPr="00731535" w:rsidRDefault="00212D36" w:rsidP="00212D36">
      <w:pPr>
        <w:spacing w:line="360" w:lineRule="auto"/>
        <w:rPr>
          <w:b/>
          <w:sz w:val="24"/>
          <w:szCs w:val="24"/>
          <w:lang w:val="en-US" w:eastAsia="nl-NL"/>
        </w:rPr>
      </w:pPr>
      <w:r>
        <w:rPr>
          <w:rFonts w:ascii="Times New Roman" w:hAnsi="Times New Roman" w:cs="Times New Roman"/>
          <w:sz w:val="24"/>
          <w:szCs w:val="24"/>
          <w:lang w:val="en-US" w:eastAsia="nl-NL"/>
        </w:rPr>
        <w:br w:type="page"/>
      </w:r>
      <w:r w:rsidRPr="00731535">
        <w:rPr>
          <w:b/>
          <w:sz w:val="24"/>
          <w:szCs w:val="24"/>
          <w:lang w:val="en-US" w:eastAsia="nl-NL"/>
        </w:rPr>
        <w:t>Accruals-based Earnings Management</w:t>
      </w:r>
    </w:p>
    <w:tbl>
      <w:tblPr>
        <w:tblW w:w="65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686"/>
        <w:gridCol w:w="1119"/>
        <w:gridCol w:w="1579"/>
        <w:gridCol w:w="1119"/>
      </w:tblGrid>
      <w:tr w:rsidR="00131C52" w:rsidRPr="000D3EB5" w:rsidTr="00131C52">
        <w:tc>
          <w:tcPr>
            <w:tcW w:w="6502" w:type="dxa"/>
            <w:gridSpan w:val="4"/>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Descriptive Statistics</w:t>
            </w:r>
          </w:p>
        </w:tc>
      </w:tr>
      <w:tr w:rsidR="00131C52" w:rsidRPr="000D3EB5" w:rsidTr="00131C52">
        <w:tc>
          <w:tcPr>
            <w:tcW w:w="2685"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w:t>
            </w:r>
          </w:p>
        </w:tc>
        <w:tc>
          <w:tcPr>
            <w:tcW w:w="1579"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Deviation</w:t>
            </w:r>
          </w:p>
        </w:tc>
        <w:tc>
          <w:tcPr>
            <w:tcW w:w="1119" w:type="dxa"/>
            <w:tcBorders>
              <w:top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N</w:t>
            </w:r>
          </w:p>
        </w:tc>
      </w:tr>
      <w:tr w:rsidR="00131C52" w:rsidRPr="000D3EB5" w:rsidTr="00131C52">
        <w:tc>
          <w:tcPr>
            <w:tcW w:w="2685" w:type="dxa"/>
            <w:tcBorders>
              <w:top w:val="single" w:sz="16" w:space="0" w:color="000000"/>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Discretionary Accruals</w:t>
            </w:r>
          </w:p>
        </w:tc>
        <w:tc>
          <w:tcPr>
            <w:tcW w:w="1119" w:type="dxa"/>
            <w:tcBorders>
              <w:top w:val="single" w:sz="16" w:space="0" w:color="000000"/>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.1392</w:t>
            </w:r>
          </w:p>
        </w:tc>
        <w:tc>
          <w:tcPr>
            <w:tcW w:w="1579"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.10475</w:t>
            </w:r>
          </w:p>
        </w:tc>
        <w:tc>
          <w:tcPr>
            <w:tcW w:w="1119" w:type="dxa"/>
            <w:tcBorders>
              <w:top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r w:rsidR="00131C52" w:rsidRPr="000D3EB5" w:rsidTr="00131C52">
        <w:tc>
          <w:tcPr>
            <w:tcW w:w="2685" w:type="dxa"/>
            <w:tcBorders>
              <w:top w:val="nil"/>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119"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.4457</w:t>
            </w:r>
          </w:p>
        </w:tc>
        <w:tc>
          <w:tcPr>
            <w:tcW w:w="1579"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.49751</w:t>
            </w:r>
          </w:p>
        </w:tc>
        <w:tc>
          <w:tcPr>
            <w:tcW w:w="111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r w:rsidR="00131C52" w:rsidRPr="000D3EB5" w:rsidTr="00131C52">
        <w:tc>
          <w:tcPr>
            <w:tcW w:w="2685" w:type="dxa"/>
            <w:tcBorders>
              <w:top w:val="nil"/>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119"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.5019</w:t>
            </w:r>
          </w:p>
        </w:tc>
        <w:tc>
          <w:tcPr>
            <w:tcW w:w="1579"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.50047</w:t>
            </w:r>
          </w:p>
        </w:tc>
        <w:tc>
          <w:tcPr>
            <w:tcW w:w="111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r w:rsidR="00131C52" w:rsidRPr="000D3EB5" w:rsidTr="00131C52">
        <w:tc>
          <w:tcPr>
            <w:tcW w:w="2685" w:type="dxa"/>
            <w:tcBorders>
              <w:top w:val="nil"/>
              <w:left w:val="single" w:sz="16" w:space="0" w:color="000000"/>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119" w:type="dxa"/>
            <w:tcBorders>
              <w:top w:val="nil"/>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.5112</w:t>
            </w:r>
          </w:p>
        </w:tc>
        <w:tc>
          <w:tcPr>
            <w:tcW w:w="1579"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.50034</w:t>
            </w:r>
          </w:p>
        </w:tc>
        <w:tc>
          <w:tcPr>
            <w:tcW w:w="1119" w:type="dxa"/>
            <w:tcBorders>
              <w:top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bl>
    <w:p w:rsidR="00F21F0F" w:rsidRPr="00F21F0F" w:rsidRDefault="00F21F0F" w:rsidP="00F21F0F">
      <w:pPr>
        <w:autoSpaceDE w:val="0"/>
        <w:autoSpaceDN w:val="0"/>
        <w:adjustRightInd w:val="0"/>
        <w:spacing w:after="0" w:line="240" w:lineRule="auto"/>
        <w:rPr>
          <w:rFonts w:ascii="Times New Roman" w:hAnsi="Times New Roman" w:cs="Times New Roman"/>
          <w:sz w:val="24"/>
          <w:szCs w:val="24"/>
          <w:lang w:val="en-US" w:eastAsia="nl-NL"/>
        </w:rPr>
      </w:pPr>
    </w:p>
    <w:tbl>
      <w:tblPr>
        <w:tblW w:w="9529"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80"/>
        <w:gridCol w:w="2070"/>
        <w:gridCol w:w="1440"/>
        <w:gridCol w:w="1350"/>
        <w:gridCol w:w="1440"/>
        <w:gridCol w:w="1249"/>
      </w:tblGrid>
      <w:tr w:rsidR="00131C52" w:rsidRPr="000D3EB5" w:rsidTr="00131C52">
        <w:trPr>
          <w:jc w:val="right"/>
        </w:trPr>
        <w:tc>
          <w:tcPr>
            <w:tcW w:w="9529" w:type="dxa"/>
            <w:gridSpan w:val="6"/>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Correlations</w:t>
            </w:r>
          </w:p>
        </w:tc>
      </w:tr>
      <w:tr w:rsidR="00131C52" w:rsidRPr="000D3EB5" w:rsidTr="00131C52">
        <w:trPr>
          <w:jc w:val="right"/>
        </w:trPr>
        <w:tc>
          <w:tcPr>
            <w:tcW w:w="405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1440" w:type="dxa"/>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Discretionary Accruals</w:t>
            </w:r>
          </w:p>
        </w:tc>
        <w:tc>
          <w:tcPr>
            <w:tcW w:w="1350"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Country</w:t>
            </w:r>
          </w:p>
        </w:tc>
        <w:tc>
          <w:tcPr>
            <w:tcW w:w="1440"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Accounting Standard</w:t>
            </w:r>
          </w:p>
        </w:tc>
        <w:tc>
          <w:tcPr>
            <w:tcW w:w="1249" w:type="dxa"/>
            <w:tcBorders>
              <w:top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Size</w:t>
            </w:r>
          </w:p>
        </w:tc>
      </w:tr>
      <w:tr w:rsidR="00131C52" w:rsidRPr="000D3EB5" w:rsidTr="00131C52">
        <w:trPr>
          <w:jc w:val="right"/>
        </w:trPr>
        <w:tc>
          <w:tcPr>
            <w:tcW w:w="1980" w:type="dxa"/>
            <w:vMerge w:val="restart"/>
            <w:tcBorders>
              <w:top w:val="single" w:sz="16" w:space="0" w:color="000000"/>
              <w:left w:val="single" w:sz="16" w:space="0" w:color="000000"/>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Pearson Correlation</w:t>
            </w:r>
          </w:p>
        </w:tc>
        <w:tc>
          <w:tcPr>
            <w:tcW w:w="2070" w:type="dxa"/>
            <w:tcBorders>
              <w:top w:val="single" w:sz="16" w:space="0" w:color="000000"/>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Discretionary Accruals</w:t>
            </w:r>
          </w:p>
        </w:tc>
        <w:tc>
          <w:tcPr>
            <w:tcW w:w="1440" w:type="dxa"/>
            <w:tcBorders>
              <w:top w:val="single" w:sz="16" w:space="0" w:color="000000"/>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350"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-.123</w:t>
            </w:r>
          </w:p>
        </w:tc>
        <w:tc>
          <w:tcPr>
            <w:tcW w:w="1440"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1249" w:type="dxa"/>
            <w:tcBorders>
              <w:top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-.124</w:t>
            </w:r>
          </w:p>
        </w:tc>
      </w:tr>
      <w:tr w:rsidR="00131C52" w:rsidRPr="000D3EB5" w:rsidTr="00131C52">
        <w:trPr>
          <w:jc w:val="right"/>
        </w:trPr>
        <w:tc>
          <w:tcPr>
            <w:tcW w:w="1980" w:type="dxa"/>
            <w:vMerge/>
            <w:tcBorders>
              <w:top w:val="single" w:sz="16" w:space="0" w:color="000000"/>
              <w:left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440"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-.123</w:t>
            </w:r>
          </w:p>
        </w:tc>
        <w:tc>
          <w:tcPr>
            <w:tcW w:w="13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44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-.011</w:t>
            </w:r>
          </w:p>
        </w:tc>
        <w:tc>
          <w:tcPr>
            <w:tcW w:w="124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.108</w:t>
            </w:r>
          </w:p>
        </w:tc>
      </w:tr>
      <w:tr w:rsidR="00131C52" w:rsidRPr="000D3EB5" w:rsidTr="00131C52">
        <w:trPr>
          <w:jc w:val="right"/>
        </w:trPr>
        <w:tc>
          <w:tcPr>
            <w:tcW w:w="1980" w:type="dxa"/>
            <w:vMerge/>
            <w:tcBorders>
              <w:top w:val="single" w:sz="16" w:space="0" w:color="000000"/>
              <w:left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440"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13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-.011</w:t>
            </w:r>
          </w:p>
        </w:tc>
        <w:tc>
          <w:tcPr>
            <w:tcW w:w="144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24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-.008</w:t>
            </w:r>
          </w:p>
        </w:tc>
      </w:tr>
      <w:tr w:rsidR="00131C52" w:rsidRPr="000D3EB5" w:rsidTr="00131C52">
        <w:trPr>
          <w:jc w:val="right"/>
        </w:trPr>
        <w:tc>
          <w:tcPr>
            <w:tcW w:w="1980" w:type="dxa"/>
            <w:vMerge/>
            <w:tcBorders>
              <w:top w:val="single" w:sz="16" w:space="0" w:color="000000"/>
              <w:left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440" w:type="dxa"/>
            <w:tcBorders>
              <w:top w:val="nil"/>
              <w:lef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-.124</w:t>
            </w:r>
          </w:p>
        </w:tc>
        <w:tc>
          <w:tcPr>
            <w:tcW w:w="1350" w:type="dxa"/>
            <w:tcBorders>
              <w:top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.108</w:t>
            </w:r>
          </w:p>
        </w:tc>
        <w:tc>
          <w:tcPr>
            <w:tcW w:w="1440" w:type="dxa"/>
            <w:tcBorders>
              <w:top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-.008</w:t>
            </w:r>
          </w:p>
        </w:tc>
        <w:tc>
          <w:tcPr>
            <w:tcW w:w="1249" w:type="dxa"/>
            <w:tcBorders>
              <w:top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131C52" w:rsidRPr="000D3EB5" w:rsidTr="00131C52">
        <w:trPr>
          <w:jc w:val="right"/>
        </w:trPr>
        <w:tc>
          <w:tcPr>
            <w:tcW w:w="1980" w:type="dxa"/>
            <w:vMerge w:val="restart"/>
            <w:tcBorders>
              <w:left w:val="single" w:sz="16" w:space="0" w:color="000000"/>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Sig. (1-tailed)</w:t>
            </w:r>
          </w:p>
        </w:tc>
        <w:tc>
          <w:tcPr>
            <w:tcW w:w="2070" w:type="dxa"/>
            <w:tcBorders>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Discretionary Accruals</w:t>
            </w:r>
          </w:p>
        </w:tc>
        <w:tc>
          <w:tcPr>
            <w:tcW w:w="1440" w:type="dxa"/>
            <w:tcBorders>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350" w:type="dxa"/>
            <w:tcBorders>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p>
        </w:tc>
        <w:tc>
          <w:tcPr>
            <w:tcW w:w="1440" w:type="dxa"/>
            <w:tcBorders>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.297</w:t>
            </w:r>
          </w:p>
        </w:tc>
        <w:tc>
          <w:tcPr>
            <w:tcW w:w="1249" w:type="dxa"/>
            <w:tcBorders>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p>
        </w:tc>
      </w:tr>
      <w:tr w:rsidR="00131C52" w:rsidRPr="000D3EB5" w:rsidTr="00131C52">
        <w:trPr>
          <w:jc w:val="right"/>
        </w:trPr>
        <w:tc>
          <w:tcPr>
            <w:tcW w:w="1980" w:type="dxa"/>
            <w:vMerge/>
            <w:tcBorders>
              <w:left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440"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p>
        </w:tc>
        <w:tc>
          <w:tcPr>
            <w:tcW w:w="13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44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.401</w:t>
            </w:r>
          </w:p>
        </w:tc>
        <w:tc>
          <w:tcPr>
            <w:tcW w:w="124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.006</w:t>
            </w:r>
          </w:p>
        </w:tc>
      </w:tr>
      <w:tr w:rsidR="00131C52" w:rsidRPr="000D3EB5" w:rsidTr="00131C52">
        <w:trPr>
          <w:jc w:val="right"/>
        </w:trPr>
        <w:tc>
          <w:tcPr>
            <w:tcW w:w="1980" w:type="dxa"/>
            <w:vMerge/>
            <w:tcBorders>
              <w:left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440"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.297</w:t>
            </w:r>
          </w:p>
        </w:tc>
        <w:tc>
          <w:tcPr>
            <w:tcW w:w="13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.401</w:t>
            </w:r>
          </w:p>
        </w:tc>
        <w:tc>
          <w:tcPr>
            <w:tcW w:w="144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24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.431</w:t>
            </w:r>
          </w:p>
        </w:tc>
      </w:tr>
      <w:tr w:rsidR="00131C52" w:rsidRPr="000D3EB5" w:rsidTr="00131C52">
        <w:trPr>
          <w:jc w:val="right"/>
        </w:trPr>
        <w:tc>
          <w:tcPr>
            <w:tcW w:w="1980" w:type="dxa"/>
            <w:vMerge/>
            <w:tcBorders>
              <w:left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440" w:type="dxa"/>
            <w:tcBorders>
              <w:top w:val="nil"/>
              <w:lef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p>
        </w:tc>
        <w:tc>
          <w:tcPr>
            <w:tcW w:w="1350" w:type="dxa"/>
            <w:tcBorders>
              <w:top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.006</w:t>
            </w:r>
          </w:p>
        </w:tc>
        <w:tc>
          <w:tcPr>
            <w:tcW w:w="1440" w:type="dxa"/>
            <w:tcBorders>
              <w:top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.431</w:t>
            </w:r>
          </w:p>
        </w:tc>
        <w:tc>
          <w:tcPr>
            <w:tcW w:w="1249" w:type="dxa"/>
            <w:tcBorders>
              <w:top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r>
      <w:tr w:rsidR="00131C52" w:rsidRPr="000D3EB5" w:rsidTr="00131C52">
        <w:trPr>
          <w:jc w:val="right"/>
        </w:trPr>
        <w:tc>
          <w:tcPr>
            <w:tcW w:w="1980" w:type="dxa"/>
            <w:vMerge w:val="restart"/>
            <w:tcBorders>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N</w:t>
            </w:r>
          </w:p>
        </w:tc>
        <w:tc>
          <w:tcPr>
            <w:tcW w:w="2070" w:type="dxa"/>
            <w:tcBorders>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Discretionary Accruals</w:t>
            </w:r>
          </w:p>
        </w:tc>
        <w:tc>
          <w:tcPr>
            <w:tcW w:w="1440" w:type="dxa"/>
            <w:tcBorders>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350" w:type="dxa"/>
            <w:tcBorders>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440" w:type="dxa"/>
            <w:tcBorders>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249" w:type="dxa"/>
            <w:tcBorders>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r w:rsidR="00131C52" w:rsidRPr="000D3EB5" w:rsidTr="00131C52">
        <w:trPr>
          <w:jc w:val="right"/>
        </w:trPr>
        <w:tc>
          <w:tcPr>
            <w:tcW w:w="1980" w:type="dxa"/>
            <w:vMerge/>
            <w:tcBorders>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440"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3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44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24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r w:rsidR="00131C52" w:rsidRPr="000D3EB5" w:rsidTr="00131C52">
        <w:trPr>
          <w:jc w:val="right"/>
        </w:trPr>
        <w:tc>
          <w:tcPr>
            <w:tcW w:w="1980" w:type="dxa"/>
            <w:vMerge/>
            <w:tcBorders>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440"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3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44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249"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r w:rsidR="00131C52" w:rsidRPr="000D3EB5" w:rsidTr="00131C52">
        <w:trPr>
          <w:jc w:val="right"/>
        </w:trPr>
        <w:tc>
          <w:tcPr>
            <w:tcW w:w="1980" w:type="dxa"/>
            <w:vMerge/>
            <w:tcBorders>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2070" w:type="dxa"/>
            <w:tcBorders>
              <w:top w:val="nil"/>
              <w:left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440" w:type="dxa"/>
            <w:tcBorders>
              <w:top w:val="nil"/>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350"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440"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c>
          <w:tcPr>
            <w:tcW w:w="1249" w:type="dxa"/>
            <w:tcBorders>
              <w:top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534</w:t>
            </w:r>
          </w:p>
        </w:tc>
      </w:tr>
    </w:tbl>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tbl>
      <w:tblPr>
        <w:tblW w:w="521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5"/>
        <w:gridCol w:w="1612"/>
        <w:gridCol w:w="1610"/>
        <w:gridCol w:w="1119"/>
      </w:tblGrid>
      <w:tr w:rsidR="00131C52" w:rsidRPr="000D3EB5" w:rsidTr="00131C52">
        <w:tc>
          <w:tcPr>
            <w:tcW w:w="5214" w:type="dxa"/>
            <w:gridSpan w:val="4"/>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Variables Entered/Removed</w:t>
            </w:r>
            <w:r w:rsidRPr="000D3EB5">
              <w:rPr>
                <w:rFonts w:ascii="Arial" w:hAnsi="Arial"/>
                <w:b/>
                <w:bCs/>
                <w:color w:val="000000"/>
                <w:sz w:val="18"/>
                <w:szCs w:val="18"/>
                <w:vertAlign w:val="superscript"/>
              </w:rPr>
              <w:t>b</w:t>
            </w:r>
          </w:p>
        </w:tc>
      </w:tr>
      <w:tr w:rsidR="00131C52" w:rsidRPr="000D3EB5"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Variables Entered</w:t>
            </w:r>
          </w:p>
        </w:tc>
        <w:tc>
          <w:tcPr>
            <w:tcW w:w="1609"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Variables Removed</w:t>
            </w:r>
          </w:p>
        </w:tc>
        <w:tc>
          <w:tcPr>
            <w:tcW w:w="1119" w:type="dxa"/>
            <w:tcBorders>
              <w:top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Method</w:t>
            </w:r>
          </w:p>
        </w:tc>
      </w:tr>
      <w:tr w:rsidR="00131C52" w:rsidRPr="000D3EB5"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611" w:type="dxa"/>
            <w:tcBorders>
              <w:top w:val="single" w:sz="16" w:space="0" w:color="000000"/>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 Accounting Standard, Size</w:t>
            </w:r>
          </w:p>
        </w:tc>
        <w:tc>
          <w:tcPr>
            <w:tcW w:w="1609" w:type="dxa"/>
            <w:tcBorders>
              <w:top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w:t>
            </w:r>
          </w:p>
        </w:tc>
        <w:tc>
          <w:tcPr>
            <w:tcW w:w="1119" w:type="dxa"/>
            <w:tcBorders>
              <w:top w:val="single" w:sz="16" w:space="0" w:color="000000"/>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Enter</w:t>
            </w:r>
          </w:p>
        </w:tc>
      </w:tr>
      <w:tr w:rsidR="00131C52" w:rsidRPr="000D3EB5" w:rsidTr="00131C52">
        <w:tc>
          <w:tcPr>
            <w:tcW w:w="5214" w:type="dxa"/>
            <w:gridSpan w:val="4"/>
            <w:tcBorders>
              <w:top w:val="nil"/>
              <w:left w:val="nil"/>
              <w:bottom w:val="nil"/>
              <w:right w:val="nil"/>
            </w:tcBorders>
            <w:shd w:val="clear" w:color="auto" w:fill="FFFFFF"/>
          </w:tcPr>
          <w:p w:rsidR="00131C52" w:rsidRPr="00131C52" w:rsidRDefault="00131C52" w:rsidP="00131C52">
            <w:pPr>
              <w:autoSpaceDE w:val="0"/>
              <w:autoSpaceDN w:val="0"/>
              <w:adjustRightInd w:val="0"/>
              <w:spacing w:after="0" w:line="320" w:lineRule="atLeast"/>
              <w:ind w:left="60" w:right="60"/>
              <w:rPr>
                <w:rFonts w:ascii="Arial" w:hAnsi="Arial"/>
                <w:color w:val="000000"/>
                <w:sz w:val="18"/>
                <w:szCs w:val="18"/>
                <w:lang w:val="en-US"/>
              </w:rPr>
            </w:pPr>
            <w:r w:rsidRPr="00131C52">
              <w:rPr>
                <w:rFonts w:ascii="Arial" w:hAnsi="Arial"/>
                <w:color w:val="000000"/>
                <w:sz w:val="18"/>
                <w:szCs w:val="18"/>
                <w:lang w:val="en-US"/>
              </w:rPr>
              <w:t>a. All requested variables entered.</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b. Dependent Variable: </w:t>
            </w:r>
            <w:r>
              <w:rPr>
                <w:rFonts w:ascii="Arial" w:hAnsi="Arial"/>
                <w:color w:val="000000"/>
                <w:sz w:val="18"/>
                <w:szCs w:val="18"/>
              </w:rPr>
              <w:t>Discretionary Accruals</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tc>
      </w:tr>
    </w:tbl>
    <w:p w:rsid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131C52" w:rsidRDefault="00131C52" w:rsidP="00F21F0F">
      <w:pPr>
        <w:autoSpaceDE w:val="0"/>
        <w:autoSpaceDN w:val="0"/>
        <w:adjustRightInd w:val="0"/>
        <w:spacing w:after="0" w:line="400" w:lineRule="atLeast"/>
        <w:rPr>
          <w:rFonts w:ascii="Times New Roman" w:hAnsi="Times New Roman" w:cs="Times New Roman"/>
          <w:sz w:val="24"/>
          <w:szCs w:val="24"/>
          <w:lang w:val="en-US" w:eastAsia="nl-NL"/>
        </w:rPr>
      </w:pPr>
    </w:p>
    <w:p w:rsidR="00131C52" w:rsidRDefault="00131C52" w:rsidP="00F21F0F">
      <w:pPr>
        <w:autoSpaceDE w:val="0"/>
        <w:autoSpaceDN w:val="0"/>
        <w:adjustRightInd w:val="0"/>
        <w:spacing w:after="0" w:line="400" w:lineRule="atLeast"/>
        <w:rPr>
          <w:rFonts w:ascii="Times New Roman" w:hAnsi="Times New Roman" w:cs="Times New Roman"/>
          <w:sz w:val="24"/>
          <w:szCs w:val="24"/>
          <w:lang w:val="en-US" w:eastAsia="nl-NL"/>
        </w:rPr>
      </w:pPr>
    </w:p>
    <w:p w:rsidR="00131C52" w:rsidRDefault="00131C52" w:rsidP="00F21F0F">
      <w:pPr>
        <w:autoSpaceDE w:val="0"/>
        <w:autoSpaceDN w:val="0"/>
        <w:adjustRightInd w:val="0"/>
        <w:spacing w:after="0" w:line="400" w:lineRule="atLeast"/>
        <w:rPr>
          <w:rFonts w:ascii="Times New Roman" w:hAnsi="Times New Roman" w:cs="Times New Roman"/>
          <w:sz w:val="24"/>
          <w:szCs w:val="24"/>
          <w:lang w:val="en-US" w:eastAsia="nl-NL"/>
        </w:rPr>
      </w:pPr>
    </w:p>
    <w:p w:rsidR="00131C52" w:rsidRPr="00F21F0F" w:rsidRDefault="00131C52" w:rsidP="00F21F0F">
      <w:pPr>
        <w:autoSpaceDE w:val="0"/>
        <w:autoSpaceDN w:val="0"/>
        <w:adjustRightInd w:val="0"/>
        <w:spacing w:after="0" w:line="400" w:lineRule="atLeast"/>
        <w:rPr>
          <w:rFonts w:ascii="Times New Roman" w:hAnsi="Times New Roman" w:cs="Times New Roman"/>
          <w:sz w:val="24"/>
          <w:szCs w:val="24"/>
          <w:lang w:val="en-US" w:eastAsia="nl-NL"/>
        </w:rPr>
      </w:pPr>
    </w:p>
    <w:tbl>
      <w:tblPr>
        <w:tblW w:w="64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4"/>
        <w:gridCol w:w="1119"/>
        <w:gridCol w:w="1193"/>
        <w:gridCol w:w="1612"/>
        <w:gridCol w:w="1612"/>
      </w:tblGrid>
      <w:tr w:rsidR="00131C52" w:rsidRPr="000D3EB5" w:rsidTr="00131C52">
        <w:tc>
          <w:tcPr>
            <w:tcW w:w="6407" w:type="dxa"/>
            <w:gridSpan w:val="5"/>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Model Summary</w:t>
            </w:r>
            <w:r w:rsidRPr="000D3EB5">
              <w:rPr>
                <w:rFonts w:ascii="Arial" w:hAnsi="Arial"/>
                <w:b/>
                <w:bCs/>
                <w:color w:val="000000"/>
                <w:sz w:val="18"/>
                <w:szCs w:val="18"/>
                <w:vertAlign w:val="superscript"/>
              </w:rPr>
              <w:t>b</w:t>
            </w:r>
          </w:p>
        </w:tc>
      </w:tr>
      <w:tr w:rsidR="00131C52" w:rsidRPr="0013388B"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118" w:type="dxa"/>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w:t>
            </w:r>
          </w:p>
        </w:tc>
        <w:tc>
          <w:tcPr>
            <w:tcW w:w="1192"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 Square</w:t>
            </w:r>
          </w:p>
        </w:tc>
        <w:tc>
          <w:tcPr>
            <w:tcW w:w="1611"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Adjusted R Square</w:t>
            </w:r>
          </w:p>
        </w:tc>
        <w:tc>
          <w:tcPr>
            <w:tcW w:w="1611" w:type="dxa"/>
            <w:tcBorders>
              <w:top w:val="single" w:sz="16" w:space="0" w:color="000000"/>
              <w:bottom w:val="single" w:sz="16" w:space="0" w:color="000000"/>
              <w:right w:val="single" w:sz="16" w:space="0" w:color="000000"/>
            </w:tcBorders>
            <w:shd w:val="clear" w:color="auto" w:fill="FFFFFF"/>
            <w:vAlign w:val="bottom"/>
          </w:tcPr>
          <w:p w:rsidR="00131C52" w:rsidRPr="00131C52" w:rsidRDefault="00131C52" w:rsidP="00131C52">
            <w:pPr>
              <w:autoSpaceDE w:val="0"/>
              <w:autoSpaceDN w:val="0"/>
              <w:adjustRightInd w:val="0"/>
              <w:spacing w:after="0" w:line="320" w:lineRule="atLeast"/>
              <w:ind w:left="60" w:right="60"/>
              <w:jc w:val="center"/>
              <w:rPr>
                <w:rFonts w:ascii="Arial" w:hAnsi="Arial"/>
                <w:color w:val="000000"/>
                <w:sz w:val="18"/>
                <w:szCs w:val="18"/>
                <w:lang w:val="en-US"/>
              </w:rPr>
            </w:pPr>
            <w:r w:rsidRPr="00131C52">
              <w:rPr>
                <w:rFonts w:ascii="Arial" w:hAnsi="Arial"/>
                <w:color w:val="000000"/>
                <w:sz w:val="18"/>
                <w:szCs w:val="18"/>
                <w:lang w:val="en-US"/>
              </w:rPr>
              <w:t>Std. Error of the Estimate</w:t>
            </w:r>
          </w:p>
        </w:tc>
      </w:tr>
      <w:tr w:rsidR="00131C52" w:rsidRPr="000D3EB5" w:rsidTr="00131C52">
        <w:tc>
          <w:tcPr>
            <w:tcW w:w="875" w:type="dxa"/>
            <w:tcBorders>
              <w:top w:val="single" w:sz="16" w:space="0" w:color="000000"/>
              <w:left w:val="single" w:sz="16" w:space="0" w:color="000000"/>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18" w:type="dxa"/>
            <w:tcBorders>
              <w:top w:val="single" w:sz="16" w:space="0" w:color="000000"/>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.168</w:t>
            </w:r>
            <w:r w:rsidRPr="000D3EB5">
              <w:rPr>
                <w:rFonts w:ascii="Arial" w:hAnsi="Arial"/>
                <w:color w:val="000000"/>
                <w:sz w:val="18"/>
                <w:szCs w:val="18"/>
                <w:vertAlign w:val="superscript"/>
              </w:rPr>
              <w:t>a</w:t>
            </w:r>
          </w:p>
        </w:tc>
        <w:tc>
          <w:tcPr>
            <w:tcW w:w="1192" w:type="dxa"/>
            <w:tcBorders>
              <w:top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.028</w:t>
            </w:r>
          </w:p>
        </w:tc>
        <w:tc>
          <w:tcPr>
            <w:tcW w:w="1611" w:type="dxa"/>
            <w:tcBorders>
              <w:top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1611" w:type="dxa"/>
            <w:tcBorders>
              <w:top w:val="single" w:sz="16" w:space="0" w:color="000000"/>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.10356</w:t>
            </w:r>
          </w:p>
        </w:tc>
      </w:tr>
      <w:tr w:rsidR="00131C52" w:rsidRPr="000D3EB5" w:rsidTr="00131C52">
        <w:tc>
          <w:tcPr>
            <w:tcW w:w="6407" w:type="dxa"/>
            <w:gridSpan w:val="5"/>
            <w:tcBorders>
              <w:top w:val="nil"/>
              <w:left w:val="nil"/>
              <w:bottom w:val="nil"/>
              <w:right w:val="nil"/>
            </w:tcBorders>
            <w:shd w:val="clear" w:color="auto" w:fill="FFFFFF"/>
          </w:tcPr>
          <w:p w:rsidR="00131C52" w:rsidRPr="00131C52" w:rsidRDefault="00131C52" w:rsidP="00131C52">
            <w:pPr>
              <w:autoSpaceDE w:val="0"/>
              <w:autoSpaceDN w:val="0"/>
              <w:adjustRightInd w:val="0"/>
              <w:spacing w:after="0" w:line="320" w:lineRule="atLeast"/>
              <w:ind w:left="60" w:right="60"/>
              <w:rPr>
                <w:rFonts w:ascii="Arial" w:hAnsi="Arial"/>
                <w:color w:val="000000"/>
                <w:sz w:val="18"/>
                <w:szCs w:val="18"/>
                <w:lang w:val="en-US"/>
              </w:rPr>
            </w:pPr>
            <w:r w:rsidRPr="00131C52">
              <w:rPr>
                <w:rFonts w:ascii="Arial" w:hAnsi="Arial"/>
                <w:color w:val="000000"/>
                <w:sz w:val="18"/>
                <w:szCs w:val="18"/>
                <w:lang w:val="en-US"/>
              </w:rPr>
              <w:t>a. Predictors: (Constant), Country, Accounting Standard, Size</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b. </w:t>
            </w:r>
            <w:r>
              <w:rPr>
                <w:rFonts w:ascii="Arial" w:hAnsi="Arial"/>
                <w:color w:val="000000"/>
                <w:sz w:val="18"/>
                <w:szCs w:val="18"/>
              </w:rPr>
              <w:t>Dependent Variable: Discretionary Accruals</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tc>
      </w:tr>
    </w:tbl>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tbl>
      <w:tblPr>
        <w:tblW w:w="872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6"/>
        <w:gridCol w:w="1409"/>
        <w:gridCol w:w="1611"/>
        <w:gridCol w:w="1117"/>
        <w:gridCol w:w="1547"/>
        <w:gridCol w:w="1119"/>
        <w:gridCol w:w="1119"/>
      </w:tblGrid>
      <w:tr w:rsidR="00131C52" w:rsidRPr="000D3EB5" w:rsidTr="00131C52">
        <w:tc>
          <w:tcPr>
            <w:tcW w:w="8728" w:type="dxa"/>
            <w:gridSpan w:val="7"/>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ANOVA</w:t>
            </w:r>
            <w:r w:rsidRPr="000D3EB5">
              <w:rPr>
                <w:rFonts w:ascii="Arial" w:hAnsi="Arial"/>
                <w:b/>
                <w:bCs/>
                <w:color w:val="000000"/>
                <w:sz w:val="18"/>
                <w:szCs w:val="18"/>
                <w:vertAlign w:val="superscript"/>
              </w:rPr>
              <w:t>b</w:t>
            </w:r>
          </w:p>
        </w:tc>
      </w:tr>
      <w:tr w:rsidR="00131C52" w:rsidRPr="000D3EB5" w:rsidTr="00131C52">
        <w:tc>
          <w:tcPr>
            <w:tcW w:w="221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611" w:type="dxa"/>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Sum of Squares</w:t>
            </w:r>
          </w:p>
        </w:tc>
        <w:tc>
          <w:tcPr>
            <w:tcW w:w="1117"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df</w:t>
            </w:r>
          </w:p>
        </w:tc>
        <w:tc>
          <w:tcPr>
            <w:tcW w:w="1547"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Mean Square</w:t>
            </w:r>
          </w:p>
        </w:tc>
        <w:tc>
          <w:tcPr>
            <w:tcW w:w="1119" w:type="dxa"/>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F</w:t>
            </w:r>
          </w:p>
        </w:tc>
        <w:tc>
          <w:tcPr>
            <w:tcW w:w="1119" w:type="dxa"/>
            <w:tcBorders>
              <w:top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r>
      <w:tr w:rsidR="00131C52" w:rsidRPr="000D3EB5" w:rsidTr="00131C52">
        <w:tc>
          <w:tcPr>
            <w:tcW w:w="806" w:type="dxa"/>
            <w:vMerge w:val="restart"/>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409" w:type="dxa"/>
            <w:tcBorders>
              <w:top w:val="single" w:sz="16" w:space="0" w:color="000000"/>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Regression</w:t>
            </w:r>
          </w:p>
        </w:tc>
        <w:tc>
          <w:tcPr>
            <w:tcW w:w="1611" w:type="dxa"/>
            <w:tcBorders>
              <w:top w:val="single" w:sz="16" w:space="0" w:color="000000"/>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.165</w:t>
            </w:r>
          </w:p>
        </w:tc>
        <w:tc>
          <w:tcPr>
            <w:tcW w:w="1117"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w:t>
            </w:r>
          </w:p>
        </w:tc>
        <w:tc>
          <w:tcPr>
            <w:tcW w:w="1547"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.055</w:t>
            </w:r>
          </w:p>
        </w:tc>
        <w:tc>
          <w:tcPr>
            <w:tcW w:w="1119"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5.118</w:t>
            </w:r>
          </w:p>
        </w:tc>
        <w:tc>
          <w:tcPr>
            <w:tcW w:w="1119" w:type="dxa"/>
            <w:tcBorders>
              <w:top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.002</w:t>
            </w:r>
            <w:r w:rsidRPr="000D3EB5">
              <w:rPr>
                <w:rFonts w:ascii="Arial" w:hAnsi="Arial"/>
                <w:color w:val="000000"/>
                <w:sz w:val="18"/>
                <w:szCs w:val="18"/>
                <w:vertAlign w:val="superscript"/>
              </w:rPr>
              <w:t>a</w:t>
            </w:r>
          </w:p>
        </w:tc>
      </w:tr>
      <w:tr w:rsidR="00131C52" w:rsidRPr="000D3EB5" w:rsidTr="00131C52">
        <w:tc>
          <w:tcPr>
            <w:tcW w:w="806"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409"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Residual</w:t>
            </w:r>
          </w:p>
        </w:tc>
        <w:tc>
          <w:tcPr>
            <w:tcW w:w="1611"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5.684</w:t>
            </w:r>
          </w:p>
        </w:tc>
        <w:tc>
          <w:tcPr>
            <w:tcW w:w="1117"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530</w:t>
            </w:r>
          </w:p>
        </w:tc>
        <w:tc>
          <w:tcPr>
            <w:tcW w:w="1547"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.011</w:t>
            </w:r>
          </w:p>
        </w:tc>
        <w:tc>
          <w:tcPr>
            <w:tcW w:w="1119" w:type="dxa"/>
            <w:tcBorders>
              <w:top w:val="nil"/>
              <w:bottom w:val="nil"/>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nil"/>
              <w:right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r>
      <w:tr w:rsidR="00131C52" w:rsidRPr="000D3EB5" w:rsidTr="00131C52">
        <w:tc>
          <w:tcPr>
            <w:tcW w:w="806"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Times New Roman" w:hAnsi="Times New Roman" w:cs="Times New Roman"/>
                <w:sz w:val="24"/>
                <w:szCs w:val="24"/>
              </w:rPr>
            </w:pPr>
          </w:p>
        </w:tc>
        <w:tc>
          <w:tcPr>
            <w:tcW w:w="1409" w:type="dxa"/>
            <w:tcBorders>
              <w:top w:val="nil"/>
              <w:left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Total</w:t>
            </w:r>
          </w:p>
        </w:tc>
        <w:tc>
          <w:tcPr>
            <w:tcW w:w="1611" w:type="dxa"/>
            <w:tcBorders>
              <w:top w:val="nil"/>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5.848</w:t>
            </w:r>
          </w:p>
        </w:tc>
        <w:tc>
          <w:tcPr>
            <w:tcW w:w="1117"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533</w:t>
            </w:r>
          </w:p>
        </w:tc>
        <w:tc>
          <w:tcPr>
            <w:tcW w:w="1547" w:type="dxa"/>
            <w:tcBorders>
              <w:top w:val="nil"/>
              <w:bottom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1119" w:type="dxa"/>
            <w:tcBorders>
              <w:top w:val="nil"/>
              <w:bottom w:val="single" w:sz="16" w:space="0" w:color="000000"/>
              <w:right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r>
      <w:tr w:rsidR="00131C52" w:rsidRPr="000D3EB5" w:rsidTr="00131C52">
        <w:tc>
          <w:tcPr>
            <w:tcW w:w="8728" w:type="dxa"/>
            <w:gridSpan w:val="7"/>
            <w:tcBorders>
              <w:top w:val="nil"/>
              <w:left w:val="nil"/>
              <w:bottom w:val="nil"/>
              <w:right w:val="nil"/>
            </w:tcBorders>
            <w:shd w:val="clear" w:color="auto" w:fill="FFFFFF"/>
          </w:tcPr>
          <w:p w:rsidR="00131C52" w:rsidRPr="00131C52" w:rsidRDefault="00131C52" w:rsidP="00131C52">
            <w:pPr>
              <w:autoSpaceDE w:val="0"/>
              <w:autoSpaceDN w:val="0"/>
              <w:adjustRightInd w:val="0"/>
              <w:spacing w:after="0" w:line="320" w:lineRule="atLeast"/>
              <w:ind w:left="60" w:right="60"/>
              <w:rPr>
                <w:rFonts w:ascii="Arial" w:hAnsi="Arial"/>
                <w:color w:val="000000"/>
                <w:sz w:val="18"/>
                <w:szCs w:val="18"/>
                <w:lang w:val="en-US"/>
              </w:rPr>
            </w:pPr>
            <w:r w:rsidRPr="00131C52">
              <w:rPr>
                <w:rFonts w:ascii="Arial" w:hAnsi="Arial"/>
                <w:color w:val="000000"/>
                <w:sz w:val="18"/>
                <w:szCs w:val="18"/>
                <w:lang w:val="en-US"/>
              </w:rPr>
              <w:t>a. Predictors: (Constant), Country, Accounting Standard, Size</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b. </w:t>
            </w:r>
            <w:r>
              <w:rPr>
                <w:rFonts w:ascii="Arial" w:hAnsi="Arial"/>
                <w:color w:val="000000"/>
                <w:sz w:val="18"/>
                <w:szCs w:val="18"/>
              </w:rPr>
              <w:t>Dependent Variable: Discretionary Accruals</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tc>
      </w:tr>
    </w:tbl>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tbl>
      <w:tblPr>
        <w:tblW w:w="1065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26"/>
        <w:gridCol w:w="1842"/>
        <w:gridCol w:w="567"/>
        <w:gridCol w:w="851"/>
        <w:gridCol w:w="1276"/>
        <w:gridCol w:w="708"/>
        <w:gridCol w:w="709"/>
        <w:gridCol w:w="1012"/>
        <w:gridCol w:w="850"/>
        <w:gridCol w:w="709"/>
        <w:gridCol w:w="992"/>
        <w:gridCol w:w="710"/>
      </w:tblGrid>
      <w:tr w:rsidR="00131C52" w:rsidRPr="000D3EB5" w:rsidTr="006F4FB2">
        <w:trPr>
          <w:jc w:val="center"/>
        </w:trPr>
        <w:tc>
          <w:tcPr>
            <w:tcW w:w="10652" w:type="dxa"/>
            <w:gridSpan w:val="12"/>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Coefficients</w:t>
            </w:r>
            <w:r w:rsidRPr="000D3EB5">
              <w:rPr>
                <w:rFonts w:ascii="Arial" w:hAnsi="Arial"/>
                <w:b/>
                <w:bCs/>
                <w:color w:val="000000"/>
                <w:sz w:val="18"/>
                <w:szCs w:val="18"/>
                <w:vertAlign w:val="superscript"/>
              </w:rPr>
              <w:t>a</w:t>
            </w:r>
          </w:p>
        </w:tc>
      </w:tr>
      <w:tr w:rsidR="00131C52" w:rsidRPr="000D3EB5" w:rsidTr="006F4FB2">
        <w:trPr>
          <w:jc w:val="center"/>
        </w:trPr>
        <w:tc>
          <w:tcPr>
            <w:tcW w:w="2268"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418" w:type="dxa"/>
            <w:gridSpan w:val="2"/>
            <w:tcBorders>
              <w:top w:val="single" w:sz="16" w:space="0" w:color="000000"/>
              <w:lef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Unstandardized Coefficients</w:t>
            </w:r>
          </w:p>
        </w:tc>
        <w:tc>
          <w:tcPr>
            <w:tcW w:w="1276" w:type="dxa"/>
            <w:tcBorders>
              <w:top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Standardized Coefficients</w:t>
            </w:r>
          </w:p>
        </w:tc>
        <w:tc>
          <w:tcPr>
            <w:tcW w:w="708" w:type="dxa"/>
            <w:vMerge w:val="restart"/>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w:t>
            </w:r>
          </w:p>
        </w:tc>
        <w:tc>
          <w:tcPr>
            <w:tcW w:w="709" w:type="dxa"/>
            <w:vMerge w:val="restart"/>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Sig.</w:t>
            </w:r>
          </w:p>
        </w:tc>
        <w:tc>
          <w:tcPr>
            <w:tcW w:w="2571" w:type="dxa"/>
            <w:gridSpan w:val="3"/>
            <w:tcBorders>
              <w:top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Correlations</w:t>
            </w:r>
          </w:p>
        </w:tc>
        <w:tc>
          <w:tcPr>
            <w:tcW w:w="1702" w:type="dxa"/>
            <w:gridSpan w:val="2"/>
            <w:tcBorders>
              <w:top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Collinearity Statistics</w:t>
            </w:r>
          </w:p>
        </w:tc>
      </w:tr>
      <w:tr w:rsidR="00131C52" w:rsidRPr="000D3EB5" w:rsidTr="006F4FB2">
        <w:trPr>
          <w:jc w:val="center"/>
        </w:trPr>
        <w:tc>
          <w:tcPr>
            <w:tcW w:w="2268"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567" w:type="dxa"/>
            <w:tcBorders>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w:t>
            </w:r>
          </w:p>
        </w:tc>
        <w:tc>
          <w:tcPr>
            <w:tcW w:w="851" w:type="dxa"/>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Error</w:t>
            </w:r>
          </w:p>
        </w:tc>
        <w:tc>
          <w:tcPr>
            <w:tcW w:w="1276" w:type="dxa"/>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Beta</w:t>
            </w:r>
          </w:p>
        </w:tc>
        <w:tc>
          <w:tcPr>
            <w:tcW w:w="708" w:type="dxa"/>
            <w:vMerge/>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709" w:type="dxa"/>
            <w:vMerge/>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012" w:type="dxa"/>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Zero-order</w:t>
            </w:r>
          </w:p>
        </w:tc>
        <w:tc>
          <w:tcPr>
            <w:tcW w:w="850" w:type="dxa"/>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Partial</w:t>
            </w:r>
          </w:p>
        </w:tc>
        <w:tc>
          <w:tcPr>
            <w:tcW w:w="709" w:type="dxa"/>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Part</w:t>
            </w:r>
          </w:p>
        </w:tc>
        <w:tc>
          <w:tcPr>
            <w:tcW w:w="992" w:type="dxa"/>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Tolerance</w:t>
            </w:r>
          </w:p>
        </w:tc>
        <w:tc>
          <w:tcPr>
            <w:tcW w:w="710" w:type="dxa"/>
            <w:tcBorders>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VIF</w:t>
            </w:r>
          </w:p>
        </w:tc>
      </w:tr>
      <w:tr w:rsidR="00131C52" w:rsidRPr="000D3EB5" w:rsidTr="006F4FB2">
        <w:trPr>
          <w:jc w:val="center"/>
        </w:trPr>
        <w:tc>
          <w:tcPr>
            <w:tcW w:w="426" w:type="dxa"/>
            <w:vMerge w:val="restart"/>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842" w:type="dxa"/>
            <w:tcBorders>
              <w:top w:val="single" w:sz="16" w:space="0" w:color="000000"/>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(Constant)</w:t>
            </w:r>
          </w:p>
        </w:tc>
        <w:tc>
          <w:tcPr>
            <w:tcW w:w="567" w:type="dxa"/>
            <w:tcBorders>
              <w:top w:val="single" w:sz="16" w:space="0" w:color="000000"/>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.159</w:t>
            </w:r>
          </w:p>
        </w:tc>
        <w:tc>
          <w:tcPr>
            <w:tcW w:w="851"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76" w:type="dxa"/>
            <w:tcBorders>
              <w:top w:val="single" w:sz="16" w:space="0" w:color="000000"/>
              <w:bottom w:val="nil"/>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708"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18.469</w:t>
            </w:r>
          </w:p>
        </w:tc>
        <w:tc>
          <w:tcPr>
            <w:tcW w:w="709" w:type="dxa"/>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.000</w:t>
            </w:r>
          </w:p>
        </w:tc>
        <w:tc>
          <w:tcPr>
            <w:tcW w:w="1012" w:type="dxa"/>
            <w:tcBorders>
              <w:top w:val="single" w:sz="16" w:space="0" w:color="000000"/>
              <w:bottom w:val="nil"/>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850" w:type="dxa"/>
            <w:tcBorders>
              <w:top w:val="single" w:sz="16" w:space="0" w:color="000000"/>
              <w:bottom w:val="nil"/>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709" w:type="dxa"/>
            <w:tcBorders>
              <w:top w:val="single" w:sz="16" w:space="0" w:color="000000"/>
              <w:bottom w:val="nil"/>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992" w:type="dxa"/>
            <w:tcBorders>
              <w:top w:val="single" w:sz="16" w:space="0" w:color="000000"/>
              <w:bottom w:val="nil"/>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c>
          <w:tcPr>
            <w:tcW w:w="710" w:type="dxa"/>
            <w:tcBorders>
              <w:top w:val="single" w:sz="16" w:space="0" w:color="000000"/>
              <w:bottom w:val="nil"/>
              <w:right w:val="single" w:sz="16" w:space="0" w:color="000000"/>
            </w:tcBorders>
            <w:shd w:val="clear" w:color="auto" w:fill="FFFFFF"/>
            <w:vAlign w:val="center"/>
          </w:tcPr>
          <w:p w:rsidR="00131C52" w:rsidRPr="000D3EB5" w:rsidRDefault="00131C52" w:rsidP="00131C52">
            <w:pPr>
              <w:autoSpaceDE w:val="0"/>
              <w:autoSpaceDN w:val="0"/>
              <w:adjustRightInd w:val="0"/>
              <w:spacing w:after="0" w:line="240" w:lineRule="auto"/>
              <w:jc w:val="center"/>
              <w:rPr>
                <w:rFonts w:ascii="Times New Roman" w:hAnsi="Times New Roman" w:cs="Times New Roman"/>
                <w:sz w:val="24"/>
                <w:szCs w:val="24"/>
              </w:rPr>
            </w:pPr>
          </w:p>
        </w:tc>
      </w:tr>
      <w:tr w:rsidR="00131C52" w:rsidRPr="000D3EB5" w:rsidTr="006F4FB2">
        <w:trPr>
          <w:jc w:val="center"/>
        </w:trPr>
        <w:tc>
          <w:tcPr>
            <w:tcW w:w="426"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Times New Roman" w:hAnsi="Times New Roman" w:cs="Times New Roman"/>
                <w:sz w:val="24"/>
                <w:szCs w:val="24"/>
              </w:rPr>
            </w:pPr>
          </w:p>
        </w:tc>
        <w:tc>
          <w:tcPr>
            <w:tcW w:w="1842"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567"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851"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76"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-.111</w:t>
            </w:r>
          </w:p>
        </w:tc>
        <w:tc>
          <w:tcPr>
            <w:tcW w:w="708"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-2.578</w:t>
            </w:r>
          </w:p>
        </w:tc>
        <w:tc>
          <w:tcPr>
            <w:tcW w:w="709"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.010</w:t>
            </w:r>
          </w:p>
        </w:tc>
        <w:tc>
          <w:tcPr>
            <w:tcW w:w="1012"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-.123</w:t>
            </w:r>
          </w:p>
        </w:tc>
        <w:tc>
          <w:tcPr>
            <w:tcW w:w="8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-.111</w:t>
            </w:r>
          </w:p>
        </w:tc>
        <w:tc>
          <w:tcPr>
            <w:tcW w:w="709"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-.110</w:t>
            </w:r>
          </w:p>
        </w:tc>
        <w:tc>
          <w:tcPr>
            <w:tcW w:w="992"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.988</w:t>
            </w:r>
          </w:p>
        </w:tc>
        <w:tc>
          <w:tcPr>
            <w:tcW w:w="710"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1.012</w:t>
            </w:r>
          </w:p>
        </w:tc>
      </w:tr>
      <w:tr w:rsidR="00131C52" w:rsidRPr="000D3EB5" w:rsidTr="006F4FB2">
        <w:trPr>
          <w:jc w:val="center"/>
        </w:trPr>
        <w:tc>
          <w:tcPr>
            <w:tcW w:w="426"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842" w:type="dxa"/>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567"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.004</w:t>
            </w:r>
          </w:p>
        </w:tc>
        <w:tc>
          <w:tcPr>
            <w:tcW w:w="851"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76"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.021</w:t>
            </w:r>
          </w:p>
        </w:tc>
        <w:tc>
          <w:tcPr>
            <w:tcW w:w="708"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.491</w:t>
            </w:r>
          </w:p>
        </w:tc>
        <w:tc>
          <w:tcPr>
            <w:tcW w:w="709"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.624</w:t>
            </w:r>
          </w:p>
        </w:tc>
        <w:tc>
          <w:tcPr>
            <w:tcW w:w="1012"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.023</w:t>
            </w:r>
          </w:p>
        </w:tc>
        <w:tc>
          <w:tcPr>
            <w:tcW w:w="850"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.021</w:t>
            </w:r>
          </w:p>
        </w:tc>
        <w:tc>
          <w:tcPr>
            <w:tcW w:w="709"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.021</w:t>
            </w:r>
          </w:p>
        </w:tc>
        <w:tc>
          <w:tcPr>
            <w:tcW w:w="992" w:type="dxa"/>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710"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r>
      <w:tr w:rsidR="00131C52" w:rsidRPr="000D3EB5" w:rsidTr="006F4FB2">
        <w:trPr>
          <w:jc w:val="center"/>
        </w:trPr>
        <w:tc>
          <w:tcPr>
            <w:tcW w:w="426"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842" w:type="dxa"/>
            <w:tcBorders>
              <w:top w:val="nil"/>
              <w:left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567" w:type="dxa"/>
            <w:tcBorders>
              <w:top w:val="nil"/>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-.024</w:t>
            </w:r>
          </w:p>
        </w:tc>
        <w:tc>
          <w:tcPr>
            <w:tcW w:w="851"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276"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708"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-2.606</w:t>
            </w:r>
          </w:p>
        </w:tc>
        <w:tc>
          <w:tcPr>
            <w:tcW w:w="709"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.009</w:t>
            </w:r>
          </w:p>
        </w:tc>
        <w:tc>
          <w:tcPr>
            <w:tcW w:w="1012"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-.124</w:t>
            </w:r>
          </w:p>
        </w:tc>
        <w:tc>
          <w:tcPr>
            <w:tcW w:w="850"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709"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-.112</w:t>
            </w:r>
          </w:p>
        </w:tc>
        <w:tc>
          <w:tcPr>
            <w:tcW w:w="992" w:type="dxa"/>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.988</w:t>
            </w:r>
          </w:p>
        </w:tc>
        <w:tc>
          <w:tcPr>
            <w:tcW w:w="710" w:type="dxa"/>
            <w:tcBorders>
              <w:top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1.012</w:t>
            </w:r>
          </w:p>
        </w:tc>
      </w:tr>
      <w:tr w:rsidR="00131C52" w:rsidRPr="000D3EB5" w:rsidTr="006F4FB2">
        <w:trPr>
          <w:jc w:val="center"/>
        </w:trPr>
        <w:tc>
          <w:tcPr>
            <w:tcW w:w="10652" w:type="dxa"/>
            <w:gridSpan w:val="12"/>
            <w:tcBorders>
              <w:top w:val="nil"/>
              <w:left w:val="nil"/>
              <w:bottom w:val="nil"/>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a. Dependent Variable: </w:t>
            </w:r>
            <w:r>
              <w:rPr>
                <w:rFonts w:ascii="Arial" w:hAnsi="Arial"/>
                <w:color w:val="000000"/>
                <w:sz w:val="18"/>
                <w:szCs w:val="18"/>
              </w:rPr>
              <w:t>Discretionary Accruals</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tc>
      </w:tr>
    </w:tbl>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tbl>
      <w:tblPr>
        <w:tblW w:w="970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5"/>
        <w:gridCol w:w="755"/>
        <w:gridCol w:w="355"/>
        <w:gridCol w:w="1134"/>
        <w:gridCol w:w="75"/>
        <w:gridCol w:w="1484"/>
        <w:gridCol w:w="126"/>
        <w:gridCol w:w="1008"/>
        <w:gridCol w:w="604"/>
        <w:gridCol w:w="388"/>
        <w:gridCol w:w="773"/>
        <w:gridCol w:w="1354"/>
        <w:gridCol w:w="771"/>
      </w:tblGrid>
      <w:tr w:rsidR="00131C52" w:rsidRPr="000D3EB5" w:rsidTr="006F4FB2">
        <w:trPr>
          <w:jc w:val="center"/>
        </w:trPr>
        <w:tc>
          <w:tcPr>
            <w:tcW w:w="9702" w:type="dxa"/>
            <w:gridSpan w:val="13"/>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Collinearity Diagnostics</w:t>
            </w:r>
            <w:r w:rsidRPr="000D3EB5">
              <w:rPr>
                <w:rFonts w:ascii="Arial" w:hAnsi="Arial"/>
                <w:b/>
                <w:bCs/>
                <w:color w:val="000000"/>
                <w:sz w:val="18"/>
                <w:szCs w:val="18"/>
                <w:vertAlign w:val="superscript"/>
              </w:rPr>
              <w:t>a</w:t>
            </w:r>
          </w:p>
        </w:tc>
      </w:tr>
      <w:tr w:rsidR="00131C52" w:rsidRPr="000D3EB5" w:rsidTr="006F4FB2">
        <w:trPr>
          <w:jc w:val="center"/>
        </w:trPr>
        <w:tc>
          <w:tcPr>
            <w:tcW w:w="875" w:type="dxa"/>
            <w:vMerge w:val="restart"/>
            <w:tcBorders>
              <w:top w:val="single" w:sz="16" w:space="0" w:color="000000"/>
              <w:left w:val="single" w:sz="16" w:space="0" w:color="000000"/>
              <w:bottom w:val="single" w:sz="16" w:space="0" w:color="000000"/>
              <w:right w:val="nil"/>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Model</w:t>
            </w:r>
          </w:p>
        </w:tc>
        <w:tc>
          <w:tcPr>
            <w:tcW w:w="1110" w:type="dxa"/>
            <w:gridSpan w:val="2"/>
            <w:vMerge w:val="restart"/>
            <w:tcBorders>
              <w:top w:val="single" w:sz="16" w:space="0" w:color="000000"/>
              <w:left w:val="nil"/>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Dimension</w:t>
            </w:r>
          </w:p>
        </w:tc>
        <w:tc>
          <w:tcPr>
            <w:tcW w:w="1134" w:type="dxa"/>
            <w:vMerge w:val="restart"/>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Eigenvalue</w:t>
            </w:r>
          </w:p>
        </w:tc>
        <w:tc>
          <w:tcPr>
            <w:tcW w:w="1559" w:type="dxa"/>
            <w:gridSpan w:val="2"/>
            <w:vMerge w:val="restart"/>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Condition Index</w:t>
            </w:r>
          </w:p>
        </w:tc>
        <w:tc>
          <w:tcPr>
            <w:tcW w:w="5024" w:type="dxa"/>
            <w:gridSpan w:val="7"/>
            <w:tcBorders>
              <w:top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Variance Proportions</w:t>
            </w:r>
          </w:p>
        </w:tc>
      </w:tr>
      <w:tr w:rsidR="00131C52" w:rsidRPr="000D3EB5" w:rsidTr="006F4FB2">
        <w:trPr>
          <w:jc w:val="center"/>
        </w:trPr>
        <w:tc>
          <w:tcPr>
            <w:tcW w:w="875" w:type="dxa"/>
            <w:vMerge/>
            <w:tcBorders>
              <w:top w:val="single" w:sz="16" w:space="0" w:color="000000"/>
              <w:left w:val="single" w:sz="16" w:space="0" w:color="000000"/>
              <w:bottom w:val="single" w:sz="16" w:space="0" w:color="000000"/>
              <w:right w:val="nil"/>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110" w:type="dxa"/>
            <w:gridSpan w:val="2"/>
            <w:vMerge/>
            <w:tcBorders>
              <w:top w:val="single" w:sz="16" w:space="0" w:color="000000"/>
              <w:left w:val="nil"/>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134" w:type="dxa"/>
            <w:vMerge/>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559" w:type="dxa"/>
            <w:gridSpan w:val="2"/>
            <w:vMerge/>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134" w:type="dxa"/>
            <w:gridSpan w:val="2"/>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(Constant)</w:t>
            </w:r>
          </w:p>
        </w:tc>
        <w:tc>
          <w:tcPr>
            <w:tcW w:w="992" w:type="dxa"/>
            <w:gridSpan w:val="2"/>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Country</w:t>
            </w:r>
          </w:p>
        </w:tc>
        <w:tc>
          <w:tcPr>
            <w:tcW w:w="2127" w:type="dxa"/>
            <w:gridSpan w:val="2"/>
            <w:tcBorders>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Accounting Standard</w:t>
            </w:r>
          </w:p>
        </w:tc>
        <w:tc>
          <w:tcPr>
            <w:tcW w:w="771" w:type="dxa"/>
            <w:tcBorders>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Size</w:t>
            </w:r>
          </w:p>
        </w:tc>
      </w:tr>
      <w:tr w:rsidR="00131C52" w:rsidRPr="000D3EB5" w:rsidTr="006F4FB2">
        <w:trPr>
          <w:jc w:val="center"/>
        </w:trPr>
        <w:tc>
          <w:tcPr>
            <w:tcW w:w="875" w:type="dxa"/>
            <w:vMerge w:val="restart"/>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10" w:type="dxa"/>
            <w:gridSpan w:val="2"/>
            <w:tcBorders>
              <w:top w:val="single" w:sz="16" w:space="0" w:color="000000"/>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w:t>
            </w:r>
          </w:p>
        </w:tc>
        <w:tc>
          <w:tcPr>
            <w:tcW w:w="1134" w:type="dxa"/>
            <w:tcBorders>
              <w:top w:val="single" w:sz="16" w:space="0" w:color="000000"/>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2.809</w:t>
            </w:r>
          </w:p>
        </w:tc>
        <w:tc>
          <w:tcPr>
            <w:tcW w:w="1559" w:type="dxa"/>
            <w:gridSpan w:val="2"/>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1.000</w:t>
            </w:r>
          </w:p>
        </w:tc>
        <w:tc>
          <w:tcPr>
            <w:tcW w:w="1134" w:type="dxa"/>
            <w:gridSpan w:val="2"/>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.03</w:t>
            </w:r>
          </w:p>
        </w:tc>
        <w:tc>
          <w:tcPr>
            <w:tcW w:w="992" w:type="dxa"/>
            <w:gridSpan w:val="2"/>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c>
          <w:tcPr>
            <w:tcW w:w="2127" w:type="dxa"/>
            <w:gridSpan w:val="2"/>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c>
          <w:tcPr>
            <w:tcW w:w="771" w:type="dxa"/>
            <w:tcBorders>
              <w:top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r>
      <w:tr w:rsidR="00131C52" w:rsidRPr="000D3EB5" w:rsidTr="006F4FB2">
        <w:trPr>
          <w:jc w:val="center"/>
        </w:trPr>
        <w:tc>
          <w:tcPr>
            <w:tcW w:w="875"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110" w:type="dxa"/>
            <w:gridSpan w:val="2"/>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2</w:t>
            </w:r>
          </w:p>
        </w:tc>
        <w:tc>
          <w:tcPr>
            <w:tcW w:w="1134"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.540</w:t>
            </w:r>
          </w:p>
        </w:tc>
        <w:tc>
          <w:tcPr>
            <w:tcW w:w="1559"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2.282</w:t>
            </w:r>
          </w:p>
        </w:tc>
        <w:tc>
          <w:tcPr>
            <w:tcW w:w="1134"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w:t>
            </w:r>
          </w:p>
        </w:tc>
        <w:tc>
          <w:tcPr>
            <w:tcW w:w="992"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.39</w:t>
            </w:r>
          </w:p>
        </w:tc>
        <w:tc>
          <w:tcPr>
            <w:tcW w:w="2127"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.52</w:t>
            </w:r>
          </w:p>
        </w:tc>
        <w:tc>
          <w:tcPr>
            <w:tcW w:w="771"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.04</w:t>
            </w:r>
          </w:p>
        </w:tc>
      </w:tr>
      <w:tr w:rsidR="00131C52" w:rsidRPr="000D3EB5" w:rsidTr="006F4FB2">
        <w:trPr>
          <w:jc w:val="center"/>
        </w:trPr>
        <w:tc>
          <w:tcPr>
            <w:tcW w:w="875"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110" w:type="dxa"/>
            <w:gridSpan w:val="2"/>
            <w:tcBorders>
              <w:top w:val="nil"/>
              <w:left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3</w:t>
            </w:r>
          </w:p>
        </w:tc>
        <w:tc>
          <w:tcPr>
            <w:tcW w:w="1134" w:type="dxa"/>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.461</w:t>
            </w:r>
          </w:p>
        </w:tc>
        <w:tc>
          <w:tcPr>
            <w:tcW w:w="1559"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2.470</w:t>
            </w:r>
          </w:p>
        </w:tc>
        <w:tc>
          <w:tcPr>
            <w:tcW w:w="1134"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.00</w:t>
            </w:r>
          </w:p>
        </w:tc>
        <w:tc>
          <w:tcPr>
            <w:tcW w:w="992"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.39</w:t>
            </w:r>
          </w:p>
        </w:tc>
        <w:tc>
          <w:tcPr>
            <w:tcW w:w="2127"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.07</w:t>
            </w:r>
          </w:p>
        </w:tc>
        <w:tc>
          <w:tcPr>
            <w:tcW w:w="771" w:type="dxa"/>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.63</w:t>
            </w:r>
          </w:p>
        </w:tc>
      </w:tr>
      <w:tr w:rsidR="00131C52" w:rsidRPr="000D3EB5" w:rsidTr="006F4FB2">
        <w:trPr>
          <w:jc w:val="center"/>
        </w:trPr>
        <w:tc>
          <w:tcPr>
            <w:tcW w:w="875" w:type="dxa"/>
            <w:vMerge/>
            <w:tcBorders>
              <w:top w:val="single" w:sz="16" w:space="0" w:color="000000"/>
              <w:left w:val="single" w:sz="16" w:space="0" w:color="000000"/>
              <w:bottom w:val="single" w:sz="16" w:space="0" w:color="000000"/>
              <w:right w:val="nil"/>
            </w:tcBorders>
            <w:shd w:val="clear" w:color="auto" w:fill="FFFFFF"/>
          </w:tcPr>
          <w:p w:rsidR="00131C52" w:rsidRPr="000D3EB5" w:rsidRDefault="00131C52" w:rsidP="00131C52">
            <w:pPr>
              <w:autoSpaceDE w:val="0"/>
              <w:autoSpaceDN w:val="0"/>
              <w:adjustRightInd w:val="0"/>
              <w:spacing w:after="0" w:line="240" w:lineRule="auto"/>
              <w:rPr>
                <w:rFonts w:ascii="Arial" w:hAnsi="Arial"/>
                <w:color w:val="000000"/>
                <w:sz w:val="18"/>
                <w:szCs w:val="18"/>
              </w:rPr>
            </w:pPr>
          </w:p>
        </w:tc>
        <w:tc>
          <w:tcPr>
            <w:tcW w:w="1110" w:type="dxa"/>
            <w:gridSpan w:val="2"/>
            <w:tcBorders>
              <w:top w:val="nil"/>
              <w:left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4</w:t>
            </w:r>
          </w:p>
        </w:tc>
        <w:tc>
          <w:tcPr>
            <w:tcW w:w="1134" w:type="dxa"/>
            <w:tcBorders>
              <w:top w:val="nil"/>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.191</w:t>
            </w:r>
          </w:p>
        </w:tc>
        <w:tc>
          <w:tcPr>
            <w:tcW w:w="1559" w:type="dxa"/>
            <w:gridSpan w:val="2"/>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3.834</w:t>
            </w:r>
          </w:p>
        </w:tc>
        <w:tc>
          <w:tcPr>
            <w:tcW w:w="1134" w:type="dxa"/>
            <w:gridSpan w:val="2"/>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.97</w:t>
            </w:r>
          </w:p>
        </w:tc>
        <w:tc>
          <w:tcPr>
            <w:tcW w:w="992" w:type="dxa"/>
            <w:gridSpan w:val="2"/>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.17</w:t>
            </w:r>
          </w:p>
        </w:tc>
        <w:tc>
          <w:tcPr>
            <w:tcW w:w="2127" w:type="dxa"/>
            <w:gridSpan w:val="2"/>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.36</w:t>
            </w:r>
          </w:p>
        </w:tc>
        <w:tc>
          <w:tcPr>
            <w:tcW w:w="771" w:type="dxa"/>
            <w:tcBorders>
              <w:top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.29</w:t>
            </w:r>
          </w:p>
        </w:tc>
      </w:tr>
      <w:tr w:rsidR="00131C52" w:rsidRPr="000D3EB5" w:rsidTr="006F4FB2">
        <w:trPr>
          <w:jc w:val="center"/>
        </w:trPr>
        <w:tc>
          <w:tcPr>
            <w:tcW w:w="9702" w:type="dxa"/>
            <w:gridSpan w:val="13"/>
            <w:tcBorders>
              <w:top w:val="nil"/>
              <w:left w:val="nil"/>
              <w:bottom w:val="nil"/>
              <w:right w:val="nil"/>
            </w:tcBorders>
            <w:shd w:val="clear" w:color="auto" w:fill="FFFFFF"/>
          </w:tcPr>
          <w:p w:rsidR="00131C52"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a. Depende</w:t>
            </w:r>
            <w:r>
              <w:rPr>
                <w:rFonts w:ascii="Arial" w:hAnsi="Arial"/>
                <w:color w:val="000000"/>
                <w:sz w:val="18"/>
                <w:szCs w:val="18"/>
              </w:rPr>
              <w:t>nt Variable: Discretionary Accruals</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p w:rsidR="00131C52" w:rsidRDefault="00131C52" w:rsidP="00131C52">
            <w:pPr>
              <w:autoSpaceDE w:val="0"/>
              <w:autoSpaceDN w:val="0"/>
              <w:adjustRightInd w:val="0"/>
              <w:spacing w:after="0" w:line="320" w:lineRule="atLeast"/>
              <w:ind w:left="60" w:right="60"/>
              <w:rPr>
                <w:rFonts w:ascii="Arial" w:hAnsi="Arial"/>
                <w:color w:val="000000"/>
                <w:sz w:val="18"/>
                <w:szCs w:val="18"/>
              </w:rPr>
            </w:pP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tc>
      </w:tr>
      <w:tr w:rsidR="00131C52" w:rsidRPr="000D3EB5" w:rsidTr="006F4FB2">
        <w:trPr>
          <w:gridAfter w:val="2"/>
          <w:wAfter w:w="2125" w:type="dxa"/>
          <w:jc w:val="center"/>
        </w:trPr>
        <w:tc>
          <w:tcPr>
            <w:tcW w:w="7577" w:type="dxa"/>
            <w:gridSpan w:val="11"/>
            <w:tcBorders>
              <w:top w:val="nil"/>
              <w:left w:val="nil"/>
              <w:bottom w:val="nil"/>
              <w:right w:val="nil"/>
            </w:tcBorders>
            <w:shd w:val="clear" w:color="auto" w:fill="FFFFFF"/>
            <w:vAlign w:val="center"/>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b/>
                <w:bCs/>
                <w:color w:val="000000"/>
                <w:sz w:val="18"/>
                <w:szCs w:val="18"/>
              </w:rPr>
              <w:t>Casewise Diagnostics</w:t>
            </w:r>
            <w:r w:rsidRPr="000D3EB5">
              <w:rPr>
                <w:rFonts w:ascii="Arial" w:hAnsi="Arial"/>
                <w:b/>
                <w:bCs/>
                <w:color w:val="000000"/>
                <w:sz w:val="18"/>
                <w:szCs w:val="18"/>
                <w:vertAlign w:val="superscript"/>
              </w:rPr>
              <w:t>a</w:t>
            </w:r>
          </w:p>
        </w:tc>
      </w:tr>
      <w:tr w:rsidR="00131C52" w:rsidRPr="000D3EB5" w:rsidTr="006F4FB2">
        <w:trPr>
          <w:gridAfter w:val="2"/>
          <w:wAfter w:w="2125" w:type="dxa"/>
          <w:jc w:val="center"/>
        </w:trPr>
        <w:tc>
          <w:tcPr>
            <w:tcW w:w="1630"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Case Number</w:t>
            </w:r>
          </w:p>
        </w:tc>
        <w:tc>
          <w:tcPr>
            <w:tcW w:w="1564" w:type="dxa"/>
            <w:gridSpan w:val="3"/>
            <w:tcBorders>
              <w:top w:val="single" w:sz="16" w:space="0" w:color="000000"/>
              <w:left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Std. Residual</w:t>
            </w:r>
          </w:p>
        </w:tc>
        <w:tc>
          <w:tcPr>
            <w:tcW w:w="1610" w:type="dxa"/>
            <w:gridSpan w:val="2"/>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Discretionary Accruals</w:t>
            </w:r>
          </w:p>
        </w:tc>
        <w:tc>
          <w:tcPr>
            <w:tcW w:w="1612" w:type="dxa"/>
            <w:gridSpan w:val="2"/>
            <w:tcBorders>
              <w:top w:val="single" w:sz="16" w:space="0" w:color="000000"/>
              <w:bottom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Predicted Value</w:t>
            </w:r>
          </w:p>
        </w:tc>
        <w:tc>
          <w:tcPr>
            <w:tcW w:w="1161" w:type="dxa"/>
            <w:gridSpan w:val="2"/>
            <w:tcBorders>
              <w:top w:val="single" w:sz="16" w:space="0" w:color="000000"/>
              <w:bottom w:val="single" w:sz="16" w:space="0" w:color="000000"/>
              <w:right w:val="single" w:sz="16" w:space="0" w:color="000000"/>
            </w:tcBorders>
            <w:shd w:val="clear" w:color="auto" w:fill="FFFFFF"/>
            <w:vAlign w:val="bottom"/>
          </w:tcPr>
          <w:p w:rsidR="00131C52" w:rsidRPr="000D3EB5" w:rsidRDefault="00131C52" w:rsidP="00131C52">
            <w:pPr>
              <w:autoSpaceDE w:val="0"/>
              <w:autoSpaceDN w:val="0"/>
              <w:adjustRightInd w:val="0"/>
              <w:spacing w:after="0" w:line="320" w:lineRule="atLeast"/>
              <w:ind w:left="60" w:right="60"/>
              <w:jc w:val="center"/>
              <w:rPr>
                <w:rFonts w:ascii="Arial" w:hAnsi="Arial"/>
                <w:color w:val="000000"/>
                <w:sz w:val="18"/>
                <w:szCs w:val="18"/>
              </w:rPr>
            </w:pPr>
            <w:r w:rsidRPr="000D3EB5">
              <w:rPr>
                <w:rFonts w:ascii="Arial" w:hAnsi="Arial"/>
                <w:color w:val="000000"/>
                <w:sz w:val="18"/>
                <w:szCs w:val="18"/>
              </w:rPr>
              <w:t>Residual</w:t>
            </w:r>
          </w:p>
        </w:tc>
      </w:tr>
      <w:tr w:rsidR="00131C52" w:rsidRPr="000D3EB5" w:rsidTr="006F4FB2">
        <w:trPr>
          <w:gridAfter w:val="2"/>
          <w:wAfter w:w="2125" w:type="dxa"/>
          <w:jc w:val="center"/>
        </w:trPr>
        <w:tc>
          <w:tcPr>
            <w:tcW w:w="1630" w:type="dxa"/>
            <w:gridSpan w:val="2"/>
            <w:tcBorders>
              <w:top w:val="single" w:sz="16" w:space="0" w:color="000000"/>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91</w:t>
            </w:r>
          </w:p>
        </w:tc>
        <w:tc>
          <w:tcPr>
            <w:tcW w:w="1564" w:type="dxa"/>
            <w:gridSpan w:val="3"/>
            <w:tcBorders>
              <w:top w:val="single" w:sz="16" w:space="0" w:color="000000"/>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3.013</w:t>
            </w:r>
          </w:p>
        </w:tc>
        <w:tc>
          <w:tcPr>
            <w:tcW w:w="1610" w:type="dxa"/>
            <w:gridSpan w:val="2"/>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.47</w:t>
            </w:r>
          </w:p>
        </w:tc>
        <w:tc>
          <w:tcPr>
            <w:tcW w:w="1612" w:type="dxa"/>
            <w:gridSpan w:val="2"/>
            <w:tcBorders>
              <w:top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.1594</w:t>
            </w:r>
          </w:p>
        </w:tc>
        <w:tc>
          <w:tcPr>
            <w:tcW w:w="1161" w:type="dxa"/>
            <w:gridSpan w:val="2"/>
            <w:tcBorders>
              <w:top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.31205</w:t>
            </w:r>
          </w:p>
        </w:tc>
      </w:tr>
      <w:tr w:rsidR="00131C52" w:rsidRPr="000D3EB5" w:rsidTr="006F4FB2">
        <w:trPr>
          <w:gridAfter w:val="2"/>
          <w:wAfter w:w="2125" w:type="dxa"/>
          <w:jc w:val="center"/>
        </w:trPr>
        <w:tc>
          <w:tcPr>
            <w:tcW w:w="1630" w:type="dxa"/>
            <w:gridSpan w:val="2"/>
            <w:tcBorders>
              <w:top w:val="nil"/>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126</w:t>
            </w:r>
          </w:p>
        </w:tc>
        <w:tc>
          <w:tcPr>
            <w:tcW w:w="1564" w:type="dxa"/>
            <w:gridSpan w:val="3"/>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3.869</w:t>
            </w:r>
          </w:p>
        </w:tc>
        <w:tc>
          <w:tcPr>
            <w:tcW w:w="1610"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.56</w:t>
            </w:r>
          </w:p>
        </w:tc>
        <w:tc>
          <w:tcPr>
            <w:tcW w:w="1612"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.1594</w:t>
            </w:r>
          </w:p>
        </w:tc>
        <w:tc>
          <w:tcPr>
            <w:tcW w:w="1161" w:type="dxa"/>
            <w:gridSpan w:val="2"/>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.40066</w:t>
            </w:r>
          </w:p>
        </w:tc>
      </w:tr>
      <w:tr w:rsidR="00131C52" w:rsidRPr="000D3EB5" w:rsidTr="006F4FB2">
        <w:trPr>
          <w:gridAfter w:val="2"/>
          <w:wAfter w:w="2125" w:type="dxa"/>
          <w:jc w:val="center"/>
        </w:trPr>
        <w:tc>
          <w:tcPr>
            <w:tcW w:w="1630" w:type="dxa"/>
            <w:gridSpan w:val="2"/>
            <w:tcBorders>
              <w:top w:val="nil"/>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188</w:t>
            </w:r>
          </w:p>
        </w:tc>
        <w:tc>
          <w:tcPr>
            <w:tcW w:w="1564" w:type="dxa"/>
            <w:gridSpan w:val="3"/>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4.071</w:t>
            </w:r>
          </w:p>
        </w:tc>
        <w:tc>
          <w:tcPr>
            <w:tcW w:w="1610"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.56</w:t>
            </w:r>
          </w:p>
        </w:tc>
        <w:tc>
          <w:tcPr>
            <w:tcW w:w="1612"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.1403</w:t>
            </w:r>
          </w:p>
        </w:tc>
        <w:tc>
          <w:tcPr>
            <w:tcW w:w="1161" w:type="dxa"/>
            <w:gridSpan w:val="2"/>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.42158</w:t>
            </w:r>
          </w:p>
        </w:tc>
      </w:tr>
      <w:tr w:rsidR="00131C52" w:rsidRPr="000D3EB5" w:rsidTr="006F4FB2">
        <w:trPr>
          <w:gridAfter w:val="2"/>
          <w:wAfter w:w="2125" w:type="dxa"/>
          <w:jc w:val="center"/>
        </w:trPr>
        <w:tc>
          <w:tcPr>
            <w:tcW w:w="1630" w:type="dxa"/>
            <w:gridSpan w:val="2"/>
            <w:tcBorders>
              <w:top w:val="nil"/>
              <w:left w:val="single" w:sz="16" w:space="0" w:color="000000"/>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238</w:t>
            </w:r>
          </w:p>
        </w:tc>
        <w:tc>
          <w:tcPr>
            <w:tcW w:w="1564" w:type="dxa"/>
            <w:gridSpan w:val="3"/>
            <w:tcBorders>
              <w:top w:val="nil"/>
              <w:left w:val="single" w:sz="16" w:space="0" w:color="000000"/>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3.088</w:t>
            </w:r>
          </w:p>
        </w:tc>
        <w:tc>
          <w:tcPr>
            <w:tcW w:w="1610"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.48</w:t>
            </w:r>
          </w:p>
        </w:tc>
        <w:tc>
          <w:tcPr>
            <w:tcW w:w="1612" w:type="dxa"/>
            <w:gridSpan w:val="2"/>
            <w:tcBorders>
              <w:top w:val="nil"/>
              <w:bottom w:val="nil"/>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.1594</w:t>
            </w:r>
          </w:p>
        </w:tc>
        <w:tc>
          <w:tcPr>
            <w:tcW w:w="1161" w:type="dxa"/>
            <w:gridSpan w:val="2"/>
            <w:tcBorders>
              <w:top w:val="nil"/>
              <w:bottom w:val="nil"/>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.31975</w:t>
            </w:r>
          </w:p>
        </w:tc>
      </w:tr>
      <w:tr w:rsidR="00131C52" w:rsidRPr="000D3EB5" w:rsidTr="006F4FB2">
        <w:trPr>
          <w:gridAfter w:val="2"/>
          <w:wAfter w:w="2125" w:type="dxa"/>
          <w:jc w:val="center"/>
        </w:trPr>
        <w:tc>
          <w:tcPr>
            <w:tcW w:w="1630" w:type="dxa"/>
            <w:gridSpan w:val="2"/>
            <w:tcBorders>
              <w:top w:val="nil"/>
              <w:left w:val="single" w:sz="16" w:space="0" w:color="000000"/>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279</w:t>
            </w:r>
          </w:p>
        </w:tc>
        <w:tc>
          <w:tcPr>
            <w:tcW w:w="1564" w:type="dxa"/>
            <w:gridSpan w:val="3"/>
            <w:tcBorders>
              <w:top w:val="nil"/>
              <w:left w:val="single" w:sz="16" w:space="0" w:color="000000"/>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3.104</w:t>
            </w:r>
          </w:p>
        </w:tc>
        <w:tc>
          <w:tcPr>
            <w:tcW w:w="1610" w:type="dxa"/>
            <w:gridSpan w:val="2"/>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.48</w:t>
            </w:r>
          </w:p>
        </w:tc>
        <w:tc>
          <w:tcPr>
            <w:tcW w:w="1612" w:type="dxa"/>
            <w:gridSpan w:val="2"/>
            <w:tcBorders>
              <w:top w:val="nil"/>
              <w:bottom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.1594</w:t>
            </w:r>
          </w:p>
        </w:tc>
        <w:tc>
          <w:tcPr>
            <w:tcW w:w="1161" w:type="dxa"/>
            <w:gridSpan w:val="2"/>
            <w:tcBorders>
              <w:top w:val="nil"/>
              <w:bottom w:val="single" w:sz="16" w:space="0" w:color="000000"/>
              <w:right w:val="single" w:sz="16" w:space="0" w:color="000000"/>
            </w:tcBorders>
            <w:shd w:val="clear" w:color="auto" w:fill="FFFFFF"/>
          </w:tcPr>
          <w:p w:rsidR="00131C52" w:rsidRPr="000D3EB5" w:rsidRDefault="00131C52" w:rsidP="00131C52">
            <w:pPr>
              <w:autoSpaceDE w:val="0"/>
              <w:autoSpaceDN w:val="0"/>
              <w:adjustRightInd w:val="0"/>
              <w:spacing w:after="0" w:line="320" w:lineRule="atLeast"/>
              <w:ind w:left="60" w:right="60"/>
              <w:jc w:val="right"/>
              <w:rPr>
                <w:rFonts w:ascii="Arial" w:hAnsi="Arial"/>
                <w:color w:val="000000"/>
                <w:sz w:val="18"/>
                <w:szCs w:val="18"/>
              </w:rPr>
            </w:pPr>
            <w:r w:rsidRPr="000D3EB5">
              <w:rPr>
                <w:rFonts w:ascii="Arial" w:hAnsi="Arial"/>
                <w:color w:val="000000"/>
                <w:sz w:val="18"/>
                <w:szCs w:val="18"/>
              </w:rPr>
              <w:t>.32149</w:t>
            </w:r>
          </w:p>
        </w:tc>
      </w:tr>
      <w:tr w:rsidR="00131C52" w:rsidRPr="000D3EB5" w:rsidTr="006F4FB2">
        <w:trPr>
          <w:gridAfter w:val="2"/>
          <w:wAfter w:w="2125" w:type="dxa"/>
          <w:jc w:val="center"/>
        </w:trPr>
        <w:tc>
          <w:tcPr>
            <w:tcW w:w="7577" w:type="dxa"/>
            <w:gridSpan w:val="11"/>
            <w:tcBorders>
              <w:top w:val="nil"/>
              <w:left w:val="nil"/>
              <w:bottom w:val="nil"/>
              <w:right w:val="nil"/>
            </w:tcBorders>
            <w:shd w:val="clear" w:color="auto" w:fill="FFFFFF"/>
          </w:tcPr>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r w:rsidRPr="000D3EB5">
              <w:rPr>
                <w:rFonts w:ascii="Arial" w:hAnsi="Arial"/>
                <w:color w:val="000000"/>
                <w:sz w:val="18"/>
                <w:szCs w:val="18"/>
              </w:rPr>
              <w:t xml:space="preserve">a. Dependent Variable: </w:t>
            </w:r>
            <w:r>
              <w:rPr>
                <w:rFonts w:ascii="Arial" w:hAnsi="Arial"/>
                <w:color w:val="000000"/>
                <w:sz w:val="18"/>
                <w:szCs w:val="18"/>
              </w:rPr>
              <w:t>Discretionary Accruals</w:t>
            </w:r>
          </w:p>
          <w:p w:rsidR="00131C52" w:rsidRPr="000D3EB5" w:rsidRDefault="00131C52" w:rsidP="00131C52">
            <w:pPr>
              <w:autoSpaceDE w:val="0"/>
              <w:autoSpaceDN w:val="0"/>
              <w:adjustRightInd w:val="0"/>
              <w:spacing w:after="0" w:line="320" w:lineRule="atLeast"/>
              <w:ind w:left="60" w:right="60"/>
              <w:rPr>
                <w:rFonts w:ascii="Arial" w:hAnsi="Arial"/>
                <w:color w:val="000000"/>
                <w:sz w:val="18"/>
                <w:szCs w:val="18"/>
              </w:rPr>
            </w:pPr>
          </w:p>
        </w:tc>
      </w:tr>
    </w:tbl>
    <w:p w:rsid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5773A4" w:rsidRDefault="005773A4" w:rsidP="00F21F0F">
      <w:pPr>
        <w:autoSpaceDE w:val="0"/>
        <w:autoSpaceDN w:val="0"/>
        <w:adjustRightInd w:val="0"/>
        <w:spacing w:after="0" w:line="400" w:lineRule="atLeast"/>
        <w:rPr>
          <w:rFonts w:ascii="Times New Roman" w:hAnsi="Times New Roman" w:cs="Times New Roman"/>
          <w:sz w:val="24"/>
          <w:szCs w:val="24"/>
          <w:lang w:val="en-US" w:eastAsia="nl-NL"/>
        </w:rPr>
      </w:pPr>
    </w:p>
    <w:p w:rsidR="00F21F0F" w:rsidRPr="00F21F0F" w:rsidRDefault="005773A4" w:rsidP="00F21F0F">
      <w:pPr>
        <w:autoSpaceDE w:val="0"/>
        <w:autoSpaceDN w:val="0"/>
        <w:adjustRightInd w:val="0"/>
        <w:spacing w:after="0" w:line="400" w:lineRule="atLeast"/>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458802" cy="3562597"/>
            <wp:effectExtent l="0" t="0" r="0" b="0"/>
            <wp:docPr id="2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62685" cy="3565699"/>
                    </a:xfrm>
                    <a:prstGeom prst="rect">
                      <a:avLst/>
                    </a:prstGeom>
                    <a:noFill/>
                    <a:ln>
                      <a:noFill/>
                    </a:ln>
                  </pic:spPr>
                </pic:pic>
              </a:graphicData>
            </a:graphic>
          </wp:inline>
        </w:drawing>
      </w:r>
    </w:p>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F21F0F" w:rsidRPr="00F21F0F" w:rsidRDefault="005773A4" w:rsidP="00F21F0F">
      <w:pPr>
        <w:autoSpaceDE w:val="0"/>
        <w:autoSpaceDN w:val="0"/>
        <w:adjustRightInd w:val="0"/>
        <w:spacing w:after="0" w:line="400" w:lineRule="atLeast"/>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600575" cy="3675875"/>
            <wp:effectExtent l="0" t="0" r="0" b="1270"/>
            <wp:docPr id="2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00575" cy="3675875"/>
                    </a:xfrm>
                    <a:prstGeom prst="rect">
                      <a:avLst/>
                    </a:prstGeom>
                    <a:noFill/>
                    <a:ln>
                      <a:noFill/>
                    </a:ln>
                  </pic:spPr>
                </pic:pic>
              </a:graphicData>
            </a:graphic>
          </wp:inline>
        </w:drawing>
      </w:r>
    </w:p>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F21F0F" w:rsidRPr="00F21F0F" w:rsidRDefault="005773A4" w:rsidP="00F21F0F">
      <w:pPr>
        <w:autoSpaceDE w:val="0"/>
        <w:autoSpaceDN w:val="0"/>
        <w:adjustRightInd w:val="0"/>
        <w:spacing w:after="0" w:line="400" w:lineRule="atLeast"/>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495800" cy="3592159"/>
            <wp:effectExtent l="0" t="0" r="0" b="8890"/>
            <wp:docPr id="2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95800" cy="3592159"/>
                    </a:xfrm>
                    <a:prstGeom prst="rect">
                      <a:avLst/>
                    </a:prstGeom>
                    <a:noFill/>
                    <a:ln>
                      <a:noFill/>
                    </a:ln>
                  </pic:spPr>
                </pic:pic>
              </a:graphicData>
            </a:graphic>
          </wp:inline>
        </w:drawing>
      </w:r>
    </w:p>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F21F0F" w:rsidRPr="00F21F0F" w:rsidRDefault="00F21F0F" w:rsidP="00F21F0F">
      <w:pPr>
        <w:autoSpaceDE w:val="0"/>
        <w:autoSpaceDN w:val="0"/>
        <w:adjustRightInd w:val="0"/>
        <w:spacing w:after="0" w:line="240" w:lineRule="auto"/>
        <w:rPr>
          <w:rFonts w:ascii="Times New Roman" w:hAnsi="Times New Roman" w:cs="Times New Roman"/>
          <w:sz w:val="24"/>
          <w:szCs w:val="24"/>
          <w:lang w:val="en-US" w:eastAsia="nl-NL"/>
        </w:rPr>
      </w:pPr>
    </w:p>
    <w:p w:rsidR="00F21F0F" w:rsidRPr="00F21F0F" w:rsidRDefault="00F21F0F" w:rsidP="00F21F0F">
      <w:pPr>
        <w:autoSpaceDE w:val="0"/>
        <w:autoSpaceDN w:val="0"/>
        <w:adjustRightInd w:val="0"/>
        <w:spacing w:after="0" w:line="240" w:lineRule="auto"/>
        <w:rPr>
          <w:rFonts w:ascii="Times New Roman" w:hAnsi="Times New Roman" w:cs="Times New Roman"/>
          <w:sz w:val="24"/>
          <w:szCs w:val="24"/>
          <w:lang w:val="en-US" w:eastAsia="nl-NL"/>
        </w:rPr>
      </w:pPr>
    </w:p>
    <w:p w:rsidR="00F21F0F" w:rsidRPr="00F21F0F" w:rsidRDefault="00F21F0F" w:rsidP="00F21F0F">
      <w:pPr>
        <w:autoSpaceDE w:val="0"/>
        <w:autoSpaceDN w:val="0"/>
        <w:adjustRightInd w:val="0"/>
        <w:spacing w:after="0" w:line="400" w:lineRule="atLeast"/>
        <w:rPr>
          <w:rFonts w:ascii="Times New Roman" w:hAnsi="Times New Roman" w:cs="Times New Roman"/>
          <w:sz w:val="24"/>
          <w:szCs w:val="24"/>
          <w:lang w:val="en-US" w:eastAsia="nl-NL"/>
        </w:rPr>
      </w:pPr>
    </w:p>
    <w:p w:rsidR="001E0B77" w:rsidRPr="00731535" w:rsidRDefault="001E0B77" w:rsidP="00212D36">
      <w:pPr>
        <w:rPr>
          <w:b/>
          <w:sz w:val="24"/>
          <w:szCs w:val="24"/>
          <w:lang w:val="en-US" w:eastAsia="nl-NL"/>
        </w:rPr>
      </w:pPr>
      <w:r w:rsidRPr="00731535">
        <w:rPr>
          <w:b/>
          <w:sz w:val="24"/>
          <w:szCs w:val="24"/>
          <w:lang w:val="en-US" w:eastAsia="nl-NL"/>
        </w:rPr>
        <w:t>Real Earnings Management</w:t>
      </w:r>
    </w:p>
    <w:p w:rsidR="00230B84" w:rsidRPr="00230B84" w:rsidRDefault="00230B84" w:rsidP="00230B84">
      <w:pPr>
        <w:autoSpaceDE w:val="0"/>
        <w:autoSpaceDN w:val="0"/>
        <w:adjustRightInd w:val="0"/>
        <w:spacing w:after="0" w:line="240" w:lineRule="auto"/>
        <w:rPr>
          <w:rFonts w:ascii="Times New Roman" w:hAnsi="Times New Roman" w:cs="Times New Roman"/>
          <w:sz w:val="24"/>
          <w:szCs w:val="24"/>
          <w:lang w:val="en-US" w:eastAsia="nl-NL"/>
        </w:rPr>
      </w:pPr>
    </w:p>
    <w:tbl>
      <w:tblPr>
        <w:tblW w:w="64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672"/>
        <w:gridCol w:w="1113"/>
        <w:gridCol w:w="1570"/>
        <w:gridCol w:w="1113"/>
      </w:tblGrid>
      <w:tr w:rsidR="00230B84" w:rsidRPr="00131C52">
        <w:tc>
          <w:tcPr>
            <w:tcW w:w="6467" w:type="dxa"/>
            <w:gridSpan w:val="4"/>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Descriptive Statistics</w:t>
            </w:r>
          </w:p>
        </w:tc>
      </w:tr>
      <w:tr w:rsidR="00230B84" w:rsidRPr="00131C52">
        <w:tc>
          <w:tcPr>
            <w:tcW w:w="267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113"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Mean</w:t>
            </w:r>
          </w:p>
        </w:tc>
        <w:tc>
          <w:tcPr>
            <w:tcW w:w="1570"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Std. Deviation</w:t>
            </w:r>
          </w:p>
        </w:tc>
        <w:tc>
          <w:tcPr>
            <w:tcW w:w="1113"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N</w:t>
            </w:r>
          </w:p>
        </w:tc>
      </w:tr>
      <w:tr w:rsidR="00230B84" w:rsidRPr="00131C52">
        <w:tc>
          <w:tcPr>
            <w:tcW w:w="2671" w:type="dxa"/>
            <w:tcBorders>
              <w:top w:val="single" w:sz="16" w:space="0" w:color="000000"/>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Real Earnings Management</w:t>
            </w:r>
          </w:p>
        </w:tc>
        <w:tc>
          <w:tcPr>
            <w:tcW w:w="1113"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.0680</w:t>
            </w:r>
          </w:p>
        </w:tc>
        <w:tc>
          <w:tcPr>
            <w:tcW w:w="157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.05538</w:t>
            </w:r>
          </w:p>
        </w:tc>
        <w:tc>
          <w:tcPr>
            <w:tcW w:w="1113" w:type="dxa"/>
            <w:tcBorders>
              <w:top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131C52">
        <w:tc>
          <w:tcPr>
            <w:tcW w:w="2671"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Country</w:t>
            </w:r>
          </w:p>
        </w:tc>
        <w:tc>
          <w:tcPr>
            <w:tcW w:w="1113"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.4537</w:t>
            </w:r>
          </w:p>
        </w:tc>
        <w:tc>
          <w:tcPr>
            <w:tcW w:w="157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.49832</w:t>
            </w:r>
          </w:p>
        </w:tc>
        <w:tc>
          <w:tcPr>
            <w:tcW w:w="1113"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tc>
          <w:tcPr>
            <w:tcW w:w="2671"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Standard</w:t>
            </w:r>
          </w:p>
        </w:tc>
        <w:tc>
          <w:tcPr>
            <w:tcW w:w="1113"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.4953</w:t>
            </w:r>
          </w:p>
        </w:tc>
        <w:tc>
          <w:tcPr>
            <w:tcW w:w="157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.50045</w:t>
            </w:r>
          </w:p>
        </w:tc>
        <w:tc>
          <w:tcPr>
            <w:tcW w:w="1113"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tc>
          <w:tcPr>
            <w:tcW w:w="2671" w:type="dxa"/>
            <w:tcBorders>
              <w:top w:val="nil"/>
              <w:left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Size</w:t>
            </w:r>
          </w:p>
        </w:tc>
        <w:tc>
          <w:tcPr>
            <w:tcW w:w="1113"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.5217</w:t>
            </w:r>
          </w:p>
        </w:tc>
        <w:tc>
          <w:tcPr>
            <w:tcW w:w="157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.50000</w:t>
            </w:r>
          </w:p>
        </w:tc>
        <w:tc>
          <w:tcPr>
            <w:tcW w:w="1113" w:type="dxa"/>
            <w:tcBorders>
              <w:top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9667"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890"/>
        <w:gridCol w:w="2430"/>
        <w:gridCol w:w="1530"/>
        <w:gridCol w:w="1350"/>
        <w:gridCol w:w="1350"/>
        <w:gridCol w:w="1117"/>
      </w:tblGrid>
      <w:tr w:rsidR="00230B84" w:rsidRPr="00230B84" w:rsidTr="00230B84">
        <w:trPr>
          <w:jc w:val="right"/>
        </w:trPr>
        <w:tc>
          <w:tcPr>
            <w:tcW w:w="9667" w:type="dxa"/>
            <w:gridSpan w:val="6"/>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Correlations</w:t>
            </w:r>
          </w:p>
        </w:tc>
      </w:tr>
      <w:tr w:rsidR="00230B84" w:rsidRPr="00230B84" w:rsidTr="00230B84">
        <w:trPr>
          <w:jc w:val="right"/>
        </w:trPr>
        <w:tc>
          <w:tcPr>
            <w:tcW w:w="4320"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530"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Real Earnings Management</w:t>
            </w:r>
          </w:p>
        </w:tc>
        <w:tc>
          <w:tcPr>
            <w:tcW w:w="1350"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Country</w:t>
            </w:r>
          </w:p>
        </w:tc>
        <w:tc>
          <w:tcPr>
            <w:tcW w:w="1350"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Standard</w:t>
            </w:r>
          </w:p>
        </w:tc>
        <w:tc>
          <w:tcPr>
            <w:tcW w:w="1117"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Size</w:t>
            </w:r>
          </w:p>
        </w:tc>
      </w:tr>
      <w:tr w:rsidR="00230B84" w:rsidRPr="00230B84" w:rsidTr="00230B84">
        <w:trPr>
          <w:jc w:val="right"/>
        </w:trPr>
        <w:tc>
          <w:tcPr>
            <w:tcW w:w="1890" w:type="dxa"/>
            <w:vMerge w:val="restart"/>
            <w:tcBorders>
              <w:top w:val="single" w:sz="16" w:space="0" w:color="000000"/>
              <w:left w:val="single" w:sz="16" w:space="0" w:color="000000"/>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Pearson Correlation</w:t>
            </w:r>
          </w:p>
        </w:tc>
        <w:tc>
          <w:tcPr>
            <w:tcW w:w="2430" w:type="dxa"/>
            <w:tcBorders>
              <w:top w:val="single" w:sz="16" w:space="0" w:color="000000"/>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Real Earnings Management</w:t>
            </w:r>
          </w:p>
        </w:tc>
        <w:tc>
          <w:tcPr>
            <w:tcW w:w="1530"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c>
          <w:tcPr>
            <w:tcW w:w="135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.026</w:t>
            </w:r>
          </w:p>
        </w:tc>
        <w:tc>
          <w:tcPr>
            <w:tcW w:w="135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.060</w:t>
            </w:r>
          </w:p>
        </w:tc>
        <w:tc>
          <w:tcPr>
            <w:tcW w:w="1117" w:type="dxa"/>
            <w:tcBorders>
              <w:top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.038</w:t>
            </w:r>
          </w:p>
        </w:tc>
      </w:tr>
      <w:tr w:rsidR="00230B84" w:rsidRPr="00230B84" w:rsidTr="00230B84">
        <w:trPr>
          <w:jc w:val="right"/>
        </w:trPr>
        <w:tc>
          <w:tcPr>
            <w:tcW w:w="1890" w:type="dxa"/>
            <w:vMerge/>
            <w:tcBorders>
              <w:top w:val="single" w:sz="16" w:space="0" w:color="000000"/>
              <w:left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Country</w:t>
            </w:r>
          </w:p>
        </w:tc>
        <w:tc>
          <w:tcPr>
            <w:tcW w:w="153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.026</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.009</w:t>
            </w:r>
          </w:p>
        </w:tc>
        <w:tc>
          <w:tcPr>
            <w:tcW w:w="1117"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.097</w:t>
            </w:r>
          </w:p>
        </w:tc>
      </w:tr>
      <w:tr w:rsidR="00230B84" w:rsidRPr="00230B84" w:rsidTr="00230B84">
        <w:trPr>
          <w:jc w:val="right"/>
        </w:trPr>
        <w:tc>
          <w:tcPr>
            <w:tcW w:w="1890" w:type="dxa"/>
            <w:vMerge/>
            <w:tcBorders>
              <w:top w:val="single" w:sz="16" w:space="0" w:color="000000"/>
              <w:left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Standard</w:t>
            </w:r>
          </w:p>
        </w:tc>
        <w:tc>
          <w:tcPr>
            <w:tcW w:w="153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.060</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.009</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c>
          <w:tcPr>
            <w:tcW w:w="1117"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.010</w:t>
            </w:r>
          </w:p>
        </w:tc>
      </w:tr>
      <w:tr w:rsidR="00230B84" w:rsidRPr="00230B84" w:rsidTr="00230B84">
        <w:trPr>
          <w:jc w:val="right"/>
        </w:trPr>
        <w:tc>
          <w:tcPr>
            <w:tcW w:w="1890" w:type="dxa"/>
            <w:vMerge/>
            <w:tcBorders>
              <w:top w:val="single" w:sz="16" w:space="0" w:color="000000"/>
              <w:left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Size</w:t>
            </w:r>
          </w:p>
        </w:tc>
        <w:tc>
          <w:tcPr>
            <w:tcW w:w="1530" w:type="dxa"/>
            <w:tcBorders>
              <w:top w:val="nil"/>
              <w:lef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.038</w:t>
            </w:r>
          </w:p>
        </w:tc>
        <w:tc>
          <w:tcPr>
            <w:tcW w:w="1350" w:type="dxa"/>
            <w:tcBorders>
              <w:top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.097</w:t>
            </w:r>
          </w:p>
        </w:tc>
        <w:tc>
          <w:tcPr>
            <w:tcW w:w="1350" w:type="dxa"/>
            <w:tcBorders>
              <w:top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.010</w:t>
            </w:r>
          </w:p>
        </w:tc>
        <w:tc>
          <w:tcPr>
            <w:tcW w:w="1117" w:type="dxa"/>
            <w:tcBorders>
              <w:top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r>
      <w:tr w:rsidR="00230B84" w:rsidRPr="00230B84" w:rsidTr="00230B84">
        <w:trPr>
          <w:jc w:val="right"/>
        </w:trPr>
        <w:tc>
          <w:tcPr>
            <w:tcW w:w="1890" w:type="dxa"/>
            <w:vMerge w:val="restart"/>
            <w:tcBorders>
              <w:left w:val="single" w:sz="16" w:space="0" w:color="000000"/>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Sig. (1-tailed)</w:t>
            </w:r>
          </w:p>
        </w:tc>
        <w:tc>
          <w:tcPr>
            <w:tcW w:w="2430" w:type="dxa"/>
            <w:tcBorders>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Real Earnings Management</w:t>
            </w:r>
          </w:p>
        </w:tc>
        <w:tc>
          <w:tcPr>
            <w:tcW w:w="1530" w:type="dxa"/>
            <w:tcBorders>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w:t>
            </w:r>
          </w:p>
        </w:tc>
        <w:tc>
          <w:tcPr>
            <w:tcW w:w="1350" w:type="dxa"/>
            <w:tcBorders>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.276</w:t>
            </w:r>
          </w:p>
        </w:tc>
        <w:tc>
          <w:tcPr>
            <w:tcW w:w="1350" w:type="dxa"/>
            <w:tcBorders>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.085</w:t>
            </w:r>
          </w:p>
        </w:tc>
        <w:tc>
          <w:tcPr>
            <w:tcW w:w="1117" w:type="dxa"/>
            <w:tcBorders>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.190</w:t>
            </w:r>
          </w:p>
        </w:tc>
      </w:tr>
      <w:tr w:rsidR="00230B84" w:rsidRPr="00230B84" w:rsidTr="00230B84">
        <w:trPr>
          <w:jc w:val="right"/>
        </w:trPr>
        <w:tc>
          <w:tcPr>
            <w:tcW w:w="1890" w:type="dxa"/>
            <w:vMerge/>
            <w:tcBorders>
              <w:left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Country</w:t>
            </w:r>
          </w:p>
        </w:tc>
        <w:tc>
          <w:tcPr>
            <w:tcW w:w="153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.276</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.422</w:t>
            </w:r>
          </w:p>
        </w:tc>
        <w:tc>
          <w:tcPr>
            <w:tcW w:w="1117"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.013</w:t>
            </w:r>
          </w:p>
        </w:tc>
      </w:tr>
      <w:tr w:rsidR="00230B84" w:rsidRPr="00230B84" w:rsidTr="00230B84">
        <w:trPr>
          <w:jc w:val="right"/>
        </w:trPr>
        <w:tc>
          <w:tcPr>
            <w:tcW w:w="1890" w:type="dxa"/>
            <w:vMerge/>
            <w:tcBorders>
              <w:left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Standard</w:t>
            </w:r>
          </w:p>
        </w:tc>
        <w:tc>
          <w:tcPr>
            <w:tcW w:w="153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.085</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.422</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w:t>
            </w:r>
          </w:p>
        </w:tc>
        <w:tc>
          <w:tcPr>
            <w:tcW w:w="1117"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.410</w:t>
            </w:r>
          </w:p>
        </w:tc>
      </w:tr>
      <w:tr w:rsidR="00230B84" w:rsidRPr="00230B84" w:rsidTr="00230B84">
        <w:trPr>
          <w:jc w:val="right"/>
        </w:trPr>
        <w:tc>
          <w:tcPr>
            <w:tcW w:w="1890" w:type="dxa"/>
            <w:vMerge/>
            <w:tcBorders>
              <w:left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Size</w:t>
            </w:r>
          </w:p>
        </w:tc>
        <w:tc>
          <w:tcPr>
            <w:tcW w:w="1530" w:type="dxa"/>
            <w:tcBorders>
              <w:top w:val="nil"/>
              <w:lef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.190</w:t>
            </w:r>
          </w:p>
        </w:tc>
        <w:tc>
          <w:tcPr>
            <w:tcW w:w="1350" w:type="dxa"/>
            <w:tcBorders>
              <w:top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.013</w:t>
            </w:r>
          </w:p>
        </w:tc>
        <w:tc>
          <w:tcPr>
            <w:tcW w:w="1350" w:type="dxa"/>
            <w:tcBorders>
              <w:top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.410</w:t>
            </w:r>
          </w:p>
        </w:tc>
        <w:tc>
          <w:tcPr>
            <w:tcW w:w="1117" w:type="dxa"/>
            <w:tcBorders>
              <w:top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w:t>
            </w:r>
          </w:p>
        </w:tc>
      </w:tr>
      <w:tr w:rsidR="00230B84" w:rsidRPr="00230B84" w:rsidTr="00230B84">
        <w:trPr>
          <w:jc w:val="right"/>
        </w:trPr>
        <w:tc>
          <w:tcPr>
            <w:tcW w:w="1890" w:type="dxa"/>
            <w:vMerge w:val="restart"/>
            <w:tcBorders>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N</w:t>
            </w:r>
          </w:p>
        </w:tc>
        <w:tc>
          <w:tcPr>
            <w:tcW w:w="2430" w:type="dxa"/>
            <w:tcBorders>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Real Earnings Management</w:t>
            </w:r>
          </w:p>
        </w:tc>
        <w:tc>
          <w:tcPr>
            <w:tcW w:w="1530" w:type="dxa"/>
            <w:tcBorders>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117" w:type="dxa"/>
            <w:tcBorders>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rsidTr="00230B84">
        <w:trPr>
          <w:jc w:val="right"/>
        </w:trPr>
        <w:tc>
          <w:tcPr>
            <w:tcW w:w="1890" w:type="dxa"/>
            <w:vMerge/>
            <w:tcBorders>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Country</w:t>
            </w:r>
          </w:p>
        </w:tc>
        <w:tc>
          <w:tcPr>
            <w:tcW w:w="153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117"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rsidTr="00230B84">
        <w:trPr>
          <w:jc w:val="right"/>
        </w:trPr>
        <w:tc>
          <w:tcPr>
            <w:tcW w:w="1890" w:type="dxa"/>
            <w:vMerge/>
            <w:tcBorders>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nil"/>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Standard</w:t>
            </w:r>
          </w:p>
        </w:tc>
        <w:tc>
          <w:tcPr>
            <w:tcW w:w="153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117"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rsidTr="00230B84">
        <w:trPr>
          <w:jc w:val="right"/>
        </w:trPr>
        <w:tc>
          <w:tcPr>
            <w:tcW w:w="1890" w:type="dxa"/>
            <w:vMerge/>
            <w:tcBorders>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2430" w:type="dxa"/>
            <w:tcBorders>
              <w:top w:val="nil"/>
              <w:left w:val="nil"/>
              <w:bottom w:val="single" w:sz="16" w:space="0" w:color="000000"/>
              <w:right w:val="single" w:sz="16" w:space="0" w:color="000000"/>
            </w:tcBorders>
            <w:shd w:val="clear" w:color="auto" w:fill="FFFFFF"/>
          </w:tcPr>
          <w:p w:rsidR="00230B84" w:rsidRPr="00230B84" w:rsidRDefault="00230B84" w:rsidP="001A463F">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Size</w:t>
            </w:r>
          </w:p>
        </w:tc>
        <w:tc>
          <w:tcPr>
            <w:tcW w:w="1530"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35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c>
          <w:tcPr>
            <w:tcW w:w="1117" w:type="dxa"/>
            <w:tcBorders>
              <w:top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518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0"/>
        <w:gridCol w:w="1603"/>
        <w:gridCol w:w="1602"/>
        <w:gridCol w:w="1113"/>
      </w:tblGrid>
      <w:tr w:rsidR="00230B84" w:rsidRPr="00230B84">
        <w:tc>
          <w:tcPr>
            <w:tcW w:w="5186" w:type="dxa"/>
            <w:gridSpan w:val="4"/>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Variables Entered/Removed</w:t>
            </w:r>
            <w:r w:rsidRPr="00230B84">
              <w:rPr>
                <w:rFonts w:ascii="Arial" w:hAnsi="Arial"/>
                <w:b/>
                <w:bCs/>
                <w:color w:val="000000"/>
                <w:sz w:val="18"/>
                <w:szCs w:val="18"/>
                <w:vertAlign w:val="superscript"/>
                <w:lang w:val="en-US" w:eastAsia="nl-NL"/>
              </w:rPr>
              <w:t>b</w:t>
            </w:r>
          </w:p>
        </w:tc>
      </w:tr>
      <w:tr w:rsidR="00230B84" w:rsidRPr="00230B84">
        <w:tc>
          <w:tcPr>
            <w:tcW w:w="870"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Model</w:t>
            </w:r>
          </w:p>
        </w:tc>
        <w:tc>
          <w:tcPr>
            <w:tcW w:w="1602"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Variables Entered</w:t>
            </w:r>
          </w:p>
        </w:tc>
        <w:tc>
          <w:tcPr>
            <w:tcW w:w="1601"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Variables Removed</w:t>
            </w:r>
          </w:p>
        </w:tc>
        <w:tc>
          <w:tcPr>
            <w:tcW w:w="1113"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Method</w:t>
            </w:r>
          </w:p>
        </w:tc>
      </w:tr>
      <w:tr w:rsidR="00230B84" w:rsidRPr="00230B84">
        <w:tc>
          <w:tcPr>
            <w:tcW w:w="870" w:type="dxa"/>
            <w:tcBorders>
              <w:top w:val="single" w:sz="16" w:space="0" w:color="000000"/>
              <w:left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w:t>
            </w:r>
          </w:p>
        </w:tc>
        <w:tc>
          <w:tcPr>
            <w:tcW w:w="1602" w:type="dxa"/>
            <w:tcBorders>
              <w:top w:val="single" w:sz="16" w:space="0" w:color="000000"/>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Country, Standard, Size</w:t>
            </w:r>
          </w:p>
        </w:tc>
        <w:tc>
          <w:tcPr>
            <w:tcW w:w="1601" w:type="dxa"/>
            <w:tcBorders>
              <w:top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w:t>
            </w:r>
          </w:p>
        </w:tc>
        <w:tc>
          <w:tcPr>
            <w:tcW w:w="1113" w:type="dxa"/>
            <w:tcBorders>
              <w:top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Enter</w:t>
            </w:r>
          </w:p>
        </w:tc>
      </w:tr>
      <w:tr w:rsidR="00230B84" w:rsidRPr="0013388B">
        <w:tc>
          <w:tcPr>
            <w:tcW w:w="5186" w:type="dxa"/>
            <w:gridSpan w:val="4"/>
            <w:tcBorders>
              <w:top w:val="nil"/>
              <w:left w:val="nil"/>
              <w:bottom w:val="nil"/>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a. All requested variables entered.</w:t>
            </w:r>
          </w:p>
          <w:p w:rsid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 xml:space="preserve">b. Dependent Variable: </w:t>
            </w:r>
            <w:r>
              <w:rPr>
                <w:rFonts w:ascii="Arial" w:hAnsi="Arial"/>
                <w:color w:val="000000"/>
                <w:sz w:val="18"/>
                <w:szCs w:val="18"/>
                <w:lang w:val="en-US" w:eastAsia="nl-NL"/>
              </w:rPr>
              <w:t>Real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63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2"/>
        <w:gridCol w:w="1113"/>
        <w:gridCol w:w="1186"/>
        <w:gridCol w:w="1603"/>
        <w:gridCol w:w="1603"/>
      </w:tblGrid>
      <w:tr w:rsidR="00230B84" w:rsidRPr="00230B84">
        <w:tc>
          <w:tcPr>
            <w:tcW w:w="6376" w:type="dxa"/>
            <w:gridSpan w:val="5"/>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Model Summary</w:t>
            </w:r>
            <w:r w:rsidRPr="00230B84">
              <w:rPr>
                <w:rFonts w:ascii="Arial" w:hAnsi="Arial"/>
                <w:b/>
                <w:bCs/>
                <w:color w:val="000000"/>
                <w:sz w:val="18"/>
                <w:szCs w:val="18"/>
                <w:vertAlign w:val="superscript"/>
                <w:lang w:val="en-US" w:eastAsia="nl-NL"/>
              </w:rPr>
              <w:t>b</w:t>
            </w:r>
          </w:p>
        </w:tc>
      </w:tr>
      <w:tr w:rsidR="00230B84" w:rsidRPr="0013388B">
        <w:tc>
          <w:tcPr>
            <w:tcW w:w="871"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Model</w:t>
            </w:r>
          </w:p>
        </w:tc>
        <w:tc>
          <w:tcPr>
            <w:tcW w:w="1113"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R</w:t>
            </w:r>
          </w:p>
        </w:tc>
        <w:tc>
          <w:tcPr>
            <w:tcW w:w="1186"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R Square</w:t>
            </w:r>
          </w:p>
        </w:tc>
        <w:tc>
          <w:tcPr>
            <w:tcW w:w="1603"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Adjusted R Square</w:t>
            </w:r>
          </w:p>
        </w:tc>
        <w:tc>
          <w:tcPr>
            <w:tcW w:w="1603"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Std. Error of the Estimate</w:t>
            </w:r>
          </w:p>
        </w:tc>
      </w:tr>
      <w:tr w:rsidR="00230B84" w:rsidRPr="00230B84">
        <w:tc>
          <w:tcPr>
            <w:tcW w:w="871" w:type="dxa"/>
            <w:tcBorders>
              <w:top w:val="single" w:sz="16" w:space="0" w:color="000000"/>
              <w:left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w:t>
            </w:r>
          </w:p>
        </w:tc>
        <w:tc>
          <w:tcPr>
            <w:tcW w:w="1113" w:type="dxa"/>
            <w:tcBorders>
              <w:top w:val="single" w:sz="16" w:space="0" w:color="000000"/>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.074</w:t>
            </w:r>
            <w:r w:rsidRPr="00230B84">
              <w:rPr>
                <w:rFonts w:ascii="Arial" w:hAnsi="Arial"/>
                <w:color w:val="000000"/>
                <w:sz w:val="18"/>
                <w:szCs w:val="18"/>
                <w:vertAlign w:val="superscript"/>
                <w:lang w:val="en-US" w:eastAsia="nl-NL"/>
              </w:rPr>
              <w:t>a</w:t>
            </w:r>
          </w:p>
        </w:tc>
        <w:tc>
          <w:tcPr>
            <w:tcW w:w="1186" w:type="dxa"/>
            <w:tcBorders>
              <w:top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.005</w:t>
            </w:r>
          </w:p>
        </w:tc>
        <w:tc>
          <w:tcPr>
            <w:tcW w:w="1603" w:type="dxa"/>
            <w:tcBorders>
              <w:top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.000</w:t>
            </w:r>
          </w:p>
        </w:tc>
        <w:tc>
          <w:tcPr>
            <w:tcW w:w="1603" w:type="dxa"/>
            <w:tcBorders>
              <w:top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.05538</w:t>
            </w:r>
          </w:p>
        </w:tc>
      </w:tr>
      <w:tr w:rsidR="00230B84" w:rsidRPr="0013388B">
        <w:tc>
          <w:tcPr>
            <w:tcW w:w="6376" w:type="dxa"/>
            <w:gridSpan w:val="5"/>
            <w:tcBorders>
              <w:top w:val="nil"/>
              <w:left w:val="nil"/>
              <w:bottom w:val="nil"/>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 xml:space="preserve">a. Predictors: (Constant), </w:t>
            </w:r>
            <w:r>
              <w:rPr>
                <w:rFonts w:ascii="Arial" w:hAnsi="Arial"/>
                <w:color w:val="000000"/>
                <w:sz w:val="18"/>
                <w:szCs w:val="18"/>
                <w:lang w:val="en-US" w:eastAsia="nl-NL"/>
              </w:rPr>
              <w:t>Country, Standard, Size</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b. Depe</w:t>
            </w:r>
            <w:r>
              <w:rPr>
                <w:rFonts w:ascii="Arial" w:hAnsi="Arial"/>
                <w:color w:val="000000"/>
                <w:sz w:val="18"/>
                <w:szCs w:val="18"/>
                <w:lang w:val="en-US" w:eastAsia="nl-NL"/>
              </w:rPr>
              <w:t>ndent Variable: Real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86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02"/>
        <w:gridCol w:w="1401"/>
        <w:gridCol w:w="1603"/>
        <w:gridCol w:w="1111"/>
        <w:gridCol w:w="1539"/>
        <w:gridCol w:w="1113"/>
        <w:gridCol w:w="1113"/>
      </w:tblGrid>
      <w:tr w:rsidR="00230B84" w:rsidRPr="00230B84">
        <w:tc>
          <w:tcPr>
            <w:tcW w:w="8679" w:type="dxa"/>
            <w:gridSpan w:val="7"/>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ANOVA</w:t>
            </w:r>
            <w:r w:rsidRPr="00230B84">
              <w:rPr>
                <w:rFonts w:ascii="Arial" w:hAnsi="Arial"/>
                <w:b/>
                <w:bCs/>
                <w:color w:val="000000"/>
                <w:sz w:val="18"/>
                <w:szCs w:val="18"/>
                <w:vertAlign w:val="superscript"/>
                <w:lang w:val="en-US" w:eastAsia="nl-NL"/>
              </w:rPr>
              <w:t>b</w:t>
            </w:r>
          </w:p>
        </w:tc>
      </w:tr>
      <w:tr w:rsidR="00230B84" w:rsidRPr="00230B84">
        <w:tc>
          <w:tcPr>
            <w:tcW w:w="2202"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Model</w:t>
            </w:r>
          </w:p>
        </w:tc>
        <w:tc>
          <w:tcPr>
            <w:tcW w:w="1602"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Sum of Squares</w:t>
            </w:r>
          </w:p>
        </w:tc>
        <w:tc>
          <w:tcPr>
            <w:tcW w:w="1111"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df</w:t>
            </w:r>
          </w:p>
        </w:tc>
        <w:tc>
          <w:tcPr>
            <w:tcW w:w="1538"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Mean Square</w:t>
            </w:r>
          </w:p>
        </w:tc>
        <w:tc>
          <w:tcPr>
            <w:tcW w:w="1113"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F</w:t>
            </w:r>
          </w:p>
        </w:tc>
        <w:tc>
          <w:tcPr>
            <w:tcW w:w="1113"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Sig.</w:t>
            </w:r>
          </w:p>
        </w:tc>
      </w:tr>
      <w:tr w:rsidR="00230B84" w:rsidRPr="00230B84">
        <w:tc>
          <w:tcPr>
            <w:tcW w:w="801" w:type="dxa"/>
            <w:vMerge w:val="restart"/>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w:t>
            </w:r>
          </w:p>
        </w:tc>
        <w:tc>
          <w:tcPr>
            <w:tcW w:w="1401" w:type="dxa"/>
            <w:tcBorders>
              <w:top w:val="single" w:sz="16" w:space="0" w:color="000000"/>
              <w:left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Regression</w:t>
            </w:r>
          </w:p>
        </w:tc>
        <w:tc>
          <w:tcPr>
            <w:tcW w:w="1602"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.009</w:t>
            </w:r>
          </w:p>
        </w:tc>
        <w:tc>
          <w:tcPr>
            <w:tcW w:w="1111"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w:t>
            </w:r>
          </w:p>
        </w:tc>
        <w:tc>
          <w:tcPr>
            <w:tcW w:w="1538"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.003</w:t>
            </w:r>
          </w:p>
        </w:tc>
        <w:tc>
          <w:tcPr>
            <w:tcW w:w="1113"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.961</w:t>
            </w:r>
          </w:p>
        </w:tc>
        <w:tc>
          <w:tcPr>
            <w:tcW w:w="1113" w:type="dxa"/>
            <w:tcBorders>
              <w:top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.411</w:t>
            </w:r>
            <w:r w:rsidRPr="00230B84">
              <w:rPr>
                <w:rFonts w:ascii="Arial" w:hAnsi="Arial"/>
                <w:color w:val="000000"/>
                <w:sz w:val="18"/>
                <w:szCs w:val="18"/>
                <w:vertAlign w:val="superscript"/>
                <w:lang w:val="en-US" w:eastAsia="nl-NL"/>
              </w:rPr>
              <w:t>a</w:t>
            </w:r>
          </w:p>
        </w:tc>
      </w:tr>
      <w:tr w:rsidR="00230B84" w:rsidRPr="00230B84">
        <w:tc>
          <w:tcPr>
            <w:tcW w:w="801"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401" w:type="dxa"/>
            <w:tcBorders>
              <w:top w:val="nil"/>
              <w:left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Residual</w:t>
            </w:r>
          </w:p>
        </w:tc>
        <w:tc>
          <w:tcPr>
            <w:tcW w:w="1602"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1.610</w:t>
            </w:r>
          </w:p>
        </w:tc>
        <w:tc>
          <w:tcPr>
            <w:tcW w:w="1111"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525</w:t>
            </w:r>
          </w:p>
        </w:tc>
        <w:tc>
          <w:tcPr>
            <w:tcW w:w="1538"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.003</w:t>
            </w:r>
          </w:p>
        </w:tc>
        <w:tc>
          <w:tcPr>
            <w:tcW w:w="1113" w:type="dxa"/>
            <w:tcBorders>
              <w:top w:val="nil"/>
              <w:bottom w:val="nil"/>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113" w:type="dxa"/>
            <w:tcBorders>
              <w:top w:val="nil"/>
              <w:bottom w:val="nil"/>
              <w:right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r>
      <w:tr w:rsidR="00230B84" w:rsidRPr="00230B84">
        <w:tc>
          <w:tcPr>
            <w:tcW w:w="801"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Times New Roman" w:hAnsi="Times New Roman" w:cs="Times New Roman"/>
                <w:sz w:val="24"/>
                <w:szCs w:val="24"/>
                <w:lang w:val="en-US" w:eastAsia="nl-NL"/>
              </w:rPr>
            </w:pPr>
          </w:p>
        </w:tc>
        <w:tc>
          <w:tcPr>
            <w:tcW w:w="1401" w:type="dxa"/>
            <w:tcBorders>
              <w:top w:val="nil"/>
              <w:left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Total</w:t>
            </w:r>
          </w:p>
        </w:tc>
        <w:tc>
          <w:tcPr>
            <w:tcW w:w="1602"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1.619</w:t>
            </w:r>
          </w:p>
        </w:tc>
        <w:tc>
          <w:tcPr>
            <w:tcW w:w="1111"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528</w:t>
            </w:r>
          </w:p>
        </w:tc>
        <w:tc>
          <w:tcPr>
            <w:tcW w:w="1538" w:type="dxa"/>
            <w:tcBorders>
              <w:top w:val="nil"/>
              <w:bottom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113" w:type="dxa"/>
            <w:tcBorders>
              <w:top w:val="nil"/>
              <w:bottom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113" w:type="dxa"/>
            <w:tcBorders>
              <w:top w:val="nil"/>
              <w:bottom w:val="single" w:sz="16" w:space="0" w:color="000000"/>
              <w:right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r>
      <w:tr w:rsidR="00230B84" w:rsidRPr="0013388B">
        <w:tc>
          <w:tcPr>
            <w:tcW w:w="8679" w:type="dxa"/>
            <w:gridSpan w:val="7"/>
            <w:tcBorders>
              <w:top w:val="nil"/>
              <w:left w:val="nil"/>
              <w:bottom w:val="nil"/>
              <w:right w:val="nil"/>
            </w:tcBorders>
            <w:shd w:val="clear" w:color="auto" w:fill="FFFFFF"/>
          </w:tcPr>
          <w:p w:rsidR="002B512F" w:rsidRPr="00230B84" w:rsidRDefault="002B512F" w:rsidP="002B512F">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 xml:space="preserve">a. Predictors: (Constant), </w:t>
            </w:r>
            <w:r>
              <w:rPr>
                <w:rFonts w:ascii="Arial" w:hAnsi="Arial"/>
                <w:color w:val="000000"/>
                <w:sz w:val="18"/>
                <w:szCs w:val="18"/>
                <w:lang w:val="en-US" w:eastAsia="nl-NL"/>
              </w:rPr>
              <w:t>Country, Standard, Size</w:t>
            </w:r>
          </w:p>
          <w:p w:rsidR="002B512F" w:rsidRPr="00230B84" w:rsidRDefault="002B512F" w:rsidP="002B512F">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b. Depe</w:t>
            </w:r>
            <w:r>
              <w:rPr>
                <w:rFonts w:ascii="Arial" w:hAnsi="Arial"/>
                <w:color w:val="000000"/>
                <w:sz w:val="18"/>
                <w:szCs w:val="18"/>
                <w:lang w:val="en-US" w:eastAsia="nl-NL"/>
              </w:rPr>
              <w:t>ndent Variable: Real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11541"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4"/>
        <w:gridCol w:w="1076"/>
        <w:gridCol w:w="641"/>
        <w:gridCol w:w="1260"/>
        <w:gridCol w:w="1260"/>
        <w:gridCol w:w="810"/>
        <w:gridCol w:w="810"/>
        <w:gridCol w:w="1260"/>
        <w:gridCol w:w="900"/>
        <w:gridCol w:w="900"/>
        <w:gridCol w:w="1080"/>
        <w:gridCol w:w="820"/>
      </w:tblGrid>
      <w:tr w:rsidR="00230B84" w:rsidRPr="00230B84" w:rsidTr="002B512F">
        <w:trPr>
          <w:jc w:val="center"/>
        </w:trPr>
        <w:tc>
          <w:tcPr>
            <w:tcW w:w="11541" w:type="dxa"/>
            <w:gridSpan w:val="12"/>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Coefficients</w:t>
            </w:r>
            <w:r w:rsidRPr="00230B84">
              <w:rPr>
                <w:rFonts w:ascii="Arial" w:hAnsi="Arial"/>
                <w:b/>
                <w:bCs/>
                <w:color w:val="000000"/>
                <w:sz w:val="18"/>
                <w:szCs w:val="18"/>
                <w:vertAlign w:val="superscript"/>
                <w:lang w:val="en-US" w:eastAsia="nl-NL"/>
              </w:rPr>
              <w:t>a</w:t>
            </w:r>
          </w:p>
        </w:tc>
      </w:tr>
      <w:tr w:rsidR="002B512F" w:rsidRPr="00230B84" w:rsidTr="002B512F">
        <w:trPr>
          <w:jc w:val="center"/>
        </w:trPr>
        <w:tc>
          <w:tcPr>
            <w:tcW w:w="180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Model</w:t>
            </w:r>
          </w:p>
        </w:tc>
        <w:tc>
          <w:tcPr>
            <w:tcW w:w="1901" w:type="dxa"/>
            <w:gridSpan w:val="2"/>
            <w:tcBorders>
              <w:top w:val="single" w:sz="16" w:space="0" w:color="000000"/>
              <w:lef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Unstandardized Coefficients</w:t>
            </w:r>
          </w:p>
        </w:tc>
        <w:tc>
          <w:tcPr>
            <w:tcW w:w="1260" w:type="dxa"/>
            <w:tcBorders>
              <w:top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Standardized Coefficients</w:t>
            </w:r>
          </w:p>
        </w:tc>
        <w:tc>
          <w:tcPr>
            <w:tcW w:w="810" w:type="dxa"/>
            <w:vMerge w:val="restart"/>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t</w:t>
            </w:r>
          </w:p>
        </w:tc>
        <w:tc>
          <w:tcPr>
            <w:tcW w:w="810" w:type="dxa"/>
            <w:vMerge w:val="restart"/>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Sig.</w:t>
            </w:r>
          </w:p>
        </w:tc>
        <w:tc>
          <w:tcPr>
            <w:tcW w:w="3060" w:type="dxa"/>
            <w:gridSpan w:val="3"/>
            <w:tcBorders>
              <w:top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Correlations</w:t>
            </w:r>
          </w:p>
        </w:tc>
        <w:tc>
          <w:tcPr>
            <w:tcW w:w="1900" w:type="dxa"/>
            <w:gridSpan w:val="2"/>
            <w:tcBorders>
              <w:top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Collinearity Statistics</w:t>
            </w:r>
          </w:p>
        </w:tc>
      </w:tr>
      <w:tr w:rsidR="002B512F" w:rsidRPr="00230B84" w:rsidTr="002B512F">
        <w:trPr>
          <w:jc w:val="center"/>
        </w:trPr>
        <w:tc>
          <w:tcPr>
            <w:tcW w:w="1800" w:type="dxa"/>
            <w:gridSpan w:val="2"/>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641" w:type="dxa"/>
            <w:tcBorders>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B</w:t>
            </w:r>
          </w:p>
        </w:tc>
        <w:tc>
          <w:tcPr>
            <w:tcW w:w="126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Std. Error</w:t>
            </w:r>
          </w:p>
        </w:tc>
        <w:tc>
          <w:tcPr>
            <w:tcW w:w="126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Beta</w:t>
            </w:r>
          </w:p>
        </w:tc>
        <w:tc>
          <w:tcPr>
            <w:tcW w:w="810" w:type="dxa"/>
            <w:vMerge/>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810" w:type="dxa"/>
            <w:vMerge/>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26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Zero-order</w:t>
            </w:r>
          </w:p>
        </w:tc>
        <w:tc>
          <w:tcPr>
            <w:tcW w:w="90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Partial</w:t>
            </w:r>
          </w:p>
        </w:tc>
        <w:tc>
          <w:tcPr>
            <w:tcW w:w="90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Part</w:t>
            </w:r>
          </w:p>
        </w:tc>
        <w:tc>
          <w:tcPr>
            <w:tcW w:w="108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Tolerance</w:t>
            </w:r>
          </w:p>
        </w:tc>
        <w:tc>
          <w:tcPr>
            <w:tcW w:w="820" w:type="dxa"/>
            <w:tcBorders>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VIF</w:t>
            </w:r>
          </w:p>
        </w:tc>
      </w:tr>
      <w:tr w:rsidR="002B512F" w:rsidRPr="00230B84" w:rsidTr="002B512F">
        <w:trPr>
          <w:jc w:val="center"/>
        </w:trPr>
        <w:tc>
          <w:tcPr>
            <w:tcW w:w="724" w:type="dxa"/>
            <w:vMerge w:val="restart"/>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w:t>
            </w:r>
          </w:p>
        </w:tc>
        <w:tc>
          <w:tcPr>
            <w:tcW w:w="1076" w:type="dxa"/>
            <w:tcBorders>
              <w:top w:val="single" w:sz="16" w:space="0" w:color="000000"/>
              <w:left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(Constant)</w:t>
            </w:r>
          </w:p>
        </w:tc>
        <w:tc>
          <w:tcPr>
            <w:tcW w:w="641"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.062</w:t>
            </w:r>
          </w:p>
        </w:tc>
        <w:tc>
          <w:tcPr>
            <w:tcW w:w="126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.005</w:t>
            </w:r>
          </w:p>
        </w:tc>
        <w:tc>
          <w:tcPr>
            <w:tcW w:w="1260" w:type="dxa"/>
            <w:tcBorders>
              <w:top w:val="single" w:sz="16" w:space="0" w:color="000000"/>
              <w:bottom w:val="nil"/>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81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13.287</w:t>
            </w:r>
          </w:p>
        </w:tc>
        <w:tc>
          <w:tcPr>
            <w:tcW w:w="81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.000</w:t>
            </w:r>
          </w:p>
        </w:tc>
        <w:tc>
          <w:tcPr>
            <w:tcW w:w="1260" w:type="dxa"/>
            <w:tcBorders>
              <w:top w:val="single" w:sz="16" w:space="0" w:color="000000"/>
              <w:bottom w:val="nil"/>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900" w:type="dxa"/>
            <w:tcBorders>
              <w:top w:val="single" w:sz="16" w:space="0" w:color="000000"/>
              <w:bottom w:val="nil"/>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900" w:type="dxa"/>
            <w:tcBorders>
              <w:top w:val="single" w:sz="16" w:space="0" w:color="000000"/>
              <w:bottom w:val="nil"/>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080" w:type="dxa"/>
            <w:tcBorders>
              <w:top w:val="single" w:sz="16" w:space="0" w:color="000000"/>
              <w:bottom w:val="nil"/>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820" w:type="dxa"/>
            <w:tcBorders>
              <w:top w:val="single" w:sz="16" w:space="0" w:color="000000"/>
              <w:bottom w:val="nil"/>
              <w:right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r>
      <w:tr w:rsidR="002B512F" w:rsidRPr="00230B84" w:rsidTr="002B512F">
        <w:trPr>
          <w:jc w:val="center"/>
        </w:trPr>
        <w:tc>
          <w:tcPr>
            <w:tcW w:w="724"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Times New Roman" w:hAnsi="Times New Roman" w:cs="Times New Roman"/>
                <w:sz w:val="24"/>
                <w:szCs w:val="24"/>
                <w:lang w:val="en-US" w:eastAsia="nl-NL"/>
              </w:rPr>
            </w:pPr>
          </w:p>
        </w:tc>
        <w:tc>
          <w:tcPr>
            <w:tcW w:w="1076" w:type="dxa"/>
            <w:tcBorders>
              <w:top w:val="nil"/>
              <w:left w:val="nil"/>
              <w:bottom w:val="nil"/>
              <w:right w:val="single" w:sz="16" w:space="0" w:color="000000"/>
            </w:tcBorders>
            <w:shd w:val="clear" w:color="auto" w:fill="FFFFFF"/>
          </w:tcPr>
          <w:p w:rsidR="00230B84" w:rsidRPr="00230B84" w:rsidRDefault="002B512F"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Country</w:t>
            </w:r>
          </w:p>
        </w:tc>
        <w:tc>
          <w:tcPr>
            <w:tcW w:w="641"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.002</w:t>
            </w:r>
          </w:p>
        </w:tc>
        <w:tc>
          <w:tcPr>
            <w:tcW w:w="126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.005</w:t>
            </w:r>
          </w:p>
        </w:tc>
        <w:tc>
          <w:tcPr>
            <w:tcW w:w="126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.022</w:t>
            </w:r>
          </w:p>
        </w:tc>
        <w:tc>
          <w:tcPr>
            <w:tcW w:w="81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.504</w:t>
            </w:r>
          </w:p>
        </w:tc>
        <w:tc>
          <w:tcPr>
            <w:tcW w:w="81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.615</w:t>
            </w:r>
          </w:p>
        </w:tc>
        <w:tc>
          <w:tcPr>
            <w:tcW w:w="126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.026</w:t>
            </w:r>
          </w:p>
        </w:tc>
        <w:tc>
          <w:tcPr>
            <w:tcW w:w="90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.022</w:t>
            </w:r>
          </w:p>
        </w:tc>
        <w:tc>
          <w:tcPr>
            <w:tcW w:w="90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.022</w:t>
            </w:r>
          </w:p>
        </w:tc>
        <w:tc>
          <w:tcPr>
            <w:tcW w:w="108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.991</w:t>
            </w:r>
          </w:p>
        </w:tc>
        <w:tc>
          <w:tcPr>
            <w:tcW w:w="820"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1.010</w:t>
            </w:r>
          </w:p>
        </w:tc>
      </w:tr>
      <w:tr w:rsidR="002B512F" w:rsidRPr="00230B84" w:rsidTr="002B512F">
        <w:trPr>
          <w:jc w:val="center"/>
        </w:trPr>
        <w:tc>
          <w:tcPr>
            <w:tcW w:w="724"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076" w:type="dxa"/>
            <w:tcBorders>
              <w:top w:val="nil"/>
              <w:left w:val="nil"/>
              <w:bottom w:val="nil"/>
              <w:right w:val="single" w:sz="16" w:space="0" w:color="000000"/>
            </w:tcBorders>
            <w:shd w:val="clear" w:color="auto" w:fill="FFFFFF"/>
          </w:tcPr>
          <w:p w:rsidR="00230B84" w:rsidRPr="00230B84" w:rsidRDefault="002B512F"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Standard</w:t>
            </w:r>
          </w:p>
        </w:tc>
        <w:tc>
          <w:tcPr>
            <w:tcW w:w="641"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.007</w:t>
            </w:r>
          </w:p>
        </w:tc>
        <w:tc>
          <w:tcPr>
            <w:tcW w:w="126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.005</w:t>
            </w:r>
          </w:p>
        </w:tc>
        <w:tc>
          <w:tcPr>
            <w:tcW w:w="126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.059</w:t>
            </w:r>
          </w:p>
        </w:tc>
        <w:tc>
          <w:tcPr>
            <w:tcW w:w="81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1.360</w:t>
            </w:r>
          </w:p>
        </w:tc>
        <w:tc>
          <w:tcPr>
            <w:tcW w:w="81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.175</w:t>
            </w:r>
          </w:p>
        </w:tc>
        <w:tc>
          <w:tcPr>
            <w:tcW w:w="126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.060</w:t>
            </w:r>
          </w:p>
        </w:tc>
        <w:tc>
          <w:tcPr>
            <w:tcW w:w="90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.059</w:t>
            </w:r>
          </w:p>
        </w:tc>
        <w:tc>
          <w:tcPr>
            <w:tcW w:w="90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.059</w:t>
            </w:r>
          </w:p>
        </w:tc>
        <w:tc>
          <w:tcPr>
            <w:tcW w:w="108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c>
          <w:tcPr>
            <w:tcW w:w="820"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r>
      <w:tr w:rsidR="002B512F" w:rsidRPr="00230B84" w:rsidTr="002B512F">
        <w:trPr>
          <w:jc w:val="center"/>
        </w:trPr>
        <w:tc>
          <w:tcPr>
            <w:tcW w:w="724"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076" w:type="dxa"/>
            <w:tcBorders>
              <w:top w:val="nil"/>
              <w:left w:val="nil"/>
              <w:bottom w:val="single" w:sz="16" w:space="0" w:color="000000"/>
              <w:right w:val="single" w:sz="16" w:space="0" w:color="000000"/>
            </w:tcBorders>
            <w:shd w:val="clear" w:color="auto" w:fill="FFFFFF"/>
          </w:tcPr>
          <w:p w:rsidR="00230B84" w:rsidRPr="00230B84" w:rsidRDefault="002B512F" w:rsidP="00230B84">
            <w:pPr>
              <w:autoSpaceDE w:val="0"/>
              <w:autoSpaceDN w:val="0"/>
              <w:adjustRightInd w:val="0"/>
              <w:spacing w:after="0" w:line="320" w:lineRule="atLeast"/>
              <w:ind w:left="60" w:right="60"/>
              <w:rPr>
                <w:rFonts w:ascii="Arial" w:hAnsi="Arial"/>
                <w:color w:val="000000"/>
                <w:sz w:val="18"/>
                <w:szCs w:val="18"/>
                <w:lang w:val="en-US" w:eastAsia="nl-NL"/>
              </w:rPr>
            </w:pPr>
            <w:r>
              <w:rPr>
                <w:rFonts w:ascii="Arial" w:hAnsi="Arial"/>
                <w:color w:val="000000"/>
                <w:sz w:val="18"/>
                <w:szCs w:val="18"/>
                <w:lang w:val="en-US" w:eastAsia="nl-NL"/>
              </w:rPr>
              <w:t>Size</w:t>
            </w:r>
          </w:p>
        </w:tc>
        <w:tc>
          <w:tcPr>
            <w:tcW w:w="641"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.004</w:t>
            </w:r>
          </w:p>
        </w:tc>
        <w:tc>
          <w:tcPr>
            <w:tcW w:w="126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.005</w:t>
            </w:r>
          </w:p>
        </w:tc>
        <w:tc>
          <w:tcPr>
            <w:tcW w:w="126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.035</w:t>
            </w:r>
          </w:p>
        </w:tc>
        <w:tc>
          <w:tcPr>
            <w:tcW w:w="81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.811</w:t>
            </w:r>
          </w:p>
        </w:tc>
        <w:tc>
          <w:tcPr>
            <w:tcW w:w="81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.418</w:t>
            </w:r>
          </w:p>
        </w:tc>
        <w:tc>
          <w:tcPr>
            <w:tcW w:w="126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.038</w:t>
            </w:r>
          </w:p>
        </w:tc>
        <w:tc>
          <w:tcPr>
            <w:tcW w:w="90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.035</w:t>
            </w:r>
          </w:p>
        </w:tc>
        <w:tc>
          <w:tcPr>
            <w:tcW w:w="90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.035</w:t>
            </w:r>
          </w:p>
        </w:tc>
        <w:tc>
          <w:tcPr>
            <w:tcW w:w="108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.990</w:t>
            </w:r>
          </w:p>
        </w:tc>
        <w:tc>
          <w:tcPr>
            <w:tcW w:w="820" w:type="dxa"/>
            <w:tcBorders>
              <w:top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1.010</w:t>
            </w:r>
          </w:p>
        </w:tc>
      </w:tr>
      <w:tr w:rsidR="00230B84" w:rsidRPr="0013388B" w:rsidTr="002B512F">
        <w:trPr>
          <w:jc w:val="center"/>
        </w:trPr>
        <w:tc>
          <w:tcPr>
            <w:tcW w:w="11541" w:type="dxa"/>
            <w:gridSpan w:val="12"/>
            <w:tcBorders>
              <w:top w:val="nil"/>
              <w:left w:val="nil"/>
              <w:bottom w:val="nil"/>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a. Dependent Variable: Real</w:t>
            </w:r>
            <w:r w:rsidR="002B512F">
              <w:rPr>
                <w:rFonts w:ascii="Arial" w:hAnsi="Arial"/>
                <w:color w:val="000000"/>
                <w:sz w:val="18"/>
                <w:szCs w:val="18"/>
                <w:lang w:val="en-US" w:eastAsia="nl-NL"/>
              </w:rPr>
              <w:t xml:space="preserve">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9213" w:type="dxa"/>
        <w:jc w:val="right"/>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0"/>
        <w:gridCol w:w="1110"/>
        <w:gridCol w:w="1260"/>
        <w:gridCol w:w="1440"/>
        <w:gridCol w:w="1170"/>
        <w:gridCol w:w="1080"/>
        <w:gridCol w:w="1170"/>
        <w:gridCol w:w="1113"/>
      </w:tblGrid>
      <w:tr w:rsidR="00230B84" w:rsidRPr="00230B84" w:rsidTr="002B512F">
        <w:trPr>
          <w:jc w:val="right"/>
        </w:trPr>
        <w:tc>
          <w:tcPr>
            <w:tcW w:w="9213" w:type="dxa"/>
            <w:gridSpan w:val="8"/>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Collinearity Diagnostics</w:t>
            </w:r>
            <w:r w:rsidRPr="00230B84">
              <w:rPr>
                <w:rFonts w:ascii="Arial" w:hAnsi="Arial"/>
                <w:b/>
                <w:bCs/>
                <w:color w:val="000000"/>
                <w:sz w:val="18"/>
                <w:szCs w:val="18"/>
                <w:vertAlign w:val="superscript"/>
                <w:lang w:val="en-US" w:eastAsia="nl-NL"/>
              </w:rPr>
              <w:t>a</w:t>
            </w:r>
          </w:p>
        </w:tc>
      </w:tr>
      <w:tr w:rsidR="00230B84" w:rsidRPr="00230B84" w:rsidTr="002B512F">
        <w:trPr>
          <w:jc w:val="right"/>
        </w:trPr>
        <w:tc>
          <w:tcPr>
            <w:tcW w:w="870" w:type="dxa"/>
            <w:vMerge w:val="restart"/>
            <w:tcBorders>
              <w:top w:val="single" w:sz="16" w:space="0" w:color="000000"/>
              <w:left w:val="single" w:sz="16" w:space="0" w:color="000000"/>
              <w:bottom w:val="single" w:sz="16" w:space="0" w:color="000000"/>
              <w:right w:val="nil"/>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Model</w:t>
            </w:r>
          </w:p>
        </w:tc>
        <w:tc>
          <w:tcPr>
            <w:tcW w:w="1110" w:type="dxa"/>
            <w:vMerge w:val="restart"/>
            <w:tcBorders>
              <w:top w:val="single" w:sz="16" w:space="0" w:color="000000"/>
              <w:left w:val="nil"/>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Dimension</w:t>
            </w:r>
          </w:p>
        </w:tc>
        <w:tc>
          <w:tcPr>
            <w:tcW w:w="1260" w:type="dxa"/>
            <w:vMerge w:val="restart"/>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Eigenvalue</w:t>
            </w:r>
          </w:p>
        </w:tc>
        <w:tc>
          <w:tcPr>
            <w:tcW w:w="1440" w:type="dxa"/>
            <w:vMerge w:val="restart"/>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Condition Index</w:t>
            </w:r>
          </w:p>
        </w:tc>
        <w:tc>
          <w:tcPr>
            <w:tcW w:w="4533" w:type="dxa"/>
            <w:gridSpan w:val="4"/>
            <w:tcBorders>
              <w:top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Variance Proportions</w:t>
            </w:r>
          </w:p>
        </w:tc>
      </w:tr>
      <w:tr w:rsidR="00230B84" w:rsidRPr="00230B84" w:rsidTr="002B512F">
        <w:trPr>
          <w:jc w:val="right"/>
        </w:trPr>
        <w:tc>
          <w:tcPr>
            <w:tcW w:w="870" w:type="dxa"/>
            <w:vMerge/>
            <w:tcBorders>
              <w:top w:val="single" w:sz="16" w:space="0" w:color="000000"/>
              <w:left w:val="single" w:sz="16" w:space="0" w:color="000000"/>
              <w:bottom w:val="single" w:sz="16" w:space="0" w:color="000000"/>
              <w:right w:val="nil"/>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110" w:type="dxa"/>
            <w:vMerge/>
            <w:tcBorders>
              <w:top w:val="single" w:sz="16" w:space="0" w:color="000000"/>
              <w:left w:val="nil"/>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260" w:type="dxa"/>
            <w:vMerge/>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440" w:type="dxa"/>
            <w:vMerge/>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170" w:type="dxa"/>
            <w:tcBorders>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(Constant)</w:t>
            </w:r>
          </w:p>
        </w:tc>
        <w:tc>
          <w:tcPr>
            <w:tcW w:w="1080" w:type="dxa"/>
            <w:tcBorders>
              <w:bottom w:val="single" w:sz="16" w:space="0" w:color="000000"/>
            </w:tcBorders>
            <w:shd w:val="clear" w:color="auto" w:fill="FFFFFF"/>
            <w:vAlign w:val="bottom"/>
          </w:tcPr>
          <w:p w:rsidR="00230B84" w:rsidRPr="00230B84" w:rsidRDefault="002B512F"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Country</w:t>
            </w:r>
          </w:p>
        </w:tc>
        <w:tc>
          <w:tcPr>
            <w:tcW w:w="1170" w:type="dxa"/>
            <w:tcBorders>
              <w:bottom w:val="single" w:sz="16" w:space="0" w:color="000000"/>
            </w:tcBorders>
            <w:shd w:val="clear" w:color="auto" w:fill="FFFFFF"/>
            <w:vAlign w:val="bottom"/>
          </w:tcPr>
          <w:p w:rsidR="00230B84" w:rsidRPr="00230B84" w:rsidRDefault="002B512F"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Standard</w:t>
            </w:r>
          </w:p>
        </w:tc>
        <w:tc>
          <w:tcPr>
            <w:tcW w:w="1113" w:type="dxa"/>
            <w:tcBorders>
              <w:bottom w:val="single" w:sz="16" w:space="0" w:color="000000"/>
              <w:right w:val="single" w:sz="16" w:space="0" w:color="000000"/>
            </w:tcBorders>
            <w:shd w:val="clear" w:color="auto" w:fill="FFFFFF"/>
            <w:vAlign w:val="bottom"/>
          </w:tcPr>
          <w:p w:rsidR="00230B84" w:rsidRPr="00230B84" w:rsidRDefault="002B512F"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Size</w:t>
            </w:r>
          </w:p>
        </w:tc>
      </w:tr>
      <w:tr w:rsidR="00230B84" w:rsidRPr="00230B84" w:rsidTr="002B512F">
        <w:trPr>
          <w:jc w:val="right"/>
        </w:trPr>
        <w:tc>
          <w:tcPr>
            <w:tcW w:w="870" w:type="dxa"/>
            <w:vMerge w:val="restart"/>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w:t>
            </w:r>
          </w:p>
        </w:tc>
        <w:tc>
          <w:tcPr>
            <w:tcW w:w="1110" w:type="dxa"/>
            <w:tcBorders>
              <w:top w:val="single" w:sz="16" w:space="0" w:color="000000"/>
              <w:left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w:t>
            </w:r>
          </w:p>
        </w:tc>
        <w:tc>
          <w:tcPr>
            <w:tcW w:w="1260"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2.825</w:t>
            </w:r>
          </w:p>
        </w:tc>
        <w:tc>
          <w:tcPr>
            <w:tcW w:w="144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c>
          <w:tcPr>
            <w:tcW w:w="117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w:t>
            </w:r>
          </w:p>
        </w:tc>
        <w:tc>
          <w:tcPr>
            <w:tcW w:w="108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.04</w:t>
            </w:r>
          </w:p>
        </w:tc>
        <w:tc>
          <w:tcPr>
            <w:tcW w:w="1170"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.04</w:t>
            </w:r>
          </w:p>
        </w:tc>
        <w:tc>
          <w:tcPr>
            <w:tcW w:w="1113" w:type="dxa"/>
            <w:tcBorders>
              <w:top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.04</w:t>
            </w:r>
          </w:p>
        </w:tc>
      </w:tr>
      <w:tr w:rsidR="00230B84" w:rsidRPr="00230B84" w:rsidTr="002B512F">
        <w:trPr>
          <w:jc w:val="right"/>
        </w:trPr>
        <w:tc>
          <w:tcPr>
            <w:tcW w:w="870"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110" w:type="dxa"/>
            <w:tcBorders>
              <w:top w:val="nil"/>
              <w:left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2</w:t>
            </w:r>
          </w:p>
        </w:tc>
        <w:tc>
          <w:tcPr>
            <w:tcW w:w="126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.525</w:t>
            </w:r>
          </w:p>
        </w:tc>
        <w:tc>
          <w:tcPr>
            <w:tcW w:w="144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2.319</w:t>
            </w:r>
          </w:p>
        </w:tc>
        <w:tc>
          <w:tcPr>
            <w:tcW w:w="117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w:t>
            </w:r>
          </w:p>
        </w:tc>
        <w:tc>
          <w:tcPr>
            <w:tcW w:w="108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.42</w:t>
            </w:r>
          </w:p>
        </w:tc>
        <w:tc>
          <w:tcPr>
            <w:tcW w:w="117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.54</w:t>
            </w:r>
          </w:p>
        </w:tc>
        <w:tc>
          <w:tcPr>
            <w:tcW w:w="1113"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.03</w:t>
            </w:r>
          </w:p>
        </w:tc>
      </w:tr>
      <w:tr w:rsidR="00230B84" w:rsidRPr="00230B84" w:rsidTr="002B512F">
        <w:trPr>
          <w:jc w:val="right"/>
        </w:trPr>
        <w:tc>
          <w:tcPr>
            <w:tcW w:w="870"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110" w:type="dxa"/>
            <w:tcBorders>
              <w:top w:val="nil"/>
              <w:left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3</w:t>
            </w:r>
          </w:p>
        </w:tc>
        <w:tc>
          <w:tcPr>
            <w:tcW w:w="1260"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.458</w:t>
            </w:r>
          </w:p>
        </w:tc>
        <w:tc>
          <w:tcPr>
            <w:tcW w:w="144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2.485</w:t>
            </w:r>
          </w:p>
        </w:tc>
        <w:tc>
          <w:tcPr>
            <w:tcW w:w="117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w:t>
            </w:r>
          </w:p>
        </w:tc>
        <w:tc>
          <w:tcPr>
            <w:tcW w:w="108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.37</w:t>
            </w:r>
          </w:p>
        </w:tc>
        <w:tc>
          <w:tcPr>
            <w:tcW w:w="1170"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w:t>
            </w:r>
          </w:p>
        </w:tc>
        <w:tc>
          <w:tcPr>
            <w:tcW w:w="1113"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.62</w:t>
            </w:r>
          </w:p>
        </w:tc>
      </w:tr>
      <w:tr w:rsidR="00230B84" w:rsidRPr="00230B84" w:rsidTr="002B512F">
        <w:trPr>
          <w:jc w:val="right"/>
        </w:trPr>
        <w:tc>
          <w:tcPr>
            <w:tcW w:w="870" w:type="dxa"/>
            <w:vMerge/>
            <w:tcBorders>
              <w:top w:val="single" w:sz="16" w:space="0" w:color="000000"/>
              <w:left w:val="single" w:sz="16" w:space="0" w:color="000000"/>
              <w:bottom w:val="single" w:sz="16" w:space="0" w:color="000000"/>
              <w:right w:val="nil"/>
            </w:tcBorders>
            <w:shd w:val="clear" w:color="auto" w:fill="FFFFFF"/>
          </w:tcPr>
          <w:p w:rsidR="00230B84" w:rsidRPr="00230B84" w:rsidRDefault="00230B84" w:rsidP="00230B84">
            <w:pPr>
              <w:autoSpaceDE w:val="0"/>
              <w:autoSpaceDN w:val="0"/>
              <w:adjustRightInd w:val="0"/>
              <w:spacing w:after="0" w:line="240" w:lineRule="auto"/>
              <w:rPr>
                <w:rFonts w:ascii="Arial" w:hAnsi="Arial"/>
                <w:color w:val="000000"/>
                <w:sz w:val="18"/>
                <w:szCs w:val="18"/>
                <w:lang w:val="en-US" w:eastAsia="nl-NL"/>
              </w:rPr>
            </w:pPr>
          </w:p>
        </w:tc>
        <w:tc>
          <w:tcPr>
            <w:tcW w:w="1110" w:type="dxa"/>
            <w:tcBorders>
              <w:top w:val="nil"/>
              <w:left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4</w:t>
            </w:r>
          </w:p>
        </w:tc>
        <w:tc>
          <w:tcPr>
            <w:tcW w:w="1260"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.192</w:t>
            </w:r>
          </w:p>
        </w:tc>
        <w:tc>
          <w:tcPr>
            <w:tcW w:w="144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3.832</w:t>
            </w:r>
          </w:p>
        </w:tc>
        <w:tc>
          <w:tcPr>
            <w:tcW w:w="117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.97</w:t>
            </w:r>
          </w:p>
        </w:tc>
        <w:tc>
          <w:tcPr>
            <w:tcW w:w="108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.18</w:t>
            </w:r>
          </w:p>
        </w:tc>
        <w:tc>
          <w:tcPr>
            <w:tcW w:w="1170"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.32</w:t>
            </w:r>
          </w:p>
        </w:tc>
        <w:tc>
          <w:tcPr>
            <w:tcW w:w="1113" w:type="dxa"/>
            <w:tcBorders>
              <w:top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.31</w:t>
            </w:r>
          </w:p>
        </w:tc>
      </w:tr>
      <w:tr w:rsidR="00230B84" w:rsidRPr="0013388B" w:rsidTr="002B512F">
        <w:trPr>
          <w:jc w:val="right"/>
        </w:trPr>
        <w:tc>
          <w:tcPr>
            <w:tcW w:w="9213" w:type="dxa"/>
            <w:gridSpan w:val="8"/>
            <w:tcBorders>
              <w:top w:val="nil"/>
              <w:left w:val="nil"/>
              <w:bottom w:val="nil"/>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a. Depende</w:t>
            </w:r>
            <w:r w:rsidR="002B512F">
              <w:rPr>
                <w:rFonts w:ascii="Arial" w:hAnsi="Arial"/>
                <w:color w:val="000000"/>
                <w:sz w:val="18"/>
                <w:szCs w:val="18"/>
                <w:lang w:val="en-US" w:eastAsia="nl-NL"/>
              </w:rPr>
              <w:t>nt Variable: Real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p w:rsidR="003365C2" w:rsidRPr="00230B84" w:rsidRDefault="003365C2"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753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22"/>
        <w:gridCol w:w="1556"/>
        <w:gridCol w:w="1602"/>
        <w:gridCol w:w="1603"/>
        <w:gridCol w:w="1154"/>
      </w:tblGrid>
      <w:tr w:rsidR="00230B84" w:rsidRPr="00230B84" w:rsidTr="002B512F">
        <w:tc>
          <w:tcPr>
            <w:tcW w:w="7537" w:type="dxa"/>
            <w:gridSpan w:val="5"/>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Casewise Diagnostics</w:t>
            </w:r>
            <w:r w:rsidRPr="00230B84">
              <w:rPr>
                <w:rFonts w:ascii="Arial" w:hAnsi="Arial"/>
                <w:b/>
                <w:bCs/>
                <w:color w:val="000000"/>
                <w:sz w:val="18"/>
                <w:szCs w:val="18"/>
                <w:vertAlign w:val="superscript"/>
                <w:lang w:val="en-US" w:eastAsia="nl-NL"/>
              </w:rPr>
              <w:t>a</w:t>
            </w:r>
          </w:p>
        </w:tc>
      </w:tr>
      <w:tr w:rsidR="00230B84" w:rsidRPr="00230B84" w:rsidTr="002B512F">
        <w:tc>
          <w:tcPr>
            <w:tcW w:w="1622"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Case Number</w:t>
            </w:r>
          </w:p>
        </w:tc>
        <w:tc>
          <w:tcPr>
            <w:tcW w:w="1556"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Std. Residual</w:t>
            </w:r>
          </w:p>
        </w:tc>
        <w:tc>
          <w:tcPr>
            <w:tcW w:w="1602" w:type="dxa"/>
            <w:tcBorders>
              <w:top w:val="single" w:sz="16" w:space="0" w:color="000000"/>
              <w:bottom w:val="single" w:sz="16" w:space="0" w:color="000000"/>
            </w:tcBorders>
            <w:shd w:val="clear" w:color="auto" w:fill="FFFFFF"/>
            <w:vAlign w:val="bottom"/>
          </w:tcPr>
          <w:p w:rsidR="00230B84" w:rsidRPr="00230B84" w:rsidRDefault="00DB4F58"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Pr>
                <w:rFonts w:ascii="Arial" w:hAnsi="Arial"/>
                <w:color w:val="000000"/>
                <w:sz w:val="18"/>
                <w:szCs w:val="18"/>
                <w:lang w:val="en-US" w:eastAsia="nl-NL"/>
              </w:rPr>
              <w:t>Real Earnings Management</w:t>
            </w:r>
          </w:p>
        </w:tc>
        <w:tc>
          <w:tcPr>
            <w:tcW w:w="1603"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Predicted Value</w:t>
            </w:r>
          </w:p>
        </w:tc>
        <w:tc>
          <w:tcPr>
            <w:tcW w:w="1154"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Residual</w:t>
            </w:r>
          </w:p>
        </w:tc>
      </w:tr>
      <w:tr w:rsidR="00230B84" w:rsidRPr="00230B84" w:rsidTr="002B512F">
        <w:tc>
          <w:tcPr>
            <w:tcW w:w="1622" w:type="dxa"/>
            <w:tcBorders>
              <w:top w:val="single" w:sz="16" w:space="0" w:color="000000"/>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95</w:t>
            </w:r>
          </w:p>
        </w:tc>
        <w:tc>
          <w:tcPr>
            <w:tcW w:w="1556"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4.265</w:t>
            </w:r>
          </w:p>
        </w:tc>
        <w:tc>
          <w:tcPr>
            <w:tcW w:w="1602"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.30</w:t>
            </w:r>
          </w:p>
        </w:tc>
        <w:tc>
          <w:tcPr>
            <w:tcW w:w="1603"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.0681</w:t>
            </w:r>
          </w:p>
        </w:tc>
        <w:tc>
          <w:tcPr>
            <w:tcW w:w="1154" w:type="dxa"/>
            <w:tcBorders>
              <w:top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.23620</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109</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4.776</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.33</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.0616</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.26453</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129</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4.647</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.32</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.0616</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.25734</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196</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3.097</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.23</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.0616</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.17153</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274</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4.220</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.31</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.0720</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.23373</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277</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4.497</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.32</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.0681</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.24903</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401</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4.884</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.34</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.0706</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.27046</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402</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3.893</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.29</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.0706</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.21562</w:t>
            </w:r>
          </w:p>
        </w:tc>
      </w:tr>
      <w:tr w:rsidR="00230B84" w:rsidRPr="00230B84" w:rsidTr="002B512F">
        <w:tc>
          <w:tcPr>
            <w:tcW w:w="1622"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403</w:t>
            </w:r>
          </w:p>
        </w:tc>
        <w:tc>
          <w:tcPr>
            <w:tcW w:w="1556"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4.458</w:t>
            </w:r>
          </w:p>
        </w:tc>
        <w:tc>
          <w:tcPr>
            <w:tcW w:w="160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.32</w:t>
            </w:r>
          </w:p>
        </w:tc>
        <w:tc>
          <w:tcPr>
            <w:tcW w:w="16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.0706</w:t>
            </w:r>
          </w:p>
        </w:tc>
        <w:tc>
          <w:tcPr>
            <w:tcW w:w="1154"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.24691</w:t>
            </w:r>
          </w:p>
        </w:tc>
      </w:tr>
      <w:tr w:rsidR="00230B84" w:rsidRPr="00230B84" w:rsidTr="002B512F">
        <w:tc>
          <w:tcPr>
            <w:tcW w:w="1622" w:type="dxa"/>
            <w:tcBorders>
              <w:top w:val="nil"/>
              <w:left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443</w:t>
            </w:r>
          </w:p>
        </w:tc>
        <w:tc>
          <w:tcPr>
            <w:tcW w:w="1556"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3.212</w:t>
            </w:r>
          </w:p>
        </w:tc>
        <w:tc>
          <w:tcPr>
            <w:tcW w:w="1602"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.25</w:t>
            </w:r>
          </w:p>
        </w:tc>
        <w:tc>
          <w:tcPr>
            <w:tcW w:w="1603"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.0706</w:t>
            </w:r>
          </w:p>
        </w:tc>
        <w:tc>
          <w:tcPr>
            <w:tcW w:w="1154" w:type="dxa"/>
            <w:tcBorders>
              <w:top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.17787</w:t>
            </w:r>
          </w:p>
        </w:tc>
      </w:tr>
      <w:tr w:rsidR="00230B84" w:rsidRPr="0013388B" w:rsidTr="002B512F">
        <w:tc>
          <w:tcPr>
            <w:tcW w:w="7537" w:type="dxa"/>
            <w:gridSpan w:val="5"/>
            <w:tcBorders>
              <w:top w:val="nil"/>
              <w:left w:val="nil"/>
              <w:bottom w:val="nil"/>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a. Dependent Variable: Real</w:t>
            </w:r>
            <w:r w:rsidR="002B512F">
              <w:rPr>
                <w:rFonts w:ascii="Arial" w:hAnsi="Arial"/>
                <w:color w:val="000000"/>
                <w:sz w:val="18"/>
                <w:szCs w:val="18"/>
                <w:lang w:val="en-US" w:eastAsia="nl-NL"/>
              </w:rPr>
              <w:t xml:space="preserve">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tbl>
      <w:tblPr>
        <w:tblW w:w="83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154"/>
        <w:gridCol w:w="1171"/>
        <w:gridCol w:w="1203"/>
        <w:gridCol w:w="1113"/>
        <w:gridCol w:w="1572"/>
        <w:gridCol w:w="1113"/>
      </w:tblGrid>
      <w:tr w:rsidR="00230B84" w:rsidRPr="00230B84" w:rsidTr="002B512F">
        <w:tc>
          <w:tcPr>
            <w:tcW w:w="8326" w:type="dxa"/>
            <w:gridSpan w:val="6"/>
            <w:tcBorders>
              <w:top w:val="nil"/>
              <w:left w:val="nil"/>
              <w:bottom w:val="nil"/>
              <w:right w:val="nil"/>
            </w:tcBorders>
            <w:shd w:val="clear" w:color="auto" w:fill="FFFFFF"/>
            <w:vAlign w:val="center"/>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b/>
                <w:bCs/>
                <w:color w:val="000000"/>
                <w:sz w:val="18"/>
                <w:szCs w:val="18"/>
                <w:lang w:val="en-US" w:eastAsia="nl-NL"/>
              </w:rPr>
              <w:t>Residuals Statistics</w:t>
            </w:r>
            <w:r w:rsidRPr="00230B84">
              <w:rPr>
                <w:rFonts w:ascii="Arial" w:hAnsi="Arial"/>
                <w:b/>
                <w:bCs/>
                <w:color w:val="000000"/>
                <w:sz w:val="18"/>
                <w:szCs w:val="18"/>
                <w:vertAlign w:val="superscript"/>
                <w:lang w:val="en-US" w:eastAsia="nl-NL"/>
              </w:rPr>
              <w:t>a</w:t>
            </w:r>
          </w:p>
        </w:tc>
      </w:tr>
      <w:tr w:rsidR="00230B84" w:rsidRPr="00230B84" w:rsidTr="002B512F">
        <w:tc>
          <w:tcPr>
            <w:tcW w:w="2154"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230B84" w:rsidRPr="00230B84" w:rsidRDefault="00230B84" w:rsidP="00230B84">
            <w:pPr>
              <w:autoSpaceDE w:val="0"/>
              <w:autoSpaceDN w:val="0"/>
              <w:adjustRightInd w:val="0"/>
              <w:spacing w:after="0" w:line="240" w:lineRule="auto"/>
              <w:jc w:val="center"/>
              <w:rPr>
                <w:rFonts w:ascii="Times New Roman" w:hAnsi="Times New Roman" w:cs="Times New Roman"/>
                <w:sz w:val="24"/>
                <w:szCs w:val="24"/>
                <w:lang w:val="en-US" w:eastAsia="nl-NL"/>
              </w:rPr>
            </w:pPr>
          </w:p>
        </w:tc>
        <w:tc>
          <w:tcPr>
            <w:tcW w:w="1171" w:type="dxa"/>
            <w:tcBorders>
              <w:top w:val="single" w:sz="16" w:space="0" w:color="000000"/>
              <w:left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Minimum</w:t>
            </w:r>
          </w:p>
        </w:tc>
        <w:tc>
          <w:tcPr>
            <w:tcW w:w="1203"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Maximum</w:t>
            </w:r>
          </w:p>
        </w:tc>
        <w:tc>
          <w:tcPr>
            <w:tcW w:w="1113"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Mean</w:t>
            </w:r>
          </w:p>
        </w:tc>
        <w:tc>
          <w:tcPr>
            <w:tcW w:w="1572" w:type="dxa"/>
            <w:tcBorders>
              <w:top w:val="single" w:sz="16" w:space="0" w:color="000000"/>
              <w:bottom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Std. Deviation</w:t>
            </w:r>
          </w:p>
        </w:tc>
        <w:tc>
          <w:tcPr>
            <w:tcW w:w="1113" w:type="dxa"/>
            <w:tcBorders>
              <w:top w:val="single" w:sz="16" w:space="0" w:color="000000"/>
              <w:bottom w:val="single" w:sz="16" w:space="0" w:color="000000"/>
              <w:right w:val="single" w:sz="16" w:space="0" w:color="000000"/>
            </w:tcBorders>
            <w:shd w:val="clear" w:color="auto" w:fill="FFFFFF"/>
            <w:vAlign w:val="bottom"/>
          </w:tcPr>
          <w:p w:rsidR="00230B84" w:rsidRPr="00230B84" w:rsidRDefault="00230B84" w:rsidP="00230B84">
            <w:pPr>
              <w:autoSpaceDE w:val="0"/>
              <w:autoSpaceDN w:val="0"/>
              <w:adjustRightInd w:val="0"/>
              <w:spacing w:after="0" w:line="320" w:lineRule="atLeast"/>
              <w:ind w:left="60" w:right="60"/>
              <w:jc w:val="center"/>
              <w:rPr>
                <w:rFonts w:ascii="Arial" w:hAnsi="Arial"/>
                <w:color w:val="000000"/>
                <w:sz w:val="18"/>
                <w:szCs w:val="18"/>
                <w:lang w:val="en-US" w:eastAsia="nl-NL"/>
              </w:rPr>
            </w:pPr>
            <w:r w:rsidRPr="00230B84">
              <w:rPr>
                <w:rFonts w:ascii="Arial" w:hAnsi="Arial"/>
                <w:color w:val="000000"/>
                <w:sz w:val="18"/>
                <w:szCs w:val="18"/>
                <w:lang w:val="en-US" w:eastAsia="nl-NL"/>
              </w:rPr>
              <w:t>N</w:t>
            </w:r>
          </w:p>
        </w:tc>
      </w:tr>
      <w:tr w:rsidR="00230B84" w:rsidRPr="00230B84" w:rsidTr="002B512F">
        <w:tc>
          <w:tcPr>
            <w:tcW w:w="2154" w:type="dxa"/>
            <w:tcBorders>
              <w:top w:val="single" w:sz="16" w:space="0" w:color="000000"/>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Predicted Value</w:t>
            </w:r>
          </w:p>
        </w:tc>
        <w:tc>
          <w:tcPr>
            <w:tcW w:w="1171" w:type="dxa"/>
            <w:tcBorders>
              <w:top w:val="single" w:sz="16" w:space="0" w:color="000000"/>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.0616</w:t>
            </w:r>
          </w:p>
        </w:tc>
        <w:tc>
          <w:tcPr>
            <w:tcW w:w="1203"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.0745</w:t>
            </w:r>
          </w:p>
        </w:tc>
        <w:tc>
          <w:tcPr>
            <w:tcW w:w="1113"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.0680</w:t>
            </w:r>
          </w:p>
        </w:tc>
        <w:tc>
          <w:tcPr>
            <w:tcW w:w="1572" w:type="dxa"/>
            <w:tcBorders>
              <w:top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.00409</w:t>
            </w:r>
          </w:p>
        </w:tc>
        <w:tc>
          <w:tcPr>
            <w:tcW w:w="1113" w:type="dxa"/>
            <w:tcBorders>
              <w:top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rsidTr="002B512F">
        <w:tc>
          <w:tcPr>
            <w:tcW w:w="2154"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Residual</w:t>
            </w:r>
          </w:p>
        </w:tc>
        <w:tc>
          <w:tcPr>
            <w:tcW w:w="1171"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-.07198</w:t>
            </w:r>
          </w:p>
        </w:tc>
        <w:tc>
          <w:tcPr>
            <w:tcW w:w="12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.27046</w:t>
            </w:r>
          </w:p>
        </w:tc>
        <w:tc>
          <w:tcPr>
            <w:tcW w:w="111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.00000</w:t>
            </w:r>
          </w:p>
        </w:tc>
        <w:tc>
          <w:tcPr>
            <w:tcW w:w="157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.05523</w:t>
            </w:r>
          </w:p>
        </w:tc>
        <w:tc>
          <w:tcPr>
            <w:tcW w:w="1113"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rsidTr="002B512F">
        <w:tc>
          <w:tcPr>
            <w:tcW w:w="2154" w:type="dxa"/>
            <w:tcBorders>
              <w:top w:val="nil"/>
              <w:left w:val="single" w:sz="16" w:space="0" w:color="000000"/>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Std. Predicted Value</w:t>
            </w:r>
          </w:p>
        </w:tc>
        <w:tc>
          <w:tcPr>
            <w:tcW w:w="1171" w:type="dxa"/>
            <w:tcBorders>
              <w:top w:val="nil"/>
              <w:left w:val="single" w:sz="16" w:space="0" w:color="000000"/>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-1.565</w:t>
            </w:r>
          </w:p>
        </w:tc>
        <w:tc>
          <w:tcPr>
            <w:tcW w:w="120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1.593</w:t>
            </w:r>
          </w:p>
        </w:tc>
        <w:tc>
          <w:tcPr>
            <w:tcW w:w="1113"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.000</w:t>
            </w:r>
          </w:p>
        </w:tc>
        <w:tc>
          <w:tcPr>
            <w:tcW w:w="1572" w:type="dxa"/>
            <w:tcBorders>
              <w:top w:val="nil"/>
              <w:bottom w:val="nil"/>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1.000</w:t>
            </w:r>
          </w:p>
        </w:tc>
        <w:tc>
          <w:tcPr>
            <w:tcW w:w="1113" w:type="dxa"/>
            <w:tcBorders>
              <w:top w:val="nil"/>
              <w:bottom w:val="nil"/>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230B84" w:rsidTr="002B512F">
        <w:tc>
          <w:tcPr>
            <w:tcW w:w="2154" w:type="dxa"/>
            <w:tcBorders>
              <w:top w:val="nil"/>
              <w:left w:val="single" w:sz="16" w:space="0" w:color="000000"/>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Std. Residual</w:t>
            </w:r>
          </w:p>
        </w:tc>
        <w:tc>
          <w:tcPr>
            <w:tcW w:w="1171" w:type="dxa"/>
            <w:tcBorders>
              <w:top w:val="nil"/>
              <w:left w:val="single" w:sz="16" w:space="0" w:color="000000"/>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-1.300</w:t>
            </w:r>
          </w:p>
        </w:tc>
        <w:tc>
          <w:tcPr>
            <w:tcW w:w="1203"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4.884</w:t>
            </w:r>
          </w:p>
        </w:tc>
        <w:tc>
          <w:tcPr>
            <w:tcW w:w="1113"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.000</w:t>
            </w:r>
          </w:p>
        </w:tc>
        <w:tc>
          <w:tcPr>
            <w:tcW w:w="1572" w:type="dxa"/>
            <w:tcBorders>
              <w:top w:val="nil"/>
              <w:bottom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.997</w:t>
            </w:r>
          </w:p>
        </w:tc>
        <w:tc>
          <w:tcPr>
            <w:tcW w:w="1113" w:type="dxa"/>
            <w:tcBorders>
              <w:top w:val="nil"/>
              <w:bottom w:val="single" w:sz="16" w:space="0" w:color="000000"/>
              <w:right w:val="single" w:sz="16" w:space="0" w:color="000000"/>
            </w:tcBorders>
            <w:shd w:val="clear" w:color="auto" w:fill="FFFFFF"/>
          </w:tcPr>
          <w:p w:rsidR="00230B84" w:rsidRPr="00230B84" w:rsidRDefault="00230B84" w:rsidP="00230B84">
            <w:pPr>
              <w:autoSpaceDE w:val="0"/>
              <w:autoSpaceDN w:val="0"/>
              <w:adjustRightInd w:val="0"/>
              <w:spacing w:after="0" w:line="320" w:lineRule="atLeast"/>
              <w:ind w:left="60" w:right="60"/>
              <w:jc w:val="right"/>
              <w:rPr>
                <w:rFonts w:ascii="Arial" w:hAnsi="Arial"/>
                <w:color w:val="000000"/>
                <w:sz w:val="18"/>
                <w:szCs w:val="18"/>
                <w:lang w:val="en-US" w:eastAsia="nl-NL"/>
              </w:rPr>
            </w:pPr>
            <w:r w:rsidRPr="00230B84">
              <w:rPr>
                <w:rFonts w:ascii="Arial" w:hAnsi="Arial"/>
                <w:color w:val="000000"/>
                <w:sz w:val="18"/>
                <w:szCs w:val="18"/>
                <w:lang w:val="en-US" w:eastAsia="nl-NL"/>
              </w:rPr>
              <w:t>529</w:t>
            </w:r>
          </w:p>
        </w:tc>
      </w:tr>
      <w:tr w:rsidR="00230B84" w:rsidRPr="0013388B" w:rsidTr="002B512F">
        <w:tc>
          <w:tcPr>
            <w:tcW w:w="8326" w:type="dxa"/>
            <w:gridSpan w:val="6"/>
            <w:tcBorders>
              <w:top w:val="nil"/>
              <w:left w:val="nil"/>
              <w:bottom w:val="nil"/>
              <w:right w:val="nil"/>
            </w:tcBorders>
            <w:shd w:val="clear" w:color="auto" w:fill="FFFFFF"/>
          </w:tcPr>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r w:rsidRPr="00230B84">
              <w:rPr>
                <w:rFonts w:ascii="Arial" w:hAnsi="Arial"/>
                <w:color w:val="000000"/>
                <w:sz w:val="18"/>
                <w:szCs w:val="18"/>
                <w:lang w:val="en-US" w:eastAsia="nl-NL"/>
              </w:rPr>
              <w:t>a. Dependent Variable: Real</w:t>
            </w:r>
            <w:r w:rsidR="002B512F">
              <w:rPr>
                <w:rFonts w:ascii="Arial" w:hAnsi="Arial"/>
                <w:color w:val="000000"/>
                <w:sz w:val="18"/>
                <w:szCs w:val="18"/>
                <w:lang w:val="en-US" w:eastAsia="nl-NL"/>
              </w:rPr>
              <w:t xml:space="preserve"> Earnings Management</w:t>
            </w:r>
          </w:p>
          <w:p w:rsidR="00230B84" w:rsidRPr="00230B84" w:rsidRDefault="00230B84" w:rsidP="00230B84">
            <w:pPr>
              <w:autoSpaceDE w:val="0"/>
              <w:autoSpaceDN w:val="0"/>
              <w:adjustRightInd w:val="0"/>
              <w:spacing w:after="0" w:line="320" w:lineRule="atLeast"/>
              <w:ind w:left="60" w:right="60"/>
              <w:rPr>
                <w:rFonts w:ascii="Arial" w:hAnsi="Arial"/>
                <w:color w:val="000000"/>
                <w:sz w:val="18"/>
                <w:szCs w:val="18"/>
                <w:lang w:val="en-US" w:eastAsia="nl-NL"/>
              </w:rPr>
            </w:pPr>
          </w:p>
        </w:tc>
      </w:tr>
    </w:tbl>
    <w:p w:rsidR="00230B84" w:rsidRPr="00230B84" w:rsidRDefault="003365C2" w:rsidP="00230B84">
      <w:pPr>
        <w:autoSpaceDE w:val="0"/>
        <w:autoSpaceDN w:val="0"/>
        <w:adjustRightInd w:val="0"/>
        <w:spacing w:after="0" w:line="240" w:lineRule="auto"/>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3785191" cy="3027927"/>
            <wp:effectExtent l="0" t="0" r="635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90243" cy="3031968"/>
                    </a:xfrm>
                    <a:prstGeom prst="rect">
                      <a:avLst/>
                    </a:prstGeom>
                    <a:noFill/>
                    <a:ln>
                      <a:noFill/>
                    </a:ln>
                  </pic:spPr>
                </pic:pic>
              </a:graphicData>
            </a:graphic>
          </wp:inline>
        </w:drawing>
      </w:r>
    </w:p>
    <w:p w:rsidR="00230B84" w:rsidRPr="00230B84" w:rsidRDefault="00230B84" w:rsidP="00230B84">
      <w:pPr>
        <w:autoSpaceDE w:val="0"/>
        <w:autoSpaceDN w:val="0"/>
        <w:adjustRightInd w:val="0"/>
        <w:spacing w:after="0" w:line="240" w:lineRule="auto"/>
        <w:rPr>
          <w:rFonts w:ascii="Times New Roman" w:hAnsi="Times New Roman" w:cs="Times New Roman"/>
          <w:sz w:val="24"/>
          <w:szCs w:val="24"/>
          <w:lang w:val="en-US" w:eastAsia="nl-NL"/>
        </w:rPr>
      </w:pPr>
    </w:p>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p w:rsidR="00230B84" w:rsidRPr="00230B84" w:rsidRDefault="003365C2" w:rsidP="00230B84">
      <w:pPr>
        <w:autoSpaceDE w:val="0"/>
        <w:autoSpaceDN w:val="0"/>
        <w:adjustRightInd w:val="0"/>
        <w:spacing w:after="0" w:line="240" w:lineRule="auto"/>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603898" cy="3678869"/>
            <wp:effectExtent l="0" t="0" r="635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03827" cy="3678812"/>
                    </a:xfrm>
                    <a:prstGeom prst="rect">
                      <a:avLst/>
                    </a:prstGeom>
                    <a:noFill/>
                    <a:ln>
                      <a:noFill/>
                    </a:ln>
                  </pic:spPr>
                </pic:pic>
              </a:graphicData>
            </a:graphic>
          </wp:inline>
        </w:drawing>
      </w:r>
    </w:p>
    <w:p w:rsidR="00230B84" w:rsidRPr="00230B84" w:rsidRDefault="00230B84" w:rsidP="00230B84">
      <w:pPr>
        <w:autoSpaceDE w:val="0"/>
        <w:autoSpaceDN w:val="0"/>
        <w:adjustRightInd w:val="0"/>
        <w:spacing w:after="0" w:line="240" w:lineRule="auto"/>
        <w:rPr>
          <w:rFonts w:ascii="Times New Roman" w:hAnsi="Times New Roman" w:cs="Times New Roman"/>
          <w:sz w:val="24"/>
          <w:szCs w:val="24"/>
          <w:lang w:val="en-US" w:eastAsia="nl-NL"/>
        </w:rPr>
      </w:pPr>
    </w:p>
    <w:p w:rsidR="00230B84" w:rsidRPr="00230B84" w:rsidRDefault="00230B84" w:rsidP="00230B84">
      <w:pPr>
        <w:autoSpaceDE w:val="0"/>
        <w:autoSpaceDN w:val="0"/>
        <w:adjustRightInd w:val="0"/>
        <w:spacing w:after="0" w:line="400" w:lineRule="atLeast"/>
        <w:rPr>
          <w:rFonts w:ascii="Times New Roman" w:hAnsi="Times New Roman" w:cs="Times New Roman"/>
          <w:sz w:val="24"/>
          <w:szCs w:val="24"/>
          <w:lang w:val="en-US" w:eastAsia="nl-NL"/>
        </w:rPr>
      </w:pPr>
    </w:p>
    <w:p w:rsidR="00230B84" w:rsidRDefault="003365C2" w:rsidP="00230B84">
      <w:pPr>
        <w:autoSpaceDE w:val="0"/>
        <w:autoSpaceDN w:val="0"/>
        <w:adjustRightInd w:val="0"/>
        <w:spacing w:after="0" w:line="240" w:lineRule="auto"/>
        <w:rPr>
          <w:rFonts w:ascii="Times New Roman" w:hAnsi="Times New Roman" w:cs="Times New Roman"/>
          <w:sz w:val="24"/>
          <w:szCs w:val="24"/>
          <w:lang w:val="en-US" w:eastAsia="nl-NL"/>
        </w:rPr>
      </w:pPr>
      <w:r>
        <w:rPr>
          <w:rFonts w:ascii="Times New Roman" w:hAnsi="Times New Roman" w:cs="Times New Roman"/>
          <w:noProof/>
          <w:sz w:val="24"/>
          <w:szCs w:val="24"/>
          <w:lang w:val="en-US"/>
        </w:rPr>
        <w:drawing>
          <wp:inline distT="0" distB="0" distL="0" distR="0">
            <wp:extent cx="4752754" cy="3798079"/>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752584" cy="3797943"/>
                    </a:xfrm>
                    <a:prstGeom prst="rect">
                      <a:avLst/>
                    </a:prstGeom>
                    <a:noFill/>
                    <a:ln>
                      <a:noFill/>
                    </a:ln>
                  </pic:spPr>
                </pic:pic>
              </a:graphicData>
            </a:graphic>
          </wp:inline>
        </w:drawing>
      </w:r>
    </w:p>
    <w:p w:rsidR="006F4FB2" w:rsidRDefault="006F4FB2" w:rsidP="00230B84">
      <w:pPr>
        <w:autoSpaceDE w:val="0"/>
        <w:autoSpaceDN w:val="0"/>
        <w:adjustRightInd w:val="0"/>
        <w:spacing w:after="0" w:line="240" w:lineRule="auto"/>
        <w:rPr>
          <w:rFonts w:ascii="Times New Roman" w:hAnsi="Times New Roman" w:cs="Times New Roman"/>
          <w:sz w:val="24"/>
          <w:szCs w:val="24"/>
          <w:lang w:val="en-US" w:eastAsia="nl-NL"/>
        </w:rPr>
      </w:pPr>
    </w:p>
    <w:p w:rsidR="006F4FB2" w:rsidRDefault="006F4FB2" w:rsidP="00230B84">
      <w:pPr>
        <w:autoSpaceDE w:val="0"/>
        <w:autoSpaceDN w:val="0"/>
        <w:adjustRightInd w:val="0"/>
        <w:spacing w:after="0" w:line="240" w:lineRule="auto"/>
        <w:rPr>
          <w:rFonts w:ascii="Times New Roman" w:hAnsi="Times New Roman" w:cs="Times New Roman"/>
          <w:sz w:val="24"/>
          <w:szCs w:val="24"/>
          <w:lang w:val="en-US" w:eastAsia="nl-NL"/>
        </w:rPr>
      </w:pPr>
    </w:p>
    <w:p w:rsidR="006F4FB2" w:rsidRDefault="006F4FB2" w:rsidP="00230B84">
      <w:pPr>
        <w:autoSpaceDE w:val="0"/>
        <w:autoSpaceDN w:val="0"/>
        <w:adjustRightInd w:val="0"/>
        <w:spacing w:after="0" w:line="240" w:lineRule="auto"/>
        <w:rPr>
          <w:rFonts w:ascii="Times New Roman" w:hAnsi="Times New Roman" w:cs="Times New Roman"/>
          <w:sz w:val="24"/>
          <w:szCs w:val="24"/>
          <w:lang w:val="en-US" w:eastAsia="nl-NL"/>
        </w:rPr>
      </w:pPr>
    </w:p>
    <w:p w:rsidR="005A63A3" w:rsidRPr="005A63A3" w:rsidRDefault="005A63A3" w:rsidP="005A63A3">
      <w:pPr>
        <w:autoSpaceDE w:val="0"/>
        <w:autoSpaceDN w:val="0"/>
        <w:adjustRightInd w:val="0"/>
        <w:spacing w:after="0" w:line="240" w:lineRule="auto"/>
        <w:rPr>
          <w:rFonts w:cstheme="minorHAnsi"/>
          <w:b/>
          <w:sz w:val="24"/>
          <w:szCs w:val="24"/>
          <w:lang w:val="en-GB"/>
        </w:rPr>
      </w:pPr>
      <w:r w:rsidRPr="005A63A3">
        <w:rPr>
          <w:rFonts w:cstheme="minorHAnsi"/>
          <w:b/>
          <w:sz w:val="24"/>
          <w:szCs w:val="24"/>
          <w:lang w:val="en-GB"/>
        </w:rPr>
        <w:t xml:space="preserve">Real Earnings Management Variables </w:t>
      </w:r>
    </w:p>
    <w:p w:rsidR="005A63A3" w:rsidRPr="005A63A3" w:rsidRDefault="005A63A3" w:rsidP="005A63A3">
      <w:pPr>
        <w:autoSpaceDE w:val="0"/>
        <w:autoSpaceDN w:val="0"/>
        <w:adjustRightInd w:val="0"/>
        <w:spacing w:after="0" w:line="240" w:lineRule="auto"/>
        <w:rPr>
          <w:rFonts w:cstheme="minorHAnsi"/>
          <w:sz w:val="24"/>
          <w:szCs w:val="24"/>
          <w:lang w:val="en-GB"/>
        </w:rPr>
      </w:pPr>
    </w:p>
    <w:p w:rsidR="005A63A3" w:rsidRPr="005A63A3" w:rsidRDefault="005A63A3" w:rsidP="005A63A3">
      <w:pPr>
        <w:autoSpaceDE w:val="0"/>
        <w:autoSpaceDN w:val="0"/>
        <w:adjustRightInd w:val="0"/>
        <w:spacing w:after="0" w:line="240" w:lineRule="auto"/>
        <w:rPr>
          <w:rFonts w:asciiTheme="minorHAnsi" w:hAnsiTheme="minorHAnsi" w:cstheme="minorHAnsi"/>
          <w:sz w:val="24"/>
          <w:szCs w:val="24"/>
          <w:lang w:val="en-GB"/>
        </w:rPr>
      </w:pPr>
    </w:p>
    <w:p w:rsidR="005A63A3" w:rsidRPr="005A63A3" w:rsidRDefault="005A63A3" w:rsidP="005A63A3">
      <w:pPr>
        <w:autoSpaceDE w:val="0"/>
        <w:autoSpaceDN w:val="0"/>
        <w:adjustRightInd w:val="0"/>
        <w:spacing w:after="0" w:line="240" w:lineRule="auto"/>
        <w:rPr>
          <w:rFonts w:asciiTheme="minorHAnsi" w:hAnsiTheme="minorHAnsi" w:cstheme="minorHAnsi"/>
          <w:b/>
          <w:sz w:val="24"/>
          <w:szCs w:val="24"/>
          <w:lang w:val="en-GB"/>
        </w:rPr>
      </w:pPr>
      <w:r w:rsidRPr="005A63A3">
        <w:rPr>
          <w:rFonts w:asciiTheme="minorHAnsi" w:hAnsiTheme="minorHAnsi" w:cstheme="minorHAnsi"/>
          <w:b/>
          <w:sz w:val="24"/>
          <w:szCs w:val="24"/>
          <w:lang w:val="en-GB"/>
        </w:rPr>
        <w:t>Cash Flow from Operations</w:t>
      </w:r>
    </w:p>
    <w:p w:rsidR="005A63A3" w:rsidRPr="005A63A3" w:rsidRDefault="005A63A3" w:rsidP="005A63A3">
      <w:pPr>
        <w:autoSpaceDE w:val="0"/>
        <w:autoSpaceDN w:val="0"/>
        <w:adjustRightInd w:val="0"/>
        <w:spacing w:after="0" w:line="240" w:lineRule="auto"/>
        <w:rPr>
          <w:rFonts w:ascii="Times New Roman" w:hAnsi="Times New Roman" w:cs="Times New Roman"/>
          <w:sz w:val="24"/>
          <w:szCs w:val="24"/>
          <w:lang w:val="en-GB"/>
        </w:rPr>
      </w:pPr>
    </w:p>
    <w:tbl>
      <w:tblPr>
        <w:tblW w:w="47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8"/>
        <w:gridCol w:w="1469"/>
        <w:gridCol w:w="1468"/>
        <w:gridCol w:w="1019"/>
      </w:tblGrid>
      <w:tr w:rsidR="005A63A3" w:rsidRPr="009849F2" w:rsidTr="005773A4">
        <w:tc>
          <w:tcPr>
            <w:tcW w:w="4752" w:type="dxa"/>
            <w:gridSpan w:val="4"/>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Variables Entered/Removed</w:t>
            </w:r>
            <w:r w:rsidRPr="009849F2">
              <w:rPr>
                <w:rFonts w:ascii="Arial" w:hAnsi="Arial"/>
                <w:b/>
                <w:bCs/>
                <w:color w:val="000000"/>
                <w:sz w:val="18"/>
                <w:szCs w:val="18"/>
                <w:vertAlign w:val="superscript"/>
              </w:rPr>
              <w:t>b</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Entered</w:t>
            </w:r>
          </w:p>
        </w:tc>
        <w:tc>
          <w:tcPr>
            <w:tcW w:w="1467"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Removed</w:t>
            </w:r>
          </w:p>
        </w:tc>
        <w:tc>
          <w:tcPr>
            <w:tcW w:w="1019"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Method</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468"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 Accounting Standard, Size</w:t>
            </w:r>
          </w:p>
        </w:tc>
        <w:tc>
          <w:tcPr>
            <w:tcW w:w="1467"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w:t>
            </w:r>
          </w:p>
        </w:tc>
        <w:tc>
          <w:tcPr>
            <w:tcW w:w="1019"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Enter</w:t>
            </w:r>
          </w:p>
        </w:tc>
      </w:tr>
      <w:tr w:rsidR="005A63A3" w:rsidRPr="0013388B" w:rsidTr="005773A4">
        <w:tc>
          <w:tcPr>
            <w:tcW w:w="4752" w:type="dxa"/>
            <w:gridSpan w:val="4"/>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All requested variables entered.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Cash Flow from Operations</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7"/>
        <w:gridCol w:w="1020"/>
        <w:gridCol w:w="1088"/>
        <w:gridCol w:w="1469"/>
        <w:gridCol w:w="1469"/>
      </w:tblGrid>
      <w:tr w:rsidR="005A63A3" w:rsidRPr="009849F2" w:rsidTr="005773A4">
        <w:tc>
          <w:tcPr>
            <w:tcW w:w="5843" w:type="dxa"/>
            <w:gridSpan w:val="5"/>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Model Summary</w:t>
            </w:r>
            <w:r w:rsidRPr="009849F2">
              <w:rPr>
                <w:rFonts w:ascii="Arial" w:hAnsi="Arial"/>
                <w:b/>
                <w:bCs/>
                <w:color w:val="000000"/>
                <w:sz w:val="18"/>
                <w:szCs w:val="18"/>
                <w:vertAlign w:val="superscript"/>
              </w:rPr>
              <w:t>b</w:t>
            </w:r>
          </w:p>
        </w:tc>
      </w:tr>
      <w:tr w:rsidR="005A63A3" w:rsidRPr="0013388B" w:rsidTr="005773A4">
        <w:tc>
          <w:tcPr>
            <w:tcW w:w="797"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020"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w:t>
            </w:r>
          </w:p>
        </w:tc>
        <w:tc>
          <w:tcPr>
            <w:tcW w:w="1088"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 Square</w:t>
            </w:r>
          </w:p>
        </w:tc>
        <w:tc>
          <w:tcPr>
            <w:tcW w:w="1469"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Adjusted R Square</w:t>
            </w:r>
          </w:p>
        </w:tc>
        <w:tc>
          <w:tcPr>
            <w:tcW w:w="1469" w:type="dxa"/>
            <w:tcBorders>
              <w:top w:val="single" w:sz="16" w:space="0" w:color="000000"/>
              <w:bottom w:val="single" w:sz="16" w:space="0" w:color="000000"/>
              <w:right w:val="single" w:sz="16" w:space="0" w:color="000000"/>
            </w:tcBorders>
            <w:shd w:val="clear" w:color="auto" w:fill="FFFFFF"/>
            <w:vAlign w:val="bottom"/>
          </w:tcPr>
          <w:p w:rsidR="005A63A3" w:rsidRPr="005A63A3" w:rsidRDefault="005A63A3" w:rsidP="005773A4">
            <w:pPr>
              <w:autoSpaceDE w:val="0"/>
              <w:autoSpaceDN w:val="0"/>
              <w:adjustRightInd w:val="0"/>
              <w:spacing w:after="0" w:line="320" w:lineRule="atLeast"/>
              <w:ind w:left="60" w:right="60"/>
              <w:jc w:val="center"/>
              <w:rPr>
                <w:rFonts w:ascii="Arial" w:hAnsi="Arial"/>
                <w:color w:val="000000"/>
                <w:sz w:val="18"/>
                <w:szCs w:val="18"/>
                <w:lang w:val="en-GB"/>
              </w:rPr>
            </w:pPr>
            <w:r w:rsidRPr="005A63A3">
              <w:rPr>
                <w:rFonts w:ascii="Arial" w:hAnsi="Arial"/>
                <w:color w:val="000000"/>
                <w:sz w:val="18"/>
                <w:szCs w:val="18"/>
                <w:lang w:val="en-GB"/>
              </w:rPr>
              <w:t>Std. Error of the Estimate</w:t>
            </w:r>
          </w:p>
        </w:tc>
      </w:tr>
      <w:tr w:rsidR="005A63A3" w:rsidRPr="009849F2" w:rsidTr="005773A4">
        <w:tc>
          <w:tcPr>
            <w:tcW w:w="797"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020"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.152</w:t>
            </w:r>
            <w:r w:rsidRPr="009849F2">
              <w:rPr>
                <w:rFonts w:ascii="Arial" w:hAnsi="Arial"/>
                <w:color w:val="000000"/>
                <w:sz w:val="18"/>
                <w:szCs w:val="18"/>
                <w:vertAlign w:val="superscript"/>
              </w:rPr>
              <w:t>a</w:t>
            </w:r>
          </w:p>
        </w:tc>
        <w:tc>
          <w:tcPr>
            <w:tcW w:w="1088"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.023</w:t>
            </w:r>
          </w:p>
        </w:tc>
        <w:tc>
          <w:tcPr>
            <w:tcW w:w="1469"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.018</w:t>
            </w:r>
          </w:p>
        </w:tc>
        <w:tc>
          <w:tcPr>
            <w:tcW w:w="1469"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.04390</w:t>
            </w:r>
          </w:p>
        </w:tc>
      </w:tr>
      <w:tr w:rsidR="005A63A3" w:rsidRPr="0013388B" w:rsidTr="005773A4">
        <w:tc>
          <w:tcPr>
            <w:tcW w:w="5843" w:type="dxa"/>
            <w:gridSpan w:val="5"/>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Cash Flow from Operations</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79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1283"/>
        <w:gridCol w:w="1469"/>
        <w:gridCol w:w="1019"/>
        <w:gridCol w:w="1411"/>
        <w:gridCol w:w="1020"/>
        <w:gridCol w:w="1020"/>
      </w:tblGrid>
      <w:tr w:rsidR="005A63A3" w:rsidRPr="009849F2" w:rsidTr="005773A4">
        <w:tc>
          <w:tcPr>
            <w:tcW w:w="7955" w:type="dxa"/>
            <w:gridSpan w:val="7"/>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5A63A3" w:rsidRPr="009849F2" w:rsidTr="005773A4">
        <w:tc>
          <w:tcPr>
            <w:tcW w:w="201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773A4">
        <w:tc>
          <w:tcPr>
            <w:tcW w:w="733"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.026</w:t>
            </w:r>
          </w:p>
        </w:tc>
        <w:tc>
          <w:tcPr>
            <w:tcW w:w="1019"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020"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4.423</w:t>
            </w:r>
          </w:p>
        </w:tc>
        <w:tc>
          <w:tcPr>
            <w:tcW w:w="1020"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r w:rsidRPr="009849F2">
              <w:rPr>
                <w:rFonts w:ascii="Arial" w:hAnsi="Arial"/>
                <w:color w:val="000000"/>
                <w:sz w:val="18"/>
                <w:szCs w:val="18"/>
                <w:vertAlign w:val="superscript"/>
              </w:rPr>
              <w:t>a</w:t>
            </w: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283" w:type="dxa"/>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1.077</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c>
          <w:tcPr>
            <w:tcW w:w="1411"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020" w:type="dxa"/>
            <w:tcBorders>
              <w:top w:val="nil"/>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nil"/>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Times New Roman" w:hAnsi="Times New Roman" w:cs="Times New Roman"/>
                <w:sz w:val="24"/>
                <w:szCs w:val="24"/>
              </w:rPr>
            </w:pPr>
          </w:p>
        </w:tc>
        <w:tc>
          <w:tcPr>
            <w:tcW w:w="1283" w:type="dxa"/>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1.103</w:t>
            </w:r>
          </w:p>
        </w:tc>
        <w:tc>
          <w:tcPr>
            <w:tcW w:w="1019"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562</w:t>
            </w:r>
          </w:p>
        </w:tc>
        <w:tc>
          <w:tcPr>
            <w:tcW w:w="1411" w:type="dxa"/>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13388B" w:rsidTr="005773A4">
        <w:tc>
          <w:tcPr>
            <w:tcW w:w="7955" w:type="dxa"/>
            <w:gridSpan w:val="7"/>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Cash Flow from Operations</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4"/>
        <w:gridCol w:w="753"/>
        <w:gridCol w:w="1426"/>
        <w:gridCol w:w="269"/>
        <w:gridCol w:w="864"/>
        <w:gridCol w:w="473"/>
        <w:gridCol w:w="995"/>
        <w:gridCol w:w="340"/>
        <w:gridCol w:w="718"/>
        <w:gridCol w:w="751"/>
        <w:gridCol w:w="1019"/>
        <w:gridCol w:w="1019"/>
      </w:tblGrid>
      <w:tr w:rsidR="005A63A3" w:rsidRPr="009849F2" w:rsidTr="005773A4">
        <w:tc>
          <w:tcPr>
            <w:tcW w:w="9361" w:type="dxa"/>
            <w:gridSpan w:val="12"/>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5A63A3" w:rsidRPr="009849F2" w:rsidTr="005773A4">
        <w:tc>
          <w:tcPr>
            <w:tcW w:w="3182"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4"/>
            <w:tcBorders>
              <w:top w:val="single" w:sz="16" w:space="0" w:color="000000"/>
              <w:lef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2"/>
            <w:tcBorders>
              <w:top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vMerge w:val="restart"/>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773A4">
        <w:tc>
          <w:tcPr>
            <w:tcW w:w="3182" w:type="dxa"/>
            <w:gridSpan w:val="4"/>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337" w:type="dxa"/>
            <w:gridSpan w:val="2"/>
            <w:tcBorders>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gridSpan w:val="2"/>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2"/>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vMerge/>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r>
      <w:tr w:rsidR="005A63A3" w:rsidRPr="009849F2" w:rsidTr="005773A4">
        <w:tc>
          <w:tcPr>
            <w:tcW w:w="734"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3"/>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2"/>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.059</w:t>
            </w:r>
          </w:p>
        </w:tc>
        <w:tc>
          <w:tcPr>
            <w:tcW w:w="1335"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2"/>
            <w:tcBorders>
              <w:top w:val="single" w:sz="16" w:space="0" w:color="000000"/>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19"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16.309</w:t>
            </w:r>
          </w:p>
        </w:tc>
        <w:tc>
          <w:tcPr>
            <w:tcW w:w="1019"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5A63A3" w:rsidRPr="009849F2" w:rsidTr="005773A4">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3"/>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335"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-.041</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-.980</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.328</w:t>
            </w:r>
          </w:p>
        </w:tc>
      </w:tr>
      <w:tr w:rsidR="005A63A3" w:rsidRPr="009849F2" w:rsidTr="005773A4">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3"/>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335"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-.027</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-.642</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.521</w:t>
            </w:r>
          </w:p>
        </w:tc>
      </w:tr>
      <w:tr w:rsidR="005A63A3" w:rsidRPr="009849F2" w:rsidTr="005773A4">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3"/>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2"/>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-.012</w:t>
            </w:r>
          </w:p>
        </w:tc>
        <w:tc>
          <w:tcPr>
            <w:tcW w:w="1335"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469"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-.140</w:t>
            </w:r>
          </w:p>
        </w:tc>
        <w:tc>
          <w:tcPr>
            <w:tcW w:w="1019"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-3.326</w:t>
            </w:r>
          </w:p>
        </w:tc>
        <w:tc>
          <w:tcPr>
            <w:tcW w:w="1019"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.001</w:t>
            </w:r>
          </w:p>
        </w:tc>
      </w:tr>
      <w:tr w:rsidR="005A63A3" w:rsidRPr="0013388B" w:rsidTr="005773A4">
        <w:tc>
          <w:tcPr>
            <w:tcW w:w="9361" w:type="dxa"/>
            <w:gridSpan w:val="12"/>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Cash Flow from Operations</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9849F2" w:rsidTr="005773A4">
        <w:trPr>
          <w:gridAfter w:val="3"/>
          <w:wAfter w:w="2789" w:type="dxa"/>
        </w:trPr>
        <w:tc>
          <w:tcPr>
            <w:tcW w:w="6572" w:type="dxa"/>
            <w:gridSpan w:val="9"/>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Casewise Diagnostics</w:t>
            </w:r>
            <w:r w:rsidRPr="009849F2">
              <w:rPr>
                <w:rFonts w:ascii="Arial" w:hAnsi="Arial"/>
                <w:b/>
                <w:bCs/>
                <w:color w:val="000000"/>
                <w:sz w:val="18"/>
                <w:szCs w:val="18"/>
                <w:vertAlign w:val="superscript"/>
              </w:rPr>
              <w:t>a</w:t>
            </w:r>
          </w:p>
        </w:tc>
      </w:tr>
      <w:tr w:rsidR="005A63A3" w:rsidRPr="009849F2" w:rsidTr="005773A4">
        <w:trPr>
          <w:gridAfter w:val="3"/>
          <w:wAfter w:w="2789" w:type="dxa"/>
        </w:trPr>
        <w:tc>
          <w:tcPr>
            <w:tcW w:w="1487"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Case Number</w:t>
            </w:r>
          </w:p>
        </w:tc>
        <w:tc>
          <w:tcPr>
            <w:tcW w:w="1426"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Residual</w:t>
            </w:r>
          </w:p>
        </w:tc>
        <w:tc>
          <w:tcPr>
            <w:tcW w:w="1133"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CFO</w:t>
            </w:r>
          </w:p>
        </w:tc>
        <w:tc>
          <w:tcPr>
            <w:tcW w:w="1468"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Predicted Value</w:t>
            </w:r>
          </w:p>
        </w:tc>
        <w:tc>
          <w:tcPr>
            <w:tcW w:w="1058" w:type="dxa"/>
            <w:gridSpan w:val="2"/>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Residual</w:t>
            </w:r>
          </w:p>
        </w:tc>
      </w:tr>
      <w:tr w:rsidR="005A63A3" w:rsidRPr="009849F2" w:rsidTr="005773A4">
        <w:trPr>
          <w:gridAfter w:val="3"/>
          <w:wAfter w:w="2789" w:type="dxa"/>
        </w:trPr>
        <w:tc>
          <w:tcPr>
            <w:tcW w:w="1487" w:type="dxa"/>
            <w:gridSpan w:val="2"/>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92</w:t>
            </w:r>
          </w:p>
        </w:tc>
        <w:tc>
          <w:tcPr>
            <w:tcW w:w="1426" w:type="dxa"/>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3.763</w:t>
            </w:r>
          </w:p>
        </w:tc>
        <w:tc>
          <w:tcPr>
            <w:tcW w:w="1133"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.22</w:t>
            </w:r>
          </w:p>
        </w:tc>
        <w:tc>
          <w:tcPr>
            <w:tcW w:w="1468"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.0565</w:t>
            </w:r>
          </w:p>
        </w:tc>
        <w:tc>
          <w:tcPr>
            <w:tcW w:w="1058" w:type="dxa"/>
            <w:gridSpan w:val="2"/>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.16518</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94</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3.288</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.20</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.0565</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.14436</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208</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3.100</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.19</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.0589</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.13606</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230</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3.796</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.23</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.0589</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.16665</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255</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4.662</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.26</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.0589</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.20467</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266</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3.313</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.20</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.0589</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.14542</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272</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3.030</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.18</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.0465</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.13302</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281</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4.555</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.26</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.0565</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.19995</w:t>
            </w:r>
          </w:p>
        </w:tc>
      </w:tr>
      <w:tr w:rsidR="005A63A3" w:rsidRPr="009849F2" w:rsidTr="005773A4">
        <w:trPr>
          <w:gridAfter w:val="3"/>
          <w:wAfter w:w="2789"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470</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4.387</w:t>
            </w:r>
          </w:p>
        </w:tc>
        <w:tc>
          <w:tcPr>
            <w:tcW w:w="1133"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.24</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.0429</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.19256</w:t>
            </w:r>
          </w:p>
        </w:tc>
      </w:tr>
      <w:tr w:rsidR="005A63A3" w:rsidRPr="009849F2" w:rsidTr="005773A4">
        <w:trPr>
          <w:gridAfter w:val="3"/>
          <w:wAfter w:w="2789" w:type="dxa"/>
        </w:trPr>
        <w:tc>
          <w:tcPr>
            <w:tcW w:w="1487" w:type="dxa"/>
            <w:gridSpan w:val="2"/>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471</w:t>
            </w:r>
          </w:p>
        </w:tc>
        <w:tc>
          <w:tcPr>
            <w:tcW w:w="1426" w:type="dxa"/>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4.078</w:t>
            </w:r>
          </w:p>
        </w:tc>
        <w:tc>
          <w:tcPr>
            <w:tcW w:w="1133"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.22</w:t>
            </w:r>
          </w:p>
        </w:tc>
        <w:tc>
          <w:tcPr>
            <w:tcW w:w="1468"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.0429</w:t>
            </w:r>
          </w:p>
        </w:tc>
        <w:tc>
          <w:tcPr>
            <w:tcW w:w="1058" w:type="dxa"/>
            <w:gridSpan w:val="2"/>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.17900</w:t>
            </w:r>
          </w:p>
        </w:tc>
      </w:tr>
      <w:tr w:rsidR="005A63A3" w:rsidRPr="0013388B" w:rsidTr="005773A4">
        <w:trPr>
          <w:gridAfter w:val="3"/>
          <w:wAfter w:w="2789" w:type="dxa"/>
        </w:trPr>
        <w:tc>
          <w:tcPr>
            <w:tcW w:w="6572" w:type="dxa"/>
            <w:gridSpan w:val="9"/>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Cash Flow from Operations</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7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2"/>
        <w:gridCol w:w="1073"/>
        <w:gridCol w:w="1103"/>
        <w:gridCol w:w="1020"/>
        <w:gridCol w:w="1441"/>
        <w:gridCol w:w="1020"/>
      </w:tblGrid>
      <w:tr w:rsidR="005A63A3" w:rsidRPr="009849F2" w:rsidTr="005773A4">
        <w:tc>
          <w:tcPr>
            <w:tcW w:w="7625" w:type="dxa"/>
            <w:gridSpan w:val="6"/>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Residuals Statistics</w:t>
            </w:r>
            <w:r w:rsidRPr="009849F2">
              <w:rPr>
                <w:rFonts w:ascii="Arial" w:hAnsi="Arial"/>
                <w:b/>
                <w:bCs/>
                <w:color w:val="000000"/>
                <w:sz w:val="18"/>
                <w:szCs w:val="18"/>
                <w:vertAlign w:val="superscript"/>
              </w:rPr>
              <w:t>a</w:t>
            </w:r>
          </w:p>
        </w:tc>
      </w:tr>
      <w:tr w:rsidR="005A63A3" w:rsidRPr="009849F2" w:rsidTr="005773A4">
        <w:tc>
          <w:tcPr>
            <w:tcW w:w="1972"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73"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Minimum</w:t>
            </w:r>
          </w:p>
        </w:tc>
        <w:tc>
          <w:tcPr>
            <w:tcW w:w="1102"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Maximum</w:t>
            </w:r>
          </w:p>
        </w:tc>
        <w:tc>
          <w:tcPr>
            <w:tcW w:w="1019"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w:t>
            </w:r>
          </w:p>
        </w:tc>
        <w:tc>
          <w:tcPr>
            <w:tcW w:w="1440"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Deviation</w:t>
            </w:r>
          </w:p>
        </w:tc>
        <w:tc>
          <w:tcPr>
            <w:tcW w:w="1019"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N</w:t>
            </w:r>
          </w:p>
        </w:tc>
      </w:tr>
      <w:tr w:rsidR="005A63A3" w:rsidRPr="009849F2" w:rsidTr="005773A4">
        <w:tc>
          <w:tcPr>
            <w:tcW w:w="1972" w:type="dxa"/>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Predicted Value</w:t>
            </w:r>
          </w:p>
        </w:tc>
        <w:tc>
          <w:tcPr>
            <w:tcW w:w="1073" w:type="dxa"/>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.0405</w:t>
            </w:r>
          </w:p>
        </w:tc>
        <w:tc>
          <w:tcPr>
            <w:tcW w:w="1102"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.0589</w:t>
            </w:r>
          </w:p>
        </w:tc>
        <w:tc>
          <w:tcPr>
            <w:tcW w:w="1019"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.0495</w:t>
            </w:r>
          </w:p>
        </w:tc>
        <w:tc>
          <w:tcPr>
            <w:tcW w:w="1440"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.00675</w:t>
            </w:r>
          </w:p>
        </w:tc>
        <w:tc>
          <w:tcPr>
            <w:tcW w:w="1019"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9849F2" w:rsidTr="005773A4">
        <w:tc>
          <w:tcPr>
            <w:tcW w:w="1972" w:type="dxa"/>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073"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-.05871</w:t>
            </w:r>
          </w:p>
        </w:tc>
        <w:tc>
          <w:tcPr>
            <w:tcW w:w="1102"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.20467</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.00000</w:t>
            </w:r>
          </w:p>
        </w:tc>
        <w:tc>
          <w:tcPr>
            <w:tcW w:w="1440"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.04378</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9849F2" w:rsidTr="005773A4">
        <w:tc>
          <w:tcPr>
            <w:tcW w:w="1972" w:type="dxa"/>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Predicted Value</w:t>
            </w:r>
          </w:p>
        </w:tc>
        <w:tc>
          <w:tcPr>
            <w:tcW w:w="1073"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-1.340</w:t>
            </w:r>
          </w:p>
        </w:tc>
        <w:tc>
          <w:tcPr>
            <w:tcW w:w="1102"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1.390</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0"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1.000</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9849F2" w:rsidTr="005773A4">
        <w:tc>
          <w:tcPr>
            <w:tcW w:w="1972" w:type="dxa"/>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Residual</w:t>
            </w:r>
          </w:p>
        </w:tc>
        <w:tc>
          <w:tcPr>
            <w:tcW w:w="1073" w:type="dxa"/>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-1.337</w:t>
            </w:r>
          </w:p>
        </w:tc>
        <w:tc>
          <w:tcPr>
            <w:tcW w:w="1102"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4.662</w:t>
            </w:r>
          </w:p>
        </w:tc>
        <w:tc>
          <w:tcPr>
            <w:tcW w:w="1019"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0"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.997</w:t>
            </w:r>
          </w:p>
        </w:tc>
        <w:tc>
          <w:tcPr>
            <w:tcW w:w="1019"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13388B" w:rsidTr="005773A4">
        <w:tc>
          <w:tcPr>
            <w:tcW w:w="7625" w:type="dxa"/>
            <w:gridSpan w:val="6"/>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Cash Flow from Operations</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086225" cy="326490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86225" cy="3264908"/>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248150" cy="3394286"/>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49205" cy="3395129"/>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3905250" cy="3120308"/>
            <wp:effectExtent l="0" t="0" r="0" b="444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05250" cy="3120308"/>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Default="005A63A3" w:rsidP="005A63A3">
      <w:pPr>
        <w:rPr>
          <w:rFonts w:cstheme="minorHAnsi"/>
          <w:b/>
          <w:sz w:val="24"/>
          <w:szCs w:val="24"/>
        </w:rPr>
      </w:pPr>
      <w:r>
        <w:rPr>
          <w:rFonts w:cstheme="minorHAnsi"/>
          <w:b/>
          <w:sz w:val="24"/>
          <w:szCs w:val="24"/>
        </w:rPr>
        <w:br w:type="page"/>
      </w:r>
    </w:p>
    <w:p w:rsidR="005A63A3" w:rsidRPr="00E4375F" w:rsidRDefault="005A63A3" w:rsidP="005A63A3">
      <w:pPr>
        <w:autoSpaceDE w:val="0"/>
        <w:autoSpaceDN w:val="0"/>
        <w:adjustRightInd w:val="0"/>
        <w:spacing w:after="0" w:line="400" w:lineRule="atLeast"/>
        <w:rPr>
          <w:rFonts w:asciiTheme="minorHAnsi" w:hAnsiTheme="minorHAnsi" w:cstheme="minorHAnsi"/>
          <w:b/>
          <w:sz w:val="24"/>
          <w:szCs w:val="24"/>
        </w:rPr>
      </w:pPr>
      <w:r w:rsidRPr="00E4375F">
        <w:rPr>
          <w:rFonts w:asciiTheme="minorHAnsi" w:hAnsiTheme="minorHAnsi" w:cstheme="minorHAnsi"/>
          <w:b/>
          <w:sz w:val="24"/>
          <w:szCs w:val="24"/>
        </w:rPr>
        <w:t>Costs of Goods Sold</w:t>
      </w: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tbl>
      <w:tblPr>
        <w:tblW w:w="47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8"/>
        <w:gridCol w:w="1469"/>
        <w:gridCol w:w="1468"/>
        <w:gridCol w:w="1019"/>
      </w:tblGrid>
      <w:tr w:rsidR="005A63A3" w:rsidRPr="009849F2" w:rsidTr="005773A4">
        <w:tc>
          <w:tcPr>
            <w:tcW w:w="4752" w:type="dxa"/>
            <w:gridSpan w:val="4"/>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Variables Entered/Removed</w:t>
            </w:r>
            <w:r w:rsidRPr="009849F2">
              <w:rPr>
                <w:rFonts w:ascii="Arial" w:hAnsi="Arial"/>
                <w:b/>
                <w:bCs/>
                <w:color w:val="000000"/>
                <w:sz w:val="18"/>
                <w:szCs w:val="18"/>
                <w:vertAlign w:val="superscript"/>
              </w:rPr>
              <w:t>b</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Entered</w:t>
            </w:r>
          </w:p>
        </w:tc>
        <w:tc>
          <w:tcPr>
            <w:tcW w:w="1467"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Removed</w:t>
            </w:r>
          </w:p>
        </w:tc>
        <w:tc>
          <w:tcPr>
            <w:tcW w:w="1019"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Method</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468"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 Accounting Standard, Size</w:t>
            </w:r>
          </w:p>
        </w:tc>
        <w:tc>
          <w:tcPr>
            <w:tcW w:w="1467"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w:t>
            </w:r>
          </w:p>
        </w:tc>
        <w:tc>
          <w:tcPr>
            <w:tcW w:w="1019"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Enter</w:t>
            </w:r>
          </w:p>
        </w:tc>
      </w:tr>
      <w:tr w:rsidR="005A63A3" w:rsidRPr="0013388B" w:rsidTr="005773A4">
        <w:tc>
          <w:tcPr>
            <w:tcW w:w="4752" w:type="dxa"/>
            <w:gridSpan w:val="4"/>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All requested variables entered.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Costs of Goods Sold</w:t>
            </w: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7"/>
        <w:gridCol w:w="1020"/>
        <w:gridCol w:w="1088"/>
        <w:gridCol w:w="1469"/>
        <w:gridCol w:w="1469"/>
      </w:tblGrid>
      <w:tr w:rsidR="005A63A3" w:rsidRPr="009849F2" w:rsidTr="005773A4">
        <w:tc>
          <w:tcPr>
            <w:tcW w:w="5840" w:type="dxa"/>
            <w:gridSpan w:val="5"/>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Model Summary</w:t>
            </w:r>
            <w:r w:rsidRPr="009849F2">
              <w:rPr>
                <w:rFonts w:ascii="Arial" w:hAnsi="Arial"/>
                <w:b/>
                <w:bCs/>
                <w:color w:val="000000"/>
                <w:sz w:val="18"/>
                <w:szCs w:val="18"/>
                <w:vertAlign w:val="superscript"/>
              </w:rPr>
              <w:t>b</w:t>
            </w:r>
          </w:p>
        </w:tc>
      </w:tr>
      <w:tr w:rsidR="005A63A3" w:rsidRPr="0013388B"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019"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w:t>
            </w:r>
          </w:p>
        </w:tc>
        <w:tc>
          <w:tcPr>
            <w:tcW w:w="1087"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 Square</w:t>
            </w:r>
          </w:p>
        </w:tc>
        <w:tc>
          <w:tcPr>
            <w:tcW w:w="1468"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5A63A3" w:rsidRPr="005A63A3" w:rsidRDefault="005A63A3" w:rsidP="005773A4">
            <w:pPr>
              <w:autoSpaceDE w:val="0"/>
              <w:autoSpaceDN w:val="0"/>
              <w:adjustRightInd w:val="0"/>
              <w:spacing w:after="0" w:line="320" w:lineRule="atLeast"/>
              <w:ind w:left="60" w:right="60"/>
              <w:jc w:val="center"/>
              <w:rPr>
                <w:rFonts w:ascii="Arial" w:hAnsi="Arial"/>
                <w:color w:val="000000"/>
                <w:sz w:val="18"/>
                <w:szCs w:val="18"/>
                <w:lang w:val="en-GB"/>
              </w:rPr>
            </w:pPr>
            <w:r w:rsidRPr="005A63A3">
              <w:rPr>
                <w:rFonts w:ascii="Arial" w:hAnsi="Arial"/>
                <w:color w:val="000000"/>
                <w:sz w:val="18"/>
                <w:szCs w:val="18"/>
                <w:lang w:val="en-GB"/>
              </w:rPr>
              <w:t>Std. Error of the Estimate</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019"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.075</w:t>
            </w:r>
            <w:r w:rsidRPr="009849F2">
              <w:rPr>
                <w:rFonts w:ascii="Arial" w:hAnsi="Arial"/>
                <w:color w:val="000000"/>
                <w:sz w:val="18"/>
                <w:szCs w:val="18"/>
                <w:vertAlign w:val="superscript"/>
              </w:rPr>
              <w:t>a</w:t>
            </w:r>
          </w:p>
        </w:tc>
        <w:tc>
          <w:tcPr>
            <w:tcW w:w="1087"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.006</w:t>
            </w:r>
          </w:p>
        </w:tc>
        <w:tc>
          <w:tcPr>
            <w:tcW w:w="1468"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68"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.10887</w:t>
            </w:r>
          </w:p>
        </w:tc>
      </w:tr>
      <w:tr w:rsidR="005A63A3" w:rsidRPr="0013388B" w:rsidTr="005773A4">
        <w:tc>
          <w:tcPr>
            <w:tcW w:w="5840" w:type="dxa"/>
            <w:gridSpan w:val="5"/>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Costs of Goods Sold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754"/>
        <w:gridCol w:w="529"/>
        <w:gridCol w:w="897"/>
        <w:gridCol w:w="268"/>
        <w:gridCol w:w="304"/>
        <w:gridCol w:w="714"/>
        <w:gridCol w:w="305"/>
        <w:gridCol w:w="14"/>
        <w:gridCol w:w="1149"/>
        <w:gridCol w:w="186"/>
        <w:gridCol w:w="62"/>
        <w:gridCol w:w="810"/>
        <w:gridCol w:w="210"/>
        <w:gridCol w:w="387"/>
        <w:gridCol w:w="633"/>
        <w:gridCol w:w="386"/>
        <w:gridCol w:w="1020"/>
      </w:tblGrid>
      <w:tr w:rsidR="005A63A3" w:rsidRPr="009849F2" w:rsidTr="005773A4">
        <w:trPr>
          <w:gridAfter w:val="2"/>
          <w:wAfter w:w="1406" w:type="dxa"/>
        </w:trPr>
        <w:tc>
          <w:tcPr>
            <w:tcW w:w="7955" w:type="dxa"/>
            <w:gridSpan w:val="16"/>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5A63A3" w:rsidRPr="009849F2" w:rsidTr="005773A4">
        <w:trPr>
          <w:gridAfter w:val="2"/>
          <w:wAfter w:w="1406" w:type="dxa"/>
        </w:trPr>
        <w:tc>
          <w:tcPr>
            <w:tcW w:w="2016" w:type="dxa"/>
            <w:gridSpan w:val="3"/>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3"/>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4"/>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gridSpan w:val="2"/>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773A4">
        <w:trPr>
          <w:gridAfter w:val="2"/>
          <w:wAfter w:w="1406" w:type="dxa"/>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gridSpan w:val="2"/>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3"/>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.037</w:t>
            </w:r>
          </w:p>
        </w:tc>
        <w:tc>
          <w:tcPr>
            <w:tcW w:w="1019"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4"/>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.012</w:t>
            </w:r>
          </w:p>
        </w:tc>
        <w:tc>
          <w:tcPr>
            <w:tcW w:w="1020"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1.046</w:t>
            </w:r>
          </w:p>
        </w:tc>
        <w:tc>
          <w:tcPr>
            <w:tcW w:w="1020" w:type="dxa"/>
            <w:gridSpan w:val="2"/>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.372</w:t>
            </w:r>
            <w:r w:rsidRPr="009849F2">
              <w:rPr>
                <w:rFonts w:ascii="Arial" w:hAnsi="Arial"/>
                <w:color w:val="000000"/>
                <w:sz w:val="18"/>
                <w:szCs w:val="18"/>
                <w:vertAlign w:val="superscript"/>
              </w:rPr>
              <w:t>a</w:t>
            </w:r>
          </w:p>
        </w:tc>
      </w:tr>
      <w:tr w:rsidR="005A63A3" w:rsidRPr="009849F2" w:rsidTr="005773A4">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283" w:type="dxa"/>
            <w:gridSpan w:val="2"/>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6.566</w:t>
            </w:r>
          </w:p>
        </w:tc>
        <w:tc>
          <w:tcPr>
            <w:tcW w:w="101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554</w:t>
            </w:r>
          </w:p>
        </w:tc>
        <w:tc>
          <w:tcPr>
            <w:tcW w:w="141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.012</w:t>
            </w:r>
          </w:p>
        </w:tc>
        <w:tc>
          <w:tcPr>
            <w:tcW w:w="1020" w:type="dxa"/>
            <w:gridSpan w:val="2"/>
            <w:tcBorders>
              <w:top w:val="nil"/>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nil"/>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9849F2" w:rsidTr="005773A4">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Times New Roman" w:hAnsi="Times New Roman" w:cs="Times New Roman"/>
                <w:sz w:val="24"/>
                <w:szCs w:val="24"/>
              </w:rPr>
            </w:pPr>
          </w:p>
        </w:tc>
        <w:tc>
          <w:tcPr>
            <w:tcW w:w="1283" w:type="dxa"/>
            <w:gridSpan w:val="2"/>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3"/>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6.603</w:t>
            </w:r>
          </w:p>
        </w:tc>
        <w:tc>
          <w:tcPr>
            <w:tcW w:w="1019"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557</w:t>
            </w:r>
          </w:p>
        </w:tc>
        <w:tc>
          <w:tcPr>
            <w:tcW w:w="1411" w:type="dxa"/>
            <w:gridSpan w:val="4"/>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2"/>
            <w:tcBorders>
              <w:top w:val="nil"/>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13388B" w:rsidTr="005773A4">
        <w:trPr>
          <w:gridAfter w:val="2"/>
          <w:wAfter w:w="1406" w:type="dxa"/>
        </w:trPr>
        <w:tc>
          <w:tcPr>
            <w:tcW w:w="7955" w:type="dxa"/>
            <w:gridSpan w:val="16"/>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Costs of Goods Sold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13388B" w:rsidTr="005773A4">
        <w:trPr>
          <w:gridAfter w:val="2"/>
          <w:wAfter w:w="1406" w:type="dxa"/>
        </w:trPr>
        <w:tc>
          <w:tcPr>
            <w:tcW w:w="7955" w:type="dxa"/>
            <w:gridSpan w:val="16"/>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9849F2" w:rsidTr="005773A4">
        <w:tc>
          <w:tcPr>
            <w:tcW w:w="9361" w:type="dxa"/>
            <w:gridSpan w:val="18"/>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5A63A3" w:rsidRPr="009849F2" w:rsidTr="005773A4">
        <w:tc>
          <w:tcPr>
            <w:tcW w:w="3181" w:type="dxa"/>
            <w:gridSpan w:val="5"/>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6"/>
            <w:tcBorders>
              <w:top w:val="single" w:sz="16" w:space="0" w:color="000000"/>
              <w:lef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4"/>
            <w:tcBorders>
              <w:top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gridSpan w:val="2"/>
            <w:vMerge w:val="restart"/>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20" w:type="dxa"/>
            <w:vMerge w:val="restart"/>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773A4">
        <w:tc>
          <w:tcPr>
            <w:tcW w:w="3181" w:type="dxa"/>
            <w:gridSpan w:val="5"/>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337" w:type="dxa"/>
            <w:gridSpan w:val="4"/>
            <w:tcBorders>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gridSpan w:val="2"/>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4"/>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gridSpan w:val="2"/>
            <w:vMerge/>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020" w:type="dxa"/>
            <w:vMerge/>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r>
      <w:tr w:rsidR="005A63A3" w:rsidRPr="009849F2" w:rsidTr="005773A4">
        <w:tc>
          <w:tcPr>
            <w:tcW w:w="733"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4"/>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4"/>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.129</w:t>
            </w:r>
          </w:p>
        </w:tc>
        <w:tc>
          <w:tcPr>
            <w:tcW w:w="1335"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4"/>
            <w:tcBorders>
              <w:top w:val="single" w:sz="16" w:space="0" w:color="000000"/>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19"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14.341</w:t>
            </w:r>
          </w:p>
        </w:tc>
        <w:tc>
          <w:tcPr>
            <w:tcW w:w="1020"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4"/>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4"/>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.015</w:t>
            </w:r>
          </w:p>
        </w:tc>
        <w:tc>
          <w:tcPr>
            <w:tcW w:w="1335"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.067</w:t>
            </w:r>
          </w:p>
        </w:tc>
        <w:tc>
          <w:tcPr>
            <w:tcW w:w="101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1.571</w:t>
            </w:r>
          </w:p>
        </w:tc>
        <w:tc>
          <w:tcPr>
            <w:tcW w:w="1020"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.117</w:t>
            </w: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4"/>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4"/>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335"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.007</w:t>
            </w:r>
          </w:p>
        </w:tc>
        <w:tc>
          <w:tcPr>
            <w:tcW w:w="101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.171</w:t>
            </w:r>
          </w:p>
        </w:tc>
        <w:tc>
          <w:tcPr>
            <w:tcW w:w="1020"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.864</w:t>
            </w: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4"/>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4"/>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.006</w:t>
            </w:r>
          </w:p>
        </w:tc>
        <w:tc>
          <w:tcPr>
            <w:tcW w:w="1335"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.009</w:t>
            </w:r>
          </w:p>
        </w:tc>
        <w:tc>
          <w:tcPr>
            <w:tcW w:w="1469" w:type="dxa"/>
            <w:gridSpan w:val="4"/>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.027</w:t>
            </w:r>
          </w:p>
        </w:tc>
        <w:tc>
          <w:tcPr>
            <w:tcW w:w="1019"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.637</w:t>
            </w:r>
          </w:p>
        </w:tc>
        <w:tc>
          <w:tcPr>
            <w:tcW w:w="1020"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.525</w:t>
            </w:r>
          </w:p>
        </w:tc>
      </w:tr>
      <w:tr w:rsidR="005A63A3" w:rsidRPr="0013388B" w:rsidTr="005773A4">
        <w:tc>
          <w:tcPr>
            <w:tcW w:w="9361" w:type="dxa"/>
            <w:gridSpan w:val="18"/>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Costs of Goods Sold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9849F2" w:rsidTr="005773A4">
        <w:trPr>
          <w:gridAfter w:val="5"/>
          <w:wAfter w:w="2636" w:type="dxa"/>
        </w:trPr>
        <w:tc>
          <w:tcPr>
            <w:tcW w:w="6725" w:type="dxa"/>
            <w:gridSpan w:val="13"/>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Casewise Diagnostics</w:t>
            </w:r>
            <w:r w:rsidRPr="009849F2">
              <w:rPr>
                <w:rFonts w:ascii="Arial" w:hAnsi="Arial"/>
                <w:b/>
                <w:bCs/>
                <w:color w:val="000000"/>
                <w:sz w:val="18"/>
                <w:szCs w:val="18"/>
                <w:vertAlign w:val="superscript"/>
              </w:rPr>
              <w:t>a</w:t>
            </w:r>
          </w:p>
        </w:tc>
      </w:tr>
      <w:tr w:rsidR="005A63A3" w:rsidRPr="009849F2" w:rsidTr="005773A4">
        <w:trPr>
          <w:gridAfter w:val="5"/>
          <w:wAfter w:w="2636" w:type="dxa"/>
        </w:trPr>
        <w:tc>
          <w:tcPr>
            <w:tcW w:w="1487"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Case Number</w:t>
            </w:r>
          </w:p>
        </w:tc>
        <w:tc>
          <w:tcPr>
            <w:tcW w:w="1426" w:type="dxa"/>
            <w:gridSpan w:val="2"/>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Residual</w:t>
            </w:r>
          </w:p>
        </w:tc>
        <w:tc>
          <w:tcPr>
            <w:tcW w:w="1286" w:type="dxa"/>
            <w:gridSpan w:val="3"/>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COGS</w:t>
            </w:r>
          </w:p>
        </w:tc>
        <w:tc>
          <w:tcPr>
            <w:tcW w:w="1468" w:type="dxa"/>
            <w:gridSpan w:val="3"/>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Predicted Value</w:t>
            </w:r>
          </w:p>
        </w:tc>
        <w:tc>
          <w:tcPr>
            <w:tcW w:w="1058" w:type="dxa"/>
            <w:gridSpan w:val="3"/>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Residual</w:t>
            </w:r>
          </w:p>
        </w:tc>
      </w:tr>
      <w:tr w:rsidR="005A63A3" w:rsidRPr="009849F2" w:rsidTr="005773A4">
        <w:trPr>
          <w:gridAfter w:val="5"/>
          <w:wAfter w:w="2636" w:type="dxa"/>
        </w:trPr>
        <w:tc>
          <w:tcPr>
            <w:tcW w:w="1487" w:type="dxa"/>
            <w:gridSpan w:val="2"/>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147</w:t>
            </w:r>
          </w:p>
        </w:tc>
        <w:tc>
          <w:tcPr>
            <w:tcW w:w="1426" w:type="dxa"/>
            <w:gridSpan w:val="2"/>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5.844</w:t>
            </w:r>
          </w:p>
        </w:tc>
        <w:tc>
          <w:tcPr>
            <w:tcW w:w="1286"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.77</w:t>
            </w:r>
          </w:p>
        </w:tc>
        <w:tc>
          <w:tcPr>
            <w:tcW w:w="1468"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.1305</w:t>
            </w:r>
          </w:p>
        </w:tc>
        <w:tc>
          <w:tcPr>
            <w:tcW w:w="1058" w:type="dxa"/>
            <w:gridSpan w:val="3"/>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.63624</w:t>
            </w:r>
          </w:p>
        </w:tc>
      </w:tr>
      <w:tr w:rsidR="005A63A3" w:rsidRPr="009849F2" w:rsidTr="005773A4">
        <w:trPr>
          <w:gridAfter w:val="5"/>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271</w:t>
            </w:r>
          </w:p>
        </w:tc>
        <w:tc>
          <w:tcPr>
            <w:tcW w:w="1426"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3.491</w:t>
            </w:r>
          </w:p>
        </w:tc>
        <w:tc>
          <w:tcPr>
            <w:tcW w:w="1286"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.51</w:t>
            </w:r>
          </w:p>
        </w:tc>
        <w:tc>
          <w:tcPr>
            <w:tcW w:w="1468"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.1349</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.38008</w:t>
            </w:r>
          </w:p>
        </w:tc>
      </w:tr>
      <w:tr w:rsidR="005A63A3" w:rsidRPr="009849F2" w:rsidTr="005773A4">
        <w:trPr>
          <w:gridAfter w:val="5"/>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430</w:t>
            </w:r>
          </w:p>
        </w:tc>
        <w:tc>
          <w:tcPr>
            <w:tcW w:w="1426"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5.794</w:t>
            </w:r>
          </w:p>
        </w:tc>
        <w:tc>
          <w:tcPr>
            <w:tcW w:w="1286"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.78</w:t>
            </w:r>
          </w:p>
        </w:tc>
        <w:tc>
          <w:tcPr>
            <w:tcW w:w="1468"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.1451</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.63076</w:t>
            </w:r>
          </w:p>
        </w:tc>
      </w:tr>
      <w:tr w:rsidR="005A63A3" w:rsidRPr="009849F2" w:rsidTr="005773A4">
        <w:trPr>
          <w:gridAfter w:val="5"/>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431</w:t>
            </w:r>
          </w:p>
        </w:tc>
        <w:tc>
          <w:tcPr>
            <w:tcW w:w="1426"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3.881</w:t>
            </w:r>
          </w:p>
        </w:tc>
        <w:tc>
          <w:tcPr>
            <w:tcW w:w="1286"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.57</w:t>
            </w:r>
          </w:p>
        </w:tc>
        <w:tc>
          <w:tcPr>
            <w:tcW w:w="1468"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.1451</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.42257</w:t>
            </w:r>
          </w:p>
        </w:tc>
      </w:tr>
      <w:tr w:rsidR="005A63A3" w:rsidRPr="009849F2" w:rsidTr="005773A4">
        <w:trPr>
          <w:gridAfter w:val="5"/>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432</w:t>
            </w:r>
          </w:p>
        </w:tc>
        <w:tc>
          <w:tcPr>
            <w:tcW w:w="1426"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4.750</w:t>
            </w:r>
          </w:p>
        </w:tc>
        <w:tc>
          <w:tcPr>
            <w:tcW w:w="1286"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.66</w:t>
            </w:r>
          </w:p>
        </w:tc>
        <w:tc>
          <w:tcPr>
            <w:tcW w:w="1468"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.1451</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.51713</w:t>
            </w:r>
          </w:p>
        </w:tc>
      </w:tr>
      <w:tr w:rsidR="005A63A3" w:rsidRPr="009849F2" w:rsidTr="005773A4">
        <w:trPr>
          <w:gridAfter w:val="5"/>
          <w:wAfter w:w="2636" w:type="dxa"/>
        </w:trPr>
        <w:tc>
          <w:tcPr>
            <w:tcW w:w="1487" w:type="dxa"/>
            <w:gridSpan w:val="2"/>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466</w:t>
            </w:r>
          </w:p>
        </w:tc>
        <w:tc>
          <w:tcPr>
            <w:tcW w:w="1426" w:type="dxa"/>
            <w:gridSpan w:val="2"/>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3.734</w:t>
            </w:r>
          </w:p>
        </w:tc>
        <w:tc>
          <w:tcPr>
            <w:tcW w:w="1286" w:type="dxa"/>
            <w:gridSpan w:val="3"/>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w:t>
            </w:r>
          </w:p>
        </w:tc>
        <w:tc>
          <w:tcPr>
            <w:tcW w:w="1468" w:type="dxa"/>
            <w:gridSpan w:val="3"/>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.1510</w:t>
            </w:r>
          </w:p>
        </w:tc>
        <w:tc>
          <w:tcPr>
            <w:tcW w:w="1058" w:type="dxa"/>
            <w:gridSpan w:val="3"/>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.40651</w:t>
            </w:r>
          </w:p>
        </w:tc>
      </w:tr>
      <w:tr w:rsidR="005A63A3" w:rsidRPr="0013388B" w:rsidTr="005773A4">
        <w:trPr>
          <w:gridAfter w:val="5"/>
          <w:wAfter w:w="2636" w:type="dxa"/>
        </w:trPr>
        <w:tc>
          <w:tcPr>
            <w:tcW w:w="6725" w:type="dxa"/>
            <w:gridSpan w:val="13"/>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Costs of Goods Sold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7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2"/>
        <w:gridCol w:w="1073"/>
        <w:gridCol w:w="1103"/>
        <w:gridCol w:w="1020"/>
        <w:gridCol w:w="1441"/>
        <w:gridCol w:w="1020"/>
      </w:tblGrid>
      <w:tr w:rsidR="005A63A3" w:rsidRPr="009849F2" w:rsidTr="005773A4">
        <w:tc>
          <w:tcPr>
            <w:tcW w:w="7625" w:type="dxa"/>
            <w:gridSpan w:val="6"/>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Residuals Statistics</w:t>
            </w:r>
            <w:r w:rsidRPr="009849F2">
              <w:rPr>
                <w:rFonts w:ascii="Arial" w:hAnsi="Arial"/>
                <w:b/>
                <w:bCs/>
                <w:color w:val="000000"/>
                <w:sz w:val="18"/>
                <w:szCs w:val="18"/>
                <w:vertAlign w:val="superscript"/>
              </w:rPr>
              <w:t>a</w:t>
            </w:r>
          </w:p>
        </w:tc>
      </w:tr>
      <w:tr w:rsidR="005A63A3" w:rsidRPr="009849F2" w:rsidTr="005773A4">
        <w:tc>
          <w:tcPr>
            <w:tcW w:w="1972"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73"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Minimum</w:t>
            </w:r>
          </w:p>
        </w:tc>
        <w:tc>
          <w:tcPr>
            <w:tcW w:w="1102"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Maximum</w:t>
            </w:r>
          </w:p>
        </w:tc>
        <w:tc>
          <w:tcPr>
            <w:tcW w:w="1019"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w:t>
            </w:r>
          </w:p>
        </w:tc>
        <w:tc>
          <w:tcPr>
            <w:tcW w:w="1440"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Deviation</w:t>
            </w:r>
          </w:p>
        </w:tc>
        <w:tc>
          <w:tcPr>
            <w:tcW w:w="1019"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N</w:t>
            </w:r>
          </w:p>
        </w:tc>
      </w:tr>
      <w:tr w:rsidR="005A63A3" w:rsidRPr="009849F2" w:rsidTr="005773A4">
        <w:tc>
          <w:tcPr>
            <w:tcW w:w="1972" w:type="dxa"/>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Predicted Value</w:t>
            </w:r>
          </w:p>
        </w:tc>
        <w:tc>
          <w:tcPr>
            <w:tcW w:w="1073" w:type="dxa"/>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.1290</w:t>
            </w:r>
          </w:p>
        </w:tc>
        <w:tc>
          <w:tcPr>
            <w:tcW w:w="1102"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.1510</w:t>
            </w:r>
          </w:p>
        </w:tc>
        <w:tc>
          <w:tcPr>
            <w:tcW w:w="1019"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.1399</w:t>
            </w:r>
          </w:p>
        </w:tc>
        <w:tc>
          <w:tcPr>
            <w:tcW w:w="1440"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.00817</w:t>
            </w:r>
          </w:p>
        </w:tc>
        <w:tc>
          <w:tcPr>
            <w:tcW w:w="1019"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558</w:t>
            </w:r>
          </w:p>
        </w:tc>
      </w:tr>
      <w:tr w:rsidR="005A63A3" w:rsidRPr="009849F2" w:rsidTr="005773A4">
        <w:tc>
          <w:tcPr>
            <w:tcW w:w="1972" w:type="dxa"/>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073"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-.14643</w:t>
            </w:r>
          </w:p>
        </w:tc>
        <w:tc>
          <w:tcPr>
            <w:tcW w:w="1102"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.63624</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.00000</w:t>
            </w:r>
          </w:p>
        </w:tc>
        <w:tc>
          <w:tcPr>
            <w:tcW w:w="1440"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.10857</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558</w:t>
            </w:r>
          </w:p>
        </w:tc>
      </w:tr>
      <w:tr w:rsidR="005A63A3" w:rsidRPr="009849F2" w:rsidTr="005773A4">
        <w:tc>
          <w:tcPr>
            <w:tcW w:w="1972" w:type="dxa"/>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Predicted Value</w:t>
            </w:r>
          </w:p>
        </w:tc>
        <w:tc>
          <w:tcPr>
            <w:tcW w:w="1073"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-1.338</w:t>
            </w:r>
          </w:p>
        </w:tc>
        <w:tc>
          <w:tcPr>
            <w:tcW w:w="1102"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1.359</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0"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1.000</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558</w:t>
            </w:r>
          </w:p>
        </w:tc>
      </w:tr>
      <w:tr w:rsidR="005A63A3" w:rsidRPr="009849F2" w:rsidTr="005773A4">
        <w:tc>
          <w:tcPr>
            <w:tcW w:w="1972" w:type="dxa"/>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Residual</w:t>
            </w:r>
          </w:p>
        </w:tc>
        <w:tc>
          <w:tcPr>
            <w:tcW w:w="1073" w:type="dxa"/>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-1.345</w:t>
            </w:r>
          </w:p>
        </w:tc>
        <w:tc>
          <w:tcPr>
            <w:tcW w:w="1102"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5.844</w:t>
            </w:r>
          </w:p>
        </w:tc>
        <w:tc>
          <w:tcPr>
            <w:tcW w:w="1019"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0"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.997</w:t>
            </w:r>
          </w:p>
        </w:tc>
        <w:tc>
          <w:tcPr>
            <w:tcW w:w="1019"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558</w:t>
            </w:r>
          </w:p>
        </w:tc>
      </w:tr>
      <w:tr w:rsidR="005A63A3" w:rsidRPr="0013388B" w:rsidTr="005773A4">
        <w:tc>
          <w:tcPr>
            <w:tcW w:w="7625" w:type="dxa"/>
            <w:gridSpan w:val="6"/>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Costs of Goods Sold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524498" cy="3615089"/>
            <wp:effectExtent l="0" t="0" r="9525" b="444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27557" cy="3617533"/>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010025" cy="320402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10025" cy="3204023"/>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637154" cy="3705101"/>
            <wp:effectExtent l="0" t="0" r="0" b="0"/>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35755" cy="3703983"/>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Default="005A63A3">
      <w:pPr>
        <w:spacing w:after="0" w:line="240" w:lineRule="auto"/>
        <w:rPr>
          <w:rFonts w:asciiTheme="minorHAnsi" w:hAnsiTheme="minorHAnsi" w:cstheme="minorHAnsi"/>
          <w:b/>
          <w:sz w:val="24"/>
          <w:szCs w:val="24"/>
        </w:rPr>
      </w:pPr>
      <w:r>
        <w:rPr>
          <w:rFonts w:asciiTheme="minorHAnsi" w:hAnsiTheme="minorHAnsi" w:cstheme="minorHAnsi"/>
          <w:b/>
          <w:sz w:val="24"/>
          <w:szCs w:val="24"/>
        </w:rPr>
        <w:br w:type="page"/>
      </w:r>
    </w:p>
    <w:p w:rsidR="005A63A3" w:rsidRPr="00E4375F" w:rsidRDefault="005A63A3" w:rsidP="005A63A3">
      <w:pPr>
        <w:autoSpaceDE w:val="0"/>
        <w:autoSpaceDN w:val="0"/>
        <w:adjustRightInd w:val="0"/>
        <w:spacing w:after="0" w:line="400" w:lineRule="atLeast"/>
        <w:rPr>
          <w:rFonts w:asciiTheme="minorHAnsi" w:hAnsiTheme="minorHAnsi" w:cstheme="minorHAnsi"/>
          <w:b/>
          <w:sz w:val="24"/>
          <w:szCs w:val="24"/>
        </w:rPr>
      </w:pPr>
      <w:r w:rsidRPr="00E4375F">
        <w:rPr>
          <w:rFonts w:asciiTheme="minorHAnsi" w:hAnsiTheme="minorHAnsi" w:cstheme="minorHAnsi"/>
          <w:b/>
          <w:sz w:val="24"/>
          <w:szCs w:val="24"/>
        </w:rPr>
        <w:t>Change in Inventory</w:t>
      </w: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tbl>
      <w:tblPr>
        <w:tblW w:w="47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8"/>
        <w:gridCol w:w="1469"/>
        <w:gridCol w:w="1468"/>
        <w:gridCol w:w="1019"/>
      </w:tblGrid>
      <w:tr w:rsidR="005A63A3" w:rsidRPr="009849F2" w:rsidTr="005773A4">
        <w:tc>
          <w:tcPr>
            <w:tcW w:w="4752" w:type="dxa"/>
            <w:gridSpan w:val="4"/>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Variables Entered/Removed</w:t>
            </w:r>
            <w:r w:rsidRPr="009849F2">
              <w:rPr>
                <w:rFonts w:ascii="Arial" w:hAnsi="Arial"/>
                <w:b/>
                <w:bCs/>
                <w:color w:val="000000"/>
                <w:sz w:val="18"/>
                <w:szCs w:val="18"/>
                <w:vertAlign w:val="superscript"/>
              </w:rPr>
              <w:t>b</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Entered</w:t>
            </w:r>
          </w:p>
        </w:tc>
        <w:tc>
          <w:tcPr>
            <w:tcW w:w="1467"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Removed</w:t>
            </w:r>
          </w:p>
        </w:tc>
        <w:tc>
          <w:tcPr>
            <w:tcW w:w="1019"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Method</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468"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 Accounting Standard, Size</w:t>
            </w:r>
          </w:p>
        </w:tc>
        <w:tc>
          <w:tcPr>
            <w:tcW w:w="1467"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w:t>
            </w:r>
          </w:p>
        </w:tc>
        <w:tc>
          <w:tcPr>
            <w:tcW w:w="1019"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Enter</w:t>
            </w:r>
          </w:p>
        </w:tc>
      </w:tr>
      <w:tr w:rsidR="005A63A3" w:rsidRPr="0013388B" w:rsidTr="005773A4">
        <w:tc>
          <w:tcPr>
            <w:tcW w:w="4752" w:type="dxa"/>
            <w:gridSpan w:val="4"/>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All requested variables entered.</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Change in Inventory</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584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7"/>
        <w:gridCol w:w="1020"/>
        <w:gridCol w:w="1088"/>
        <w:gridCol w:w="1469"/>
        <w:gridCol w:w="1469"/>
      </w:tblGrid>
      <w:tr w:rsidR="005A63A3" w:rsidRPr="009849F2" w:rsidTr="005773A4">
        <w:tc>
          <w:tcPr>
            <w:tcW w:w="5840" w:type="dxa"/>
            <w:gridSpan w:val="5"/>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Model Summary</w:t>
            </w:r>
            <w:r w:rsidRPr="009849F2">
              <w:rPr>
                <w:rFonts w:ascii="Arial" w:hAnsi="Arial"/>
                <w:b/>
                <w:bCs/>
                <w:color w:val="000000"/>
                <w:sz w:val="18"/>
                <w:szCs w:val="18"/>
                <w:vertAlign w:val="superscript"/>
              </w:rPr>
              <w:t>b</w:t>
            </w:r>
          </w:p>
        </w:tc>
      </w:tr>
      <w:tr w:rsidR="005A63A3" w:rsidRPr="0013388B"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019"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w:t>
            </w:r>
          </w:p>
        </w:tc>
        <w:tc>
          <w:tcPr>
            <w:tcW w:w="1087"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 Square</w:t>
            </w:r>
          </w:p>
        </w:tc>
        <w:tc>
          <w:tcPr>
            <w:tcW w:w="1468"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Adjusted R Square</w:t>
            </w:r>
          </w:p>
        </w:tc>
        <w:tc>
          <w:tcPr>
            <w:tcW w:w="1468" w:type="dxa"/>
            <w:tcBorders>
              <w:top w:val="single" w:sz="16" w:space="0" w:color="000000"/>
              <w:bottom w:val="single" w:sz="16" w:space="0" w:color="000000"/>
              <w:right w:val="single" w:sz="16" w:space="0" w:color="000000"/>
            </w:tcBorders>
            <w:shd w:val="clear" w:color="auto" w:fill="FFFFFF"/>
            <w:vAlign w:val="bottom"/>
          </w:tcPr>
          <w:p w:rsidR="005A63A3" w:rsidRPr="005A63A3" w:rsidRDefault="005A63A3" w:rsidP="005773A4">
            <w:pPr>
              <w:autoSpaceDE w:val="0"/>
              <w:autoSpaceDN w:val="0"/>
              <w:adjustRightInd w:val="0"/>
              <w:spacing w:after="0" w:line="320" w:lineRule="atLeast"/>
              <w:ind w:left="60" w:right="60"/>
              <w:jc w:val="center"/>
              <w:rPr>
                <w:rFonts w:ascii="Arial" w:hAnsi="Arial"/>
                <w:color w:val="000000"/>
                <w:sz w:val="18"/>
                <w:szCs w:val="18"/>
                <w:lang w:val="en-GB"/>
              </w:rPr>
            </w:pPr>
            <w:r w:rsidRPr="005A63A3">
              <w:rPr>
                <w:rFonts w:ascii="Arial" w:hAnsi="Arial"/>
                <w:color w:val="000000"/>
                <w:sz w:val="18"/>
                <w:szCs w:val="18"/>
                <w:lang w:val="en-GB"/>
              </w:rPr>
              <w:t>Std. Error of the Estimate</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019"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.333</w:t>
            </w:r>
            <w:r w:rsidRPr="009849F2">
              <w:rPr>
                <w:rFonts w:ascii="Arial" w:hAnsi="Arial"/>
                <w:color w:val="000000"/>
                <w:sz w:val="18"/>
                <w:szCs w:val="18"/>
                <w:vertAlign w:val="superscript"/>
              </w:rPr>
              <w:t>a</w:t>
            </w:r>
          </w:p>
        </w:tc>
        <w:tc>
          <w:tcPr>
            <w:tcW w:w="1087"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.111</w:t>
            </w:r>
          </w:p>
        </w:tc>
        <w:tc>
          <w:tcPr>
            <w:tcW w:w="1468"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.106</w:t>
            </w:r>
          </w:p>
        </w:tc>
        <w:tc>
          <w:tcPr>
            <w:tcW w:w="1468"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.03382</w:t>
            </w:r>
          </w:p>
        </w:tc>
      </w:tr>
      <w:tr w:rsidR="005A63A3" w:rsidRPr="0013388B" w:rsidTr="005773A4">
        <w:tc>
          <w:tcPr>
            <w:tcW w:w="5840" w:type="dxa"/>
            <w:gridSpan w:val="5"/>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Change in Inventory</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p w:rsidR="005A63A3" w:rsidRPr="005A63A3"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753"/>
        <w:gridCol w:w="485"/>
        <w:gridCol w:w="45"/>
        <w:gridCol w:w="896"/>
        <w:gridCol w:w="132"/>
        <w:gridCol w:w="137"/>
        <w:gridCol w:w="304"/>
        <w:gridCol w:w="468"/>
        <w:gridCol w:w="194"/>
        <w:gridCol w:w="357"/>
        <w:gridCol w:w="14"/>
        <w:gridCol w:w="649"/>
        <w:gridCol w:w="254"/>
        <w:gridCol w:w="432"/>
        <w:gridCol w:w="62"/>
        <w:gridCol w:w="564"/>
        <w:gridCol w:w="129"/>
        <w:gridCol w:w="327"/>
        <w:gridCol w:w="387"/>
        <w:gridCol w:w="306"/>
        <w:gridCol w:w="327"/>
        <w:gridCol w:w="386"/>
        <w:gridCol w:w="1020"/>
      </w:tblGrid>
      <w:tr w:rsidR="005A63A3" w:rsidRPr="009849F2" w:rsidTr="005A63A3">
        <w:trPr>
          <w:gridAfter w:val="2"/>
          <w:wAfter w:w="1406" w:type="dxa"/>
        </w:trPr>
        <w:tc>
          <w:tcPr>
            <w:tcW w:w="7955" w:type="dxa"/>
            <w:gridSpan w:val="22"/>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5A63A3" w:rsidRPr="009849F2" w:rsidTr="005A63A3">
        <w:trPr>
          <w:gridAfter w:val="2"/>
          <w:wAfter w:w="1406" w:type="dxa"/>
        </w:trPr>
        <w:tc>
          <w:tcPr>
            <w:tcW w:w="2016" w:type="dxa"/>
            <w:gridSpan w:val="4"/>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4"/>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gridSpan w:val="3"/>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5"/>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gridSpan w:val="3"/>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gridSpan w:val="3"/>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A63A3">
        <w:trPr>
          <w:gridAfter w:val="2"/>
          <w:wAfter w:w="1406" w:type="dxa"/>
        </w:trPr>
        <w:tc>
          <w:tcPr>
            <w:tcW w:w="733"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gridSpan w:val="3"/>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4"/>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.080</w:t>
            </w:r>
          </w:p>
        </w:tc>
        <w:tc>
          <w:tcPr>
            <w:tcW w:w="1019"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5"/>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.027</w:t>
            </w:r>
          </w:p>
        </w:tc>
        <w:tc>
          <w:tcPr>
            <w:tcW w:w="1020"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23.312</w:t>
            </w:r>
          </w:p>
        </w:tc>
        <w:tc>
          <w:tcPr>
            <w:tcW w:w="1020" w:type="dxa"/>
            <w:gridSpan w:val="3"/>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r w:rsidRPr="009849F2">
              <w:rPr>
                <w:rFonts w:ascii="Arial" w:hAnsi="Arial"/>
                <w:color w:val="000000"/>
                <w:sz w:val="18"/>
                <w:szCs w:val="18"/>
                <w:vertAlign w:val="superscript"/>
              </w:rPr>
              <w:t>a</w:t>
            </w:r>
          </w:p>
        </w:tc>
      </w:tr>
      <w:tr w:rsidR="005A63A3" w:rsidRPr="009849F2" w:rsidTr="005A63A3">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283" w:type="dxa"/>
            <w:gridSpan w:val="3"/>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4"/>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.639</w:t>
            </w:r>
          </w:p>
        </w:tc>
        <w:tc>
          <w:tcPr>
            <w:tcW w:w="1019"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c>
          <w:tcPr>
            <w:tcW w:w="1411"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.001</w:t>
            </w:r>
          </w:p>
        </w:tc>
        <w:tc>
          <w:tcPr>
            <w:tcW w:w="1020" w:type="dxa"/>
            <w:gridSpan w:val="3"/>
            <w:tcBorders>
              <w:top w:val="nil"/>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3"/>
            <w:tcBorders>
              <w:top w:val="nil"/>
              <w:bottom w:val="nil"/>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9849F2" w:rsidTr="005A63A3">
        <w:trPr>
          <w:gridAfter w:val="2"/>
          <w:wAfter w:w="1406" w:type="dxa"/>
        </w:trPr>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Times New Roman" w:hAnsi="Times New Roman" w:cs="Times New Roman"/>
                <w:sz w:val="24"/>
                <w:szCs w:val="24"/>
              </w:rPr>
            </w:pPr>
          </w:p>
        </w:tc>
        <w:tc>
          <w:tcPr>
            <w:tcW w:w="1283" w:type="dxa"/>
            <w:gridSpan w:val="3"/>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4"/>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.719</w:t>
            </w:r>
          </w:p>
        </w:tc>
        <w:tc>
          <w:tcPr>
            <w:tcW w:w="1019" w:type="dxa"/>
            <w:gridSpan w:val="3"/>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562</w:t>
            </w:r>
          </w:p>
        </w:tc>
        <w:tc>
          <w:tcPr>
            <w:tcW w:w="1411" w:type="dxa"/>
            <w:gridSpan w:val="5"/>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3"/>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gridSpan w:val="3"/>
            <w:tcBorders>
              <w:top w:val="nil"/>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13388B" w:rsidTr="005A63A3">
        <w:trPr>
          <w:gridAfter w:val="2"/>
          <w:wAfter w:w="1406" w:type="dxa"/>
        </w:trPr>
        <w:tc>
          <w:tcPr>
            <w:tcW w:w="7955" w:type="dxa"/>
            <w:gridSpan w:val="22"/>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b. Dependent Variable: Change in Inventory</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9849F2" w:rsidTr="005A63A3">
        <w:tc>
          <w:tcPr>
            <w:tcW w:w="9361" w:type="dxa"/>
            <w:gridSpan w:val="24"/>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5A63A3" w:rsidRPr="009849F2" w:rsidTr="005A63A3">
        <w:tc>
          <w:tcPr>
            <w:tcW w:w="3182" w:type="dxa"/>
            <w:gridSpan w:val="7"/>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8"/>
            <w:tcBorders>
              <w:top w:val="single" w:sz="16" w:space="0" w:color="000000"/>
              <w:lef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5"/>
            <w:tcBorders>
              <w:top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gridSpan w:val="3"/>
            <w:vMerge w:val="restart"/>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A63A3">
        <w:tc>
          <w:tcPr>
            <w:tcW w:w="3182" w:type="dxa"/>
            <w:gridSpan w:val="7"/>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337" w:type="dxa"/>
            <w:gridSpan w:val="5"/>
            <w:tcBorders>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gridSpan w:val="3"/>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5"/>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gridSpan w:val="3"/>
            <w:vMerge/>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r>
      <w:tr w:rsidR="005A63A3" w:rsidRPr="009849F2" w:rsidTr="005A63A3">
        <w:tc>
          <w:tcPr>
            <w:tcW w:w="734"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6"/>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5"/>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w:t>
            </w:r>
          </w:p>
        </w:tc>
        <w:tc>
          <w:tcPr>
            <w:tcW w:w="1335"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5"/>
            <w:tcBorders>
              <w:top w:val="single" w:sz="16" w:space="0" w:color="000000"/>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19"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15.142</w:t>
            </w:r>
          </w:p>
        </w:tc>
        <w:tc>
          <w:tcPr>
            <w:tcW w:w="1019"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5A63A3" w:rsidRPr="009849F2" w:rsidTr="005A63A3">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6"/>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w:t>
            </w:r>
          </w:p>
        </w:tc>
        <w:tc>
          <w:tcPr>
            <w:tcW w:w="1337" w:type="dxa"/>
            <w:gridSpan w:val="5"/>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-.018</w:t>
            </w:r>
          </w:p>
        </w:tc>
        <w:tc>
          <w:tcPr>
            <w:tcW w:w="1335"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-.253</w:t>
            </w:r>
          </w:p>
        </w:tc>
        <w:tc>
          <w:tcPr>
            <w:tcW w:w="1019"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-6.304</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5A63A3" w:rsidRPr="009849F2" w:rsidTr="005A63A3">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6"/>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Accounting Standard</w:t>
            </w:r>
          </w:p>
        </w:tc>
        <w:tc>
          <w:tcPr>
            <w:tcW w:w="1337" w:type="dxa"/>
            <w:gridSpan w:val="5"/>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.005</w:t>
            </w:r>
          </w:p>
        </w:tc>
        <w:tc>
          <w:tcPr>
            <w:tcW w:w="1335"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.064</w:t>
            </w:r>
          </w:p>
        </w:tc>
        <w:tc>
          <w:tcPr>
            <w:tcW w:w="1019"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1.615</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.107</w:t>
            </w:r>
          </w:p>
        </w:tc>
      </w:tr>
      <w:tr w:rsidR="005A63A3" w:rsidRPr="009849F2" w:rsidTr="005A63A3">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6"/>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Size</w:t>
            </w:r>
          </w:p>
        </w:tc>
        <w:tc>
          <w:tcPr>
            <w:tcW w:w="1337" w:type="dxa"/>
            <w:gridSpan w:val="5"/>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-.013</w:t>
            </w:r>
          </w:p>
        </w:tc>
        <w:tc>
          <w:tcPr>
            <w:tcW w:w="1335" w:type="dxa"/>
            <w:gridSpan w:val="3"/>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.003</w:t>
            </w:r>
          </w:p>
        </w:tc>
        <w:tc>
          <w:tcPr>
            <w:tcW w:w="1469" w:type="dxa"/>
            <w:gridSpan w:val="5"/>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-.181</w:t>
            </w:r>
          </w:p>
        </w:tc>
        <w:tc>
          <w:tcPr>
            <w:tcW w:w="1019" w:type="dxa"/>
            <w:gridSpan w:val="3"/>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-4.498</w:t>
            </w:r>
          </w:p>
        </w:tc>
        <w:tc>
          <w:tcPr>
            <w:tcW w:w="1019"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5A63A3" w:rsidRPr="0013388B" w:rsidTr="005A63A3">
        <w:tc>
          <w:tcPr>
            <w:tcW w:w="9361" w:type="dxa"/>
            <w:gridSpan w:val="24"/>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Change in Inventory</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9849F2" w:rsidTr="005A63A3">
        <w:trPr>
          <w:gridAfter w:val="7"/>
          <w:wAfter w:w="2881" w:type="dxa"/>
        </w:trPr>
        <w:tc>
          <w:tcPr>
            <w:tcW w:w="6480" w:type="dxa"/>
            <w:gridSpan w:val="17"/>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Casewise Diagnostics</w:t>
            </w:r>
            <w:r w:rsidRPr="009849F2">
              <w:rPr>
                <w:rFonts w:ascii="Arial" w:hAnsi="Arial"/>
                <w:b/>
                <w:bCs/>
                <w:color w:val="000000"/>
                <w:sz w:val="18"/>
                <w:szCs w:val="18"/>
                <w:vertAlign w:val="superscript"/>
              </w:rPr>
              <w:t>a</w:t>
            </w:r>
          </w:p>
        </w:tc>
      </w:tr>
      <w:tr w:rsidR="005A63A3" w:rsidRPr="009849F2" w:rsidTr="005A63A3">
        <w:trPr>
          <w:gridAfter w:val="7"/>
          <w:wAfter w:w="2881" w:type="dxa"/>
        </w:trPr>
        <w:tc>
          <w:tcPr>
            <w:tcW w:w="1487"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Case Number</w:t>
            </w:r>
          </w:p>
        </w:tc>
        <w:tc>
          <w:tcPr>
            <w:tcW w:w="1426" w:type="dxa"/>
            <w:gridSpan w:val="3"/>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Residual</w:t>
            </w:r>
          </w:p>
        </w:tc>
        <w:tc>
          <w:tcPr>
            <w:tcW w:w="1041" w:type="dxa"/>
            <w:gridSpan w:val="4"/>
            <w:tcBorders>
              <w:top w:val="single" w:sz="16" w:space="0" w:color="000000"/>
              <w:bottom w:val="single" w:sz="16" w:space="0" w:color="000000"/>
            </w:tcBorders>
            <w:shd w:val="clear" w:color="auto" w:fill="FFFFFF"/>
            <w:vAlign w:val="bottom"/>
          </w:tcPr>
          <w:p w:rsidR="005A63A3" w:rsidRPr="009849F2" w:rsidRDefault="00DB4F58" w:rsidP="00DB4F58">
            <w:pPr>
              <w:autoSpaceDE w:val="0"/>
              <w:autoSpaceDN w:val="0"/>
              <w:adjustRightInd w:val="0"/>
              <w:spacing w:after="0" w:line="320" w:lineRule="atLeast"/>
              <w:ind w:left="60" w:right="60"/>
              <w:jc w:val="center"/>
              <w:rPr>
                <w:rFonts w:ascii="Arial" w:hAnsi="Arial"/>
                <w:color w:val="000000"/>
                <w:sz w:val="18"/>
                <w:szCs w:val="18"/>
              </w:rPr>
            </w:pPr>
            <w:r>
              <w:rPr>
                <w:rFonts w:ascii="Arial" w:hAnsi="Arial"/>
                <w:color w:val="000000"/>
                <w:sz w:val="18"/>
                <w:szCs w:val="18"/>
              </w:rPr>
              <w:t>Change in INV</w:t>
            </w:r>
          </w:p>
        </w:tc>
        <w:tc>
          <w:tcPr>
            <w:tcW w:w="1468" w:type="dxa"/>
            <w:gridSpan w:val="5"/>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Predicted Value</w:t>
            </w:r>
          </w:p>
        </w:tc>
        <w:tc>
          <w:tcPr>
            <w:tcW w:w="1058" w:type="dxa"/>
            <w:gridSpan w:val="3"/>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Residual</w:t>
            </w:r>
          </w:p>
        </w:tc>
      </w:tr>
      <w:tr w:rsidR="005A63A3" w:rsidRPr="009849F2" w:rsidTr="005A63A3">
        <w:trPr>
          <w:gridAfter w:val="7"/>
          <w:wAfter w:w="2881" w:type="dxa"/>
        </w:trPr>
        <w:tc>
          <w:tcPr>
            <w:tcW w:w="1487" w:type="dxa"/>
            <w:gridSpan w:val="2"/>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91</w:t>
            </w:r>
          </w:p>
        </w:tc>
        <w:tc>
          <w:tcPr>
            <w:tcW w:w="1426" w:type="dxa"/>
            <w:gridSpan w:val="3"/>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3.720</w:t>
            </w:r>
          </w:p>
        </w:tc>
        <w:tc>
          <w:tcPr>
            <w:tcW w:w="1041" w:type="dxa"/>
            <w:gridSpan w:val="4"/>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w:t>
            </w:r>
          </w:p>
        </w:tc>
        <w:tc>
          <w:tcPr>
            <w:tcW w:w="1468" w:type="dxa"/>
            <w:gridSpan w:val="5"/>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.0421</w:t>
            </w:r>
          </w:p>
        </w:tc>
        <w:tc>
          <w:tcPr>
            <w:tcW w:w="1058" w:type="dxa"/>
            <w:gridSpan w:val="3"/>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.12580</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106</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4.408</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.20</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.0467</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.14906</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112</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3.088</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.0467</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.10443</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116</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3.086</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.0338</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.10437</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119</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3.353</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.0421</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.11340</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132</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4.262</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.18</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.0338</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.14411</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144</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4.540</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.20</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.0467</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.15352</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168</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3.757</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.0467</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.12704</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198</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4.946</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.21</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.0467</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.16724</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220</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3.627</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.16</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.0338</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.12265</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229</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3.171</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.0421</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.10723</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459</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3.550</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.0157</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.12004</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537</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3.249</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.0286</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.10986</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560</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4.259</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.0240</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.14403</w:t>
            </w:r>
          </w:p>
        </w:tc>
      </w:tr>
      <w:tr w:rsidR="005A63A3" w:rsidRPr="009849F2" w:rsidTr="005A63A3">
        <w:trPr>
          <w:gridAfter w:val="7"/>
          <w:wAfter w:w="2881"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562</w:t>
            </w:r>
          </w:p>
        </w:tc>
        <w:tc>
          <w:tcPr>
            <w:tcW w:w="1426"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3.261</w:t>
            </w:r>
          </w:p>
        </w:tc>
        <w:tc>
          <w:tcPr>
            <w:tcW w:w="1041"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w:t>
            </w:r>
          </w:p>
        </w:tc>
        <w:tc>
          <w:tcPr>
            <w:tcW w:w="1468"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.0286</w:t>
            </w:r>
          </w:p>
        </w:tc>
        <w:tc>
          <w:tcPr>
            <w:tcW w:w="1058"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.11026</w:t>
            </w:r>
          </w:p>
        </w:tc>
      </w:tr>
      <w:tr w:rsidR="005A63A3" w:rsidRPr="009849F2" w:rsidTr="005A63A3">
        <w:trPr>
          <w:gridAfter w:val="7"/>
          <w:wAfter w:w="2881" w:type="dxa"/>
        </w:trPr>
        <w:tc>
          <w:tcPr>
            <w:tcW w:w="1487" w:type="dxa"/>
            <w:gridSpan w:val="2"/>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563</w:t>
            </w:r>
          </w:p>
        </w:tc>
        <w:tc>
          <w:tcPr>
            <w:tcW w:w="1426" w:type="dxa"/>
            <w:gridSpan w:val="3"/>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5.254</w:t>
            </w:r>
          </w:p>
        </w:tc>
        <w:tc>
          <w:tcPr>
            <w:tcW w:w="1041" w:type="dxa"/>
            <w:gridSpan w:val="4"/>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.21</w:t>
            </w:r>
          </w:p>
        </w:tc>
        <w:tc>
          <w:tcPr>
            <w:tcW w:w="1468" w:type="dxa"/>
            <w:gridSpan w:val="5"/>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.0286</w:t>
            </w:r>
          </w:p>
        </w:tc>
        <w:tc>
          <w:tcPr>
            <w:tcW w:w="1058" w:type="dxa"/>
            <w:gridSpan w:val="3"/>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.17766</w:t>
            </w:r>
          </w:p>
        </w:tc>
      </w:tr>
      <w:tr w:rsidR="005A63A3" w:rsidRPr="0013388B" w:rsidTr="005A63A3">
        <w:trPr>
          <w:gridAfter w:val="7"/>
          <w:wAfter w:w="2881" w:type="dxa"/>
        </w:trPr>
        <w:tc>
          <w:tcPr>
            <w:tcW w:w="6480" w:type="dxa"/>
            <w:gridSpan w:val="17"/>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Change in Inventory</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r w:rsidR="005A63A3" w:rsidRPr="009849F2" w:rsidTr="005A63A3">
        <w:trPr>
          <w:gridAfter w:val="3"/>
          <w:wAfter w:w="1732" w:type="dxa"/>
        </w:trPr>
        <w:tc>
          <w:tcPr>
            <w:tcW w:w="7629" w:type="dxa"/>
            <w:gridSpan w:val="21"/>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Residuals Statistics</w:t>
            </w:r>
            <w:r w:rsidRPr="009849F2">
              <w:rPr>
                <w:rFonts w:ascii="Arial" w:hAnsi="Arial"/>
                <w:b/>
                <w:bCs/>
                <w:color w:val="000000"/>
                <w:sz w:val="18"/>
                <w:szCs w:val="18"/>
                <w:vertAlign w:val="superscript"/>
              </w:rPr>
              <w:t>a</w:t>
            </w:r>
          </w:p>
        </w:tc>
      </w:tr>
      <w:tr w:rsidR="005A63A3" w:rsidRPr="009849F2" w:rsidTr="005A63A3">
        <w:trPr>
          <w:gridAfter w:val="3"/>
          <w:wAfter w:w="1732" w:type="dxa"/>
        </w:trPr>
        <w:tc>
          <w:tcPr>
            <w:tcW w:w="1972" w:type="dxa"/>
            <w:gridSpan w:val="3"/>
            <w:tcBorders>
              <w:top w:val="single" w:sz="16" w:space="0" w:color="000000"/>
              <w:left w:val="single" w:sz="16" w:space="0" w:color="000000"/>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73" w:type="dxa"/>
            <w:gridSpan w:val="3"/>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Minimum</w:t>
            </w:r>
          </w:p>
        </w:tc>
        <w:tc>
          <w:tcPr>
            <w:tcW w:w="1103" w:type="dxa"/>
            <w:gridSpan w:val="4"/>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Maximum</w:t>
            </w:r>
          </w:p>
        </w:tc>
        <w:tc>
          <w:tcPr>
            <w:tcW w:w="1020" w:type="dxa"/>
            <w:gridSpan w:val="3"/>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w:t>
            </w:r>
          </w:p>
        </w:tc>
        <w:tc>
          <w:tcPr>
            <w:tcW w:w="1441" w:type="dxa"/>
            <w:gridSpan w:val="5"/>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Deviation</w:t>
            </w:r>
          </w:p>
        </w:tc>
        <w:tc>
          <w:tcPr>
            <w:tcW w:w="1020" w:type="dxa"/>
            <w:gridSpan w:val="3"/>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N</w:t>
            </w:r>
          </w:p>
        </w:tc>
      </w:tr>
      <w:tr w:rsidR="005A63A3" w:rsidRPr="009849F2" w:rsidTr="005A63A3">
        <w:trPr>
          <w:gridAfter w:val="3"/>
          <w:wAfter w:w="1732" w:type="dxa"/>
        </w:trPr>
        <w:tc>
          <w:tcPr>
            <w:tcW w:w="1972" w:type="dxa"/>
            <w:gridSpan w:val="3"/>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Predicted Value</w:t>
            </w:r>
          </w:p>
        </w:tc>
        <w:tc>
          <w:tcPr>
            <w:tcW w:w="1073" w:type="dxa"/>
            <w:gridSpan w:val="3"/>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.0110</w:t>
            </w:r>
          </w:p>
        </w:tc>
        <w:tc>
          <w:tcPr>
            <w:tcW w:w="1103" w:type="dxa"/>
            <w:gridSpan w:val="4"/>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.0467</w:t>
            </w:r>
          </w:p>
        </w:tc>
        <w:tc>
          <w:tcPr>
            <w:tcW w:w="1020" w:type="dxa"/>
            <w:gridSpan w:val="3"/>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.0290</w:t>
            </w:r>
          </w:p>
        </w:tc>
        <w:tc>
          <w:tcPr>
            <w:tcW w:w="1441" w:type="dxa"/>
            <w:gridSpan w:val="5"/>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.01193</w:t>
            </w:r>
          </w:p>
        </w:tc>
        <w:tc>
          <w:tcPr>
            <w:tcW w:w="1020" w:type="dxa"/>
            <w:gridSpan w:val="3"/>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9849F2" w:rsidTr="005A63A3">
        <w:trPr>
          <w:gridAfter w:val="3"/>
          <w:wAfter w:w="1732" w:type="dxa"/>
        </w:trPr>
        <w:tc>
          <w:tcPr>
            <w:tcW w:w="1972" w:type="dxa"/>
            <w:gridSpan w:val="3"/>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073"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-.04653</w:t>
            </w:r>
          </w:p>
        </w:tc>
        <w:tc>
          <w:tcPr>
            <w:tcW w:w="1103"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.17766</w:t>
            </w:r>
          </w:p>
        </w:tc>
        <w:tc>
          <w:tcPr>
            <w:tcW w:w="1020"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.00000</w:t>
            </w:r>
          </w:p>
        </w:tc>
        <w:tc>
          <w:tcPr>
            <w:tcW w:w="1441"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.03373</w:t>
            </w:r>
          </w:p>
        </w:tc>
        <w:tc>
          <w:tcPr>
            <w:tcW w:w="1020"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9849F2" w:rsidTr="005A63A3">
        <w:trPr>
          <w:gridAfter w:val="3"/>
          <w:wAfter w:w="1732" w:type="dxa"/>
        </w:trPr>
        <w:tc>
          <w:tcPr>
            <w:tcW w:w="1972" w:type="dxa"/>
            <w:gridSpan w:val="3"/>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Predicted Value</w:t>
            </w:r>
          </w:p>
        </w:tc>
        <w:tc>
          <w:tcPr>
            <w:tcW w:w="1073" w:type="dxa"/>
            <w:gridSpan w:val="3"/>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-1.503</w:t>
            </w:r>
          </w:p>
        </w:tc>
        <w:tc>
          <w:tcPr>
            <w:tcW w:w="1103" w:type="dxa"/>
            <w:gridSpan w:val="4"/>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1.482</w:t>
            </w:r>
          </w:p>
        </w:tc>
        <w:tc>
          <w:tcPr>
            <w:tcW w:w="1020" w:type="dxa"/>
            <w:gridSpan w:val="3"/>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1" w:type="dxa"/>
            <w:gridSpan w:val="5"/>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1.000</w:t>
            </w:r>
          </w:p>
        </w:tc>
        <w:tc>
          <w:tcPr>
            <w:tcW w:w="1020" w:type="dxa"/>
            <w:gridSpan w:val="3"/>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9849F2" w:rsidTr="005A63A3">
        <w:trPr>
          <w:gridAfter w:val="3"/>
          <w:wAfter w:w="1732" w:type="dxa"/>
        </w:trPr>
        <w:tc>
          <w:tcPr>
            <w:tcW w:w="1972" w:type="dxa"/>
            <w:gridSpan w:val="3"/>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Residual</w:t>
            </w:r>
          </w:p>
        </w:tc>
        <w:tc>
          <w:tcPr>
            <w:tcW w:w="1073" w:type="dxa"/>
            <w:gridSpan w:val="3"/>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-1.376</w:t>
            </w:r>
          </w:p>
        </w:tc>
        <w:tc>
          <w:tcPr>
            <w:tcW w:w="1103" w:type="dxa"/>
            <w:gridSpan w:val="4"/>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5.254</w:t>
            </w:r>
          </w:p>
        </w:tc>
        <w:tc>
          <w:tcPr>
            <w:tcW w:w="1020" w:type="dxa"/>
            <w:gridSpan w:val="3"/>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1" w:type="dxa"/>
            <w:gridSpan w:val="5"/>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.997</w:t>
            </w:r>
          </w:p>
        </w:tc>
        <w:tc>
          <w:tcPr>
            <w:tcW w:w="1020" w:type="dxa"/>
            <w:gridSpan w:val="3"/>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w:t>
            </w:r>
          </w:p>
        </w:tc>
      </w:tr>
      <w:tr w:rsidR="005A63A3" w:rsidRPr="0013388B" w:rsidTr="005A63A3">
        <w:trPr>
          <w:gridAfter w:val="3"/>
          <w:wAfter w:w="1732" w:type="dxa"/>
        </w:trPr>
        <w:tc>
          <w:tcPr>
            <w:tcW w:w="7629" w:type="dxa"/>
            <w:gridSpan w:val="21"/>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Dependent Variable: Change in Inventory</w:t>
            </w:r>
          </w:p>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3241963" cy="2590340"/>
            <wp:effectExtent l="0" t="0" r="0" b="635"/>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244063" cy="2592018"/>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3978233" cy="3178622"/>
            <wp:effectExtent l="0" t="0" r="3810" b="3175"/>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82536" cy="3182060"/>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095750" cy="3272518"/>
            <wp:effectExtent l="0" t="0" r="0" b="4445"/>
            <wp:docPr id="1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95750" cy="3272518"/>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Default="005A63A3" w:rsidP="005A63A3">
      <w:pPr>
        <w:rPr>
          <w:rFonts w:ascii="Times New Roman" w:hAnsi="Times New Roman" w:cs="Times New Roman"/>
          <w:sz w:val="24"/>
          <w:szCs w:val="24"/>
        </w:rPr>
      </w:pPr>
      <w:r>
        <w:rPr>
          <w:rFonts w:ascii="Times New Roman" w:hAnsi="Times New Roman" w:cs="Times New Roman"/>
          <w:sz w:val="24"/>
          <w:szCs w:val="24"/>
        </w:rPr>
        <w:br w:type="page"/>
      </w:r>
    </w:p>
    <w:p w:rsidR="005A63A3" w:rsidRPr="00E4375F" w:rsidRDefault="005A63A3" w:rsidP="005A63A3">
      <w:pPr>
        <w:autoSpaceDE w:val="0"/>
        <w:autoSpaceDN w:val="0"/>
        <w:adjustRightInd w:val="0"/>
        <w:spacing w:after="0" w:line="400" w:lineRule="atLeast"/>
        <w:rPr>
          <w:rFonts w:asciiTheme="minorHAnsi" w:hAnsiTheme="minorHAnsi" w:cstheme="minorHAnsi"/>
          <w:b/>
          <w:sz w:val="24"/>
          <w:szCs w:val="24"/>
        </w:rPr>
      </w:pPr>
      <w:r w:rsidRPr="00E4375F">
        <w:rPr>
          <w:rFonts w:asciiTheme="minorHAnsi" w:hAnsiTheme="minorHAnsi" w:cstheme="minorHAnsi"/>
          <w:b/>
          <w:sz w:val="24"/>
          <w:szCs w:val="24"/>
        </w:rPr>
        <w:t>Production Costs</w:t>
      </w: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tbl>
      <w:tblPr>
        <w:tblW w:w="47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98"/>
        <w:gridCol w:w="1469"/>
        <w:gridCol w:w="1468"/>
        <w:gridCol w:w="1019"/>
      </w:tblGrid>
      <w:tr w:rsidR="005A63A3" w:rsidRPr="009849F2" w:rsidTr="005773A4">
        <w:tc>
          <w:tcPr>
            <w:tcW w:w="4752" w:type="dxa"/>
            <w:gridSpan w:val="4"/>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Variables Entered/Removed</w:t>
            </w:r>
            <w:r w:rsidRPr="009849F2">
              <w:rPr>
                <w:rFonts w:ascii="Arial" w:hAnsi="Arial"/>
                <w:b/>
                <w:bCs/>
                <w:color w:val="000000"/>
                <w:sz w:val="18"/>
                <w:szCs w:val="18"/>
                <w:vertAlign w:val="superscript"/>
              </w:rPr>
              <w:t>b</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8"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Entered</w:t>
            </w:r>
          </w:p>
        </w:tc>
        <w:tc>
          <w:tcPr>
            <w:tcW w:w="1467"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Variables Removed</w:t>
            </w:r>
          </w:p>
        </w:tc>
        <w:tc>
          <w:tcPr>
            <w:tcW w:w="1019"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Method</w:t>
            </w:r>
          </w:p>
        </w:tc>
      </w:tr>
      <w:tr w:rsidR="005A63A3" w:rsidRPr="009849F2" w:rsidTr="005773A4">
        <w:tc>
          <w:tcPr>
            <w:tcW w:w="798" w:type="dxa"/>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468"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Country, Accounting Standard, Size</w:t>
            </w:r>
          </w:p>
        </w:tc>
        <w:tc>
          <w:tcPr>
            <w:tcW w:w="1467" w:type="dxa"/>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w:t>
            </w:r>
          </w:p>
        </w:tc>
        <w:tc>
          <w:tcPr>
            <w:tcW w:w="1019" w:type="dxa"/>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Enter</w:t>
            </w:r>
          </w:p>
        </w:tc>
      </w:tr>
      <w:tr w:rsidR="005A63A3" w:rsidRPr="009849F2" w:rsidTr="005773A4">
        <w:tc>
          <w:tcPr>
            <w:tcW w:w="4752" w:type="dxa"/>
            <w:gridSpan w:val="4"/>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All requested variables entered.</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 xml:space="preserve">b. Dependent Variable: </w:t>
            </w:r>
            <w:r>
              <w:rPr>
                <w:rFonts w:ascii="Arial" w:hAnsi="Arial"/>
                <w:color w:val="000000"/>
                <w:sz w:val="18"/>
                <w:szCs w:val="18"/>
              </w:rPr>
              <w:t>Production Costs</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p>
        </w:tc>
      </w:tr>
    </w:tbl>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tbl>
      <w:tblPr>
        <w:tblW w:w="795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3"/>
        <w:gridCol w:w="64"/>
        <w:gridCol w:w="1020"/>
        <w:gridCol w:w="199"/>
        <w:gridCol w:w="889"/>
        <w:gridCol w:w="580"/>
        <w:gridCol w:w="889"/>
        <w:gridCol w:w="130"/>
        <w:gridCol w:w="1339"/>
        <w:gridCol w:w="72"/>
        <w:gridCol w:w="1020"/>
        <w:gridCol w:w="1020"/>
      </w:tblGrid>
      <w:tr w:rsidR="005A63A3" w:rsidRPr="009849F2" w:rsidTr="005773A4">
        <w:trPr>
          <w:gridAfter w:val="3"/>
          <w:wAfter w:w="2112" w:type="dxa"/>
        </w:trPr>
        <w:tc>
          <w:tcPr>
            <w:tcW w:w="5843" w:type="dxa"/>
            <w:gridSpan w:val="9"/>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Model Summary</w:t>
            </w:r>
            <w:r w:rsidRPr="009849F2">
              <w:rPr>
                <w:rFonts w:ascii="Arial" w:hAnsi="Arial"/>
                <w:b/>
                <w:bCs/>
                <w:color w:val="000000"/>
                <w:sz w:val="18"/>
                <w:szCs w:val="18"/>
                <w:vertAlign w:val="superscript"/>
              </w:rPr>
              <w:t>b</w:t>
            </w:r>
          </w:p>
        </w:tc>
      </w:tr>
      <w:tr w:rsidR="005A63A3" w:rsidRPr="0013388B" w:rsidTr="005773A4">
        <w:trPr>
          <w:gridAfter w:val="3"/>
          <w:wAfter w:w="2112" w:type="dxa"/>
        </w:trPr>
        <w:tc>
          <w:tcPr>
            <w:tcW w:w="797"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020"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w:t>
            </w:r>
          </w:p>
        </w:tc>
        <w:tc>
          <w:tcPr>
            <w:tcW w:w="1088"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 Square</w:t>
            </w:r>
          </w:p>
        </w:tc>
        <w:tc>
          <w:tcPr>
            <w:tcW w:w="1469"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Adjusted R Square</w:t>
            </w:r>
          </w:p>
        </w:tc>
        <w:tc>
          <w:tcPr>
            <w:tcW w:w="1469" w:type="dxa"/>
            <w:gridSpan w:val="2"/>
            <w:tcBorders>
              <w:top w:val="single" w:sz="16" w:space="0" w:color="000000"/>
              <w:bottom w:val="single" w:sz="16" w:space="0" w:color="000000"/>
              <w:right w:val="single" w:sz="16" w:space="0" w:color="000000"/>
            </w:tcBorders>
            <w:shd w:val="clear" w:color="auto" w:fill="FFFFFF"/>
            <w:vAlign w:val="bottom"/>
          </w:tcPr>
          <w:p w:rsidR="005A63A3" w:rsidRPr="005A63A3" w:rsidRDefault="005A63A3" w:rsidP="005773A4">
            <w:pPr>
              <w:autoSpaceDE w:val="0"/>
              <w:autoSpaceDN w:val="0"/>
              <w:adjustRightInd w:val="0"/>
              <w:spacing w:after="0" w:line="320" w:lineRule="atLeast"/>
              <w:ind w:left="60" w:right="60"/>
              <w:jc w:val="center"/>
              <w:rPr>
                <w:rFonts w:ascii="Arial" w:hAnsi="Arial"/>
                <w:color w:val="000000"/>
                <w:sz w:val="18"/>
                <w:szCs w:val="18"/>
                <w:lang w:val="en-GB"/>
              </w:rPr>
            </w:pPr>
            <w:r w:rsidRPr="005A63A3">
              <w:rPr>
                <w:rFonts w:ascii="Arial" w:hAnsi="Arial"/>
                <w:color w:val="000000"/>
                <w:sz w:val="18"/>
                <w:szCs w:val="18"/>
                <w:lang w:val="en-GB"/>
              </w:rPr>
              <w:t>Std. Error of the Estimate</w:t>
            </w:r>
          </w:p>
        </w:tc>
      </w:tr>
      <w:tr w:rsidR="005A63A3" w:rsidRPr="009849F2" w:rsidTr="005773A4">
        <w:trPr>
          <w:gridAfter w:val="3"/>
          <w:wAfter w:w="2112" w:type="dxa"/>
        </w:trPr>
        <w:tc>
          <w:tcPr>
            <w:tcW w:w="797"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020" w:type="dxa"/>
            <w:tcBorders>
              <w:top w:val="single" w:sz="16" w:space="0" w:color="000000"/>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.101</w:t>
            </w:r>
            <w:r w:rsidRPr="009849F2">
              <w:rPr>
                <w:rFonts w:ascii="Arial" w:hAnsi="Arial"/>
                <w:color w:val="000000"/>
                <w:sz w:val="18"/>
                <w:szCs w:val="18"/>
                <w:vertAlign w:val="superscript"/>
              </w:rPr>
              <w:t>a</w:t>
            </w:r>
          </w:p>
        </w:tc>
        <w:tc>
          <w:tcPr>
            <w:tcW w:w="1088" w:type="dxa"/>
            <w:gridSpan w:val="2"/>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2"/>
            <w:tcBorders>
              <w:top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.005</w:t>
            </w:r>
          </w:p>
        </w:tc>
        <w:tc>
          <w:tcPr>
            <w:tcW w:w="1469" w:type="dxa"/>
            <w:gridSpan w:val="2"/>
            <w:tcBorders>
              <w:top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.11579</w:t>
            </w:r>
          </w:p>
        </w:tc>
      </w:tr>
      <w:tr w:rsidR="005A63A3" w:rsidRPr="009849F2" w:rsidTr="005773A4">
        <w:trPr>
          <w:gridAfter w:val="3"/>
          <w:wAfter w:w="2112" w:type="dxa"/>
        </w:trPr>
        <w:tc>
          <w:tcPr>
            <w:tcW w:w="5843" w:type="dxa"/>
            <w:gridSpan w:val="9"/>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b. Dependent Variable: Production Costs</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p>
        </w:tc>
      </w:tr>
      <w:tr w:rsidR="005A63A3" w:rsidRPr="009849F2" w:rsidTr="005773A4">
        <w:tc>
          <w:tcPr>
            <w:tcW w:w="7955" w:type="dxa"/>
            <w:gridSpan w:val="12"/>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ANOVA</w:t>
            </w:r>
            <w:r w:rsidRPr="009849F2">
              <w:rPr>
                <w:rFonts w:ascii="Arial" w:hAnsi="Arial"/>
                <w:b/>
                <w:bCs/>
                <w:color w:val="000000"/>
                <w:sz w:val="18"/>
                <w:szCs w:val="18"/>
                <w:vertAlign w:val="superscript"/>
              </w:rPr>
              <w:t>b</w:t>
            </w:r>
          </w:p>
        </w:tc>
      </w:tr>
      <w:tr w:rsidR="005A63A3" w:rsidRPr="009849F2" w:rsidTr="005773A4">
        <w:tc>
          <w:tcPr>
            <w:tcW w:w="2016" w:type="dxa"/>
            <w:gridSpan w:val="4"/>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1469" w:type="dxa"/>
            <w:gridSpan w:val="2"/>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Sum of Squares</w:t>
            </w:r>
          </w:p>
        </w:tc>
        <w:tc>
          <w:tcPr>
            <w:tcW w:w="1019"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df</w:t>
            </w:r>
          </w:p>
        </w:tc>
        <w:tc>
          <w:tcPr>
            <w:tcW w:w="1411"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 Square</w:t>
            </w:r>
          </w:p>
        </w:tc>
        <w:tc>
          <w:tcPr>
            <w:tcW w:w="1020"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F</w:t>
            </w:r>
          </w:p>
        </w:tc>
        <w:tc>
          <w:tcPr>
            <w:tcW w:w="1020"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773A4">
        <w:tc>
          <w:tcPr>
            <w:tcW w:w="733"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1283" w:type="dxa"/>
            <w:gridSpan w:val="3"/>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Regression</w:t>
            </w:r>
          </w:p>
        </w:tc>
        <w:tc>
          <w:tcPr>
            <w:tcW w:w="1469" w:type="dxa"/>
            <w:gridSpan w:val="2"/>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.077</w:t>
            </w:r>
          </w:p>
        </w:tc>
        <w:tc>
          <w:tcPr>
            <w:tcW w:w="1019"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w:t>
            </w:r>
          </w:p>
        </w:tc>
        <w:tc>
          <w:tcPr>
            <w:tcW w:w="1411"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.026</w:t>
            </w:r>
          </w:p>
        </w:tc>
        <w:tc>
          <w:tcPr>
            <w:tcW w:w="1020"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1.914</w:t>
            </w:r>
          </w:p>
        </w:tc>
        <w:tc>
          <w:tcPr>
            <w:tcW w:w="1020"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.126</w:t>
            </w:r>
            <w:r w:rsidRPr="009849F2">
              <w:rPr>
                <w:rFonts w:ascii="Arial" w:hAnsi="Arial"/>
                <w:color w:val="000000"/>
                <w:sz w:val="18"/>
                <w:szCs w:val="18"/>
                <w:vertAlign w:val="superscript"/>
              </w:rPr>
              <w:t>a</w:t>
            </w: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283" w:type="dxa"/>
            <w:gridSpan w:val="3"/>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469"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7.441</w:t>
            </w:r>
          </w:p>
        </w:tc>
        <w:tc>
          <w:tcPr>
            <w:tcW w:w="101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555</w:t>
            </w:r>
          </w:p>
        </w:tc>
        <w:tc>
          <w:tcPr>
            <w:tcW w:w="1411"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.013</w:t>
            </w:r>
          </w:p>
        </w:tc>
        <w:tc>
          <w:tcPr>
            <w:tcW w:w="1020" w:type="dxa"/>
            <w:tcBorders>
              <w:top w:val="nil"/>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nil"/>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9849F2" w:rsidTr="005773A4">
        <w:tc>
          <w:tcPr>
            <w:tcW w:w="733"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Times New Roman" w:hAnsi="Times New Roman" w:cs="Times New Roman"/>
                <w:sz w:val="24"/>
                <w:szCs w:val="24"/>
              </w:rPr>
            </w:pPr>
          </w:p>
        </w:tc>
        <w:tc>
          <w:tcPr>
            <w:tcW w:w="1283" w:type="dxa"/>
            <w:gridSpan w:val="3"/>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Total</w:t>
            </w:r>
          </w:p>
        </w:tc>
        <w:tc>
          <w:tcPr>
            <w:tcW w:w="1469" w:type="dxa"/>
            <w:gridSpan w:val="2"/>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7.517</w:t>
            </w:r>
          </w:p>
        </w:tc>
        <w:tc>
          <w:tcPr>
            <w:tcW w:w="1019"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558</w:t>
            </w:r>
          </w:p>
        </w:tc>
        <w:tc>
          <w:tcPr>
            <w:tcW w:w="1411" w:type="dxa"/>
            <w:gridSpan w:val="2"/>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20" w:type="dxa"/>
            <w:tcBorders>
              <w:top w:val="nil"/>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r>
      <w:tr w:rsidR="005A63A3" w:rsidRPr="009849F2" w:rsidTr="005773A4">
        <w:tc>
          <w:tcPr>
            <w:tcW w:w="7955" w:type="dxa"/>
            <w:gridSpan w:val="12"/>
            <w:tcBorders>
              <w:top w:val="nil"/>
              <w:left w:val="nil"/>
              <w:bottom w:val="nil"/>
              <w:right w:val="nil"/>
            </w:tcBorders>
            <w:shd w:val="clear" w:color="auto" w:fill="FFFFFF"/>
          </w:tcPr>
          <w:p w:rsidR="005A63A3" w:rsidRPr="005A63A3" w:rsidRDefault="005A63A3" w:rsidP="005773A4">
            <w:pPr>
              <w:autoSpaceDE w:val="0"/>
              <w:autoSpaceDN w:val="0"/>
              <w:adjustRightInd w:val="0"/>
              <w:spacing w:after="0" w:line="320" w:lineRule="atLeast"/>
              <w:ind w:left="60" w:right="60"/>
              <w:rPr>
                <w:rFonts w:ascii="Arial" w:hAnsi="Arial"/>
                <w:color w:val="000000"/>
                <w:sz w:val="18"/>
                <w:szCs w:val="18"/>
                <w:lang w:val="en-GB"/>
              </w:rPr>
            </w:pPr>
            <w:r w:rsidRPr="005A63A3">
              <w:rPr>
                <w:rFonts w:ascii="Arial" w:hAnsi="Arial"/>
                <w:color w:val="000000"/>
                <w:sz w:val="18"/>
                <w:szCs w:val="18"/>
                <w:lang w:val="en-GB"/>
              </w:rPr>
              <w:t>a. Predictors: (Constant), Country, Accounting Standard, Size</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b. Dependent Variable: Production Costs</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p>
        </w:tc>
      </w:tr>
    </w:tbl>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tbl>
      <w:tblPr>
        <w:tblW w:w="93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4"/>
        <w:gridCol w:w="753"/>
        <w:gridCol w:w="1426"/>
        <w:gridCol w:w="269"/>
        <w:gridCol w:w="1017"/>
        <w:gridCol w:w="320"/>
        <w:gridCol w:w="1148"/>
        <w:gridCol w:w="187"/>
        <w:gridCol w:w="871"/>
        <w:gridCol w:w="598"/>
        <w:gridCol w:w="1019"/>
        <w:gridCol w:w="1019"/>
      </w:tblGrid>
      <w:tr w:rsidR="005A63A3" w:rsidRPr="009849F2" w:rsidTr="005773A4">
        <w:tc>
          <w:tcPr>
            <w:tcW w:w="9361" w:type="dxa"/>
            <w:gridSpan w:val="12"/>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Coefficients</w:t>
            </w:r>
            <w:r w:rsidRPr="009849F2">
              <w:rPr>
                <w:rFonts w:ascii="Arial" w:hAnsi="Arial"/>
                <w:b/>
                <w:bCs/>
                <w:color w:val="000000"/>
                <w:sz w:val="18"/>
                <w:szCs w:val="18"/>
                <w:vertAlign w:val="superscript"/>
              </w:rPr>
              <w:t>a</w:t>
            </w:r>
          </w:p>
        </w:tc>
      </w:tr>
      <w:tr w:rsidR="005A63A3" w:rsidRPr="009849F2" w:rsidTr="005773A4">
        <w:tc>
          <w:tcPr>
            <w:tcW w:w="3182" w:type="dxa"/>
            <w:gridSpan w:val="4"/>
            <w:vMerge w:val="restart"/>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Model</w:t>
            </w:r>
          </w:p>
        </w:tc>
        <w:tc>
          <w:tcPr>
            <w:tcW w:w="2672" w:type="dxa"/>
            <w:gridSpan w:val="4"/>
            <w:tcBorders>
              <w:top w:val="single" w:sz="16" w:space="0" w:color="000000"/>
              <w:lef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Unstandardized Coefficients</w:t>
            </w:r>
          </w:p>
        </w:tc>
        <w:tc>
          <w:tcPr>
            <w:tcW w:w="1469" w:type="dxa"/>
            <w:gridSpan w:val="2"/>
            <w:tcBorders>
              <w:top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Standardized Coefficients</w:t>
            </w:r>
          </w:p>
        </w:tc>
        <w:tc>
          <w:tcPr>
            <w:tcW w:w="1019" w:type="dxa"/>
            <w:vMerge w:val="restart"/>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t</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Sig.</w:t>
            </w:r>
          </w:p>
        </w:tc>
      </w:tr>
      <w:tr w:rsidR="005A63A3" w:rsidRPr="009849F2" w:rsidTr="005773A4">
        <w:tc>
          <w:tcPr>
            <w:tcW w:w="3182" w:type="dxa"/>
            <w:gridSpan w:val="4"/>
            <w:vMerge/>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337" w:type="dxa"/>
            <w:gridSpan w:val="2"/>
            <w:tcBorders>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w:t>
            </w:r>
          </w:p>
        </w:tc>
        <w:tc>
          <w:tcPr>
            <w:tcW w:w="1335" w:type="dxa"/>
            <w:gridSpan w:val="2"/>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Error</w:t>
            </w:r>
          </w:p>
        </w:tc>
        <w:tc>
          <w:tcPr>
            <w:tcW w:w="1469" w:type="dxa"/>
            <w:gridSpan w:val="2"/>
            <w:tcBorders>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Beta</w:t>
            </w:r>
          </w:p>
        </w:tc>
        <w:tc>
          <w:tcPr>
            <w:tcW w:w="1019" w:type="dxa"/>
            <w:vMerge/>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r>
      <w:tr w:rsidR="005A63A3" w:rsidRPr="009849F2" w:rsidTr="005773A4">
        <w:tc>
          <w:tcPr>
            <w:tcW w:w="734" w:type="dxa"/>
            <w:vMerge w:val="restart"/>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w:t>
            </w:r>
          </w:p>
        </w:tc>
        <w:tc>
          <w:tcPr>
            <w:tcW w:w="2448" w:type="dxa"/>
            <w:gridSpan w:val="3"/>
            <w:tcBorders>
              <w:top w:val="single" w:sz="16" w:space="0" w:color="000000"/>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(Constant)</w:t>
            </w:r>
          </w:p>
        </w:tc>
        <w:tc>
          <w:tcPr>
            <w:tcW w:w="1337" w:type="dxa"/>
            <w:gridSpan w:val="2"/>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.130</w:t>
            </w:r>
          </w:p>
        </w:tc>
        <w:tc>
          <w:tcPr>
            <w:tcW w:w="1335"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2"/>
            <w:tcBorders>
              <w:top w:val="single" w:sz="16" w:space="0" w:color="000000"/>
              <w:bottom w:val="nil"/>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19"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13.595</w:t>
            </w:r>
          </w:p>
        </w:tc>
        <w:tc>
          <w:tcPr>
            <w:tcW w:w="1019"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r>
      <w:tr w:rsidR="005A63A3" w:rsidRPr="009849F2" w:rsidTr="005773A4">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3"/>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Dummy_Country3</w:t>
            </w:r>
          </w:p>
        </w:tc>
        <w:tc>
          <w:tcPr>
            <w:tcW w:w="1337"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335"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-.002</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-.036</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.972</w:t>
            </w:r>
          </w:p>
        </w:tc>
      </w:tr>
      <w:tr w:rsidR="005A63A3" w:rsidRPr="009849F2" w:rsidTr="005773A4">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3"/>
            <w:tcBorders>
              <w:top w:val="nil"/>
              <w:left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IFRS_local0_IFRS13</w:t>
            </w:r>
          </w:p>
        </w:tc>
        <w:tc>
          <w:tcPr>
            <w:tcW w:w="1337" w:type="dxa"/>
            <w:gridSpan w:val="2"/>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.023</w:t>
            </w:r>
          </w:p>
        </w:tc>
        <w:tc>
          <w:tcPr>
            <w:tcW w:w="1335"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.100</w:t>
            </w:r>
          </w:p>
        </w:tc>
        <w:tc>
          <w:tcPr>
            <w:tcW w:w="1019"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2.357</w:t>
            </w:r>
          </w:p>
        </w:tc>
        <w:tc>
          <w:tcPr>
            <w:tcW w:w="1019"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.019</w:t>
            </w:r>
          </w:p>
        </w:tc>
      </w:tr>
      <w:tr w:rsidR="005A63A3" w:rsidRPr="009849F2" w:rsidTr="005773A4">
        <w:tc>
          <w:tcPr>
            <w:tcW w:w="734" w:type="dxa"/>
            <w:vMerge/>
            <w:tcBorders>
              <w:top w:val="single" w:sz="16" w:space="0" w:color="000000"/>
              <w:left w:val="single" w:sz="16" w:space="0" w:color="000000"/>
              <w:bottom w:val="single" w:sz="16" w:space="0" w:color="000000"/>
              <w:right w:val="nil"/>
            </w:tcBorders>
            <w:shd w:val="clear" w:color="auto" w:fill="FFFFFF"/>
          </w:tcPr>
          <w:p w:rsidR="005A63A3" w:rsidRPr="009849F2" w:rsidRDefault="005A63A3" w:rsidP="005773A4">
            <w:pPr>
              <w:autoSpaceDE w:val="0"/>
              <w:autoSpaceDN w:val="0"/>
              <w:adjustRightInd w:val="0"/>
              <w:spacing w:after="0" w:line="240" w:lineRule="auto"/>
              <w:rPr>
                <w:rFonts w:ascii="Arial" w:hAnsi="Arial"/>
                <w:color w:val="000000"/>
                <w:sz w:val="18"/>
                <w:szCs w:val="18"/>
              </w:rPr>
            </w:pPr>
          </w:p>
        </w:tc>
        <w:tc>
          <w:tcPr>
            <w:tcW w:w="2448" w:type="dxa"/>
            <w:gridSpan w:val="3"/>
            <w:tcBorders>
              <w:top w:val="nil"/>
              <w:left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Dummy_Size_0small_1big3</w:t>
            </w:r>
          </w:p>
        </w:tc>
        <w:tc>
          <w:tcPr>
            <w:tcW w:w="1337" w:type="dxa"/>
            <w:gridSpan w:val="2"/>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.004</w:t>
            </w:r>
          </w:p>
        </w:tc>
        <w:tc>
          <w:tcPr>
            <w:tcW w:w="1335"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.010</w:t>
            </w:r>
          </w:p>
        </w:tc>
        <w:tc>
          <w:tcPr>
            <w:tcW w:w="1469"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.018</w:t>
            </w:r>
          </w:p>
        </w:tc>
        <w:tc>
          <w:tcPr>
            <w:tcW w:w="1019"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.419</w:t>
            </w:r>
          </w:p>
        </w:tc>
        <w:tc>
          <w:tcPr>
            <w:tcW w:w="1019"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.675</w:t>
            </w:r>
          </w:p>
        </w:tc>
      </w:tr>
      <w:tr w:rsidR="005A63A3" w:rsidRPr="009849F2" w:rsidTr="005773A4">
        <w:tc>
          <w:tcPr>
            <w:tcW w:w="9361" w:type="dxa"/>
            <w:gridSpan w:val="12"/>
            <w:tcBorders>
              <w:top w:val="nil"/>
              <w:left w:val="nil"/>
              <w:bottom w:val="nil"/>
              <w:right w:val="nil"/>
            </w:tcBorders>
            <w:shd w:val="clear" w:color="auto" w:fill="FFFFFF"/>
          </w:tcPr>
          <w:p w:rsidR="005A63A3" w:rsidRPr="009849F2" w:rsidRDefault="00903CE5"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 Dependent Variable: Production Costs</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p>
        </w:tc>
      </w:tr>
      <w:tr w:rsidR="005A63A3" w:rsidRPr="009849F2" w:rsidTr="005773A4">
        <w:trPr>
          <w:gridAfter w:val="3"/>
          <w:wAfter w:w="2636" w:type="dxa"/>
        </w:trPr>
        <w:tc>
          <w:tcPr>
            <w:tcW w:w="6725" w:type="dxa"/>
            <w:gridSpan w:val="9"/>
            <w:tcBorders>
              <w:top w:val="nil"/>
              <w:left w:val="nil"/>
              <w:bottom w:val="nil"/>
              <w:right w:val="nil"/>
            </w:tcBorders>
            <w:shd w:val="clear" w:color="auto" w:fill="FFFFFF"/>
            <w:vAlign w:val="center"/>
          </w:tcPr>
          <w:p w:rsidR="005A63A3" w:rsidRDefault="005A63A3" w:rsidP="005773A4">
            <w:pPr>
              <w:autoSpaceDE w:val="0"/>
              <w:autoSpaceDN w:val="0"/>
              <w:adjustRightInd w:val="0"/>
              <w:spacing w:after="0" w:line="320" w:lineRule="atLeast"/>
              <w:ind w:left="60" w:right="60"/>
              <w:jc w:val="center"/>
              <w:rPr>
                <w:rFonts w:ascii="Arial" w:hAnsi="Arial"/>
                <w:b/>
                <w:bCs/>
                <w:color w:val="000000"/>
                <w:sz w:val="18"/>
                <w:szCs w:val="18"/>
              </w:rPr>
            </w:pPr>
          </w:p>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Casewise Diagnostics</w:t>
            </w:r>
            <w:r w:rsidRPr="009849F2">
              <w:rPr>
                <w:rFonts w:ascii="Arial" w:hAnsi="Arial"/>
                <w:b/>
                <w:bCs/>
                <w:color w:val="000000"/>
                <w:sz w:val="18"/>
                <w:szCs w:val="18"/>
                <w:vertAlign w:val="superscript"/>
              </w:rPr>
              <w:t>a</w:t>
            </w:r>
          </w:p>
        </w:tc>
      </w:tr>
      <w:tr w:rsidR="005A63A3" w:rsidRPr="009849F2" w:rsidTr="005773A4">
        <w:trPr>
          <w:gridAfter w:val="3"/>
          <w:wAfter w:w="2636" w:type="dxa"/>
        </w:trPr>
        <w:tc>
          <w:tcPr>
            <w:tcW w:w="1487"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Case Number</w:t>
            </w:r>
          </w:p>
        </w:tc>
        <w:tc>
          <w:tcPr>
            <w:tcW w:w="1426"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Residual</w:t>
            </w:r>
          </w:p>
        </w:tc>
        <w:tc>
          <w:tcPr>
            <w:tcW w:w="1286"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PROD_ABS</w:t>
            </w:r>
          </w:p>
        </w:tc>
        <w:tc>
          <w:tcPr>
            <w:tcW w:w="1468" w:type="dxa"/>
            <w:gridSpan w:val="2"/>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Predicted Value</w:t>
            </w:r>
          </w:p>
        </w:tc>
        <w:tc>
          <w:tcPr>
            <w:tcW w:w="1058" w:type="dxa"/>
            <w:gridSpan w:val="2"/>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Residual</w:t>
            </w:r>
          </w:p>
        </w:tc>
      </w:tr>
      <w:tr w:rsidR="005A63A3" w:rsidRPr="009849F2" w:rsidTr="005773A4">
        <w:trPr>
          <w:gridAfter w:val="3"/>
          <w:wAfter w:w="2636" w:type="dxa"/>
        </w:trPr>
        <w:tc>
          <w:tcPr>
            <w:tcW w:w="1487" w:type="dxa"/>
            <w:gridSpan w:val="2"/>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95</w:t>
            </w:r>
          </w:p>
        </w:tc>
        <w:tc>
          <w:tcPr>
            <w:tcW w:w="1426" w:type="dxa"/>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3.996</w:t>
            </w:r>
          </w:p>
        </w:tc>
        <w:tc>
          <w:tcPr>
            <w:tcW w:w="1286"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.62</w:t>
            </w:r>
          </w:p>
        </w:tc>
        <w:tc>
          <w:tcPr>
            <w:tcW w:w="1468" w:type="dxa"/>
            <w:gridSpan w:val="2"/>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.1533</w:t>
            </w:r>
          </w:p>
        </w:tc>
        <w:tc>
          <w:tcPr>
            <w:tcW w:w="1058" w:type="dxa"/>
            <w:gridSpan w:val="2"/>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.46269</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109</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3.682</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.1303</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.42627</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130</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4.323</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.65</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.1533</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.50050</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147</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5.568</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.80</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.1533</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.64465</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274</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3.829</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.60</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.1575</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.44337</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277</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5.492</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.79</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.1533</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.63595</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431</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4.863</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.72</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.1530</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.56306</w:t>
            </w:r>
          </w:p>
        </w:tc>
      </w:tr>
      <w:tr w:rsidR="005A63A3" w:rsidRPr="009849F2" w:rsidTr="005773A4">
        <w:trPr>
          <w:gridAfter w:val="3"/>
          <w:wAfter w:w="2636" w:type="dxa"/>
        </w:trPr>
        <w:tc>
          <w:tcPr>
            <w:tcW w:w="1487" w:type="dxa"/>
            <w:gridSpan w:val="2"/>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432</w:t>
            </w:r>
          </w:p>
        </w:tc>
        <w:tc>
          <w:tcPr>
            <w:tcW w:w="1426"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3.558</w:t>
            </w:r>
          </w:p>
        </w:tc>
        <w:tc>
          <w:tcPr>
            <w:tcW w:w="1286"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.56</w:t>
            </w:r>
          </w:p>
        </w:tc>
        <w:tc>
          <w:tcPr>
            <w:tcW w:w="1468" w:type="dxa"/>
            <w:gridSpan w:val="2"/>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.1530</w:t>
            </w:r>
          </w:p>
        </w:tc>
        <w:tc>
          <w:tcPr>
            <w:tcW w:w="1058" w:type="dxa"/>
            <w:gridSpan w:val="2"/>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.41195</w:t>
            </w:r>
          </w:p>
        </w:tc>
      </w:tr>
      <w:tr w:rsidR="005A63A3" w:rsidRPr="009849F2" w:rsidTr="005773A4">
        <w:trPr>
          <w:gridAfter w:val="3"/>
          <w:wAfter w:w="2636" w:type="dxa"/>
        </w:trPr>
        <w:tc>
          <w:tcPr>
            <w:tcW w:w="1487" w:type="dxa"/>
            <w:gridSpan w:val="2"/>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433</w:t>
            </w:r>
          </w:p>
        </w:tc>
        <w:tc>
          <w:tcPr>
            <w:tcW w:w="1426" w:type="dxa"/>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4.351</w:t>
            </w:r>
          </w:p>
        </w:tc>
        <w:tc>
          <w:tcPr>
            <w:tcW w:w="1286"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.66</w:t>
            </w:r>
          </w:p>
        </w:tc>
        <w:tc>
          <w:tcPr>
            <w:tcW w:w="1468" w:type="dxa"/>
            <w:gridSpan w:val="2"/>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.1530</w:t>
            </w:r>
          </w:p>
        </w:tc>
        <w:tc>
          <w:tcPr>
            <w:tcW w:w="1058" w:type="dxa"/>
            <w:gridSpan w:val="2"/>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.50377</w:t>
            </w:r>
          </w:p>
        </w:tc>
      </w:tr>
      <w:tr w:rsidR="005A63A3" w:rsidRPr="00903CE5" w:rsidTr="005773A4">
        <w:trPr>
          <w:gridAfter w:val="3"/>
          <w:wAfter w:w="2636" w:type="dxa"/>
        </w:trPr>
        <w:tc>
          <w:tcPr>
            <w:tcW w:w="6725" w:type="dxa"/>
            <w:gridSpan w:val="9"/>
            <w:tcBorders>
              <w:top w:val="nil"/>
              <w:left w:val="nil"/>
              <w:bottom w:val="nil"/>
              <w:right w:val="nil"/>
            </w:tcBorders>
            <w:shd w:val="clear" w:color="auto" w:fill="FFFFFF"/>
          </w:tcPr>
          <w:p w:rsidR="005A63A3" w:rsidRPr="00903CE5" w:rsidRDefault="00903CE5" w:rsidP="005773A4">
            <w:pPr>
              <w:autoSpaceDE w:val="0"/>
              <w:autoSpaceDN w:val="0"/>
              <w:adjustRightInd w:val="0"/>
              <w:spacing w:after="0" w:line="320" w:lineRule="atLeast"/>
              <w:ind w:left="60" w:right="60"/>
              <w:rPr>
                <w:rFonts w:ascii="Arial" w:hAnsi="Arial"/>
                <w:color w:val="000000"/>
                <w:sz w:val="18"/>
                <w:szCs w:val="18"/>
                <w:lang w:val="en-GB"/>
              </w:rPr>
            </w:pPr>
            <w:r w:rsidRPr="00903CE5">
              <w:rPr>
                <w:rFonts w:ascii="Arial" w:hAnsi="Arial"/>
                <w:color w:val="000000"/>
                <w:sz w:val="18"/>
                <w:szCs w:val="18"/>
                <w:lang w:val="en-GB"/>
              </w:rPr>
              <w:t>a. Dependent Variable: Production Costs</w:t>
            </w:r>
          </w:p>
          <w:p w:rsidR="005A63A3" w:rsidRPr="00903CE5" w:rsidRDefault="005A63A3" w:rsidP="005773A4">
            <w:pPr>
              <w:autoSpaceDE w:val="0"/>
              <w:autoSpaceDN w:val="0"/>
              <w:adjustRightInd w:val="0"/>
              <w:spacing w:after="0" w:line="320" w:lineRule="atLeast"/>
              <w:ind w:left="60" w:right="60"/>
              <w:rPr>
                <w:rFonts w:ascii="Arial" w:hAnsi="Arial"/>
                <w:color w:val="000000"/>
                <w:sz w:val="18"/>
                <w:szCs w:val="18"/>
                <w:lang w:val="en-GB"/>
              </w:rPr>
            </w:pPr>
          </w:p>
        </w:tc>
      </w:tr>
    </w:tbl>
    <w:p w:rsidR="005A63A3" w:rsidRPr="00903CE5" w:rsidRDefault="005A63A3" w:rsidP="005A63A3">
      <w:pPr>
        <w:autoSpaceDE w:val="0"/>
        <w:autoSpaceDN w:val="0"/>
        <w:adjustRightInd w:val="0"/>
        <w:spacing w:after="0" w:line="400" w:lineRule="atLeast"/>
        <w:rPr>
          <w:rFonts w:ascii="Times New Roman" w:hAnsi="Times New Roman" w:cs="Times New Roman"/>
          <w:sz w:val="24"/>
          <w:szCs w:val="24"/>
          <w:lang w:val="en-GB"/>
        </w:rPr>
      </w:pPr>
    </w:p>
    <w:tbl>
      <w:tblPr>
        <w:tblW w:w="76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2"/>
        <w:gridCol w:w="1073"/>
        <w:gridCol w:w="1103"/>
        <w:gridCol w:w="1020"/>
        <w:gridCol w:w="1441"/>
        <w:gridCol w:w="1020"/>
      </w:tblGrid>
      <w:tr w:rsidR="005A63A3" w:rsidRPr="009849F2" w:rsidTr="005773A4">
        <w:tc>
          <w:tcPr>
            <w:tcW w:w="7629" w:type="dxa"/>
            <w:gridSpan w:val="6"/>
            <w:tcBorders>
              <w:top w:val="nil"/>
              <w:left w:val="nil"/>
              <w:bottom w:val="nil"/>
              <w:right w:val="nil"/>
            </w:tcBorders>
            <w:shd w:val="clear" w:color="auto" w:fill="FFFFFF"/>
            <w:vAlign w:val="center"/>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b/>
                <w:bCs/>
                <w:color w:val="000000"/>
                <w:sz w:val="18"/>
                <w:szCs w:val="18"/>
              </w:rPr>
              <w:t>Residuals Statistics</w:t>
            </w:r>
            <w:r w:rsidRPr="009849F2">
              <w:rPr>
                <w:rFonts w:ascii="Arial" w:hAnsi="Arial"/>
                <w:b/>
                <w:bCs/>
                <w:color w:val="000000"/>
                <w:sz w:val="18"/>
                <w:szCs w:val="18"/>
                <w:vertAlign w:val="superscript"/>
              </w:rPr>
              <w:t>a</w:t>
            </w:r>
          </w:p>
        </w:tc>
      </w:tr>
      <w:tr w:rsidR="005A63A3" w:rsidRPr="009849F2" w:rsidTr="005773A4">
        <w:tc>
          <w:tcPr>
            <w:tcW w:w="1972"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5A63A3" w:rsidRPr="009849F2" w:rsidRDefault="005A63A3" w:rsidP="005773A4">
            <w:pPr>
              <w:autoSpaceDE w:val="0"/>
              <w:autoSpaceDN w:val="0"/>
              <w:adjustRightInd w:val="0"/>
              <w:spacing w:after="0" w:line="240" w:lineRule="auto"/>
              <w:jc w:val="center"/>
              <w:rPr>
                <w:rFonts w:ascii="Times New Roman" w:hAnsi="Times New Roman" w:cs="Times New Roman"/>
                <w:sz w:val="24"/>
                <w:szCs w:val="24"/>
              </w:rPr>
            </w:pPr>
          </w:p>
        </w:tc>
        <w:tc>
          <w:tcPr>
            <w:tcW w:w="1073" w:type="dxa"/>
            <w:tcBorders>
              <w:top w:val="single" w:sz="16" w:space="0" w:color="000000"/>
              <w:left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Minimum</w:t>
            </w:r>
          </w:p>
        </w:tc>
        <w:tc>
          <w:tcPr>
            <w:tcW w:w="1103"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Maximum</w:t>
            </w:r>
          </w:p>
        </w:tc>
        <w:tc>
          <w:tcPr>
            <w:tcW w:w="1020"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Mean</w:t>
            </w:r>
          </w:p>
        </w:tc>
        <w:tc>
          <w:tcPr>
            <w:tcW w:w="1441" w:type="dxa"/>
            <w:tcBorders>
              <w:top w:val="single" w:sz="16" w:space="0" w:color="000000"/>
              <w:bottom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Std. Deviation</w:t>
            </w:r>
          </w:p>
        </w:tc>
        <w:tc>
          <w:tcPr>
            <w:tcW w:w="1020" w:type="dxa"/>
            <w:tcBorders>
              <w:top w:val="single" w:sz="16" w:space="0" w:color="000000"/>
              <w:bottom w:val="single" w:sz="16" w:space="0" w:color="000000"/>
              <w:right w:val="single" w:sz="16" w:space="0" w:color="000000"/>
            </w:tcBorders>
            <w:shd w:val="clear" w:color="auto" w:fill="FFFFFF"/>
            <w:vAlign w:val="bottom"/>
          </w:tcPr>
          <w:p w:rsidR="005A63A3" w:rsidRPr="009849F2" w:rsidRDefault="005A63A3" w:rsidP="005773A4">
            <w:pPr>
              <w:autoSpaceDE w:val="0"/>
              <w:autoSpaceDN w:val="0"/>
              <w:adjustRightInd w:val="0"/>
              <w:spacing w:after="0" w:line="320" w:lineRule="atLeast"/>
              <w:ind w:left="60" w:right="60"/>
              <w:jc w:val="center"/>
              <w:rPr>
                <w:rFonts w:ascii="Arial" w:hAnsi="Arial"/>
                <w:color w:val="000000"/>
                <w:sz w:val="18"/>
                <w:szCs w:val="18"/>
              </w:rPr>
            </w:pPr>
            <w:r w:rsidRPr="009849F2">
              <w:rPr>
                <w:rFonts w:ascii="Arial" w:hAnsi="Arial"/>
                <w:color w:val="000000"/>
                <w:sz w:val="18"/>
                <w:szCs w:val="18"/>
              </w:rPr>
              <w:t>N</w:t>
            </w:r>
          </w:p>
        </w:tc>
      </w:tr>
      <w:tr w:rsidR="005A63A3" w:rsidRPr="009849F2" w:rsidTr="005773A4">
        <w:tc>
          <w:tcPr>
            <w:tcW w:w="1972" w:type="dxa"/>
            <w:tcBorders>
              <w:top w:val="single" w:sz="16" w:space="0" w:color="000000"/>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Predicted Value</w:t>
            </w:r>
          </w:p>
        </w:tc>
        <w:tc>
          <w:tcPr>
            <w:tcW w:w="1073" w:type="dxa"/>
            <w:tcBorders>
              <w:top w:val="single" w:sz="16" w:space="0" w:color="000000"/>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.1299</w:t>
            </w:r>
          </w:p>
        </w:tc>
        <w:tc>
          <w:tcPr>
            <w:tcW w:w="1103"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.1575</w:t>
            </w:r>
          </w:p>
        </w:tc>
        <w:tc>
          <w:tcPr>
            <w:tcW w:w="1020"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.1437</w:t>
            </w:r>
          </w:p>
        </w:tc>
        <w:tc>
          <w:tcPr>
            <w:tcW w:w="1441" w:type="dxa"/>
            <w:tcBorders>
              <w:top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.01174</w:t>
            </w:r>
          </w:p>
        </w:tc>
        <w:tc>
          <w:tcPr>
            <w:tcW w:w="1020" w:type="dxa"/>
            <w:tcBorders>
              <w:top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r>
      <w:tr w:rsidR="005A63A3" w:rsidRPr="009849F2" w:rsidTr="005773A4">
        <w:tc>
          <w:tcPr>
            <w:tcW w:w="1972" w:type="dxa"/>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Residual</w:t>
            </w:r>
          </w:p>
        </w:tc>
        <w:tc>
          <w:tcPr>
            <w:tcW w:w="1073"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-.15722</w:t>
            </w:r>
          </w:p>
        </w:tc>
        <w:tc>
          <w:tcPr>
            <w:tcW w:w="1103"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.64465</w:t>
            </w:r>
          </w:p>
        </w:tc>
        <w:tc>
          <w:tcPr>
            <w:tcW w:w="1020"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.00000</w:t>
            </w:r>
          </w:p>
        </w:tc>
        <w:tc>
          <w:tcPr>
            <w:tcW w:w="1441"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.11547</w:t>
            </w:r>
          </w:p>
        </w:tc>
        <w:tc>
          <w:tcPr>
            <w:tcW w:w="1020"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r>
      <w:tr w:rsidR="005A63A3" w:rsidRPr="009849F2" w:rsidTr="005773A4">
        <w:tc>
          <w:tcPr>
            <w:tcW w:w="1972" w:type="dxa"/>
            <w:tcBorders>
              <w:top w:val="nil"/>
              <w:left w:val="single" w:sz="16" w:space="0" w:color="000000"/>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Predicted Value</w:t>
            </w:r>
          </w:p>
        </w:tc>
        <w:tc>
          <w:tcPr>
            <w:tcW w:w="1073" w:type="dxa"/>
            <w:tcBorders>
              <w:top w:val="nil"/>
              <w:left w:val="single" w:sz="16" w:space="0" w:color="000000"/>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-1.178</w:t>
            </w:r>
          </w:p>
        </w:tc>
        <w:tc>
          <w:tcPr>
            <w:tcW w:w="1103"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1.169</w:t>
            </w:r>
          </w:p>
        </w:tc>
        <w:tc>
          <w:tcPr>
            <w:tcW w:w="1020"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1" w:type="dxa"/>
            <w:tcBorders>
              <w:top w:val="nil"/>
              <w:bottom w:val="nil"/>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1.000</w:t>
            </w:r>
          </w:p>
        </w:tc>
        <w:tc>
          <w:tcPr>
            <w:tcW w:w="1020" w:type="dxa"/>
            <w:tcBorders>
              <w:top w:val="nil"/>
              <w:bottom w:val="nil"/>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r>
      <w:tr w:rsidR="005A63A3" w:rsidRPr="009849F2" w:rsidTr="005773A4">
        <w:tc>
          <w:tcPr>
            <w:tcW w:w="1972" w:type="dxa"/>
            <w:tcBorders>
              <w:top w:val="nil"/>
              <w:left w:val="single" w:sz="16" w:space="0" w:color="000000"/>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r w:rsidRPr="009849F2">
              <w:rPr>
                <w:rFonts w:ascii="Arial" w:hAnsi="Arial"/>
                <w:color w:val="000000"/>
                <w:sz w:val="18"/>
                <w:szCs w:val="18"/>
              </w:rPr>
              <w:t>Std. Residual</w:t>
            </w:r>
          </w:p>
        </w:tc>
        <w:tc>
          <w:tcPr>
            <w:tcW w:w="1073" w:type="dxa"/>
            <w:tcBorders>
              <w:top w:val="nil"/>
              <w:left w:val="single" w:sz="16" w:space="0" w:color="000000"/>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-1.358</w:t>
            </w:r>
          </w:p>
        </w:tc>
        <w:tc>
          <w:tcPr>
            <w:tcW w:w="1103"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5.568</w:t>
            </w:r>
          </w:p>
        </w:tc>
        <w:tc>
          <w:tcPr>
            <w:tcW w:w="1020"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.000</w:t>
            </w:r>
          </w:p>
        </w:tc>
        <w:tc>
          <w:tcPr>
            <w:tcW w:w="1441" w:type="dxa"/>
            <w:tcBorders>
              <w:top w:val="nil"/>
              <w:bottom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.997</w:t>
            </w:r>
          </w:p>
        </w:tc>
        <w:tc>
          <w:tcPr>
            <w:tcW w:w="1020" w:type="dxa"/>
            <w:tcBorders>
              <w:top w:val="nil"/>
              <w:bottom w:val="single" w:sz="16" w:space="0" w:color="000000"/>
              <w:right w:val="single" w:sz="16" w:space="0" w:color="000000"/>
            </w:tcBorders>
            <w:shd w:val="clear" w:color="auto" w:fill="FFFFFF"/>
          </w:tcPr>
          <w:p w:rsidR="005A63A3" w:rsidRPr="009849F2" w:rsidRDefault="005A63A3" w:rsidP="005773A4">
            <w:pPr>
              <w:autoSpaceDE w:val="0"/>
              <w:autoSpaceDN w:val="0"/>
              <w:adjustRightInd w:val="0"/>
              <w:spacing w:after="0" w:line="320" w:lineRule="atLeast"/>
              <w:ind w:left="60" w:right="60"/>
              <w:jc w:val="right"/>
              <w:rPr>
                <w:rFonts w:ascii="Arial" w:hAnsi="Arial"/>
                <w:color w:val="000000"/>
                <w:sz w:val="18"/>
                <w:szCs w:val="18"/>
              </w:rPr>
            </w:pPr>
            <w:r w:rsidRPr="009849F2">
              <w:rPr>
                <w:rFonts w:ascii="Arial" w:hAnsi="Arial"/>
                <w:color w:val="000000"/>
                <w:sz w:val="18"/>
                <w:szCs w:val="18"/>
              </w:rPr>
              <w:t>559</w:t>
            </w:r>
          </w:p>
        </w:tc>
      </w:tr>
      <w:tr w:rsidR="005A63A3" w:rsidRPr="009849F2" w:rsidTr="005773A4">
        <w:tc>
          <w:tcPr>
            <w:tcW w:w="7629" w:type="dxa"/>
            <w:gridSpan w:val="6"/>
            <w:tcBorders>
              <w:top w:val="nil"/>
              <w:left w:val="nil"/>
              <w:bottom w:val="nil"/>
              <w:right w:val="nil"/>
            </w:tcBorders>
            <w:shd w:val="clear" w:color="auto" w:fill="FFFFFF"/>
          </w:tcPr>
          <w:p w:rsidR="005A63A3" w:rsidRPr="009849F2" w:rsidRDefault="00903CE5" w:rsidP="005773A4">
            <w:pPr>
              <w:autoSpaceDE w:val="0"/>
              <w:autoSpaceDN w:val="0"/>
              <w:adjustRightInd w:val="0"/>
              <w:spacing w:after="0" w:line="320" w:lineRule="atLeast"/>
              <w:ind w:left="60" w:right="60"/>
              <w:rPr>
                <w:rFonts w:ascii="Arial" w:hAnsi="Arial"/>
                <w:color w:val="000000"/>
                <w:sz w:val="18"/>
                <w:szCs w:val="18"/>
              </w:rPr>
            </w:pPr>
            <w:r>
              <w:rPr>
                <w:rFonts w:ascii="Arial" w:hAnsi="Arial"/>
                <w:color w:val="000000"/>
                <w:sz w:val="18"/>
                <w:szCs w:val="18"/>
              </w:rPr>
              <w:t>a. Dependent Variable: Production Costs</w:t>
            </w:r>
          </w:p>
          <w:p w:rsidR="005A63A3" w:rsidRPr="009849F2" w:rsidRDefault="005A63A3" w:rsidP="005773A4">
            <w:pPr>
              <w:autoSpaceDE w:val="0"/>
              <w:autoSpaceDN w:val="0"/>
              <w:adjustRightInd w:val="0"/>
              <w:spacing w:after="0" w:line="320" w:lineRule="atLeast"/>
              <w:ind w:left="60" w:right="60"/>
              <w:rPr>
                <w:rFonts w:ascii="Arial" w:hAnsi="Arial"/>
                <w:color w:val="000000"/>
                <w:sz w:val="18"/>
                <w:szCs w:val="18"/>
              </w:rPr>
            </w:pPr>
          </w:p>
        </w:tc>
      </w:tr>
    </w:tbl>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114800" cy="3287739"/>
            <wp:effectExtent l="0" t="0" r="0" b="8255"/>
            <wp:docPr id="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114800" cy="3287739"/>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3743325" cy="2990929"/>
            <wp:effectExtent l="0" t="0" r="0" b="0"/>
            <wp:docPr id="1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43325" cy="2990929"/>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noProof/>
          <w:sz w:val="24"/>
          <w:szCs w:val="24"/>
          <w:lang w:val="en-US"/>
        </w:rPr>
        <w:drawing>
          <wp:inline distT="0" distB="0" distL="0" distR="0">
            <wp:extent cx="4286250" cy="3424728"/>
            <wp:effectExtent l="0" t="0" r="0" b="4445"/>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86250" cy="3424728"/>
                    </a:xfrm>
                    <a:prstGeom prst="rect">
                      <a:avLst/>
                    </a:prstGeom>
                    <a:noFill/>
                    <a:ln>
                      <a:noFill/>
                    </a:ln>
                  </pic:spPr>
                </pic:pic>
              </a:graphicData>
            </a:graphic>
          </wp:inline>
        </w:drawing>
      </w:r>
    </w:p>
    <w:p w:rsidR="005A63A3" w:rsidRPr="009849F2" w:rsidRDefault="005A63A3" w:rsidP="005A63A3">
      <w:pPr>
        <w:autoSpaceDE w:val="0"/>
        <w:autoSpaceDN w:val="0"/>
        <w:adjustRightInd w:val="0"/>
        <w:spacing w:after="0" w:line="240" w:lineRule="auto"/>
        <w:rPr>
          <w:rFonts w:ascii="Times New Roman" w:hAnsi="Times New Roman" w:cs="Times New Roman"/>
          <w:sz w:val="24"/>
          <w:szCs w:val="24"/>
        </w:rPr>
      </w:pPr>
    </w:p>
    <w:p w:rsidR="005A63A3" w:rsidRPr="009849F2" w:rsidRDefault="005A63A3" w:rsidP="005A63A3">
      <w:pPr>
        <w:autoSpaceDE w:val="0"/>
        <w:autoSpaceDN w:val="0"/>
        <w:adjustRightInd w:val="0"/>
        <w:spacing w:after="0" w:line="400" w:lineRule="atLeast"/>
        <w:rPr>
          <w:rFonts w:ascii="Times New Roman" w:hAnsi="Times New Roman" w:cs="Times New Roman"/>
          <w:sz w:val="24"/>
          <w:szCs w:val="24"/>
        </w:rPr>
      </w:pPr>
    </w:p>
    <w:p w:rsidR="005A63A3" w:rsidRDefault="005A63A3" w:rsidP="005A63A3"/>
    <w:p w:rsidR="006F4FB2" w:rsidRPr="00230B84" w:rsidRDefault="006F4FB2" w:rsidP="00230B84">
      <w:pPr>
        <w:autoSpaceDE w:val="0"/>
        <w:autoSpaceDN w:val="0"/>
        <w:adjustRightInd w:val="0"/>
        <w:spacing w:after="0" w:line="240" w:lineRule="auto"/>
        <w:rPr>
          <w:rFonts w:ascii="Times New Roman" w:hAnsi="Times New Roman" w:cs="Times New Roman"/>
          <w:sz w:val="24"/>
          <w:szCs w:val="24"/>
          <w:lang w:val="en-US" w:eastAsia="nl-NL"/>
        </w:rPr>
      </w:pPr>
    </w:p>
    <w:sectPr w:rsidR="006F4FB2" w:rsidRPr="00230B84" w:rsidSect="00E307D3">
      <w:footerReference w:type="default" r:id="rId29"/>
      <w:pgSz w:w="11906" w:h="16838"/>
      <w:pgMar w:top="1417" w:right="1417" w:bottom="1417" w:left="1417"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A80" w:rsidRDefault="00193A80" w:rsidP="00FF3F4A">
      <w:pPr>
        <w:spacing w:after="0" w:line="240" w:lineRule="auto"/>
      </w:pPr>
      <w:r>
        <w:separator/>
      </w:r>
    </w:p>
  </w:endnote>
  <w:endnote w:type="continuationSeparator" w:id="0">
    <w:p w:rsidR="00193A80" w:rsidRDefault="00193A80" w:rsidP="00FF3F4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1C3" w:rsidRDefault="001E3E50">
    <w:pPr>
      <w:pStyle w:val="Footer"/>
      <w:jc w:val="center"/>
    </w:pPr>
    <w:r>
      <w:fldChar w:fldCharType="begin"/>
    </w:r>
    <w:r w:rsidR="007F51C3">
      <w:instrText xml:space="preserve"> PAGE   \* MERGEFORMAT </w:instrText>
    </w:r>
    <w:r>
      <w:fldChar w:fldCharType="separate"/>
    </w:r>
    <w:r w:rsidR="00DB6594">
      <w:rPr>
        <w:noProof/>
      </w:rPr>
      <w:t>98</w:t>
    </w:r>
    <w:r>
      <w:rPr>
        <w:noProof/>
      </w:rPr>
      <w:fldChar w:fldCharType="end"/>
    </w:r>
  </w:p>
  <w:p w:rsidR="007F51C3" w:rsidRDefault="007F51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A80" w:rsidRDefault="00193A80" w:rsidP="00FF3F4A">
      <w:pPr>
        <w:spacing w:after="0" w:line="240" w:lineRule="auto"/>
      </w:pPr>
      <w:r>
        <w:separator/>
      </w:r>
    </w:p>
  </w:footnote>
  <w:footnote w:type="continuationSeparator" w:id="0">
    <w:p w:rsidR="00193A80" w:rsidRDefault="00193A80" w:rsidP="00FF3F4A">
      <w:pPr>
        <w:spacing w:after="0" w:line="240" w:lineRule="auto"/>
      </w:pPr>
      <w:r>
        <w:continuationSeparator/>
      </w:r>
    </w:p>
  </w:footnote>
  <w:footnote w:id="1">
    <w:p w:rsidR="007F51C3" w:rsidRPr="002D0DF4" w:rsidRDefault="007F51C3">
      <w:pPr>
        <w:pStyle w:val="FootnoteText"/>
        <w:rPr>
          <w:lang w:val="en-US"/>
        </w:rPr>
      </w:pPr>
      <w:r w:rsidRPr="002D0DF4">
        <w:rPr>
          <w:rStyle w:val="FootnoteReference"/>
        </w:rPr>
        <w:footnoteRef/>
      </w:r>
      <w:r w:rsidRPr="002D0DF4">
        <w:rPr>
          <w:lang w:val="en-US"/>
        </w:rPr>
        <w:t xml:space="preserve"> NOS </w:t>
      </w:r>
      <w:r>
        <w:rPr>
          <w:lang w:val="en-US"/>
        </w:rPr>
        <w:t>file debt crisis</w:t>
      </w:r>
      <w:r w:rsidRPr="002D0DF4">
        <w:rPr>
          <w:lang w:val="en-US"/>
        </w:rPr>
        <w:t xml:space="preserve"> - </w:t>
      </w:r>
      <w:hyperlink r:id="rId1" w:history="1">
        <w:r w:rsidRPr="002D0DF4">
          <w:rPr>
            <w:rStyle w:val="Hyperlink"/>
            <w:rFonts w:cs="Arial"/>
            <w:color w:val="auto"/>
            <w:lang w:val="en-US"/>
          </w:rPr>
          <w:t>http://nos.nl/artikel/235738-tekort-griekenland-valt-hoger-uit.html</w:t>
        </w:r>
      </w:hyperlink>
      <w:r w:rsidRPr="002D0DF4">
        <w:rPr>
          <w:lang w:val="en-US"/>
        </w:rPr>
        <w:t xml:space="preserve"> - read 16th of May 2012</w:t>
      </w:r>
    </w:p>
    <w:p w:rsidR="007F51C3" w:rsidRPr="002D0DF4" w:rsidRDefault="007F51C3">
      <w:pPr>
        <w:pStyle w:val="FootnoteText"/>
        <w:rPr>
          <w:lang w:val="en-US"/>
        </w:rPr>
      </w:pPr>
    </w:p>
  </w:footnote>
  <w:footnote w:id="2">
    <w:p w:rsidR="007F51C3" w:rsidRPr="007F533F" w:rsidRDefault="007F51C3">
      <w:pPr>
        <w:pStyle w:val="FootnoteText"/>
        <w:rPr>
          <w:lang w:val="en-US"/>
        </w:rPr>
      </w:pPr>
      <w:r w:rsidRPr="002D0DF4">
        <w:rPr>
          <w:rStyle w:val="FootnoteReference"/>
        </w:rPr>
        <w:footnoteRef/>
      </w:r>
      <w:r w:rsidRPr="00E652FA">
        <w:rPr>
          <w:lang w:val="en-US"/>
        </w:rPr>
        <w:t xml:space="preserve"> </w:t>
      </w:r>
      <w:hyperlink r:id="rId2" w:history="1">
        <w:r w:rsidRPr="00E652FA">
          <w:rPr>
            <w:rStyle w:val="Hyperlink"/>
            <w:color w:val="auto"/>
            <w:lang w:val="en-US"/>
          </w:rPr>
          <w:t>http://www.accountant.nl/Accountant/Nieuws/Goldman+Sachs+helpt+bij+creatief+boekhouden+Grieke.aspx</w:t>
        </w:r>
      </w:hyperlink>
      <w:r>
        <w:rPr>
          <w:rStyle w:val="Hyperlink"/>
          <w:color w:val="auto"/>
          <w:lang w:val="en-US"/>
        </w:rPr>
        <w:t xml:space="preserve"> </w:t>
      </w:r>
    </w:p>
  </w:footnote>
  <w:footnote w:id="3">
    <w:p w:rsidR="007F51C3" w:rsidRPr="005728B9" w:rsidRDefault="007F51C3">
      <w:pPr>
        <w:pStyle w:val="FootnoteText"/>
        <w:rPr>
          <w:lang w:val="en-US"/>
        </w:rPr>
      </w:pPr>
      <w:r>
        <w:rPr>
          <w:rStyle w:val="FootnoteReference"/>
        </w:rPr>
        <w:footnoteRef/>
      </w:r>
      <w:r w:rsidRPr="005728B9">
        <w:rPr>
          <w:lang w:val="en-US"/>
        </w:rPr>
        <w:t xml:space="preserve"> </w:t>
      </w:r>
      <w:r>
        <w:rPr>
          <w:lang w:val="en-US"/>
        </w:rPr>
        <w:t>Both real earnings management and real activities manipulation will be used to refer to the method of earnings management by adjusting real business activities</w:t>
      </w:r>
    </w:p>
  </w:footnote>
  <w:footnote w:id="4">
    <w:p w:rsidR="007F51C3" w:rsidRPr="005D2B32" w:rsidRDefault="007F51C3" w:rsidP="00B56FB4">
      <w:pPr>
        <w:autoSpaceDE w:val="0"/>
        <w:autoSpaceDN w:val="0"/>
        <w:adjustRightInd w:val="0"/>
        <w:spacing w:after="0" w:line="240" w:lineRule="auto"/>
        <w:rPr>
          <w:rFonts w:cs="Calibri"/>
          <w:b/>
          <w:bCs/>
          <w:sz w:val="18"/>
          <w:szCs w:val="18"/>
          <w:lang w:val="en-US"/>
        </w:rPr>
      </w:pPr>
      <w:r w:rsidRPr="005D2B32">
        <w:rPr>
          <w:rStyle w:val="FootnoteReference"/>
          <w:rFonts w:cs="Calibri"/>
          <w:sz w:val="18"/>
          <w:szCs w:val="18"/>
        </w:rPr>
        <w:footnoteRef/>
      </w:r>
      <w:r w:rsidRPr="005D2B32">
        <w:rPr>
          <w:rFonts w:cs="Calibri"/>
          <w:sz w:val="18"/>
          <w:szCs w:val="18"/>
          <w:lang w:val="en-US"/>
        </w:rPr>
        <w:t xml:space="preserve"> </w:t>
      </w:r>
      <w:r w:rsidRPr="005D2B32">
        <w:rPr>
          <w:rFonts w:cs="Calibri"/>
          <w:b/>
          <w:bCs/>
          <w:sz w:val="18"/>
          <w:szCs w:val="18"/>
          <w:lang w:val="en-US"/>
        </w:rPr>
        <w:t>REGULATION (EC) No 1606/2002 OF THE EUROPEAN PARLIAMENT AND OF THE COUNCIL of 19 July 2002 on the application of international accounting standards</w:t>
      </w:r>
    </w:p>
    <w:p w:rsidR="007F51C3" w:rsidRPr="00C55587" w:rsidRDefault="007F51C3" w:rsidP="00B56FB4">
      <w:pPr>
        <w:autoSpaceDE w:val="0"/>
        <w:autoSpaceDN w:val="0"/>
        <w:adjustRightInd w:val="0"/>
        <w:spacing w:after="0" w:line="240" w:lineRule="auto"/>
        <w:rPr>
          <w:lang w:val="en-US"/>
        </w:rPr>
      </w:pPr>
      <w:r w:rsidRPr="005D2B32">
        <w:rPr>
          <w:rFonts w:cs="Calibri"/>
          <w:sz w:val="18"/>
          <w:szCs w:val="18"/>
          <w:lang w:val="en-US"/>
        </w:rPr>
        <w:t xml:space="preserve"> Official Journal of the European Communities 11.09.2002</w:t>
      </w:r>
    </w:p>
  </w:footnote>
  <w:footnote w:id="5">
    <w:p w:rsidR="007F51C3" w:rsidRPr="007257B3" w:rsidRDefault="007F51C3">
      <w:pPr>
        <w:pStyle w:val="FootnoteText"/>
        <w:rPr>
          <w:lang w:val="en-US"/>
        </w:rPr>
      </w:pPr>
      <w:r>
        <w:rPr>
          <w:rStyle w:val="FootnoteReference"/>
        </w:rPr>
        <w:footnoteRef/>
      </w:r>
      <w:r w:rsidRPr="007257B3">
        <w:rPr>
          <w:lang w:val="en-US"/>
        </w:rPr>
        <w:t xml:space="preserve"> </w:t>
      </w:r>
      <w:hyperlink r:id="rId3" w:history="1">
        <w:r w:rsidRPr="00927433">
          <w:rPr>
            <w:rStyle w:val="Hyperlink"/>
            <w:rFonts w:cs="Arial"/>
            <w:lang w:val="en-US"/>
          </w:rPr>
          <w:t>http://www.sec.gov/info/edgar/siccodes.htm</w:t>
        </w:r>
      </w:hyperlink>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E49F4"/>
    <w:multiLevelType w:val="hybridMultilevel"/>
    <w:tmpl w:val="D024A4DE"/>
    <w:lvl w:ilvl="0" w:tplc="B92C8410">
      <w:numFmt w:val="bullet"/>
      <w:lvlText w:val=""/>
      <w:lvlJc w:val="left"/>
      <w:pPr>
        <w:ind w:left="3240" w:hanging="360"/>
      </w:pPr>
      <w:rPr>
        <w:rFonts w:ascii="Wingdings" w:eastAsia="Calibri" w:hAnsi="Wingdings"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
    <w:nsid w:val="05106FD0"/>
    <w:multiLevelType w:val="multilevel"/>
    <w:tmpl w:val="AC642290"/>
    <w:lvl w:ilvl="0">
      <w:start w:val="1"/>
      <w:numFmt w:val="decimal"/>
      <w:lvlText w:val="%1"/>
      <w:lvlJc w:val="left"/>
      <w:pPr>
        <w:ind w:left="360" w:hanging="360"/>
      </w:pPr>
      <w:rPr>
        <w:rFonts w:ascii="Calibri" w:eastAsia="Calibri" w:hAnsi="Calibri" w:cs="Calibri"/>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A517BF6"/>
    <w:multiLevelType w:val="hybridMultilevel"/>
    <w:tmpl w:val="B96CF378"/>
    <w:lvl w:ilvl="0" w:tplc="0409000B">
      <w:start w:val="1"/>
      <w:numFmt w:val="bullet"/>
      <w:lvlText w:val=""/>
      <w:lvlJc w:val="left"/>
      <w:pPr>
        <w:ind w:left="1428" w:hanging="360"/>
      </w:pPr>
      <w:rPr>
        <w:rFonts w:ascii="Wingdings" w:hAnsi="Wingdings" w:hint="default"/>
      </w:rPr>
    </w:lvl>
    <w:lvl w:ilvl="1" w:tplc="0409000B">
      <w:start w:val="1"/>
      <w:numFmt w:val="bullet"/>
      <w:lvlText w:val=""/>
      <w:lvlJc w:val="left"/>
      <w:pPr>
        <w:ind w:left="2148" w:hanging="360"/>
      </w:pPr>
      <w:rPr>
        <w:rFonts w:ascii="Wingdings" w:hAnsi="Wingdings" w:hint="default"/>
      </w:rPr>
    </w:lvl>
    <w:lvl w:ilvl="2" w:tplc="04090005">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
    <w:nsid w:val="125D26B7"/>
    <w:multiLevelType w:val="hybridMultilevel"/>
    <w:tmpl w:val="01A691F4"/>
    <w:lvl w:ilvl="0" w:tplc="321CBBCC">
      <w:start w:val="2"/>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4">
    <w:nsid w:val="192963DF"/>
    <w:multiLevelType w:val="hybridMultilevel"/>
    <w:tmpl w:val="0C7670C0"/>
    <w:lvl w:ilvl="0" w:tplc="ACBC5D8A">
      <w:start w:val="6"/>
      <w:numFmt w:val="bullet"/>
      <w:lvlText w:val=""/>
      <w:lvlJc w:val="left"/>
      <w:pPr>
        <w:ind w:left="720" w:hanging="360"/>
      </w:pPr>
      <w:rPr>
        <w:rFonts w:ascii="Wingdings" w:eastAsia="Calibri" w:hAnsi="Wingdings"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E333F3F"/>
    <w:multiLevelType w:val="hybridMultilevel"/>
    <w:tmpl w:val="953EF5F2"/>
    <w:lvl w:ilvl="0" w:tplc="3118ABA0">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850609"/>
    <w:multiLevelType w:val="hybridMultilevel"/>
    <w:tmpl w:val="75107E4A"/>
    <w:lvl w:ilvl="0" w:tplc="015A2908">
      <w:start w:val="5"/>
      <w:numFmt w:val="bullet"/>
      <w:lvlText w:val=""/>
      <w:lvlJc w:val="left"/>
      <w:pPr>
        <w:ind w:left="720" w:hanging="360"/>
      </w:pPr>
      <w:rPr>
        <w:rFonts w:ascii="Wingdings" w:eastAsia="Calibri" w:hAnsi="Wingdings" w:cs="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5F6165C"/>
    <w:multiLevelType w:val="hybridMultilevel"/>
    <w:tmpl w:val="0BA65468"/>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6B81296"/>
    <w:multiLevelType w:val="multilevel"/>
    <w:tmpl w:val="22BE5C44"/>
    <w:lvl w:ilvl="0">
      <w:start w:val="1"/>
      <w:numFmt w:val="decimal"/>
      <w:lvlText w:val="%1"/>
      <w:lvlJc w:val="left"/>
      <w:pPr>
        <w:ind w:left="360" w:hanging="360"/>
      </w:pPr>
      <w:rPr>
        <w:rFonts w:hint="default"/>
      </w:rPr>
    </w:lvl>
    <w:lvl w:ilvl="1">
      <w:start w:val="1"/>
      <w:numFmt w:val="decimal"/>
      <w:lvlText w:val="%2"/>
      <w:lvlJc w:val="left"/>
      <w:pPr>
        <w:ind w:left="360" w:hanging="360"/>
      </w:pPr>
      <w:rPr>
        <w:rFonts w:ascii="Calibri" w:eastAsia="Calibri" w:hAnsi="Calibri" w:cs="Calibri"/>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333F350A"/>
    <w:multiLevelType w:val="hybridMultilevel"/>
    <w:tmpl w:val="E0A26336"/>
    <w:lvl w:ilvl="0" w:tplc="BE4C0B1E">
      <w:numFmt w:val="bullet"/>
      <w:lvlText w:val=""/>
      <w:lvlJc w:val="left"/>
      <w:pPr>
        <w:ind w:left="3240" w:hanging="360"/>
      </w:pPr>
      <w:rPr>
        <w:rFonts w:ascii="Wingdings" w:eastAsia="Calibri" w:hAnsi="Wingdings" w:cs="Times New Roman"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0">
    <w:nsid w:val="43CB0388"/>
    <w:multiLevelType w:val="hybridMultilevel"/>
    <w:tmpl w:val="7D9E85AE"/>
    <w:lvl w:ilvl="0" w:tplc="04130003">
      <w:start w:val="1"/>
      <w:numFmt w:val="bullet"/>
      <w:lvlText w:val="o"/>
      <w:lvlJc w:val="left"/>
      <w:pPr>
        <w:ind w:left="720" w:hanging="360"/>
      </w:pPr>
      <w:rPr>
        <w:rFonts w:ascii="Courier New" w:hAnsi="Courier New" w:hint="default"/>
      </w:rPr>
    </w:lvl>
    <w:lvl w:ilvl="1" w:tplc="D3FC2756">
      <w:numFmt w:val="bullet"/>
      <w:lvlText w:val=""/>
      <w:lvlJc w:val="left"/>
      <w:pPr>
        <w:ind w:left="1440" w:hanging="360"/>
      </w:pPr>
      <w:rPr>
        <w:rFonts w:ascii="Wingdings" w:eastAsia="Calibri" w:hAnsi="Wingdings" w:cs="Calibri"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460A343A"/>
    <w:multiLevelType w:val="multilevel"/>
    <w:tmpl w:val="15F83BA4"/>
    <w:lvl w:ilvl="0">
      <w:start w:val="1"/>
      <w:numFmt w:val="decimal"/>
      <w:lvlText w:val="%1"/>
      <w:lvlJc w:val="left"/>
      <w:pPr>
        <w:ind w:left="1068" w:hanging="360"/>
      </w:pPr>
      <w:rPr>
        <w:rFonts w:ascii="Calibri" w:eastAsia="Calibri" w:hAnsi="Calibri" w:cs="Calibri"/>
      </w:rPr>
    </w:lvl>
    <w:lvl w:ilvl="1">
      <w:start w:val="5"/>
      <w:numFmt w:val="decimal"/>
      <w:lvlText w:val="%1.%2"/>
      <w:lvlJc w:val="left"/>
      <w:pPr>
        <w:ind w:left="1068"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1788" w:hanging="1080"/>
      </w:pPr>
      <w:rPr>
        <w:rFonts w:hint="default"/>
      </w:rPr>
    </w:lvl>
    <w:lvl w:ilvl="5">
      <w:start w:val="1"/>
      <w:numFmt w:val="decimal"/>
      <w:lvlText w:val="%1.%2.%3.%4.%5.%6"/>
      <w:lvlJc w:val="left"/>
      <w:pPr>
        <w:ind w:left="1788" w:hanging="1080"/>
      </w:pPr>
      <w:rPr>
        <w:rFonts w:hint="default"/>
      </w:rPr>
    </w:lvl>
    <w:lvl w:ilvl="6">
      <w:start w:val="1"/>
      <w:numFmt w:val="decimal"/>
      <w:lvlText w:val="%1.%2.%3.%4.%5.%6.%7"/>
      <w:lvlJc w:val="left"/>
      <w:pPr>
        <w:ind w:left="2148" w:hanging="1440"/>
      </w:pPr>
      <w:rPr>
        <w:rFonts w:hint="default"/>
      </w:rPr>
    </w:lvl>
    <w:lvl w:ilvl="7">
      <w:start w:val="1"/>
      <w:numFmt w:val="decimal"/>
      <w:lvlText w:val="%1.%2.%3.%4.%5.%6.%7.%8"/>
      <w:lvlJc w:val="left"/>
      <w:pPr>
        <w:ind w:left="2148" w:hanging="1440"/>
      </w:pPr>
      <w:rPr>
        <w:rFonts w:hint="default"/>
      </w:rPr>
    </w:lvl>
    <w:lvl w:ilvl="8">
      <w:start w:val="1"/>
      <w:numFmt w:val="decimal"/>
      <w:lvlText w:val="%1.%2.%3.%4.%5.%6.%7.%8.%9"/>
      <w:lvlJc w:val="left"/>
      <w:pPr>
        <w:ind w:left="2148" w:hanging="1440"/>
      </w:pPr>
      <w:rPr>
        <w:rFonts w:hint="default"/>
      </w:rPr>
    </w:lvl>
  </w:abstractNum>
  <w:abstractNum w:abstractNumId="12">
    <w:nsid w:val="47A721CD"/>
    <w:multiLevelType w:val="hybridMultilevel"/>
    <w:tmpl w:val="C346EDAE"/>
    <w:lvl w:ilvl="0" w:tplc="0413000B">
      <w:start w:val="1"/>
      <w:numFmt w:val="bullet"/>
      <w:lvlText w:val=""/>
      <w:lvlJc w:val="left"/>
      <w:pPr>
        <w:ind w:left="720" w:hanging="360"/>
      </w:pPr>
      <w:rPr>
        <w:rFonts w:ascii="Wingdings" w:hAnsi="Wingdings"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4E04335A"/>
    <w:multiLevelType w:val="hybridMultilevel"/>
    <w:tmpl w:val="9B9E9CEE"/>
    <w:lvl w:ilvl="0" w:tplc="04130003">
      <w:start w:val="1"/>
      <w:numFmt w:val="bullet"/>
      <w:lvlText w:val="o"/>
      <w:lvlJc w:val="left"/>
      <w:pPr>
        <w:ind w:left="720" w:hanging="360"/>
      </w:pPr>
      <w:rPr>
        <w:rFonts w:ascii="Courier New" w:hAnsi="Courier New"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E95645A"/>
    <w:multiLevelType w:val="hybridMultilevel"/>
    <w:tmpl w:val="D35C0A2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5DFE1BBC"/>
    <w:multiLevelType w:val="hybridMultilevel"/>
    <w:tmpl w:val="4358EF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21629A1"/>
    <w:multiLevelType w:val="multilevel"/>
    <w:tmpl w:val="B4E89FAC"/>
    <w:lvl w:ilvl="0">
      <w:start w:val="1"/>
      <w:numFmt w:val="decimal"/>
      <w:lvlText w:val="%1"/>
      <w:lvlJc w:val="left"/>
      <w:pPr>
        <w:ind w:left="360" w:hanging="360"/>
      </w:pPr>
      <w:rPr>
        <w:rFonts w:ascii="Calibri" w:eastAsia="Calibri" w:hAnsi="Calibri" w:cs="Calibri"/>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6A8C4A36"/>
    <w:multiLevelType w:val="hybridMultilevel"/>
    <w:tmpl w:val="EE1653AA"/>
    <w:lvl w:ilvl="0" w:tplc="3C92148E">
      <w:start w:val="7"/>
      <w:numFmt w:val="bullet"/>
      <w:lvlText w:val=""/>
      <w:lvlJc w:val="left"/>
      <w:pPr>
        <w:ind w:left="720" w:hanging="360"/>
      </w:pPr>
      <w:rPr>
        <w:rFonts w:ascii="Wingdings" w:eastAsia="Calibri"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CEE3C44"/>
    <w:multiLevelType w:val="multilevel"/>
    <w:tmpl w:val="15F83BA4"/>
    <w:lvl w:ilvl="0">
      <w:start w:val="1"/>
      <w:numFmt w:val="decimal"/>
      <w:lvlText w:val="%1"/>
      <w:lvlJc w:val="left"/>
      <w:pPr>
        <w:ind w:left="1068" w:hanging="360"/>
      </w:pPr>
      <w:rPr>
        <w:rFonts w:ascii="Calibri" w:eastAsia="Calibri" w:hAnsi="Calibri" w:cs="Calibri"/>
      </w:rPr>
    </w:lvl>
    <w:lvl w:ilvl="1">
      <w:start w:val="5"/>
      <w:numFmt w:val="decimal"/>
      <w:lvlText w:val="%1.%2"/>
      <w:lvlJc w:val="left"/>
      <w:pPr>
        <w:ind w:left="1068"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1788" w:hanging="1080"/>
      </w:pPr>
      <w:rPr>
        <w:rFonts w:hint="default"/>
      </w:rPr>
    </w:lvl>
    <w:lvl w:ilvl="5">
      <w:start w:val="1"/>
      <w:numFmt w:val="decimal"/>
      <w:lvlText w:val="%1.%2.%3.%4.%5.%6"/>
      <w:lvlJc w:val="left"/>
      <w:pPr>
        <w:ind w:left="1788" w:hanging="1080"/>
      </w:pPr>
      <w:rPr>
        <w:rFonts w:hint="default"/>
      </w:rPr>
    </w:lvl>
    <w:lvl w:ilvl="6">
      <w:start w:val="1"/>
      <w:numFmt w:val="decimal"/>
      <w:lvlText w:val="%1.%2.%3.%4.%5.%6.%7"/>
      <w:lvlJc w:val="left"/>
      <w:pPr>
        <w:ind w:left="2148" w:hanging="1440"/>
      </w:pPr>
      <w:rPr>
        <w:rFonts w:hint="default"/>
      </w:rPr>
    </w:lvl>
    <w:lvl w:ilvl="7">
      <w:start w:val="1"/>
      <w:numFmt w:val="decimal"/>
      <w:lvlText w:val="%1.%2.%3.%4.%5.%6.%7.%8"/>
      <w:lvlJc w:val="left"/>
      <w:pPr>
        <w:ind w:left="2148" w:hanging="1440"/>
      </w:pPr>
      <w:rPr>
        <w:rFonts w:hint="default"/>
      </w:rPr>
    </w:lvl>
    <w:lvl w:ilvl="8">
      <w:start w:val="1"/>
      <w:numFmt w:val="decimal"/>
      <w:lvlText w:val="%1.%2.%3.%4.%5.%6.%7.%8.%9"/>
      <w:lvlJc w:val="left"/>
      <w:pPr>
        <w:ind w:left="2148" w:hanging="1440"/>
      </w:pPr>
      <w:rPr>
        <w:rFonts w:hint="default"/>
      </w:rPr>
    </w:lvl>
  </w:abstractNum>
  <w:abstractNum w:abstractNumId="19">
    <w:nsid w:val="6DEE1652"/>
    <w:multiLevelType w:val="multilevel"/>
    <w:tmpl w:val="15F83BA4"/>
    <w:lvl w:ilvl="0">
      <w:start w:val="1"/>
      <w:numFmt w:val="decimal"/>
      <w:lvlText w:val="%1"/>
      <w:lvlJc w:val="left"/>
      <w:pPr>
        <w:ind w:left="1068" w:hanging="360"/>
      </w:pPr>
      <w:rPr>
        <w:rFonts w:ascii="Calibri" w:eastAsia="Calibri" w:hAnsi="Calibri" w:cs="Calibri"/>
      </w:rPr>
    </w:lvl>
    <w:lvl w:ilvl="1">
      <w:start w:val="5"/>
      <w:numFmt w:val="decimal"/>
      <w:lvlText w:val="%1.%2"/>
      <w:lvlJc w:val="left"/>
      <w:pPr>
        <w:ind w:left="1068" w:hanging="3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1788" w:hanging="1080"/>
      </w:pPr>
      <w:rPr>
        <w:rFonts w:hint="default"/>
      </w:rPr>
    </w:lvl>
    <w:lvl w:ilvl="5">
      <w:start w:val="1"/>
      <w:numFmt w:val="decimal"/>
      <w:lvlText w:val="%1.%2.%3.%4.%5.%6"/>
      <w:lvlJc w:val="left"/>
      <w:pPr>
        <w:ind w:left="1788" w:hanging="1080"/>
      </w:pPr>
      <w:rPr>
        <w:rFonts w:hint="default"/>
      </w:rPr>
    </w:lvl>
    <w:lvl w:ilvl="6">
      <w:start w:val="1"/>
      <w:numFmt w:val="decimal"/>
      <w:lvlText w:val="%1.%2.%3.%4.%5.%6.%7"/>
      <w:lvlJc w:val="left"/>
      <w:pPr>
        <w:ind w:left="2148" w:hanging="1440"/>
      </w:pPr>
      <w:rPr>
        <w:rFonts w:hint="default"/>
      </w:rPr>
    </w:lvl>
    <w:lvl w:ilvl="7">
      <w:start w:val="1"/>
      <w:numFmt w:val="decimal"/>
      <w:lvlText w:val="%1.%2.%3.%4.%5.%6.%7.%8"/>
      <w:lvlJc w:val="left"/>
      <w:pPr>
        <w:ind w:left="2148" w:hanging="1440"/>
      </w:pPr>
      <w:rPr>
        <w:rFonts w:hint="default"/>
      </w:rPr>
    </w:lvl>
    <w:lvl w:ilvl="8">
      <w:start w:val="1"/>
      <w:numFmt w:val="decimal"/>
      <w:lvlText w:val="%1.%2.%3.%4.%5.%6.%7.%8.%9"/>
      <w:lvlJc w:val="left"/>
      <w:pPr>
        <w:ind w:left="2148" w:hanging="1440"/>
      </w:pPr>
      <w:rPr>
        <w:rFonts w:hint="default"/>
      </w:rPr>
    </w:lvl>
  </w:abstractNum>
  <w:abstractNum w:abstractNumId="20">
    <w:nsid w:val="6E4763F8"/>
    <w:multiLevelType w:val="multilevel"/>
    <w:tmpl w:val="F9A831E6"/>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nsid w:val="701224AF"/>
    <w:multiLevelType w:val="hybridMultilevel"/>
    <w:tmpl w:val="207C83AA"/>
    <w:lvl w:ilvl="0" w:tplc="0409000B">
      <w:start w:val="1"/>
      <w:numFmt w:val="bullet"/>
      <w:lvlText w:val=""/>
      <w:lvlJc w:val="left"/>
      <w:pPr>
        <w:ind w:left="2484" w:hanging="360"/>
      </w:pPr>
      <w:rPr>
        <w:rFonts w:ascii="Wingdings" w:hAnsi="Wingdings" w:hint="default"/>
      </w:rPr>
    </w:lvl>
    <w:lvl w:ilvl="1" w:tplc="04090003" w:tentative="1">
      <w:start w:val="1"/>
      <w:numFmt w:val="bullet"/>
      <w:lvlText w:val="o"/>
      <w:lvlJc w:val="left"/>
      <w:pPr>
        <w:ind w:left="3204" w:hanging="360"/>
      </w:pPr>
      <w:rPr>
        <w:rFonts w:ascii="Courier New" w:hAnsi="Courier New" w:cs="Courier New" w:hint="default"/>
      </w:rPr>
    </w:lvl>
    <w:lvl w:ilvl="2" w:tplc="04090005" w:tentative="1">
      <w:start w:val="1"/>
      <w:numFmt w:val="bullet"/>
      <w:lvlText w:val=""/>
      <w:lvlJc w:val="left"/>
      <w:pPr>
        <w:ind w:left="3924" w:hanging="360"/>
      </w:pPr>
      <w:rPr>
        <w:rFonts w:ascii="Wingdings" w:hAnsi="Wingdings" w:hint="default"/>
      </w:rPr>
    </w:lvl>
    <w:lvl w:ilvl="3" w:tplc="04090001" w:tentative="1">
      <w:start w:val="1"/>
      <w:numFmt w:val="bullet"/>
      <w:lvlText w:val=""/>
      <w:lvlJc w:val="left"/>
      <w:pPr>
        <w:ind w:left="4644" w:hanging="360"/>
      </w:pPr>
      <w:rPr>
        <w:rFonts w:ascii="Symbol" w:hAnsi="Symbol" w:hint="default"/>
      </w:rPr>
    </w:lvl>
    <w:lvl w:ilvl="4" w:tplc="04090003" w:tentative="1">
      <w:start w:val="1"/>
      <w:numFmt w:val="bullet"/>
      <w:lvlText w:val="o"/>
      <w:lvlJc w:val="left"/>
      <w:pPr>
        <w:ind w:left="5364" w:hanging="360"/>
      </w:pPr>
      <w:rPr>
        <w:rFonts w:ascii="Courier New" w:hAnsi="Courier New" w:cs="Courier New" w:hint="default"/>
      </w:rPr>
    </w:lvl>
    <w:lvl w:ilvl="5" w:tplc="04090005" w:tentative="1">
      <w:start w:val="1"/>
      <w:numFmt w:val="bullet"/>
      <w:lvlText w:val=""/>
      <w:lvlJc w:val="left"/>
      <w:pPr>
        <w:ind w:left="6084" w:hanging="360"/>
      </w:pPr>
      <w:rPr>
        <w:rFonts w:ascii="Wingdings" w:hAnsi="Wingdings" w:hint="default"/>
      </w:rPr>
    </w:lvl>
    <w:lvl w:ilvl="6" w:tplc="04090001" w:tentative="1">
      <w:start w:val="1"/>
      <w:numFmt w:val="bullet"/>
      <w:lvlText w:val=""/>
      <w:lvlJc w:val="left"/>
      <w:pPr>
        <w:ind w:left="6804" w:hanging="360"/>
      </w:pPr>
      <w:rPr>
        <w:rFonts w:ascii="Symbol" w:hAnsi="Symbol" w:hint="default"/>
      </w:rPr>
    </w:lvl>
    <w:lvl w:ilvl="7" w:tplc="04090003" w:tentative="1">
      <w:start w:val="1"/>
      <w:numFmt w:val="bullet"/>
      <w:lvlText w:val="o"/>
      <w:lvlJc w:val="left"/>
      <w:pPr>
        <w:ind w:left="7524" w:hanging="360"/>
      </w:pPr>
      <w:rPr>
        <w:rFonts w:ascii="Courier New" w:hAnsi="Courier New" w:cs="Courier New" w:hint="default"/>
      </w:rPr>
    </w:lvl>
    <w:lvl w:ilvl="8" w:tplc="04090005" w:tentative="1">
      <w:start w:val="1"/>
      <w:numFmt w:val="bullet"/>
      <w:lvlText w:val=""/>
      <w:lvlJc w:val="left"/>
      <w:pPr>
        <w:ind w:left="8244" w:hanging="360"/>
      </w:pPr>
      <w:rPr>
        <w:rFonts w:ascii="Wingdings" w:hAnsi="Wingdings" w:hint="default"/>
      </w:rPr>
    </w:lvl>
  </w:abstractNum>
  <w:abstractNum w:abstractNumId="22">
    <w:nsid w:val="74983B37"/>
    <w:multiLevelType w:val="hybridMultilevel"/>
    <w:tmpl w:val="E222EEEA"/>
    <w:lvl w:ilvl="0" w:tplc="0409000B">
      <w:start w:val="1"/>
      <w:numFmt w:val="bullet"/>
      <w:lvlText w:val=""/>
      <w:lvlJc w:val="left"/>
      <w:pPr>
        <w:ind w:left="1428" w:hanging="360"/>
      </w:pPr>
      <w:rPr>
        <w:rFonts w:ascii="Wingdings" w:hAnsi="Wingdings" w:hint="default"/>
      </w:rPr>
    </w:lvl>
    <w:lvl w:ilvl="1" w:tplc="0409000B">
      <w:start w:val="1"/>
      <w:numFmt w:val="bullet"/>
      <w:lvlText w:val=""/>
      <w:lvlJc w:val="left"/>
      <w:pPr>
        <w:ind w:left="2148" w:hanging="360"/>
      </w:pPr>
      <w:rPr>
        <w:rFonts w:ascii="Wingdings" w:hAnsi="Wingdings"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23">
    <w:nsid w:val="7CD37FEA"/>
    <w:multiLevelType w:val="hybridMultilevel"/>
    <w:tmpl w:val="2F147DB4"/>
    <w:lvl w:ilvl="0" w:tplc="04090003">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7"/>
  </w:num>
  <w:num w:numId="2">
    <w:abstractNumId w:val="10"/>
  </w:num>
  <w:num w:numId="3">
    <w:abstractNumId w:val="13"/>
  </w:num>
  <w:num w:numId="4">
    <w:abstractNumId w:val="23"/>
  </w:num>
  <w:num w:numId="5">
    <w:abstractNumId w:val="20"/>
  </w:num>
  <w:num w:numId="6">
    <w:abstractNumId w:val="19"/>
  </w:num>
  <w:num w:numId="7">
    <w:abstractNumId w:val="15"/>
  </w:num>
  <w:num w:numId="8">
    <w:abstractNumId w:val="14"/>
  </w:num>
  <w:num w:numId="9">
    <w:abstractNumId w:val="12"/>
  </w:num>
  <w:num w:numId="10">
    <w:abstractNumId w:val="3"/>
  </w:num>
  <w:num w:numId="11">
    <w:abstractNumId w:val="11"/>
  </w:num>
  <w:num w:numId="12">
    <w:abstractNumId w:val="6"/>
  </w:num>
  <w:num w:numId="13">
    <w:abstractNumId w:val="2"/>
  </w:num>
  <w:num w:numId="14">
    <w:abstractNumId w:val="21"/>
  </w:num>
  <w:num w:numId="15">
    <w:abstractNumId w:val="22"/>
  </w:num>
  <w:num w:numId="16">
    <w:abstractNumId w:val="8"/>
  </w:num>
  <w:num w:numId="17">
    <w:abstractNumId w:val="16"/>
  </w:num>
  <w:num w:numId="18">
    <w:abstractNumId w:val="1"/>
  </w:num>
  <w:num w:numId="19">
    <w:abstractNumId w:val="5"/>
  </w:num>
  <w:num w:numId="20">
    <w:abstractNumId w:val="18"/>
  </w:num>
  <w:num w:numId="21">
    <w:abstractNumId w:val="17"/>
  </w:num>
  <w:num w:numId="22">
    <w:abstractNumId w:val="0"/>
  </w:num>
  <w:num w:numId="23">
    <w:abstractNumId w:val="9"/>
  </w:num>
  <w:num w:numId="24">
    <w:abstractNumId w:val="4"/>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08"/>
  <w:hyphenationZone w:val="425"/>
  <w:characterSpacingControl w:val="doNotCompress"/>
  <w:footnotePr>
    <w:footnote w:id="-1"/>
    <w:footnote w:id="0"/>
  </w:footnotePr>
  <w:endnotePr>
    <w:endnote w:id="-1"/>
    <w:endnote w:id="0"/>
  </w:endnotePr>
  <w:compat/>
  <w:rsids>
    <w:rsidRoot w:val="00067D8C"/>
    <w:rsid w:val="000002D4"/>
    <w:rsid w:val="00000C98"/>
    <w:rsid w:val="00000EDA"/>
    <w:rsid w:val="0000107C"/>
    <w:rsid w:val="000011FF"/>
    <w:rsid w:val="00002D13"/>
    <w:rsid w:val="00002FF0"/>
    <w:rsid w:val="00003656"/>
    <w:rsid w:val="0000382F"/>
    <w:rsid w:val="00004E14"/>
    <w:rsid w:val="000057B7"/>
    <w:rsid w:val="00006D4B"/>
    <w:rsid w:val="000075B4"/>
    <w:rsid w:val="000075E3"/>
    <w:rsid w:val="0000766C"/>
    <w:rsid w:val="00007FE2"/>
    <w:rsid w:val="00010FED"/>
    <w:rsid w:val="00012F35"/>
    <w:rsid w:val="000136E9"/>
    <w:rsid w:val="0001430D"/>
    <w:rsid w:val="00017827"/>
    <w:rsid w:val="00017C2C"/>
    <w:rsid w:val="00020805"/>
    <w:rsid w:val="000209F3"/>
    <w:rsid w:val="000222B2"/>
    <w:rsid w:val="000252A2"/>
    <w:rsid w:val="0002685E"/>
    <w:rsid w:val="00027BAE"/>
    <w:rsid w:val="00030253"/>
    <w:rsid w:val="0003068B"/>
    <w:rsid w:val="00030799"/>
    <w:rsid w:val="00030D33"/>
    <w:rsid w:val="00030DFC"/>
    <w:rsid w:val="000326F4"/>
    <w:rsid w:val="00032E92"/>
    <w:rsid w:val="00033EB1"/>
    <w:rsid w:val="000342D1"/>
    <w:rsid w:val="000369D7"/>
    <w:rsid w:val="000372D0"/>
    <w:rsid w:val="0003789F"/>
    <w:rsid w:val="00037E45"/>
    <w:rsid w:val="00040801"/>
    <w:rsid w:val="00040CDE"/>
    <w:rsid w:val="00041CC8"/>
    <w:rsid w:val="00042182"/>
    <w:rsid w:val="00044100"/>
    <w:rsid w:val="000456DA"/>
    <w:rsid w:val="00046191"/>
    <w:rsid w:val="000465C1"/>
    <w:rsid w:val="00047046"/>
    <w:rsid w:val="00050866"/>
    <w:rsid w:val="00051391"/>
    <w:rsid w:val="00051BA3"/>
    <w:rsid w:val="00053C4A"/>
    <w:rsid w:val="000561FD"/>
    <w:rsid w:val="00056B35"/>
    <w:rsid w:val="00057065"/>
    <w:rsid w:val="0005732A"/>
    <w:rsid w:val="00057825"/>
    <w:rsid w:val="00057B8B"/>
    <w:rsid w:val="00060123"/>
    <w:rsid w:val="00061264"/>
    <w:rsid w:val="00062350"/>
    <w:rsid w:val="000626B9"/>
    <w:rsid w:val="00064705"/>
    <w:rsid w:val="00064CB1"/>
    <w:rsid w:val="000653D8"/>
    <w:rsid w:val="0006577A"/>
    <w:rsid w:val="0006599E"/>
    <w:rsid w:val="0006605B"/>
    <w:rsid w:val="000664A2"/>
    <w:rsid w:val="00067291"/>
    <w:rsid w:val="00067D8C"/>
    <w:rsid w:val="000718F2"/>
    <w:rsid w:val="0007241A"/>
    <w:rsid w:val="00073C45"/>
    <w:rsid w:val="00074ACD"/>
    <w:rsid w:val="00077340"/>
    <w:rsid w:val="000779DC"/>
    <w:rsid w:val="00080CC1"/>
    <w:rsid w:val="00081C20"/>
    <w:rsid w:val="00082658"/>
    <w:rsid w:val="00083065"/>
    <w:rsid w:val="000862F5"/>
    <w:rsid w:val="00086302"/>
    <w:rsid w:val="00086859"/>
    <w:rsid w:val="00087CB9"/>
    <w:rsid w:val="00093990"/>
    <w:rsid w:val="000950C1"/>
    <w:rsid w:val="0009553D"/>
    <w:rsid w:val="00095964"/>
    <w:rsid w:val="00096415"/>
    <w:rsid w:val="000967D5"/>
    <w:rsid w:val="000978CC"/>
    <w:rsid w:val="000A0265"/>
    <w:rsid w:val="000A0A14"/>
    <w:rsid w:val="000A0E4D"/>
    <w:rsid w:val="000A12E6"/>
    <w:rsid w:val="000A333A"/>
    <w:rsid w:val="000A3AA8"/>
    <w:rsid w:val="000A3DF5"/>
    <w:rsid w:val="000A3F2B"/>
    <w:rsid w:val="000A4A5B"/>
    <w:rsid w:val="000A58AB"/>
    <w:rsid w:val="000A6865"/>
    <w:rsid w:val="000A689D"/>
    <w:rsid w:val="000A7E43"/>
    <w:rsid w:val="000B0057"/>
    <w:rsid w:val="000B08E7"/>
    <w:rsid w:val="000B09C5"/>
    <w:rsid w:val="000B128C"/>
    <w:rsid w:val="000B248A"/>
    <w:rsid w:val="000B3ECF"/>
    <w:rsid w:val="000B48B9"/>
    <w:rsid w:val="000B5000"/>
    <w:rsid w:val="000B71D6"/>
    <w:rsid w:val="000B72DE"/>
    <w:rsid w:val="000B7BD6"/>
    <w:rsid w:val="000B7C19"/>
    <w:rsid w:val="000C092A"/>
    <w:rsid w:val="000C15E6"/>
    <w:rsid w:val="000C1E12"/>
    <w:rsid w:val="000C203B"/>
    <w:rsid w:val="000C24C5"/>
    <w:rsid w:val="000C2529"/>
    <w:rsid w:val="000C4A5F"/>
    <w:rsid w:val="000C5B16"/>
    <w:rsid w:val="000C5B9C"/>
    <w:rsid w:val="000C5C3B"/>
    <w:rsid w:val="000C5E71"/>
    <w:rsid w:val="000C643F"/>
    <w:rsid w:val="000C689F"/>
    <w:rsid w:val="000C6D31"/>
    <w:rsid w:val="000D0B44"/>
    <w:rsid w:val="000D0D41"/>
    <w:rsid w:val="000D147F"/>
    <w:rsid w:val="000D5A14"/>
    <w:rsid w:val="000D616A"/>
    <w:rsid w:val="000D649E"/>
    <w:rsid w:val="000D662D"/>
    <w:rsid w:val="000D7C6D"/>
    <w:rsid w:val="000E016C"/>
    <w:rsid w:val="000E05E0"/>
    <w:rsid w:val="000E1791"/>
    <w:rsid w:val="000E1F32"/>
    <w:rsid w:val="000E38FA"/>
    <w:rsid w:val="000E4202"/>
    <w:rsid w:val="000E4ED4"/>
    <w:rsid w:val="000E5B8C"/>
    <w:rsid w:val="000E6341"/>
    <w:rsid w:val="000F0827"/>
    <w:rsid w:val="000F0CA4"/>
    <w:rsid w:val="000F27D3"/>
    <w:rsid w:val="000F3607"/>
    <w:rsid w:val="000F3D7A"/>
    <w:rsid w:val="000F496E"/>
    <w:rsid w:val="000F499D"/>
    <w:rsid w:val="000F4B88"/>
    <w:rsid w:val="000F4C55"/>
    <w:rsid w:val="000F7C09"/>
    <w:rsid w:val="000F7C14"/>
    <w:rsid w:val="0010094D"/>
    <w:rsid w:val="00100A9A"/>
    <w:rsid w:val="00100C8F"/>
    <w:rsid w:val="00101378"/>
    <w:rsid w:val="00101399"/>
    <w:rsid w:val="00101686"/>
    <w:rsid w:val="00101AC4"/>
    <w:rsid w:val="00102172"/>
    <w:rsid w:val="00102A51"/>
    <w:rsid w:val="001036EB"/>
    <w:rsid w:val="00104FB7"/>
    <w:rsid w:val="001050CD"/>
    <w:rsid w:val="00105C7B"/>
    <w:rsid w:val="00106D84"/>
    <w:rsid w:val="00107452"/>
    <w:rsid w:val="001102BC"/>
    <w:rsid w:val="00111277"/>
    <w:rsid w:val="00112C29"/>
    <w:rsid w:val="00113E46"/>
    <w:rsid w:val="00115E56"/>
    <w:rsid w:val="0011604E"/>
    <w:rsid w:val="001162C2"/>
    <w:rsid w:val="0011670D"/>
    <w:rsid w:val="00116B7E"/>
    <w:rsid w:val="001209C1"/>
    <w:rsid w:val="0012210F"/>
    <w:rsid w:val="00122901"/>
    <w:rsid w:val="00122E58"/>
    <w:rsid w:val="001230BD"/>
    <w:rsid w:val="00123841"/>
    <w:rsid w:val="00125DC1"/>
    <w:rsid w:val="001265D5"/>
    <w:rsid w:val="0013043B"/>
    <w:rsid w:val="00131C52"/>
    <w:rsid w:val="00131F9B"/>
    <w:rsid w:val="0013388B"/>
    <w:rsid w:val="0013695E"/>
    <w:rsid w:val="001373D4"/>
    <w:rsid w:val="00137B55"/>
    <w:rsid w:val="00140E9F"/>
    <w:rsid w:val="00141CE7"/>
    <w:rsid w:val="0014232A"/>
    <w:rsid w:val="00143785"/>
    <w:rsid w:val="0014405E"/>
    <w:rsid w:val="00144202"/>
    <w:rsid w:val="00144623"/>
    <w:rsid w:val="0014491C"/>
    <w:rsid w:val="001457F3"/>
    <w:rsid w:val="00145B38"/>
    <w:rsid w:val="0014603A"/>
    <w:rsid w:val="00146F91"/>
    <w:rsid w:val="00147895"/>
    <w:rsid w:val="0015199D"/>
    <w:rsid w:val="00152965"/>
    <w:rsid w:val="00152A0D"/>
    <w:rsid w:val="0015328C"/>
    <w:rsid w:val="001542A9"/>
    <w:rsid w:val="00154C9E"/>
    <w:rsid w:val="0015651C"/>
    <w:rsid w:val="00156C66"/>
    <w:rsid w:val="00157E95"/>
    <w:rsid w:val="0016042C"/>
    <w:rsid w:val="00160F69"/>
    <w:rsid w:val="001627A8"/>
    <w:rsid w:val="00163906"/>
    <w:rsid w:val="001645E2"/>
    <w:rsid w:val="001646AB"/>
    <w:rsid w:val="0016520F"/>
    <w:rsid w:val="00165B06"/>
    <w:rsid w:val="001661CD"/>
    <w:rsid w:val="00166B56"/>
    <w:rsid w:val="001673EC"/>
    <w:rsid w:val="00167808"/>
    <w:rsid w:val="001714CF"/>
    <w:rsid w:val="001728AD"/>
    <w:rsid w:val="00172EAA"/>
    <w:rsid w:val="001735F8"/>
    <w:rsid w:val="001739F7"/>
    <w:rsid w:val="0017417F"/>
    <w:rsid w:val="0017471F"/>
    <w:rsid w:val="00175C73"/>
    <w:rsid w:val="00176482"/>
    <w:rsid w:val="001768B1"/>
    <w:rsid w:val="00176B01"/>
    <w:rsid w:val="00177C7C"/>
    <w:rsid w:val="0018147A"/>
    <w:rsid w:val="001828C5"/>
    <w:rsid w:val="00182A70"/>
    <w:rsid w:val="00182E7C"/>
    <w:rsid w:val="00183F81"/>
    <w:rsid w:val="00184349"/>
    <w:rsid w:val="00184D32"/>
    <w:rsid w:val="00185BA2"/>
    <w:rsid w:val="00186654"/>
    <w:rsid w:val="00186767"/>
    <w:rsid w:val="001903E6"/>
    <w:rsid w:val="00190513"/>
    <w:rsid w:val="0019119B"/>
    <w:rsid w:val="00191A9C"/>
    <w:rsid w:val="00193091"/>
    <w:rsid w:val="00193A80"/>
    <w:rsid w:val="00195B5B"/>
    <w:rsid w:val="0019768E"/>
    <w:rsid w:val="00197C76"/>
    <w:rsid w:val="001A020D"/>
    <w:rsid w:val="001A0280"/>
    <w:rsid w:val="001A0BBE"/>
    <w:rsid w:val="001A0CB4"/>
    <w:rsid w:val="001A0D29"/>
    <w:rsid w:val="001A2954"/>
    <w:rsid w:val="001A4245"/>
    <w:rsid w:val="001A463F"/>
    <w:rsid w:val="001A5474"/>
    <w:rsid w:val="001A587E"/>
    <w:rsid w:val="001A6251"/>
    <w:rsid w:val="001A646D"/>
    <w:rsid w:val="001A6C71"/>
    <w:rsid w:val="001A721F"/>
    <w:rsid w:val="001B1F80"/>
    <w:rsid w:val="001B5412"/>
    <w:rsid w:val="001B6225"/>
    <w:rsid w:val="001B6B02"/>
    <w:rsid w:val="001B742A"/>
    <w:rsid w:val="001C12AE"/>
    <w:rsid w:val="001C16CD"/>
    <w:rsid w:val="001C4B05"/>
    <w:rsid w:val="001C5295"/>
    <w:rsid w:val="001C5801"/>
    <w:rsid w:val="001C5AB9"/>
    <w:rsid w:val="001C5BBD"/>
    <w:rsid w:val="001C6A3E"/>
    <w:rsid w:val="001C730B"/>
    <w:rsid w:val="001C7B14"/>
    <w:rsid w:val="001D0EAF"/>
    <w:rsid w:val="001D115F"/>
    <w:rsid w:val="001D138A"/>
    <w:rsid w:val="001D3566"/>
    <w:rsid w:val="001D3B63"/>
    <w:rsid w:val="001D46FC"/>
    <w:rsid w:val="001D4976"/>
    <w:rsid w:val="001D56C4"/>
    <w:rsid w:val="001D737E"/>
    <w:rsid w:val="001E0B77"/>
    <w:rsid w:val="001E1C80"/>
    <w:rsid w:val="001E1EB0"/>
    <w:rsid w:val="001E3E50"/>
    <w:rsid w:val="001E4101"/>
    <w:rsid w:val="001E452A"/>
    <w:rsid w:val="001E5506"/>
    <w:rsid w:val="001E567C"/>
    <w:rsid w:val="001E7578"/>
    <w:rsid w:val="001E7DB5"/>
    <w:rsid w:val="001F0439"/>
    <w:rsid w:val="001F0CBD"/>
    <w:rsid w:val="001F0E03"/>
    <w:rsid w:val="001F1067"/>
    <w:rsid w:val="001F1EF5"/>
    <w:rsid w:val="001F2203"/>
    <w:rsid w:val="001F26C8"/>
    <w:rsid w:val="001F2C70"/>
    <w:rsid w:val="001F40D5"/>
    <w:rsid w:val="001F482A"/>
    <w:rsid w:val="001F4EDB"/>
    <w:rsid w:val="001F54B3"/>
    <w:rsid w:val="00200B64"/>
    <w:rsid w:val="002013C7"/>
    <w:rsid w:val="00204413"/>
    <w:rsid w:val="00204510"/>
    <w:rsid w:val="00205480"/>
    <w:rsid w:val="002054AB"/>
    <w:rsid w:val="00205B78"/>
    <w:rsid w:val="0020662A"/>
    <w:rsid w:val="00207426"/>
    <w:rsid w:val="00211E83"/>
    <w:rsid w:val="00212B32"/>
    <w:rsid w:val="00212B7A"/>
    <w:rsid w:val="00212D36"/>
    <w:rsid w:val="0021399B"/>
    <w:rsid w:val="00213B23"/>
    <w:rsid w:val="002142E5"/>
    <w:rsid w:val="002143F1"/>
    <w:rsid w:val="0021466D"/>
    <w:rsid w:val="00215365"/>
    <w:rsid w:val="0021650B"/>
    <w:rsid w:val="002225E6"/>
    <w:rsid w:val="002233C7"/>
    <w:rsid w:val="00223B33"/>
    <w:rsid w:val="00224F94"/>
    <w:rsid w:val="002250A4"/>
    <w:rsid w:val="002257D6"/>
    <w:rsid w:val="00226007"/>
    <w:rsid w:val="00226BAA"/>
    <w:rsid w:val="00226DC3"/>
    <w:rsid w:val="00227425"/>
    <w:rsid w:val="0022786D"/>
    <w:rsid w:val="00230B84"/>
    <w:rsid w:val="00230F33"/>
    <w:rsid w:val="00232AB0"/>
    <w:rsid w:val="00233E50"/>
    <w:rsid w:val="00235F75"/>
    <w:rsid w:val="00240D54"/>
    <w:rsid w:val="00241210"/>
    <w:rsid w:val="00242184"/>
    <w:rsid w:val="00242575"/>
    <w:rsid w:val="00242980"/>
    <w:rsid w:val="002438B8"/>
    <w:rsid w:val="00243A04"/>
    <w:rsid w:val="00244061"/>
    <w:rsid w:val="002446DC"/>
    <w:rsid w:val="00245CD6"/>
    <w:rsid w:val="00245D11"/>
    <w:rsid w:val="00246F11"/>
    <w:rsid w:val="002500FF"/>
    <w:rsid w:val="00250AA3"/>
    <w:rsid w:val="002529B0"/>
    <w:rsid w:val="00253253"/>
    <w:rsid w:val="002536CD"/>
    <w:rsid w:val="00253777"/>
    <w:rsid w:val="00255B36"/>
    <w:rsid w:val="00256736"/>
    <w:rsid w:val="00256AE0"/>
    <w:rsid w:val="00257E11"/>
    <w:rsid w:val="0026014E"/>
    <w:rsid w:val="00260171"/>
    <w:rsid w:val="00260ED2"/>
    <w:rsid w:val="00262337"/>
    <w:rsid w:val="00262CEE"/>
    <w:rsid w:val="00262E1D"/>
    <w:rsid w:val="00262F55"/>
    <w:rsid w:val="002639DB"/>
    <w:rsid w:val="00264278"/>
    <w:rsid w:val="00264418"/>
    <w:rsid w:val="00265384"/>
    <w:rsid w:val="00265D35"/>
    <w:rsid w:val="0026679B"/>
    <w:rsid w:val="00266C35"/>
    <w:rsid w:val="00266F7E"/>
    <w:rsid w:val="002676EA"/>
    <w:rsid w:val="00267731"/>
    <w:rsid w:val="00271ADB"/>
    <w:rsid w:val="0027284D"/>
    <w:rsid w:val="00272AB2"/>
    <w:rsid w:val="002748B8"/>
    <w:rsid w:val="0027588B"/>
    <w:rsid w:val="00276D87"/>
    <w:rsid w:val="00280CAE"/>
    <w:rsid w:val="00281472"/>
    <w:rsid w:val="00281AF2"/>
    <w:rsid w:val="0028241B"/>
    <w:rsid w:val="00282521"/>
    <w:rsid w:val="002836E8"/>
    <w:rsid w:val="00284B8A"/>
    <w:rsid w:val="00285301"/>
    <w:rsid w:val="00285FD8"/>
    <w:rsid w:val="002862A8"/>
    <w:rsid w:val="002867CC"/>
    <w:rsid w:val="00287BF7"/>
    <w:rsid w:val="00291D7C"/>
    <w:rsid w:val="00291F52"/>
    <w:rsid w:val="002921EB"/>
    <w:rsid w:val="002922C0"/>
    <w:rsid w:val="00293737"/>
    <w:rsid w:val="00295CF9"/>
    <w:rsid w:val="00296087"/>
    <w:rsid w:val="00296295"/>
    <w:rsid w:val="002968BE"/>
    <w:rsid w:val="002971CF"/>
    <w:rsid w:val="002A1454"/>
    <w:rsid w:val="002A2CB1"/>
    <w:rsid w:val="002A2D5F"/>
    <w:rsid w:val="002A3529"/>
    <w:rsid w:val="002A3A12"/>
    <w:rsid w:val="002A4A0A"/>
    <w:rsid w:val="002A5076"/>
    <w:rsid w:val="002B00B8"/>
    <w:rsid w:val="002B0B2D"/>
    <w:rsid w:val="002B26E8"/>
    <w:rsid w:val="002B2E4A"/>
    <w:rsid w:val="002B3068"/>
    <w:rsid w:val="002B3411"/>
    <w:rsid w:val="002B3573"/>
    <w:rsid w:val="002B3732"/>
    <w:rsid w:val="002B42C7"/>
    <w:rsid w:val="002B4654"/>
    <w:rsid w:val="002B48C4"/>
    <w:rsid w:val="002B512F"/>
    <w:rsid w:val="002B55E4"/>
    <w:rsid w:val="002B6500"/>
    <w:rsid w:val="002B6B19"/>
    <w:rsid w:val="002B73F1"/>
    <w:rsid w:val="002B78E4"/>
    <w:rsid w:val="002B7D3A"/>
    <w:rsid w:val="002B7F0D"/>
    <w:rsid w:val="002C0961"/>
    <w:rsid w:val="002C0C22"/>
    <w:rsid w:val="002C1A80"/>
    <w:rsid w:val="002C1E58"/>
    <w:rsid w:val="002C28A7"/>
    <w:rsid w:val="002C471F"/>
    <w:rsid w:val="002C48F9"/>
    <w:rsid w:val="002C4FFE"/>
    <w:rsid w:val="002C5EE8"/>
    <w:rsid w:val="002C64B0"/>
    <w:rsid w:val="002C698F"/>
    <w:rsid w:val="002C71B5"/>
    <w:rsid w:val="002C7EA4"/>
    <w:rsid w:val="002D02CC"/>
    <w:rsid w:val="002D0DF4"/>
    <w:rsid w:val="002D2888"/>
    <w:rsid w:val="002D2E0F"/>
    <w:rsid w:val="002D4978"/>
    <w:rsid w:val="002D59E2"/>
    <w:rsid w:val="002D669A"/>
    <w:rsid w:val="002D7150"/>
    <w:rsid w:val="002D7722"/>
    <w:rsid w:val="002E0269"/>
    <w:rsid w:val="002E083A"/>
    <w:rsid w:val="002E09C0"/>
    <w:rsid w:val="002E0FD1"/>
    <w:rsid w:val="002E2184"/>
    <w:rsid w:val="002E310C"/>
    <w:rsid w:val="002E409A"/>
    <w:rsid w:val="002E5175"/>
    <w:rsid w:val="002E64FD"/>
    <w:rsid w:val="002E6E36"/>
    <w:rsid w:val="002E7013"/>
    <w:rsid w:val="002F0108"/>
    <w:rsid w:val="002F07B8"/>
    <w:rsid w:val="002F17DC"/>
    <w:rsid w:val="002F1E77"/>
    <w:rsid w:val="002F2516"/>
    <w:rsid w:val="002F359C"/>
    <w:rsid w:val="002F3670"/>
    <w:rsid w:val="002F3763"/>
    <w:rsid w:val="002F3CD3"/>
    <w:rsid w:val="002F4809"/>
    <w:rsid w:val="002F5C47"/>
    <w:rsid w:val="002F63AD"/>
    <w:rsid w:val="00300B68"/>
    <w:rsid w:val="00301CA4"/>
    <w:rsid w:val="00301DA9"/>
    <w:rsid w:val="00302785"/>
    <w:rsid w:val="00303782"/>
    <w:rsid w:val="0030544A"/>
    <w:rsid w:val="00305927"/>
    <w:rsid w:val="00312758"/>
    <w:rsid w:val="003127CC"/>
    <w:rsid w:val="0031395D"/>
    <w:rsid w:val="00313AEF"/>
    <w:rsid w:val="00314714"/>
    <w:rsid w:val="003176CF"/>
    <w:rsid w:val="003207F0"/>
    <w:rsid w:val="00322E16"/>
    <w:rsid w:val="003231DF"/>
    <w:rsid w:val="00324C40"/>
    <w:rsid w:val="00324D4E"/>
    <w:rsid w:val="003260C9"/>
    <w:rsid w:val="003266F3"/>
    <w:rsid w:val="00326F3A"/>
    <w:rsid w:val="0032736F"/>
    <w:rsid w:val="00327DDB"/>
    <w:rsid w:val="00327DF3"/>
    <w:rsid w:val="003311D0"/>
    <w:rsid w:val="00335CD4"/>
    <w:rsid w:val="003365C2"/>
    <w:rsid w:val="00340128"/>
    <w:rsid w:val="00340BCD"/>
    <w:rsid w:val="00340C2A"/>
    <w:rsid w:val="00341808"/>
    <w:rsid w:val="00342888"/>
    <w:rsid w:val="00342B30"/>
    <w:rsid w:val="00343914"/>
    <w:rsid w:val="00344AA2"/>
    <w:rsid w:val="00344E60"/>
    <w:rsid w:val="003500F5"/>
    <w:rsid w:val="00353315"/>
    <w:rsid w:val="0035447E"/>
    <w:rsid w:val="00354D26"/>
    <w:rsid w:val="00356462"/>
    <w:rsid w:val="00357DB0"/>
    <w:rsid w:val="00360048"/>
    <w:rsid w:val="00362A89"/>
    <w:rsid w:val="0036333E"/>
    <w:rsid w:val="003634BB"/>
    <w:rsid w:val="00363994"/>
    <w:rsid w:val="00363FC6"/>
    <w:rsid w:val="00365032"/>
    <w:rsid w:val="003669E5"/>
    <w:rsid w:val="00370FDE"/>
    <w:rsid w:val="00371D40"/>
    <w:rsid w:val="003723C1"/>
    <w:rsid w:val="00374952"/>
    <w:rsid w:val="00374E47"/>
    <w:rsid w:val="0037728F"/>
    <w:rsid w:val="003806A9"/>
    <w:rsid w:val="00381A64"/>
    <w:rsid w:val="00381F2E"/>
    <w:rsid w:val="003822DA"/>
    <w:rsid w:val="00382DBA"/>
    <w:rsid w:val="003831B3"/>
    <w:rsid w:val="00383305"/>
    <w:rsid w:val="0038454F"/>
    <w:rsid w:val="00384B29"/>
    <w:rsid w:val="00385D9B"/>
    <w:rsid w:val="00386BCE"/>
    <w:rsid w:val="00386F90"/>
    <w:rsid w:val="00387B5A"/>
    <w:rsid w:val="003933B3"/>
    <w:rsid w:val="00393BA8"/>
    <w:rsid w:val="00393C77"/>
    <w:rsid w:val="00393CB0"/>
    <w:rsid w:val="00393F59"/>
    <w:rsid w:val="00394171"/>
    <w:rsid w:val="00394B8C"/>
    <w:rsid w:val="00395158"/>
    <w:rsid w:val="00395895"/>
    <w:rsid w:val="0039691E"/>
    <w:rsid w:val="00397EDA"/>
    <w:rsid w:val="003A1C19"/>
    <w:rsid w:val="003A1C66"/>
    <w:rsid w:val="003A2351"/>
    <w:rsid w:val="003A5220"/>
    <w:rsid w:val="003A5B90"/>
    <w:rsid w:val="003A5F77"/>
    <w:rsid w:val="003A61BB"/>
    <w:rsid w:val="003A71A5"/>
    <w:rsid w:val="003A77DF"/>
    <w:rsid w:val="003B269B"/>
    <w:rsid w:val="003B2EF1"/>
    <w:rsid w:val="003B3321"/>
    <w:rsid w:val="003B4137"/>
    <w:rsid w:val="003B5AA7"/>
    <w:rsid w:val="003B63EA"/>
    <w:rsid w:val="003C0475"/>
    <w:rsid w:val="003C25E5"/>
    <w:rsid w:val="003C28B0"/>
    <w:rsid w:val="003C375E"/>
    <w:rsid w:val="003C46B6"/>
    <w:rsid w:val="003C4767"/>
    <w:rsid w:val="003C5A43"/>
    <w:rsid w:val="003C5AAB"/>
    <w:rsid w:val="003C6609"/>
    <w:rsid w:val="003D012C"/>
    <w:rsid w:val="003D083A"/>
    <w:rsid w:val="003D0CA0"/>
    <w:rsid w:val="003D1B1E"/>
    <w:rsid w:val="003D2A4C"/>
    <w:rsid w:val="003D2A5D"/>
    <w:rsid w:val="003D2A83"/>
    <w:rsid w:val="003D3053"/>
    <w:rsid w:val="003D4E6B"/>
    <w:rsid w:val="003D4EAC"/>
    <w:rsid w:val="003D509D"/>
    <w:rsid w:val="003D5D78"/>
    <w:rsid w:val="003D6C2E"/>
    <w:rsid w:val="003D717A"/>
    <w:rsid w:val="003D7B9C"/>
    <w:rsid w:val="003D7DDA"/>
    <w:rsid w:val="003E4EF5"/>
    <w:rsid w:val="003E55A6"/>
    <w:rsid w:val="003E71A0"/>
    <w:rsid w:val="003F02F7"/>
    <w:rsid w:val="003F1B64"/>
    <w:rsid w:val="003F1CE9"/>
    <w:rsid w:val="003F2952"/>
    <w:rsid w:val="003F3B4B"/>
    <w:rsid w:val="003F508F"/>
    <w:rsid w:val="003F5135"/>
    <w:rsid w:val="003F5707"/>
    <w:rsid w:val="003F5D3D"/>
    <w:rsid w:val="003F7D05"/>
    <w:rsid w:val="00400366"/>
    <w:rsid w:val="00404158"/>
    <w:rsid w:val="00404164"/>
    <w:rsid w:val="004059FC"/>
    <w:rsid w:val="00407269"/>
    <w:rsid w:val="004101D5"/>
    <w:rsid w:val="0041084D"/>
    <w:rsid w:val="004112B9"/>
    <w:rsid w:val="00412027"/>
    <w:rsid w:val="00412177"/>
    <w:rsid w:val="00414AA8"/>
    <w:rsid w:val="00414CF1"/>
    <w:rsid w:val="00415298"/>
    <w:rsid w:val="00415D13"/>
    <w:rsid w:val="00415D73"/>
    <w:rsid w:val="004160DE"/>
    <w:rsid w:val="004167C2"/>
    <w:rsid w:val="00416C41"/>
    <w:rsid w:val="00420E85"/>
    <w:rsid w:val="00421420"/>
    <w:rsid w:val="00421CAA"/>
    <w:rsid w:val="004220C9"/>
    <w:rsid w:val="004227B5"/>
    <w:rsid w:val="004255BD"/>
    <w:rsid w:val="00425991"/>
    <w:rsid w:val="00426198"/>
    <w:rsid w:val="00426A52"/>
    <w:rsid w:val="00427F75"/>
    <w:rsid w:val="00430042"/>
    <w:rsid w:val="004318BB"/>
    <w:rsid w:val="0043289E"/>
    <w:rsid w:val="0043485E"/>
    <w:rsid w:val="004351D3"/>
    <w:rsid w:val="0043647C"/>
    <w:rsid w:val="00437274"/>
    <w:rsid w:val="00437502"/>
    <w:rsid w:val="00437D35"/>
    <w:rsid w:val="00440B46"/>
    <w:rsid w:val="00441BCC"/>
    <w:rsid w:val="00442E5C"/>
    <w:rsid w:val="00443528"/>
    <w:rsid w:val="0044367A"/>
    <w:rsid w:val="00443B8B"/>
    <w:rsid w:val="00443E0F"/>
    <w:rsid w:val="00445195"/>
    <w:rsid w:val="00445422"/>
    <w:rsid w:val="0045155A"/>
    <w:rsid w:val="00451796"/>
    <w:rsid w:val="00451B6B"/>
    <w:rsid w:val="00452800"/>
    <w:rsid w:val="00453C46"/>
    <w:rsid w:val="004544B1"/>
    <w:rsid w:val="00454DA3"/>
    <w:rsid w:val="00454E1B"/>
    <w:rsid w:val="00455A59"/>
    <w:rsid w:val="00455B52"/>
    <w:rsid w:val="00456762"/>
    <w:rsid w:val="004568EA"/>
    <w:rsid w:val="00457F22"/>
    <w:rsid w:val="00457F61"/>
    <w:rsid w:val="0046079D"/>
    <w:rsid w:val="004618A1"/>
    <w:rsid w:val="004631BF"/>
    <w:rsid w:val="00463BF5"/>
    <w:rsid w:val="00464C87"/>
    <w:rsid w:val="00465DED"/>
    <w:rsid w:val="00465E01"/>
    <w:rsid w:val="00466289"/>
    <w:rsid w:val="004701B2"/>
    <w:rsid w:val="00470275"/>
    <w:rsid w:val="00470EAF"/>
    <w:rsid w:val="00471259"/>
    <w:rsid w:val="00471736"/>
    <w:rsid w:val="0047223D"/>
    <w:rsid w:val="00473B44"/>
    <w:rsid w:val="0047468A"/>
    <w:rsid w:val="0047474D"/>
    <w:rsid w:val="00474EB8"/>
    <w:rsid w:val="00475391"/>
    <w:rsid w:val="004759FA"/>
    <w:rsid w:val="004764A9"/>
    <w:rsid w:val="00480AFE"/>
    <w:rsid w:val="0048145C"/>
    <w:rsid w:val="00481A3E"/>
    <w:rsid w:val="004828C7"/>
    <w:rsid w:val="00484869"/>
    <w:rsid w:val="0048547E"/>
    <w:rsid w:val="00485EF1"/>
    <w:rsid w:val="00486089"/>
    <w:rsid w:val="0048739A"/>
    <w:rsid w:val="00490455"/>
    <w:rsid w:val="00491D94"/>
    <w:rsid w:val="0049249A"/>
    <w:rsid w:val="00492B0F"/>
    <w:rsid w:val="004931EB"/>
    <w:rsid w:val="00493814"/>
    <w:rsid w:val="00493AF4"/>
    <w:rsid w:val="004946A1"/>
    <w:rsid w:val="0049609A"/>
    <w:rsid w:val="00496549"/>
    <w:rsid w:val="004A0432"/>
    <w:rsid w:val="004A21DE"/>
    <w:rsid w:val="004A2BE2"/>
    <w:rsid w:val="004A2E6C"/>
    <w:rsid w:val="004A3387"/>
    <w:rsid w:val="004A3877"/>
    <w:rsid w:val="004A3B52"/>
    <w:rsid w:val="004A442D"/>
    <w:rsid w:val="004A4700"/>
    <w:rsid w:val="004A4F33"/>
    <w:rsid w:val="004A54DB"/>
    <w:rsid w:val="004A59ED"/>
    <w:rsid w:val="004A642D"/>
    <w:rsid w:val="004A670D"/>
    <w:rsid w:val="004A6931"/>
    <w:rsid w:val="004A6EB6"/>
    <w:rsid w:val="004B046A"/>
    <w:rsid w:val="004B1539"/>
    <w:rsid w:val="004B18BC"/>
    <w:rsid w:val="004B266B"/>
    <w:rsid w:val="004B3065"/>
    <w:rsid w:val="004B30EC"/>
    <w:rsid w:val="004B3B14"/>
    <w:rsid w:val="004B4BEB"/>
    <w:rsid w:val="004B4CAE"/>
    <w:rsid w:val="004B6075"/>
    <w:rsid w:val="004B6514"/>
    <w:rsid w:val="004C0174"/>
    <w:rsid w:val="004C0226"/>
    <w:rsid w:val="004C1409"/>
    <w:rsid w:val="004C2589"/>
    <w:rsid w:val="004C3207"/>
    <w:rsid w:val="004C32C0"/>
    <w:rsid w:val="004C44FD"/>
    <w:rsid w:val="004C4ACF"/>
    <w:rsid w:val="004C4F70"/>
    <w:rsid w:val="004C57DB"/>
    <w:rsid w:val="004C5EFB"/>
    <w:rsid w:val="004C5FCD"/>
    <w:rsid w:val="004C686A"/>
    <w:rsid w:val="004C68B4"/>
    <w:rsid w:val="004C7518"/>
    <w:rsid w:val="004D0A55"/>
    <w:rsid w:val="004D1491"/>
    <w:rsid w:val="004D2296"/>
    <w:rsid w:val="004D2D1B"/>
    <w:rsid w:val="004D39B1"/>
    <w:rsid w:val="004D5028"/>
    <w:rsid w:val="004D7916"/>
    <w:rsid w:val="004D7A19"/>
    <w:rsid w:val="004D7AFB"/>
    <w:rsid w:val="004E0604"/>
    <w:rsid w:val="004E076E"/>
    <w:rsid w:val="004E0808"/>
    <w:rsid w:val="004E0FFA"/>
    <w:rsid w:val="004E3DBF"/>
    <w:rsid w:val="004E4684"/>
    <w:rsid w:val="004E6E18"/>
    <w:rsid w:val="004E7383"/>
    <w:rsid w:val="004E763B"/>
    <w:rsid w:val="004E7D4D"/>
    <w:rsid w:val="004E7EF5"/>
    <w:rsid w:val="004F01B9"/>
    <w:rsid w:val="004F078B"/>
    <w:rsid w:val="004F1075"/>
    <w:rsid w:val="004F1625"/>
    <w:rsid w:val="004F192B"/>
    <w:rsid w:val="004F32DD"/>
    <w:rsid w:val="004F4489"/>
    <w:rsid w:val="004F4FFB"/>
    <w:rsid w:val="004F5C16"/>
    <w:rsid w:val="004F6D58"/>
    <w:rsid w:val="004F6F62"/>
    <w:rsid w:val="00500025"/>
    <w:rsid w:val="00501CDC"/>
    <w:rsid w:val="005027E3"/>
    <w:rsid w:val="005032AB"/>
    <w:rsid w:val="00503BCE"/>
    <w:rsid w:val="00503DFC"/>
    <w:rsid w:val="005040FD"/>
    <w:rsid w:val="005044A0"/>
    <w:rsid w:val="00504B48"/>
    <w:rsid w:val="00504EDE"/>
    <w:rsid w:val="00506807"/>
    <w:rsid w:val="00506870"/>
    <w:rsid w:val="0051087F"/>
    <w:rsid w:val="00510FA0"/>
    <w:rsid w:val="00512024"/>
    <w:rsid w:val="00512405"/>
    <w:rsid w:val="0051477B"/>
    <w:rsid w:val="00514D82"/>
    <w:rsid w:val="005155A2"/>
    <w:rsid w:val="00515E86"/>
    <w:rsid w:val="00516B3D"/>
    <w:rsid w:val="00520353"/>
    <w:rsid w:val="00521621"/>
    <w:rsid w:val="00521ED5"/>
    <w:rsid w:val="005225C5"/>
    <w:rsid w:val="00522EB9"/>
    <w:rsid w:val="005230A9"/>
    <w:rsid w:val="0052342B"/>
    <w:rsid w:val="00525AA1"/>
    <w:rsid w:val="00525D5B"/>
    <w:rsid w:val="005269F3"/>
    <w:rsid w:val="0052794C"/>
    <w:rsid w:val="0053086C"/>
    <w:rsid w:val="0053126F"/>
    <w:rsid w:val="00531735"/>
    <w:rsid w:val="005324A9"/>
    <w:rsid w:val="005325D0"/>
    <w:rsid w:val="005331B0"/>
    <w:rsid w:val="00535CAF"/>
    <w:rsid w:val="0053657B"/>
    <w:rsid w:val="005378C5"/>
    <w:rsid w:val="00537960"/>
    <w:rsid w:val="005401C0"/>
    <w:rsid w:val="00540A31"/>
    <w:rsid w:val="005413DB"/>
    <w:rsid w:val="00541796"/>
    <w:rsid w:val="00541AC3"/>
    <w:rsid w:val="00541FE1"/>
    <w:rsid w:val="005435AE"/>
    <w:rsid w:val="00543FC2"/>
    <w:rsid w:val="00544CFC"/>
    <w:rsid w:val="0054507D"/>
    <w:rsid w:val="0054541A"/>
    <w:rsid w:val="005461EC"/>
    <w:rsid w:val="005466F4"/>
    <w:rsid w:val="00547BE8"/>
    <w:rsid w:val="00547E7F"/>
    <w:rsid w:val="00550011"/>
    <w:rsid w:val="005501B3"/>
    <w:rsid w:val="00550C38"/>
    <w:rsid w:val="00553948"/>
    <w:rsid w:val="00554F2C"/>
    <w:rsid w:val="0055622A"/>
    <w:rsid w:val="00557028"/>
    <w:rsid w:val="00557FF7"/>
    <w:rsid w:val="005633D4"/>
    <w:rsid w:val="00564D5A"/>
    <w:rsid w:val="00564ED4"/>
    <w:rsid w:val="005664CC"/>
    <w:rsid w:val="005670A5"/>
    <w:rsid w:val="00567D9E"/>
    <w:rsid w:val="00570782"/>
    <w:rsid w:val="00571CB3"/>
    <w:rsid w:val="005721E9"/>
    <w:rsid w:val="0057237C"/>
    <w:rsid w:val="0057271A"/>
    <w:rsid w:val="005728B9"/>
    <w:rsid w:val="00572C5D"/>
    <w:rsid w:val="00573529"/>
    <w:rsid w:val="0057362C"/>
    <w:rsid w:val="00575DBA"/>
    <w:rsid w:val="00575E4E"/>
    <w:rsid w:val="00576112"/>
    <w:rsid w:val="0057670C"/>
    <w:rsid w:val="00576A16"/>
    <w:rsid w:val="0057703C"/>
    <w:rsid w:val="005773A4"/>
    <w:rsid w:val="005775D8"/>
    <w:rsid w:val="0057793D"/>
    <w:rsid w:val="005820FE"/>
    <w:rsid w:val="00583379"/>
    <w:rsid w:val="0058487A"/>
    <w:rsid w:val="005860A8"/>
    <w:rsid w:val="00586B16"/>
    <w:rsid w:val="00586C74"/>
    <w:rsid w:val="00587942"/>
    <w:rsid w:val="00590F3D"/>
    <w:rsid w:val="0059173E"/>
    <w:rsid w:val="00591B41"/>
    <w:rsid w:val="00592B5E"/>
    <w:rsid w:val="00592C72"/>
    <w:rsid w:val="0059356D"/>
    <w:rsid w:val="005938BB"/>
    <w:rsid w:val="0059734B"/>
    <w:rsid w:val="00597ED9"/>
    <w:rsid w:val="005A0439"/>
    <w:rsid w:val="005A06DB"/>
    <w:rsid w:val="005A27FC"/>
    <w:rsid w:val="005A313A"/>
    <w:rsid w:val="005A47D2"/>
    <w:rsid w:val="005A4C67"/>
    <w:rsid w:val="005A63A3"/>
    <w:rsid w:val="005A76BE"/>
    <w:rsid w:val="005A7A3F"/>
    <w:rsid w:val="005A7A67"/>
    <w:rsid w:val="005B01B2"/>
    <w:rsid w:val="005B1534"/>
    <w:rsid w:val="005B288A"/>
    <w:rsid w:val="005B3E7C"/>
    <w:rsid w:val="005B436F"/>
    <w:rsid w:val="005B4869"/>
    <w:rsid w:val="005B5041"/>
    <w:rsid w:val="005B5E42"/>
    <w:rsid w:val="005B773D"/>
    <w:rsid w:val="005C123F"/>
    <w:rsid w:val="005C38C1"/>
    <w:rsid w:val="005C451C"/>
    <w:rsid w:val="005C5C5E"/>
    <w:rsid w:val="005C7BDF"/>
    <w:rsid w:val="005D05CB"/>
    <w:rsid w:val="005D0E90"/>
    <w:rsid w:val="005D122C"/>
    <w:rsid w:val="005D233D"/>
    <w:rsid w:val="005D2B32"/>
    <w:rsid w:val="005D3576"/>
    <w:rsid w:val="005D3DBE"/>
    <w:rsid w:val="005D4294"/>
    <w:rsid w:val="005D5A40"/>
    <w:rsid w:val="005D5FCE"/>
    <w:rsid w:val="005D6083"/>
    <w:rsid w:val="005D7562"/>
    <w:rsid w:val="005E0CDD"/>
    <w:rsid w:val="005E4152"/>
    <w:rsid w:val="005E5194"/>
    <w:rsid w:val="005E565D"/>
    <w:rsid w:val="005E78D4"/>
    <w:rsid w:val="005E7A8B"/>
    <w:rsid w:val="005F055E"/>
    <w:rsid w:val="005F1356"/>
    <w:rsid w:val="005F18E4"/>
    <w:rsid w:val="005F1D63"/>
    <w:rsid w:val="005F1F35"/>
    <w:rsid w:val="005F24E2"/>
    <w:rsid w:val="005F4FEA"/>
    <w:rsid w:val="005F534D"/>
    <w:rsid w:val="005F5ADA"/>
    <w:rsid w:val="005F5E90"/>
    <w:rsid w:val="005F7128"/>
    <w:rsid w:val="005F7876"/>
    <w:rsid w:val="005F7A34"/>
    <w:rsid w:val="006000DF"/>
    <w:rsid w:val="0060094B"/>
    <w:rsid w:val="00600FCF"/>
    <w:rsid w:val="0060195F"/>
    <w:rsid w:val="00601A4C"/>
    <w:rsid w:val="00601CB1"/>
    <w:rsid w:val="00602054"/>
    <w:rsid w:val="00602720"/>
    <w:rsid w:val="0060278D"/>
    <w:rsid w:val="00603E53"/>
    <w:rsid w:val="00603FDD"/>
    <w:rsid w:val="00604094"/>
    <w:rsid w:val="006043DE"/>
    <w:rsid w:val="00605069"/>
    <w:rsid w:val="006054EA"/>
    <w:rsid w:val="00606EF3"/>
    <w:rsid w:val="00607559"/>
    <w:rsid w:val="00607D45"/>
    <w:rsid w:val="006103DC"/>
    <w:rsid w:val="00611171"/>
    <w:rsid w:val="0061179F"/>
    <w:rsid w:val="00612720"/>
    <w:rsid w:val="00614047"/>
    <w:rsid w:val="0061454F"/>
    <w:rsid w:val="006145EF"/>
    <w:rsid w:val="006146DA"/>
    <w:rsid w:val="006155C6"/>
    <w:rsid w:val="006155E0"/>
    <w:rsid w:val="006166CA"/>
    <w:rsid w:val="00616CEA"/>
    <w:rsid w:val="006175BD"/>
    <w:rsid w:val="00617C73"/>
    <w:rsid w:val="00620AEC"/>
    <w:rsid w:val="00620DA9"/>
    <w:rsid w:val="0062159A"/>
    <w:rsid w:val="006224A1"/>
    <w:rsid w:val="006230F0"/>
    <w:rsid w:val="0062321C"/>
    <w:rsid w:val="00623F22"/>
    <w:rsid w:val="006240EB"/>
    <w:rsid w:val="00624843"/>
    <w:rsid w:val="00625B63"/>
    <w:rsid w:val="00626087"/>
    <w:rsid w:val="00626758"/>
    <w:rsid w:val="00626A37"/>
    <w:rsid w:val="006270CD"/>
    <w:rsid w:val="00627584"/>
    <w:rsid w:val="0062780A"/>
    <w:rsid w:val="006309BC"/>
    <w:rsid w:val="00630C03"/>
    <w:rsid w:val="00630C7C"/>
    <w:rsid w:val="00630CE8"/>
    <w:rsid w:val="0063151D"/>
    <w:rsid w:val="006324F7"/>
    <w:rsid w:val="00634299"/>
    <w:rsid w:val="0063587E"/>
    <w:rsid w:val="006363DC"/>
    <w:rsid w:val="006365B1"/>
    <w:rsid w:val="00636693"/>
    <w:rsid w:val="00637BC4"/>
    <w:rsid w:val="00637D85"/>
    <w:rsid w:val="006417E7"/>
    <w:rsid w:val="00641B73"/>
    <w:rsid w:val="00641E88"/>
    <w:rsid w:val="00644FF3"/>
    <w:rsid w:val="00651B0D"/>
    <w:rsid w:val="00652227"/>
    <w:rsid w:val="0065301F"/>
    <w:rsid w:val="00653212"/>
    <w:rsid w:val="006539FE"/>
    <w:rsid w:val="006541E9"/>
    <w:rsid w:val="006564EA"/>
    <w:rsid w:val="00657FB9"/>
    <w:rsid w:val="00661025"/>
    <w:rsid w:val="00661F86"/>
    <w:rsid w:val="00662D0B"/>
    <w:rsid w:val="00663F0E"/>
    <w:rsid w:val="0066509A"/>
    <w:rsid w:val="0066699B"/>
    <w:rsid w:val="00667DA9"/>
    <w:rsid w:val="00671152"/>
    <w:rsid w:val="006719EC"/>
    <w:rsid w:val="00672733"/>
    <w:rsid w:val="00673D32"/>
    <w:rsid w:val="00673F14"/>
    <w:rsid w:val="006740BE"/>
    <w:rsid w:val="0067580E"/>
    <w:rsid w:val="00676079"/>
    <w:rsid w:val="006767E4"/>
    <w:rsid w:val="00676E01"/>
    <w:rsid w:val="00676F78"/>
    <w:rsid w:val="00676FBD"/>
    <w:rsid w:val="006779C9"/>
    <w:rsid w:val="00677AD0"/>
    <w:rsid w:val="00680E1A"/>
    <w:rsid w:val="00680E89"/>
    <w:rsid w:val="0068108C"/>
    <w:rsid w:val="00681AE4"/>
    <w:rsid w:val="00681FD3"/>
    <w:rsid w:val="00683DDA"/>
    <w:rsid w:val="00690ADD"/>
    <w:rsid w:val="00691361"/>
    <w:rsid w:val="00691EE5"/>
    <w:rsid w:val="006926AE"/>
    <w:rsid w:val="00694813"/>
    <w:rsid w:val="00694D55"/>
    <w:rsid w:val="00696351"/>
    <w:rsid w:val="0069727B"/>
    <w:rsid w:val="0069734C"/>
    <w:rsid w:val="00697A2F"/>
    <w:rsid w:val="006A0AE5"/>
    <w:rsid w:val="006A161C"/>
    <w:rsid w:val="006A1924"/>
    <w:rsid w:val="006A1A71"/>
    <w:rsid w:val="006A3EB7"/>
    <w:rsid w:val="006A4528"/>
    <w:rsid w:val="006A5CAD"/>
    <w:rsid w:val="006A5F0E"/>
    <w:rsid w:val="006A68B7"/>
    <w:rsid w:val="006B034A"/>
    <w:rsid w:val="006B04EF"/>
    <w:rsid w:val="006B0E59"/>
    <w:rsid w:val="006B0F35"/>
    <w:rsid w:val="006B1DAA"/>
    <w:rsid w:val="006B23ED"/>
    <w:rsid w:val="006B2776"/>
    <w:rsid w:val="006B2EEA"/>
    <w:rsid w:val="006B3494"/>
    <w:rsid w:val="006B3C02"/>
    <w:rsid w:val="006B4021"/>
    <w:rsid w:val="006B4794"/>
    <w:rsid w:val="006B4B05"/>
    <w:rsid w:val="006B5CDF"/>
    <w:rsid w:val="006B7106"/>
    <w:rsid w:val="006C08F4"/>
    <w:rsid w:val="006C0978"/>
    <w:rsid w:val="006C2008"/>
    <w:rsid w:val="006C20D4"/>
    <w:rsid w:val="006C2425"/>
    <w:rsid w:val="006C2AEE"/>
    <w:rsid w:val="006C40E5"/>
    <w:rsid w:val="006C5241"/>
    <w:rsid w:val="006C6497"/>
    <w:rsid w:val="006C74E5"/>
    <w:rsid w:val="006C7D69"/>
    <w:rsid w:val="006D0B15"/>
    <w:rsid w:val="006D0BD1"/>
    <w:rsid w:val="006D1A82"/>
    <w:rsid w:val="006D2435"/>
    <w:rsid w:val="006D350F"/>
    <w:rsid w:val="006D3FE5"/>
    <w:rsid w:val="006D4629"/>
    <w:rsid w:val="006D5C22"/>
    <w:rsid w:val="006D5F03"/>
    <w:rsid w:val="006E1F8E"/>
    <w:rsid w:val="006E2BCD"/>
    <w:rsid w:val="006E55EE"/>
    <w:rsid w:val="006E5969"/>
    <w:rsid w:val="006E7152"/>
    <w:rsid w:val="006F0590"/>
    <w:rsid w:val="006F10F2"/>
    <w:rsid w:val="006F19F6"/>
    <w:rsid w:val="006F1B7D"/>
    <w:rsid w:val="006F2AA6"/>
    <w:rsid w:val="006F3CC9"/>
    <w:rsid w:val="006F495C"/>
    <w:rsid w:val="006F4A40"/>
    <w:rsid w:val="006F4FB2"/>
    <w:rsid w:val="006F60D2"/>
    <w:rsid w:val="006F6909"/>
    <w:rsid w:val="006F6D29"/>
    <w:rsid w:val="006F7052"/>
    <w:rsid w:val="006F7F8C"/>
    <w:rsid w:val="00701E44"/>
    <w:rsid w:val="00702B98"/>
    <w:rsid w:val="00704FC2"/>
    <w:rsid w:val="00705711"/>
    <w:rsid w:val="00705E4F"/>
    <w:rsid w:val="00706282"/>
    <w:rsid w:val="00706E60"/>
    <w:rsid w:val="0070793A"/>
    <w:rsid w:val="00707CAF"/>
    <w:rsid w:val="00711AA4"/>
    <w:rsid w:val="00712DB1"/>
    <w:rsid w:val="00715B6D"/>
    <w:rsid w:val="00715C98"/>
    <w:rsid w:val="00716BB5"/>
    <w:rsid w:val="007170AA"/>
    <w:rsid w:val="00720C5F"/>
    <w:rsid w:val="007257B3"/>
    <w:rsid w:val="00726156"/>
    <w:rsid w:val="007262FD"/>
    <w:rsid w:val="00726699"/>
    <w:rsid w:val="00726785"/>
    <w:rsid w:val="00726ADD"/>
    <w:rsid w:val="00731535"/>
    <w:rsid w:val="00731720"/>
    <w:rsid w:val="00732F89"/>
    <w:rsid w:val="007336C6"/>
    <w:rsid w:val="007356FC"/>
    <w:rsid w:val="0073613B"/>
    <w:rsid w:val="00736406"/>
    <w:rsid w:val="00737D20"/>
    <w:rsid w:val="00737EAA"/>
    <w:rsid w:val="0074002B"/>
    <w:rsid w:val="00740579"/>
    <w:rsid w:val="00740CB6"/>
    <w:rsid w:val="0074139C"/>
    <w:rsid w:val="00741791"/>
    <w:rsid w:val="007421CE"/>
    <w:rsid w:val="00743E85"/>
    <w:rsid w:val="00744939"/>
    <w:rsid w:val="007455C8"/>
    <w:rsid w:val="0074596A"/>
    <w:rsid w:val="00746289"/>
    <w:rsid w:val="00746EA4"/>
    <w:rsid w:val="00747174"/>
    <w:rsid w:val="00747DC5"/>
    <w:rsid w:val="0075094D"/>
    <w:rsid w:val="00750975"/>
    <w:rsid w:val="00750B4F"/>
    <w:rsid w:val="0075260A"/>
    <w:rsid w:val="007553EF"/>
    <w:rsid w:val="007556B7"/>
    <w:rsid w:val="00755856"/>
    <w:rsid w:val="00755AAB"/>
    <w:rsid w:val="00755BB6"/>
    <w:rsid w:val="00756F4D"/>
    <w:rsid w:val="007572D5"/>
    <w:rsid w:val="00757EBB"/>
    <w:rsid w:val="00760F78"/>
    <w:rsid w:val="00761C15"/>
    <w:rsid w:val="00762091"/>
    <w:rsid w:val="00763BF5"/>
    <w:rsid w:val="00764C63"/>
    <w:rsid w:val="00765157"/>
    <w:rsid w:val="00765435"/>
    <w:rsid w:val="007659D3"/>
    <w:rsid w:val="00766184"/>
    <w:rsid w:val="00766648"/>
    <w:rsid w:val="00766791"/>
    <w:rsid w:val="00767657"/>
    <w:rsid w:val="00771332"/>
    <w:rsid w:val="00771B0E"/>
    <w:rsid w:val="00772784"/>
    <w:rsid w:val="00773D11"/>
    <w:rsid w:val="007753AF"/>
    <w:rsid w:val="007767C5"/>
    <w:rsid w:val="00776BAD"/>
    <w:rsid w:val="007770B8"/>
    <w:rsid w:val="007777E6"/>
    <w:rsid w:val="00780B8B"/>
    <w:rsid w:val="00780F02"/>
    <w:rsid w:val="00781154"/>
    <w:rsid w:val="00782018"/>
    <w:rsid w:val="007841F8"/>
    <w:rsid w:val="007852A4"/>
    <w:rsid w:val="007853D1"/>
    <w:rsid w:val="007858B2"/>
    <w:rsid w:val="00785CA2"/>
    <w:rsid w:val="00785E24"/>
    <w:rsid w:val="00786B03"/>
    <w:rsid w:val="00791435"/>
    <w:rsid w:val="007915B4"/>
    <w:rsid w:val="00794469"/>
    <w:rsid w:val="0079487A"/>
    <w:rsid w:val="0079492F"/>
    <w:rsid w:val="00796119"/>
    <w:rsid w:val="0079613F"/>
    <w:rsid w:val="007965C9"/>
    <w:rsid w:val="00796E12"/>
    <w:rsid w:val="007A2C2A"/>
    <w:rsid w:val="007A3D33"/>
    <w:rsid w:val="007A436B"/>
    <w:rsid w:val="007A507D"/>
    <w:rsid w:val="007A59A5"/>
    <w:rsid w:val="007B024E"/>
    <w:rsid w:val="007B1068"/>
    <w:rsid w:val="007B397A"/>
    <w:rsid w:val="007B3BA5"/>
    <w:rsid w:val="007B4EAF"/>
    <w:rsid w:val="007B5217"/>
    <w:rsid w:val="007B63F5"/>
    <w:rsid w:val="007C166D"/>
    <w:rsid w:val="007C236B"/>
    <w:rsid w:val="007C2C5D"/>
    <w:rsid w:val="007C5BAC"/>
    <w:rsid w:val="007C75D2"/>
    <w:rsid w:val="007C7FEA"/>
    <w:rsid w:val="007D0C1B"/>
    <w:rsid w:val="007D0FC2"/>
    <w:rsid w:val="007D1822"/>
    <w:rsid w:val="007D24E5"/>
    <w:rsid w:val="007D4E64"/>
    <w:rsid w:val="007D5C0F"/>
    <w:rsid w:val="007D626E"/>
    <w:rsid w:val="007D7176"/>
    <w:rsid w:val="007D74D0"/>
    <w:rsid w:val="007D755E"/>
    <w:rsid w:val="007D75C3"/>
    <w:rsid w:val="007E015C"/>
    <w:rsid w:val="007E08B2"/>
    <w:rsid w:val="007E11FC"/>
    <w:rsid w:val="007E2BA9"/>
    <w:rsid w:val="007E2CB2"/>
    <w:rsid w:val="007E434C"/>
    <w:rsid w:val="007E461A"/>
    <w:rsid w:val="007E5087"/>
    <w:rsid w:val="007E52BA"/>
    <w:rsid w:val="007E58D8"/>
    <w:rsid w:val="007E5FE7"/>
    <w:rsid w:val="007E69E2"/>
    <w:rsid w:val="007E7043"/>
    <w:rsid w:val="007E7407"/>
    <w:rsid w:val="007E76BA"/>
    <w:rsid w:val="007E7C37"/>
    <w:rsid w:val="007F12F4"/>
    <w:rsid w:val="007F2EFD"/>
    <w:rsid w:val="007F3151"/>
    <w:rsid w:val="007F33AB"/>
    <w:rsid w:val="007F36EC"/>
    <w:rsid w:val="007F42CA"/>
    <w:rsid w:val="007F4E96"/>
    <w:rsid w:val="007F51C3"/>
    <w:rsid w:val="007F533F"/>
    <w:rsid w:val="007F55B2"/>
    <w:rsid w:val="007F5F43"/>
    <w:rsid w:val="007F6943"/>
    <w:rsid w:val="007F6D47"/>
    <w:rsid w:val="007F77F1"/>
    <w:rsid w:val="007F7B82"/>
    <w:rsid w:val="007F7FBB"/>
    <w:rsid w:val="008000B6"/>
    <w:rsid w:val="00801E78"/>
    <w:rsid w:val="00802702"/>
    <w:rsid w:val="00802C34"/>
    <w:rsid w:val="0080310C"/>
    <w:rsid w:val="00803392"/>
    <w:rsid w:val="0080489E"/>
    <w:rsid w:val="00804A54"/>
    <w:rsid w:val="0080539D"/>
    <w:rsid w:val="008056D4"/>
    <w:rsid w:val="008057F5"/>
    <w:rsid w:val="00806725"/>
    <w:rsid w:val="00806796"/>
    <w:rsid w:val="00807616"/>
    <w:rsid w:val="008110A7"/>
    <w:rsid w:val="00813451"/>
    <w:rsid w:val="00813FAA"/>
    <w:rsid w:val="00814302"/>
    <w:rsid w:val="00814812"/>
    <w:rsid w:val="00815A75"/>
    <w:rsid w:val="0081684A"/>
    <w:rsid w:val="0082006C"/>
    <w:rsid w:val="00821154"/>
    <w:rsid w:val="008212BE"/>
    <w:rsid w:val="00821305"/>
    <w:rsid w:val="0082229A"/>
    <w:rsid w:val="008224F2"/>
    <w:rsid w:val="00823294"/>
    <w:rsid w:val="0082416C"/>
    <w:rsid w:val="00824721"/>
    <w:rsid w:val="008247B6"/>
    <w:rsid w:val="00825705"/>
    <w:rsid w:val="00825CFB"/>
    <w:rsid w:val="00825E41"/>
    <w:rsid w:val="00826A3F"/>
    <w:rsid w:val="008270E1"/>
    <w:rsid w:val="00827FD3"/>
    <w:rsid w:val="00830DEB"/>
    <w:rsid w:val="00831664"/>
    <w:rsid w:val="00831A48"/>
    <w:rsid w:val="00833598"/>
    <w:rsid w:val="00833967"/>
    <w:rsid w:val="00833C23"/>
    <w:rsid w:val="008346D0"/>
    <w:rsid w:val="00834702"/>
    <w:rsid w:val="00834DF5"/>
    <w:rsid w:val="00836980"/>
    <w:rsid w:val="008372F6"/>
    <w:rsid w:val="00837B1C"/>
    <w:rsid w:val="00842B90"/>
    <w:rsid w:val="00843064"/>
    <w:rsid w:val="00843BD8"/>
    <w:rsid w:val="00844106"/>
    <w:rsid w:val="008451A9"/>
    <w:rsid w:val="00850242"/>
    <w:rsid w:val="0085026E"/>
    <w:rsid w:val="0085116C"/>
    <w:rsid w:val="00852022"/>
    <w:rsid w:val="008532F6"/>
    <w:rsid w:val="00853570"/>
    <w:rsid w:val="00853633"/>
    <w:rsid w:val="00853F8F"/>
    <w:rsid w:val="00856204"/>
    <w:rsid w:val="00857BDC"/>
    <w:rsid w:val="00857CBF"/>
    <w:rsid w:val="00860850"/>
    <w:rsid w:val="008619AB"/>
    <w:rsid w:val="0086306F"/>
    <w:rsid w:val="00863AE0"/>
    <w:rsid w:val="00864822"/>
    <w:rsid w:val="00866EF9"/>
    <w:rsid w:val="00870F76"/>
    <w:rsid w:val="00872E64"/>
    <w:rsid w:val="00874CF1"/>
    <w:rsid w:val="0087572F"/>
    <w:rsid w:val="00875C95"/>
    <w:rsid w:val="00875E15"/>
    <w:rsid w:val="008775C4"/>
    <w:rsid w:val="00877CE3"/>
    <w:rsid w:val="00877F3A"/>
    <w:rsid w:val="008806B3"/>
    <w:rsid w:val="00880E56"/>
    <w:rsid w:val="008819B0"/>
    <w:rsid w:val="00882040"/>
    <w:rsid w:val="00882324"/>
    <w:rsid w:val="00882376"/>
    <w:rsid w:val="008828E7"/>
    <w:rsid w:val="008830DC"/>
    <w:rsid w:val="00883764"/>
    <w:rsid w:val="00883F6F"/>
    <w:rsid w:val="008853C3"/>
    <w:rsid w:val="008857F9"/>
    <w:rsid w:val="00885EA4"/>
    <w:rsid w:val="00885F75"/>
    <w:rsid w:val="00885FF4"/>
    <w:rsid w:val="00886E64"/>
    <w:rsid w:val="00886EB8"/>
    <w:rsid w:val="008873D2"/>
    <w:rsid w:val="00891830"/>
    <w:rsid w:val="008920A9"/>
    <w:rsid w:val="008924FC"/>
    <w:rsid w:val="00893020"/>
    <w:rsid w:val="00893501"/>
    <w:rsid w:val="008935AE"/>
    <w:rsid w:val="00893F97"/>
    <w:rsid w:val="008949F4"/>
    <w:rsid w:val="008954C1"/>
    <w:rsid w:val="008A0449"/>
    <w:rsid w:val="008A05FF"/>
    <w:rsid w:val="008A095F"/>
    <w:rsid w:val="008A2086"/>
    <w:rsid w:val="008A39ED"/>
    <w:rsid w:val="008A3BD3"/>
    <w:rsid w:val="008A4001"/>
    <w:rsid w:val="008A4D8E"/>
    <w:rsid w:val="008A5212"/>
    <w:rsid w:val="008A52D9"/>
    <w:rsid w:val="008A630A"/>
    <w:rsid w:val="008A6F68"/>
    <w:rsid w:val="008A7557"/>
    <w:rsid w:val="008A77BB"/>
    <w:rsid w:val="008B1662"/>
    <w:rsid w:val="008B1DBD"/>
    <w:rsid w:val="008B2083"/>
    <w:rsid w:val="008B3002"/>
    <w:rsid w:val="008B3F10"/>
    <w:rsid w:val="008B45C6"/>
    <w:rsid w:val="008B4C89"/>
    <w:rsid w:val="008B53F7"/>
    <w:rsid w:val="008B6893"/>
    <w:rsid w:val="008B756A"/>
    <w:rsid w:val="008C0563"/>
    <w:rsid w:val="008C189D"/>
    <w:rsid w:val="008C3069"/>
    <w:rsid w:val="008C3131"/>
    <w:rsid w:val="008C358C"/>
    <w:rsid w:val="008C5385"/>
    <w:rsid w:val="008C581E"/>
    <w:rsid w:val="008C6F88"/>
    <w:rsid w:val="008C7BB8"/>
    <w:rsid w:val="008D00D0"/>
    <w:rsid w:val="008D0B3A"/>
    <w:rsid w:val="008D0DF2"/>
    <w:rsid w:val="008D135D"/>
    <w:rsid w:val="008D2DD7"/>
    <w:rsid w:val="008D30B9"/>
    <w:rsid w:val="008D3356"/>
    <w:rsid w:val="008D459E"/>
    <w:rsid w:val="008D53B4"/>
    <w:rsid w:val="008D5562"/>
    <w:rsid w:val="008D62A2"/>
    <w:rsid w:val="008D647C"/>
    <w:rsid w:val="008D6F2A"/>
    <w:rsid w:val="008D6FA1"/>
    <w:rsid w:val="008D74F4"/>
    <w:rsid w:val="008D761D"/>
    <w:rsid w:val="008D7D60"/>
    <w:rsid w:val="008E2309"/>
    <w:rsid w:val="008E2E92"/>
    <w:rsid w:val="008E3166"/>
    <w:rsid w:val="008E381E"/>
    <w:rsid w:val="008E400D"/>
    <w:rsid w:val="008E4A7A"/>
    <w:rsid w:val="008E52D2"/>
    <w:rsid w:val="008E6487"/>
    <w:rsid w:val="008F4133"/>
    <w:rsid w:val="008F52AA"/>
    <w:rsid w:val="008F5A7F"/>
    <w:rsid w:val="008F612C"/>
    <w:rsid w:val="008F6CEC"/>
    <w:rsid w:val="009005B1"/>
    <w:rsid w:val="00900AF1"/>
    <w:rsid w:val="00901AE7"/>
    <w:rsid w:val="00901B3D"/>
    <w:rsid w:val="00901F42"/>
    <w:rsid w:val="009025EA"/>
    <w:rsid w:val="00903073"/>
    <w:rsid w:val="00903CE5"/>
    <w:rsid w:val="0090470A"/>
    <w:rsid w:val="00904764"/>
    <w:rsid w:val="00905028"/>
    <w:rsid w:val="0090574D"/>
    <w:rsid w:val="009060FF"/>
    <w:rsid w:val="00907133"/>
    <w:rsid w:val="0090751F"/>
    <w:rsid w:val="00910624"/>
    <w:rsid w:val="0091120F"/>
    <w:rsid w:val="009127A5"/>
    <w:rsid w:val="0091378E"/>
    <w:rsid w:val="00915617"/>
    <w:rsid w:val="00920498"/>
    <w:rsid w:val="0092568A"/>
    <w:rsid w:val="00925ED8"/>
    <w:rsid w:val="00925F76"/>
    <w:rsid w:val="00926723"/>
    <w:rsid w:val="00926789"/>
    <w:rsid w:val="00926AAB"/>
    <w:rsid w:val="00927F75"/>
    <w:rsid w:val="00930314"/>
    <w:rsid w:val="0093085D"/>
    <w:rsid w:val="00931334"/>
    <w:rsid w:val="009320A2"/>
    <w:rsid w:val="00932B63"/>
    <w:rsid w:val="00933FDF"/>
    <w:rsid w:val="009347D7"/>
    <w:rsid w:val="00934D4E"/>
    <w:rsid w:val="00935072"/>
    <w:rsid w:val="00935757"/>
    <w:rsid w:val="00936DC8"/>
    <w:rsid w:val="0093765B"/>
    <w:rsid w:val="00937A1A"/>
    <w:rsid w:val="00937AFF"/>
    <w:rsid w:val="00940091"/>
    <w:rsid w:val="0094045A"/>
    <w:rsid w:val="009409AD"/>
    <w:rsid w:val="009414B9"/>
    <w:rsid w:val="0094225A"/>
    <w:rsid w:val="00942605"/>
    <w:rsid w:val="00942B87"/>
    <w:rsid w:val="00942DD2"/>
    <w:rsid w:val="00943143"/>
    <w:rsid w:val="00943C79"/>
    <w:rsid w:val="00944B82"/>
    <w:rsid w:val="00947512"/>
    <w:rsid w:val="00947B41"/>
    <w:rsid w:val="0095016D"/>
    <w:rsid w:val="00950C2B"/>
    <w:rsid w:val="00950C7C"/>
    <w:rsid w:val="00951AAB"/>
    <w:rsid w:val="00951FA0"/>
    <w:rsid w:val="009532E3"/>
    <w:rsid w:val="00953AF7"/>
    <w:rsid w:val="0095496C"/>
    <w:rsid w:val="00954A9C"/>
    <w:rsid w:val="009551D9"/>
    <w:rsid w:val="00955771"/>
    <w:rsid w:val="0095592B"/>
    <w:rsid w:val="0095662D"/>
    <w:rsid w:val="00956A1F"/>
    <w:rsid w:val="00956F4C"/>
    <w:rsid w:val="009570DC"/>
    <w:rsid w:val="0095762F"/>
    <w:rsid w:val="00960795"/>
    <w:rsid w:val="0096259B"/>
    <w:rsid w:val="00962F52"/>
    <w:rsid w:val="00963AFB"/>
    <w:rsid w:val="009709BA"/>
    <w:rsid w:val="00970E84"/>
    <w:rsid w:val="00972A9C"/>
    <w:rsid w:val="00973EEF"/>
    <w:rsid w:val="0097409D"/>
    <w:rsid w:val="00975ABC"/>
    <w:rsid w:val="00975C0C"/>
    <w:rsid w:val="00976E09"/>
    <w:rsid w:val="009779CA"/>
    <w:rsid w:val="00983F19"/>
    <w:rsid w:val="0098440B"/>
    <w:rsid w:val="0098462F"/>
    <w:rsid w:val="0098491B"/>
    <w:rsid w:val="00984AB0"/>
    <w:rsid w:val="009860ED"/>
    <w:rsid w:val="00987529"/>
    <w:rsid w:val="00987924"/>
    <w:rsid w:val="00990C92"/>
    <w:rsid w:val="00991DF9"/>
    <w:rsid w:val="0099219F"/>
    <w:rsid w:val="00992B0E"/>
    <w:rsid w:val="0099302C"/>
    <w:rsid w:val="00993068"/>
    <w:rsid w:val="009945BE"/>
    <w:rsid w:val="0099525B"/>
    <w:rsid w:val="009A011F"/>
    <w:rsid w:val="009A08A5"/>
    <w:rsid w:val="009A0A45"/>
    <w:rsid w:val="009A0ED0"/>
    <w:rsid w:val="009A11D2"/>
    <w:rsid w:val="009A1214"/>
    <w:rsid w:val="009A1567"/>
    <w:rsid w:val="009A15D5"/>
    <w:rsid w:val="009A21CB"/>
    <w:rsid w:val="009A233B"/>
    <w:rsid w:val="009A2AC6"/>
    <w:rsid w:val="009A57CA"/>
    <w:rsid w:val="009A73AF"/>
    <w:rsid w:val="009A745C"/>
    <w:rsid w:val="009A7503"/>
    <w:rsid w:val="009A7A82"/>
    <w:rsid w:val="009A7CD7"/>
    <w:rsid w:val="009B01D6"/>
    <w:rsid w:val="009B06B2"/>
    <w:rsid w:val="009B0A7F"/>
    <w:rsid w:val="009B0D52"/>
    <w:rsid w:val="009B2015"/>
    <w:rsid w:val="009B2D26"/>
    <w:rsid w:val="009B2DEF"/>
    <w:rsid w:val="009B38E6"/>
    <w:rsid w:val="009B4B57"/>
    <w:rsid w:val="009B4C49"/>
    <w:rsid w:val="009B7B8A"/>
    <w:rsid w:val="009C0CA1"/>
    <w:rsid w:val="009C0F8A"/>
    <w:rsid w:val="009C12BB"/>
    <w:rsid w:val="009C3A49"/>
    <w:rsid w:val="009C4FC2"/>
    <w:rsid w:val="009C5101"/>
    <w:rsid w:val="009C55EC"/>
    <w:rsid w:val="009C7C5F"/>
    <w:rsid w:val="009D1520"/>
    <w:rsid w:val="009D2471"/>
    <w:rsid w:val="009D279E"/>
    <w:rsid w:val="009D49B3"/>
    <w:rsid w:val="009D5070"/>
    <w:rsid w:val="009D565C"/>
    <w:rsid w:val="009D57F2"/>
    <w:rsid w:val="009D5852"/>
    <w:rsid w:val="009D5FB9"/>
    <w:rsid w:val="009D6087"/>
    <w:rsid w:val="009D6434"/>
    <w:rsid w:val="009D7A39"/>
    <w:rsid w:val="009D7E90"/>
    <w:rsid w:val="009E281B"/>
    <w:rsid w:val="009E42EB"/>
    <w:rsid w:val="009E5479"/>
    <w:rsid w:val="009E5528"/>
    <w:rsid w:val="009E70D8"/>
    <w:rsid w:val="009E7F71"/>
    <w:rsid w:val="009F01F0"/>
    <w:rsid w:val="009F028A"/>
    <w:rsid w:val="009F079C"/>
    <w:rsid w:val="009F1963"/>
    <w:rsid w:val="009F262F"/>
    <w:rsid w:val="009F2C79"/>
    <w:rsid w:val="009F7286"/>
    <w:rsid w:val="009F7FF2"/>
    <w:rsid w:val="00A005DB"/>
    <w:rsid w:val="00A00A3F"/>
    <w:rsid w:val="00A01C4B"/>
    <w:rsid w:val="00A027BE"/>
    <w:rsid w:val="00A03D93"/>
    <w:rsid w:val="00A04299"/>
    <w:rsid w:val="00A04CA2"/>
    <w:rsid w:val="00A04D61"/>
    <w:rsid w:val="00A06F3B"/>
    <w:rsid w:val="00A10281"/>
    <w:rsid w:val="00A11324"/>
    <w:rsid w:val="00A11937"/>
    <w:rsid w:val="00A13556"/>
    <w:rsid w:val="00A14B8F"/>
    <w:rsid w:val="00A1512D"/>
    <w:rsid w:val="00A17DD9"/>
    <w:rsid w:val="00A20550"/>
    <w:rsid w:val="00A205BE"/>
    <w:rsid w:val="00A2179F"/>
    <w:rsid w:val="00A227FE"/>
    <w:rsid w:val="00A23D8A"/>
    <w:rsid w:val="00A24546"/>
    <w:rsid w:val="00A2461E"/>
    <w:rsid w:val="00A2575A"/>
    <w:rsid w:val="00A2600F"/>
    <w:rsid w:val="00A270CB"/>
    <w:rsid w:val="00A278CE"/>
    <w:rsid w:val="00A30DCA"/>
    <w:rsid w:val="00A31AB7"/>
    <w:rsid w:val="00A31E06"/>
    <w:rsid w:val="00A31E2F"/>
    <w:rsid w:val="00A326E5"/>
    <w:rsid w:val="00A334F9"/>
    <w:rsid w:val="00A3366E"/>
    <w:rsid w:val="00A3548F"/>
    <w:rsid w:val="00A3561B"/>
    <w:rsid w:val="00A40405"/>
    <w:rsid w:val="00A4152A"/>
    <w:rsid w:val="00A42762"/>
    <w:rsid w:val="00A42C12"/>
    <w:rsid w:val="00A4370A"/>
    <w:rsid w:val="00A46512"/>
    <w:rsid w:val="00A46AE4"/>
    <w:rsid w:val="00A477C3"/>
    <w:rsid w:val="00A5082B"/>
    <w:rsid w:val="00A50BBC"/>
    <w:rsid w:val="00A51954"/>
    <w:rsid w:val="00A54B59"/>
    <w:rsid w:val="00A55B35"/>
    <w:rsid w:val="00A60680"/>
    <w:rsid w:val="00A627B4"/>
    <w:rsid w:val="00A62CD3"/>
    <w:rsid w:val="00A64245"/>
    <w:rsid w:val="00A66E79"/>
    <w:rsid w:val="00A70D1D"/>
    <w:rsid w:val="00A71FFF"/>
    <w:rsid w:val="00A723E0"/>
    <w:rsid w:val="00A75348"/>
    <w:rsid w:val="00A76759"/>
    <w:rsid w:val="00A76E46"/>
    <w:rsid w:val="00A773C5"/>
    <w:rsid w:val="00A77469"/>
    <w:rsid w:val="00A77509"/>
    <w:rsid w:val="00A80CBE"/>
    <w:rsid w:val="00A80E83"/>
    <w:rsid w:val="00A80FE6"/>
    <w:rsid w:val="00A812E3"/>
    <w:rsid w:val="00A81A82"/>
    <w:rsid w:val="00A831F5"/>
    <w:rsid w:val="00A8355D"/>
    <w:rsid w:val="00A83CAA"/>
    <w:rsid w:val="00A83E48"/>
    <w:rsid w:val="00A84C17"/>
    <w:rsid w:val="00A861BB"/>
    <w:rsid w:val="00A8657D"/>
    <w:rsid w:val="00A86633"/>
    <w:rsid w:val="00A86E99"/>
    <w:rsid w:val="00A86F4A"/>
    <w:rsid w:val="00A8714E"/>
    <w:rsid w:val="00A901FF"/>
    <w:rsid w:val="00A921FA"/>
    <w:rsid w:val="00A9259A"/>
    <w:rsid w:val="00A92F16"/>
    <w:rsid w:val="00A962D5"/>
    <w:rsid w:val="00A967E6"/>
    <w:rsid w:val="00A96F0C"/>
    <w:rsid w:val="00AA0D92"/>
    <w:rsid w:val="00AA1369"/>
    <w:rsid w:val="00AA16D7"/>
    <w:rsid w:val="00AA1902"/>
    <w:rsid w:val="00AA1F1E"/>
    <w:rsid w:val="00AA3446"/>
    <w:rsid w:val="00AA3550"/>
    <w:rsid w:val="00AA46E3"/>
    <w:rsid w:val="00AA588A"/>
    <w:rsid w:val="00AA5ADA"/>
    <w:rsid w:val="00AA64DA"/>
    <w:rsid w:val="00AA6B71"/>
    <w:rsid w:val="00AA6BF3"/>
    <w:rsid w:val="00AA6CFC"/>
    <w:rsid w:val="00AA7661"/>
    <w:rsid w:val="00AA7E9E"/>
    <w:rsid w:val="00AB03CA"/>
    <w:rsid w:val="00AB0868"/>
    <w:rsid w:val="00AB1665"/>
    <w:rsid w:val="00AB4290"/>
    <w:rsid w:val="00AB438D"/>
    <w:rsid w:val="00AB4C2B"/>
    <w:rsid w:val="00AB6CB4"/>
    <w:rsid w:val="00AB70BF"/>
    <w:rsid w:val="00AC02A7"/>
    <w:rsid w:val="00AC08BA"/>
    <w:rsid w:val="00AC2515"/>
    <w:rsid w:val="00AC2931"/>
    <w:rsid w:val="00AC3A84"/>
    <w:rsid w:val="00AC4089"/>
    <w:rsid w:val="00AC45D2"/>
    <w:rsid w:val="00AC50B5"/>
    <w:rsid w:val="00AC6159"/>
    <w:rsid w:val="00AD0391"/>
    <w:rsid w:val="00AD0BD7"/>
    <w:rsid w:val="00AD1483"/>
    <w:rsid w:val="00AD2510"/>
    <w:rsid w:val="00AD2A6F"/>
    <w:rsid w:val="00AD3E21"/>
    <w:rsid w:val="00AD4A9E"/>
    <w:rsid w:val="00AD4F51"/>
    <w:rsid w:val="00AD566B"/>
    <w:rsid w:val="00AD67DD"/>
    <w:rsid w:val="00AD70DE"/>
    <w:rsid w:val="00AD71C9"/>
    <w:rsid w:val="00AD78B0"/>
    <w:rsid w:val="00AD78D6"/>
    <w:rsid w:val="00AD793B"/>
    <w:rsid w:val="00AE0E86"/>
    <w:rsid w:val="00AE156C"/>
    <w:rsid w:val="00AE1884"/>
    <w:rsid w:val="00AE1D9A"/>
    <w:rsid w:val="00AE3E50"/>
    <w:rsid w:val="00AE4BA0"/>
    <w:rsid w:val="00AE71EA"/>
    <w:rsid w:val="00AE7832"/>
    <w:rsid w:val="00AF0E70"/>
    <w:rsid w:val="00AF35EF"/>
    <w:rsid w:val="00AF3BF1"/>
    <w:rsid w:val="00AF3E99"/>
    <w:rsid w:val="00AF5486"/>
    <w:rsid w:val="00AF5B8D"/>
    <w:rsid w:val="00AF73F6"/>
    <w:rsid w:val="00AF7A90"/>
    <w:rsid w:val="00B0034F"/>
    <w:rsid w:val="00B0035B"/>
    <w:rsid w:val="00B01611"/>
    <w:rsid w:val="00B01689"/>
    <w:rsid w:val="00B0289D"/>
    <w:rsid w:val="00B065A5"/>
    <w:rsid w:val="00B068F9"/>
    <w:rsid w:val="00B06C4B"/>
    <w:rsid w:val="00B06CA7"/>
    <w:rsid w:val="00B07EBF"/>
    <w:rsid w:val="00B10184"/>
    <w:rsid w:val="00B11620"/>
    <w:rsid w:val="00B11C89"/>
    <w:rsid w:val="00B137D7"/>
    <w:rsid w:val="00B14F14"/>
    <w:rsid w:val="00B15FE2"/>
    <w:rsid w:val="00B17A0D"/>
    <w:rsid w:val="00B20832"/>
    <w:rsid w:val="00B208E1"/>
    <w:rsid w:val="00B20922"/>
    <w:rsid w:val="00B21F31"/>
    <w:rsid w:val="00B22214"/>
    <w:rsid w:val="00B23C31"/>
    <w:rsid w:val="00B24F58"/>
    <w:rsid w:val="00B26212"/>
    <w:rsid w:val="00B26949"/>
    <w:rsid w:val="00B27BE9"/>
    <w:rsid w:val="00B27C99"/>
    <w:rsid w:val="00B30115"/>
    <w:rsid w:val="00B30596"/>
    <w:rsid w:val="00B3158E"/>
    <w:rsid w:val="00B32809"/>
    <w:rsid w:val="00B32903"/>
    <w:rsid w:val="00B343D6"/>
    <w:rsid w:val="00B35251"/>
    <w:rsid w:val="00B353CB"/>
    <w:rsid w:val="00B36003"/>
    <w:rsid w:val="00B36091"/>
    <w:rsid w:val="00B37668"/>
    <w:rsid w:val="00B37913"/>
    <w:rsid w:val="00B40FB0"/>
    <w:rsid w:val="00B41524"/>
    <w:rsid w:val="00B4261A"/>
    <w:rsid w:val="00B4375F"/>
    <w:rsid w:val="00B437F4"/>
    <w:rsid w:val="00B4417A"/>
    <w:rsid w:val="00B44DD8"/>
    <w:rsid w:val="00B464BF"/>
    <w:rsid w:val="00B47ED9"/>
    <w:rsid w:val="00B50535"/>
    <w:rsid w:val="00B511D8"/>
    <w:rsid w:val="00B517E9"/>
    <w:rsid w:val="00B522A8"/>
    <w:rsid w:val="00B5309E"/>
    <w:rsid w:val="00B5354A"/>
    <w:rsid w:val="00B5694A"/>
    <w:rsid w:val="00B56F79"/>
    <w:rsid w:val="00B56FB4"/>
    <w:rsid w:val="00B5752D"/>
    <w:rsid w:val="00B60D21"/>
    <w:rsid w:val="00B61937"/>
    <w:rsid w:val="00B63E18"/>
    <w:rsid w:val="00B64D73"/>
    <w:rsid w:val="00B65EFA"/>
    <w:rsid w:val="00B65F55"/>
    <w:rsid w:val="00B664C1"/>
    <w:rsid w:val="00B66E97"/>
    <w:rsid w:val="00B67920"/>
    <w:rsid w:val="00B67995"/>
    <w:rsid w:val="00B7049A"/>
    <w:rsid w:val="00B71064"/>
    <w:rsid w:val="00B715E2"/>
    <w:rsid w:val="00B7189B"/>
    <w:rsid w:val="00B72267"/>
    <w:rsid w:val="00B72283"/>
    <w:rsid w:val="00B727A0"/>
    <w:rsid w:val="00B73048"/>
    <w:rsid w:val="00B73FD3"/>
    <w:rsid w:val="00B75546"/>
    <w:rsid w:val="00B75969"/>
    <w:rsid w:val="00B776B6"/>
    <w:rsid w:val="00B80416"/>
    <w:rsid w:val="00B82CDD"/>
    <w:rsid w:val="00B82FB2"/>
    <w:rsid w:val="00B8344C"/>
    <w:rsid w:val="00B836B4"/>
    <w:rsid w:val="00B84045"/>
    <w:rsid w:val="00B840E4"/>
    <w:rsid w:val="00B841A2"/>
    <w:rsid w:val="00B84B87"/>
    <w:rsid w:val="00B8690D"/>
    <w:rsid w:val="00B86BC8"/>
    <w:rsid w:val="00B87164"/>
    <w:rsid w:val="00B87BCC"/>
    <w:rsid w:val="00B903F1"/>
    <w:rsid w:val="00B906EE"/>
    <w:rsid w:val="00B91049"/>
    <w:rsid w:val="00B92ED7"/>
    <w:rsid w:val="00B960E3"/>
    <w:rsid w:val="00B964DA"/>
    <w:rsid w:val="00BA0374"/>
    <w:rsid w:val="00BA063C"/>
    <w:rsid w:val="00BA1296"/>
    <w:rsid w:val="00BA1EE2"/>
    <w:rsid w:val="00BA2FF7"/>
    <w:rsid w:val="00BA6A5E"/>
    <w:rsid w:val="00BB1FFC"/>
    <w:rsid w:val="00BB4919"/>
    <w:rsid w:val="00BB67A6"/>
    <w:rsid w:val="00BB6B3F"/>
    <w:rsid w:val="00BB6CBB"/>
    <w:rsid w:val="00BB6E78"/>
    <w:rsid w:val="00BB7293"/>
    <w:rsid w:val="00BC0CAC"/>
    <w:rsid w:val="00BC1DDE"/>
    <w:rsid w:val="00BC2039"/>
    <w:rsid w:val="00BC2214"/>
    <w:rsid w:val="00BC3CDD"/>
    <w:rsid w:val="00BC40B0"/>
    <w:rsid w:val="00BC4B50"/>
    <w:rsid w:val="00BC614E"/>
    <w:rsid w:val="00BC6979"/>
    <w:rsid w:val="00BC6A78"/>
    <w:rsid w:val="00BC6B48"/>
    <w:rsid w:val="00BD04A2"/>
    <w:rsid w:val="00BD12A8"/>
    <w:rsid w:val="00BD34F1"/>
    <w:rsid w:val="00BD3B2A"/>
    <w:rsid w:val="00BD422F"/>
    <w:rsid w:val="00BD4242"/>
    <w:rsid w:val="00BD4294"/>
    <w:rsid w:val="00BD66D7"/>
    <w:rsid w:val="00BD678F"/>
    <w:rsid w:val="00BD6858"/>
    <w:rsid w:val="00BE0106"/>
    <w:rsid w:val="00BE0E9B"/>
    <w:rsid w:val="00BE14C6"/>
    <w:rsid w:val="00BE1933"/>
    <w:rsid w:val="00BE1C3C"/>
    <w:rsid w:val="00BE1F34"/>
    <w:rsid w:val="00BE2C16"/>
    <w:rsid w:val="00BE3B7F"/>
    <w:rsid w:val="00BE412F"/>
    <w:rsid w:val="00BE4B9B"/>
    <w:rsid w:val="00BE55D1"/>
    <w:rsid w:val="00BE69FE"/>
    <w:rsid w:val="00BE71AF"/>
    <w:rsid w:val="00BE749B"/>
    <w:rsid w:val="00BF01ED"/>
    <w:rsid w:val="00BF12E9"/>
    <w:rsid w:val="00BF1B68"/>
    <w:rsid w:val="00BF1E44"/>
    <w:rsid w:val="00BF3B89"/>
    <w:rsid w:val="00BF3D91"/>
    <w:rsid w:val="00BF5FF1"/>
    <w:rsid w:val="00BF6D79"/>
    <w:rsid w:val="00BF753C"/>
    <w:rsid w:val="00C013CB"/>
    <w:rsid w:val="00C023C2"/>
    <w:rsid w:val="00C02E50"/>
    <w:rsid w:val="00C03A7B"/>
    <w:rsid w:val="00C03BEB"/>
    <w:rsid w:val="00C041B2"/>
    <w:rsid w:val="00C0461C"/>
    <w:rsid w:val="00C0497A"/>
    <w:rsid w:val="00C054F6"/>
    <w:rsid w:val="00C05578"/>
    <w:rsid w:val="00C05F56"/>
    <w:rsid w:val="00C0696B"/>
    <w:rsid w:val="00C1175F"/>
    <w:rsid w:val="00C11F35"/>
    <w:rsid w:val="00C135F7"/>
    <w:rsid w:val="00C13A73"/>
    <w:rsid w:val="00C1420D"/>
    <w:rsid w:val="00C1470B"/>
    <w:rsid w:val="00C149EE"/>
    <w:rsid w:val="00C1518C"/>
    <w:rsid w:val="00C1565C"/>
    <w:rsid w:val="00C1678C"/>
    <w:rsid w:val="00C171A4"/>
    <w:rsid w:val="00C20029"/>
    <w:rsid w:val="00C215F1"/>
    <w:rsid w:val="00C2251B"/>
    <w:rsid w:val="00C255F9"/>
    <w:rsid w:val="00C27A18"/>
    <w:rsid w:val="00C300DF"/>
    <w:rsid w:val="00C30414"/>
    <w:rsid w:val="00C30690"/>
    <w:rsid w:val="00C3083B"/>
    <w:rsid w:val="00C326B5"/>
    <w:rsid w:val="00C32DF4"/>
    <w:rsid w:val="00C36C10"/>
    <w:rsid w:val="00C3708F"/>
    <w:rsid w:val="00C430AA"/>
    <w:rsid w:val="00C43AF8"/>
    <w:rsid w:val="00C43B9F"/>
    <w:rsid w:val="00C449A9"/>
    <w:rsid w:val="00C44A35"/>
    <w:rsid w:val="00C45728"/>
    <w:rsid w:val="00C46765"/>
    <w:rsid w:val="00C46FCC"/>
    <w:rsid w:val="00C47061"/>
    <w:rsid w:val="00C504C5"/>
    <w:rsid w:val="00C50A5E"/>
    <w:rsid w:val="00C53813"/>
    <w:rsid w:val="00C53A24"/>
    <w:rsid w:val="00C55587"/>
    <w:rsid w:val="00C56ADF"/>
    <w:rsid w:val="00C572D9"/>
    <w:rsid w:val="00C57302"/>
    <w:rsid w:val="00C60026"/>
    <w:rsid w:val="00C609B5"/>
    <w:rsid w:val="00C60A89"/>
    <w:rsid w:val="00C60E67"/>
    <w:rsid w:val="00C611C9"/>
    <w:rsid w:val="00C613F2"/>
    <w:rsid w:val="00C61AB1"/>
    <w:rsid w:val="00C62795"/>
    <w:rsid w:val="00C62924"/>
    <w:rsid w:val="00C62EE0"/>
    <w:rsid w:val="00C62F0E"/>
    <w:rsid w:val="00C63571"/>
    <w:rsid w:val="00C642EF"/>
    <w:rsid w:val="00C6504C"/>
    <w:rsid w:val="00C658D2"/>
    <w:rsid w:val="00C65BF7"/>
    <w:rsid w:val="00C66D15"/>
    <w:rsid w:val="00C6722E"/>
    <w:rsid w:val="00C67F42"/>
    <w:rsid w:val="00C70964"/>
    <w:rsid w:val="00C70C9B"/>
    <w:rsid w:val="00C7143F"/>
    <w:rsid w:val="00C7270A"/>
    <w:rsid w:val="00C72C2F"/>
    <w:rsid w:val="00C72EE3"/>
    <w:rsid w:val="00C738F6"/>
    <w:rsid w:val="00C73BCC"/>
    <w:rsid w:val="00C7416E"/>
    <w:rsid w:val="00C74966"/>
    <w:rsid w:val="00C74B2C"/>
    <w:rsid w:val="00C7620D"/>
    <w:rsid w:val="00C7752A"/>
    <w:rsid w:val="00C7797B"/>
    <w:rsid w:val="00C81FCC"/>
    <w:rsid w:val="00C82154"/>
    <w:rsid w:val="00C85132"/>
    <w:rsid w:val="00C851BD"/>
    <w:rsid w:val="00C85A92"/>
    <w:rsid w:val="00C85B4A"/>
    <w:rsid w:val="00C94A56"/>
    <w:rsid w:val="00C95AFC"/>
    <w:rsid w:val="00C96136"/>
    <w:rsid w:val="00C96175"/>
    <w:rsid w:val="00C96621"/>
    <w:rsid w:val="00C967CF"/>
    <w:rsid w:val="00CA0AA9"/>
    <w:rsid w:val="00CA1781"/>
    <w:rsid w:val="00CA1AD3"/>
    <w:rsid w:val="00CA27FE"/>
    <w:rsid w:val="00CA5977"/>
    <w:rsid w:val="00CA5BEF"/>
    <w:rsid w:val="00CB077C"/>
    <w:rsid w:val="00CB0BF7"/>
    <w:rsid w:val="00CB162D"/>
    <w:rsid w:val="00CB300A"/>
    <w:rsid w:val="00CB3A28"/>
    <w:rsid w:val="00CB3CB4"/>
    <w:rsid w:val="00CB3D81"/>
    <w:rsid w:val="00CB423E"/>
    <w:rsid w:val="00CB507C"/>
    <w:rsid w:val="00CB57E6"/>
    <w:rsid w:val="00CB5827"/>
    <w:rsid w:val="00CB6500"/>
    <w:rsid w:val="00CB73C6"/>
    <w:rsid w:val="00CB75AF"/>
    <w:rsid w:val="00CC3F6E"/>
    <w:rsid w:val="00CC3FB6"/>
    <w:rsid w:val="00CC462D"/>
    <w:rsid w:val="00CC48A8"/>
    <w:rsid w:val="00CC51EC"/>
    <w:rsid w:val="00CC64C0"/>
    <w:rsid w:val="00CC68C7"/>
    <w:rsid w:val="00CC6E01"/>
    <w:rsid w:val="00CC7533"/>
    <w:rsid w:val="00CC7F33"/>
    <w:rsid w:val="00CD06C2"/>
    <w:rsid w:val="00CD0BEB"/>
    <w:rsid w:val="00CD1CB8"/>
    <w:rsid w:val="00CD1CE6"/>
    <w:rsid w:val="00CD20B0"/>
    <w:rsid w:val="00CD2CA3"/>
    <w:rsid w:val="00CD576B"/>
    <w:rsid w:val="00CE0180"/>
    <w:rsid w:val="00CE0CA3"/>
    <w:rsid w:val="00CE0F00"/>
    <w:rsid w:val="00CE1076"/>
    <w:rsid w:val="00CE24E0"/>
    <w:rsid w:val="00CE2A27"/>
    <w:rsid w:val="00CE2EDB"/>
    <w:rsid w:val="00CE3192"/>
    <w:rsid w:val="00CE394B"/>
    <w:rsid w:val="00CE5A9E"/>
    <w:rsid w:val="00CE5EB2"/>
    <w:rsid w:val="00CE61B5"/>
    <w:rsid w:val="00CE644C"/>
    <w:rsid w:val="00CE64D3"/>
    <w:rsid w:val="00CE67BE"/>
    <w:rsid w:val="00CE6AB0"/>
    <w:rsid w:val="00CE7197"/>
    <w:rsid w:val="00CE7B01"/>
    <w:rsid w:val="00CF0154"/>
    <w:rsid w:val="00CF0682"/>
    <w:rsid w:val="00CF1A24"/>
    <w:rsid w:val="00CF1D75"/>
    <w:rsid w:val="00CF28B4"/>
    <w:rsid w:val="00CF46B8"/>
    <w:rsid w:val="00CF5047"/>
    <w:rsid w:val="00CF60EE"/>
    <w:rsid w:val="00CF626E"/>
    <w:rsid w:val="00CF67B3"/>
    <w:rsid w:val="00CF75BA"/>
    <w:rsid w:val="00CF78A2"/>
    <w:rsid w:val="00D015B4"/>
    <w:rsid w:val="00D02F61"/>
    <w:rsid w:val="00D038EB"/>
    <w:rsid w:val="00D04F2A"/>
    <w:rsid w:val="00D0589F"/>
    <w:rsid w:val="00D05CD2"/>
    <w:rsid w:val="00D0713B"/>
    <w:rsid w:val="00D10377"/>
    <w:rsid w:val="00D133EE"/>
    <w:rsid w:val="00D14633"/>
    <w:rsid w:val="00D21BF8"/>
    <w:rsid w:val="00D22AD5"/>
    <w:rsid w:val="00D23D50"/>
    <w:rsid w:val="00D2512F"/>
    <w:rsid w:val="00D25D7E"/>
    <w:rsid w:val="00D26C9C"/>
    <w:rsid w:val="00D279E7"/>
    <w:rsid w:val="00D30337"/>
    <w:rsid w:val="00D30E26"/>
    <w:rsid w:val="00D324D2"/>
    <w:rsid w:val="00D32C54"/>
    <w:rsid w:val="00D341EE"/>
    <w:rsid w:val="00D3463F"/>
    <w:rsid w:val="00D349D6"/>
    <w:rsid w:val="00D34ED7"/>
    <w:rsid w:val="00D37F4E"/>
    <w:rsid w:val="00D41A73"/>
    <w:rsid w:val="00D430C2"/>
    <w:rsid w:val="00D43A4A"/>
    <w:rsid w:val="00D43B5B"/>
    <w:rsid w:val="00D43DF4"/>
    <w:rsid w:val="00D4449F"/>
    <w:rsid w:val="00D448B8"/>
    <w:rsid w:val="00D45AF6"/>
    <w:rsid w:val="00D50262"/>
    <w:rsid w:val="00D5061D"/>
    <w:rsid w:val="00D50AF0"/>
    <w:rsid w:val="00D50B47"/>
    <w:rsid w:val="00D52879"/>
    <w:rsid w:val="00D52D3E"/>
    <w:rsid w:val="00D53B54"/>
    <w:rsid w:val="00D54611"/>
    <w:rsid w:val="00D5597F"/>
    <w:rsid w:val="00D561D2"/>
    <w:rsid w:val="00D56FEE"/>
    <w:rsid w:val="00D57616"/>
    <w:rsid w:val="00D6059D"/>
    <w:rsid w:val="00D60BA0"/>
    <w:rsid w:val="00D60D84"/>
    <w:rsid w:val="00D6104A"/>
    <w:rsid w:val="00D625C1"/>
    <w:rsid w:val="00D62C7D"/>
    <w:rsid w:val="00D635E4"/>
    <w:rsid w:val="00D65D47"/>
    <w:rsid w:val="00D65FE7"/>
    <w:rsid w:val="00D6614B"/>
    <w:rsid w:val="00D66829"/>
    <w:rsid w:val="00D66A95"/>
    <w:rsid w:val="00D66D93"/>
    <w:rsid w:val="00D723F2"/>
    <w:rsid w:val="00D731A9"/>
    <w:rsid w:val="00D73CBA"/>
    <w:rsid w:val="00D73D35"/>
    <w:rsid w:val="00D7429B"/>
    <w:rsid w:val="00D74494"/>
    <w:rsid w:val="00D74712"/>
    <w:rsid w:val="00D777C5"/>
    <w:rsid w:val="00D81246"/>
    <w:rsid w:val="00D8219F"/>
    <w:rsid w:val="00D83B8A"/>
    <w:rsid w:val="00D845A7"/>
    <w:rsid w:val="00D846E2"/>
    <w:rsid w:val="00D8543E"/>
    <w:rsid w:val="00D85CDA"/>
    <w:rsid w:val="00D8648F"/>
    <w:rsid w:val="00D86652"/>
    <w:rsid w:val="00D876FC"/>
    <w:rsid w:val="00D87E1F"/>
    <w:rsid w:val="00D9090A"/>
    <w:rsid w:val="00D91ED3"/>
    <w:rsid w:val="00D92441"/>
    <w:rsid w:val="00D92AC7"/>
    <w:rsid w:val="00D933C4"/>
    <w:rsid w:val="00D93886"/>
    <w:rsid w:val="00D94CB1"/>
    <w:rsid w:val="00D9644E"/>
    <w:rsid w:val="00D96B24"/>
    <w:rsid w:val="00D97CB9"/>
    <w:rsid w:val="00DA1710"/>
    <w:rsid w:val="00DA1B61"/>
    <w:rsid w:val="00DA1E08"/>
    <w:rsid w:val="00DA3692"/>
    <w:rsid w:val="00DA4D43"/>
    <w:rsid w:val="00DA5A03"/>
    <w:rsid w:val="00DA62FF"/>
    <w:rsid w:val="00DA67AA"/>
    <w:rsid w:val="00DA69DB"/>
    <w:rsid w:val="00DA7BEE"/>
    <w:rsid w:val="00DB04E1"/>
    <w:rsid w:val="00DB0A57"/>
    <w:rsid w:val="00DB0F4C"/>
    <w:rsid w:val="00DB10C3"/>
    <w:rsid w:val="00DB1A6C"/>
    <w:rsid w:val="00DB1DF5"/>
    <w:rsid w:val="00DB21E4"/>
    <w:rsid w:val="00DB2314"/>
    <w:rsid w:val="00DB2F07"/>
    <w:rsid w:val="00DB38DE"/>
    <w:rsid w:val="00DB3FA8"/>
    <w:rsid w:val="00DB4639"/>
    <w:rsid w:val="00DB4F58"/>
    <w:rsid w:val="00DB55A0"/>
    <w:rsid w:val="00DB6594"/>
    <w:rsid w:val="00DC051F"/>
    <w:rsid w:val="00DC0B9F"/>
    <w:rsid w:val="00DC0EAA"/>
    <w:rsid w:val="00DC4F40"/>
    <w:rsid w:val="00DC5EEF"/>
    <w:rsid w:val="00DC67F1"/>
    <w:rsid w:val="00DC78D5"/>
    <w:rsid w:val="00DC7EFC"/>
    <w:rsid w:val="00DD25A9"/>
    <w:rsid w:val="00DD2E85"/>
    <w:rsid w:val="00DD3A1D"/>
    <w:rsid w:val="00DD495A"/>
    <w:rsid w:val="00DD49C4"/>
    <w:rsid w:val="00DD5BCF"/>
    <w:rsid w:val="00DD5DD9"/>
    <w:rsid w:val="00DD6DC1"/>
    <w:rsid w:val="00DD7A81"/>
    <w:rsid w:val="00DD7B6C"/>
    <w:rsid w:val="00DE1170"/>
    <w:rsid w:val="00DE2124"/>
    <w:rsid w:val="00DE2B6D"/>
    <w:rsid w:val="00DE2F53"/>
    <w:rsid w:val="00DE3F6C"/>
    <w:rsid w:val="00DE5205"/>
    <w:rsid w:val="00DF03F9"/>
    <w:rsid w:val="00DF06E4"/>
    <w:rsid w:val="00DF0B36"/>
    <w:rsid w:val="00DF198F"/>
    <w:rsid w:val="00DF2356"/>
    <w:rsid w:val="00DF26B2"/>
    <w:rsid w:val="00DF3775"/>
    <w:rsid w:val="00DF39D9"/>
    <w:rsid w:val="00DF3DB1"/>
    <w:rsid w:val="00DF4401"/>
    <w:rsid w:val="00DF5CAC"/>
    <w:rsid w:val="00E00009"/>
    <w:rsid w:val="00E01203"/>
    <w:rsid w:val="00E013D6"/>
    <w:rsid w:val="00E01655"/>
    <w:rsid w:val="00E0169B"/>
    <w:rsid w:val="00E0216B"/>
    <w:rsid w:val="00E0262C"/>
    <w:rsid w:val="00E0269A"/>
    <w:rsid w:val="00E02CE5"/>
    <w:rsid w:val="00E043C7"/>
    <w:rsid w:val="00E067C7"/>
    <w:rsid w:val="00E06804"/>
    <w:rsid w:val="00E06FD3"/>
    <w:rsid w:val="00E07CE2"/>
    <w:rsid w:val="00E10C09"/>
    <w:rsid w:val="00E12777"/>
    <w:rsid w:val="00E12FF4"/>
    <w:rsid w:val="00E1319D"/>
    <w:rsid w:val="00E1360C"/>
    <w:rsid w:val="00E14726"/>
    <w:rsid w:val="00E16F35"/>
    <w:rsid w:val="00E17DC6"/>
    <w:rsid w:val="00E2076A"/>
    <w:rsid w:val="00E20F03"/>
    <w:rsid w:val="00E21B0A"/>
    <w:rsid w:val="00E22FAA"/>
    <w:rsid w:val="00E240EA"/>
    <w:rsid w:val="00E2683C"/>
    <w:rsid w:val="00E26BFF"/>
    <w:rsid w:val="00E26D54"/>
    <w:rsid w:val="00E26F73"/>
    <w:rsid w:val="00E2716D"/>
    <w:rsid w:val="00E277DD"/>
    <w:rsid w:val="00E27ABE"/>
    <w:rsid w:val="00E30460"/>
    <w:rsid w:val="00E307D3"/>
    <w:rsid w:val="00E31B10"/>
    <w:rsid w:val="00E31D94"/>
    <w:rsid w:val="00E32196"/>
    <w:rsid w:val="00E322A2"/>
    <w:rsid w:val="00E3305C"/>
    <w:rsid w:val="00E33C84"/>
    <w:rsid w:val="00E34BCC"/>
    <w:rsid w:val="00E34EC5"/>
    <w:rsid w:val="00E34FDC"/>
    <w:rsid w:val="00E3743F"/>
    <w:rsid w:val="00E3770B"/>
    <w:rsid w:val="00E40CEA"/>
    <w:rsid w:val="00E434BC"/>
    <w:rsid w:val="00E439F7"/>
    <w:rsid w:val="00E459EB"/>
    <w:rsid w:val="00E4669A"/>
    <w:rsid w:val="00E469D9"/>
    <w:rsid w:val="00E52339"/>
    <w:rsid w:val="00E52B76"/>
    <w:rsid w:val="00E52C6B"/>
    <w:rsid w:val="00E533A2"/>
    <w:rsid w:val="00E53854"/>
    <w:rsid w:val="00E53DB2"/>
    <w:rsid w:val="00E54B34"/>
    <w:rsid w:val="00E561FD"/>
    <w:rsid w:val="00E56D86"/>
    <w:rsid w:val="00E57DF1"/>
    <w:rsid w:val="00E60219"/>
    <w:rsid w:val="00E6271D"/>
    <w:rsid w:val="00E62EB0"/>
    <w:rsid w:val="00E652FA"/>
    <w:rsid w:val="00E65994"/>
    <w:rsid w:val="00E66FE8"/>
    <w:rsid w:val="00E702BA"/>
    <w:rsid w:val="00E70F71"/>
    <w:rsid w:val="00E7224A"/>
    <w:rsid w:val="00E72E74"/>
    <w:rsid w:val="00E7328A"/>
    <w:rsid w:val="00E73C67"/>
    <w:rsid w:val="00E74341"/>
    <w:rsid w:val="00E75771"/>
    <w:rsid w:val="00E75C98"/>
    <w:rsid w:val="00E774E0"/>
    <w:rsid w:val="00E775FE"/>
    <w:rsid w:val="00E80766"/>
    <w:rsid w:val="00E815F7"/>
    <w:rsid w:val="00E82132"/>
    <w:rsid w:val="00E82E46"/>
    <w:rsid w:val="00E846F5"/>
    <w:rsid w:val="00E85063"/>
    <w:rsid w:val="00E864C0"/>
    <w:rsid w:val="00E8708A"/>
    <w:rsid w:val="00E87D6B"/>
    <w:rsid w:val="00E9063B"/>
    <w:rsid w:val="00E91935"/>
    <w:rsid w:val="00E9363B"/>
    <w:rsid w:val="00E954AF"/>
    <w:rsid w:val="00E95D81"/>
    <w:rsid w:val="00E9720F"/>
    <w:rsid w:val="00E97714"/>
    <w:rsid w:val="00E97EB0"/>
    <w:rsid w:val="00EA092B"/>
    <w:rsid w:val="00EA1EA8"/>
    <w:rsid w:val="00EA203E"/>
    <w:rsid w:val="00EA2078"/>
    <w:rsid w:val="00EA5AA6"/>
    <w:rsid w:val="00EA7553"/>
    <w:rsid w:val="00EB00BC"/>
    <w:rsid w:val="00EB01CA"/>
    <w:rsid w:val="00EB0D2A"/>
    <w:rsid w:val="00EB0D78"/>
    <w:rsid w:val="00EB1D76"/>
    <w:rsid w:val="00EB1E76"/>
    <w:rsid w:val="00EB20D4"/>
    <w:rsid w:val="00EB2AA3"/>
    <w:rsid w:val="00EB4774"/>
    <w:rsid w:val="00EB49FE"/>
    <w:rsid w:val="00EB5C58"/>
    <w:rsid w:val="00EB609F"/>
    <w:rsid w:val="00EB6591"/>
    <w:rsid w:val="00EB751E"/>
    <w:rsid w:val="00EB7B5F"/>
    <w:rsid w:val="00EC19DD"/>
    <w:rsid w:val="00EC22AE"/>
    <w:rsid w:val="00EC6BEE"/>
    <w:rsid w:val="00EC704A"/>
    <w:rsid w:val="00EC7676"/>
    <w:rsid w:val="00ED0926"/>
    <w:rsid w:val="00ED0BA5"/>
    <w:rsid w:val="00ED0DE9"/>
    <w:rsid w:val="00ED197E"/>
    <w:rsid w:val="00ED27D2"/>
    <w:rsid w:val="00ED5AED"/>
    <w:rsid w:val="00ED5F0E"/>
    <w:rsid w:val="00ED66E5"/>
    <w:rsid w:val="00ED7255"/>
    <w:rsid w:val="00ED7D92"/>
    <w:rsid w:val="00EE01C1"/>
    <w:rsid w:val="00EE047A"/>
    <w:rsid w:val="00EE1C10"/>
    <w:rsid w:val="00EE1D63"/>
    <w:rsid w:val="00EE358D"/>
    <w:rsid w:val="00EE55D1"/>
    <w:rsid w:val="00EE6E63"/>
    <w:rsid w:val="00EE7C4C"/>
    <w:rsid w:val="00EF4067"/>
    <w:rsid w:val="00EF4964"/>
    <w:rsid w:val="00EF6343"/>
    <w:rsid w:val="00EF637F"/>
    <w:rsid w:val="00EF7BAD"/>
    <w:rsid w:val="00F010B8"/>
    <w:rsid w:val="00F017F7"/>
    <w:rsid w:val="00F01E4A"/>
    <w:rsid w:val="00F02078"/>
    <w:rsid w:val="00F02870"/>
    <w:rsid w:val="00F02DEE"/>
    <w:rsid w:val="00F0356D"/>
    <w:rsid w:val="00F06A4F"/>
    <w:rsid w:val="00F06AA1"/>
    <w:rsid w:val="00F06B02"/>
    <w:rsid w:val="00F1103D"/>
    <w:rsid w:val="00F110F9"/>
    <w:rsid w:val="00F11EF2"/>
    <w:rsid w:val="00F131D3"/>
    <w:rsid w:val="00F13745"/>
    <w:rsid w:val="00F13F91"/>
    <w:rsid w:val="00F16884"/>
    <w:rsid w:val="00F17809"/>
    <w:rsid w:val="00F216C9"/>
    <w:rsid w:val="00F21F0F"/>
    <w:rsid w:val="00F22A41"/>
    <w:rsid w:val="00F23260"/>
    <w:rsid w:val="00F234D8"/>
    <w:rsid w:val="00F23687"/>
    <w:rsid w:val="00F24CB6"/>
    <w:rsid w:val="00F25D44"/>
    <w:rsid w:val="00F25E37"/>
    <w:rsid w:val="00F26353"/>
    <w:rsid w:val="00F26A13"/>
    <w:rsid w:val="00F2723F"/>
    <w:rsid w:val="00F272ED"/>
    <w:rsid w:val="00F3058E"/>
    <w:rsid w:val="00F30CA8"/>
    <w:rsid w:val="00F31DB9"/>
    <w:rsid w:val="00F321C9"/>
    <w:rsid w:val="00F32F5E"/>
    <w:rsid w:val="00F330B2"/>
    <w:rsid w:val="00F336FF"/>
    <w:rsid w:val="00F34124"/>
    <w:rsid w:val="00F34393"/>
    <w:rsid w:val="00F35623"/>
    <w:rsid w:val="00F36180"/>
    <w:rsid w:val="00F36DB2"/>
    <w:rsid w:val="00F410B2"/>
    <w:rsid w:val="00F41424"/>
    <w:rsid w:val="00F4464A"/>
    <w:rsid w:val="00F44834"/>
    <w:rsid w:val="00F4581E"/>
    <w:rsid w:val="00F45CCF"/>
    <w:rsid w:val="00F46949"/>
    <w:rsid w:val="00F46B71"/>
    <w:rsid w:val="00F46B8B"/>
    <w:rsid w:val="00F46DB1"/>
    <w:rsid w:val="00F47B43"/>
    <w:rsid w:val="00F50E00"/>
    <w:rsid w:val="00F51242"/>
    <w:rsid w:val="00F5124E"/>
    <w:rsid w:val="00F512B0"/>
    <w:rsid w:val="00F51E22"/>
    <w:rsid w:val="00F525A6"/>
    <w:rsid w:val="00F541B0"/>
    <w:rsid w:val="00F54792"/>
    <w:rsid w:val="00F5523E"/>
    <w:rsid w:val="00F560F4"/>
    <w:rsid w:val="00F56BE2"/>
    <w:rsid w:val="00F61301"/>
    <w:rsid w:val="00F61F60"/>
    <w:rsid w:val="00F62948"/>
    <w:rsid w:val="00F657AC"/>
    <w:rsid w:val="00F67A16"/>
    <w:rsid w:val="00F67CC4"/>
    <w:rsid w:val="00F71B29"/>
    <w:rsid w:val="00F71FD6"/>
    <w:rsid w:val="00F72509"/>
    <w:rsid w:val="00F726A7"/>
    <w:rsid w:val="00F73ED2"/>
    <w:rsid w:val="00F73F99"/>
    <w:rsid w:val="00F74511"/>
    <w:rsid w:val="00F753AF"/>
    <w:rsid w:val="00F755C5"/>
    <w:rsid w:val="00F76F0A"/>
    <w:rsid w:val="00F77C9B"/>
    <w:rsid w:val="00F8039B"/>
    <w:rsid w:val="00F804FE"/>
    <w:rsid w:val="00F80683"/>
    <w:rsid w:val="00F80C50"/>
    <w:rsid w:val="00F816DC"/>
    <w:rsid w:val="00F82ABD"/>
    <w:rsid w:val="00F83CAB"/>
    <w:rsid w:val="00F84015"/>
    <w:rsid w:val="00F844DA"/>
    <w:rsid w:val="00F848DC"/>
    <w:rsid w:val="00F84B33"/>
    <w:rsid w:val="00F84F69"/>
    <w:rsid w:val="00F866DD"/>
    <w:rsid w:val="00F86B4F"/>
    <w:rsid w:val="00F87AA4"/>
    <w:rsid w:val="00F90D7F"/>
    <w:rsid w:val="00F91A45"/>
    <w:rsid w:val="00F92C63"/>
    <w:rsid w:val="00F930B2"/>
    <w:rsid w:val="00F93230"/>
    <w:rsid w:val="00F93966"/>
    <w:rsid w:val="00F93B35"/>
    <w:rsid w:val="00F94605"/>
    <w:rsid w:val="00F96475"/>
    <w:rsid w:val="00F97F8B"/>
    <w:rsid w:val="00FA03BE"/>
    <w:rsid w:val="00FA09D5"/>
    <w:rsid w:val="00FA0DC5"/>
    <w:rsid w:val="00FA16A8"/>
    <w:rsid w:val="00FA1AFF"/>
    <w:rsid w:val="00FA22E7"/>
    <w:rsid w:val="00FA2897"/>
    <w:rsid w:val="00FA3F32"/>
    <w:rsid w:val="00FA3F74"/>
    <w:rsid w:val="00FA42F2"/>
    <w:rsid w:val="00FA4448"/>
    <w:rsid w:val="00FA5EE1"/>
    <w:rsid w:val="00FA7346"/>
    <w:rsid w:val="00FB09BB"/>
    <w:rsid w:val="00FB0A20"/>
    <w:rsid w:val="00FB133F"/>
    <w:rsid w:val="00FB1522"/>
    <w:rsid w:val="00FB1A38"/>
    <w:rsid w:val="00FB2EA0"/>
    <w:rsid w:val="00FB393D"/>
    <w:rsid w:val="00FB3F26"/>
    <w:rsid w:val="00FB44B2"/>
    <w:rsid w:val="00FB4553"/>
    <w:rsid w:val="00FB4A42"/>
    <w:rsid w:val="00FB530A"/>
    <w:rsid w:val="00FB66DC"/>
    <w:rsid w:val="00FB6906"/>
    <w:rsid w:val="00FC01BD"/>
    <w:rsid w:val="00FC2A5C"/>
    <w:rsid w:val="00FC2F2C"/>
    <w:rsid w:val="00FC33FB"/>
    <w:rsid w:val="00FC3838"/>
    <w:rsid w:val="00FC3ED1"/>
    <w:rsid w:val="00FC49B2"/>
    <w:rsid w:val="00FC5924"/>
    <w:rsid w:val="00FC67C8"/>
    <w:rsid w:val="00FC7425"/>
    <w:rsid w:val="00FC7536"/>
    <w:rsid w:val="00FC7D5E"/>
    <w:rsid w:val="00FD1AD2"/>
    <w:rsid w:val="00FD215B"/>
    <w:rsid w:val="00FD3983"/>
    <w:rsid w:val="00FD5018"/>
    <w:rsid w:val="00FD549C"/>
    <w:rsid w:val="00FD57D0"/>
    <w:rsid w:val="00FD7804"/>
    <w:rsid w:val="00FE0B56"/>
    <w:rsid w:val="00FE17B7"/>
    <w:rsid w:val="00FE23F2"/>
    <w:rsid w:val="00FE2AB9"/>
    <w:rsid w:val="00FE32B0"/>
    <w:rsid w:val="00FE51C3"/>
    <w:rsid w:val="00FF0141"/>
    <w:rsid w:val="00FF02F0"/>
    <w:rsid w:val="00FF0ED2"/>
    <w:rsid w:val="00FF0EED"/>
    <w:rsid w:val="00FF0FFE"/>
    <w:rsid w:val="00FF2996"/>
    <w:rsid w:val="00FF3A66"/>
    <w:rsid w:val="00FF3F4A"/>
    <w:rsid w:val="00FF5653"/>
    <w:rsid w:val="00FF69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style="mso-width-relative:margin;mso-height-relative:margin"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C6D"/>
    <w:pPr>
      <w:spacing w:after="200" w:line="276" w:lineRule="auto"/>
    </w:pPr>
    <w:rPr>
      <w:sz w:val="22"/>
      <w:szCs w:val="22"/>
      <w:lang w:val="nl-NL"/>
    </w:rPr>
  </w:style>
  <w:style w:type="paragraph" w:styleId="Heading1">
    <w:name w:val="heading 1"/>
    <w:basedOn w:val="Normal"/>
    <w:next w:val="Normal"/>
    <w:link w:val="Heading1Char"/>
    <w:uiPriority w:val="9"/>
    <w:qFormat/>
    <w:locked/>
    <w:rsid w:val="00E240EA"/>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locked/>
    <w:rsid w:val="00012F35"/>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nhideWhenUsed/>
    <w:qFormat/>
    <w:locked/>
    <w:rsid w:val="00106D84"/>
    <w:pPr>
      <w:keepNext/>
      <w:spacing w:before="240" w:after="60"/>
      <w:outlineLvl w:val="2"/>
    </w:pPr>
    <w:rPr>
      <w:rFonts w:ascii="Cambria" w:eastAsia="Times New Roman" w:hAnsi="Cambria" w:cs="Times New Roman"/>
      <w:b/>
      <w:bCs/>
      <w:sz w:val="26"/>
      <w:szCs w:val="26"/>
    </w:rPr>
  </w:style>
  <w:style w:type="paragraph" w:styleId="Heading4">
    <w:name w:val="heading 4"/>
    <w:basedOn w:val="Normal"/>
    <w:next w:val="Normal"/>
    <w:link w:val="Heading4Char"/>
    <w:unhideWhenUsed/>
    <w:qFormat/>
    <w:locked/>
    <w:rsid w:val="008F5A7F"/>
    <w:pPr>
      <w:keepNext/>
      <w:spacing w:before="240" w:after="60"/>
      <w:outlineLvl w:val="3"/>
    </w:pPr>
    <w:rPr>
      <w:rFonts w:eastAsia="Times New Roman" w:cs="Times New Roman"/>
      <w:b/>
      <w:bCs/>
      <w:sz w:val="28"/>
      <w:szCs w:val="28"/>
    </w:rPr>
  </w:style>
  <w:style w:type="paragraph" w:styleId="Heading5">
    <w:name w:val="heading 5"/>
    <w:basedOn w:val="Normal"/>
    <w:next w:val="Normal"/>
    <w:link w:val="Heading5Char"/>
    <w:unhideWhenUsed/>
    <w:qFormat/>
    <w:locked/>
    <w:rsid w:val="008F5A7F"/>
    <w:pPr>
      <w:spacing w:before="240" w:after="60"/>
      <w:outlineLvl w:val="4"/>
    </w:pPr>
    <w:rPr>
      <w:rFonts w:eastAsia="Times New Roman" w:cs="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E240EA"/>
    <w:rPr>
      <w:rFonts w:ascii="Cambria" w:hAnsi="Cambria" w:cs="Times New Roman"/>
      <w:b/>
      <w:bCs/>
      <w:kern w:val="32"/>
      <w:sz w:val="32"/>
      <w:szCs w:val="32"/>
      <w:lang w:val="nl-NL"/>
    </w:rPr>
  </w:style>
  <w:style w:type="paragraph" w:styleId="ListParagraph">
    <w:name w:val="List Paragraph"/>
    <w:basedOn w:val="Normal"/>
    <w:uiPriority w:val="34"/>
    <w:qFormat/>
    <w:rsid w:val="00067D8C"/>
    <w:pPr>
      <w:ind w:left="720"/>
      <w:contextualSpacing/>
    </w:pPr>
  </w:style>
  <w:style w:type="paragraph" w:styleId="FootnoteText">
    <w:name w:val="footnote text"/>
    <w:basedOn w:val="Normal"/>
    <w:link w:val="FootnoteTextChar"/>
    <w:uiPriority w:val="99"/>
    <w:semiHidden/>
    <w:rsid w:val="00FF3F4A"/>
    <w:pPr>
      <w:spacing w:after="0" w:line="240" w:lineRule="auto"/>
    </w:pPr>
    <w:rPr>
      <w:sz w:val="20"/>
      <w:szCs w:val="20"/>
    </w:rPr>
  </w:style>
  <w:style w:type="character" w:customStyle="1" w:styleId="FootnoteTextChar">
    <w:name w:val="Footnote Text Char"/>
    <w:link w:val="FootnoteText"/>
    <w:uiPriority w:val="99"/>
    <w:semiHidden/>
    <w:locked/>
    <w:rsid w:val="00FF3F4A"/>
    <w:rPr>
      <w:rFonts w:cs="Times New Roman"/>
      <w:sz w:val="20"/>
      <w:szCs w:val="20"/>
    </w:rPr>
  </w:style>
  <w:style w:type="character" w:styleId="FootnoteReference">
    <w:name w:val="footnote reference"/>
    <w:uiPriority w:val="99"/>
    <w:semiHidden/>
    <w:rsid w:val="00FF3F4A"/>
    <w:rPr>
      <w:rFonts w:cs="Times New Roman"/>
      <w:vertAlign w:val="superscript"/>
    </w:rPr>
  </w:style>
  <w:style w:type="character" w:styleId="Hyperlink">
    <w:name w:val="Hyperlink"/>
    <w:uiPriority w:val="99"/>
    <w:rsid w:val="00FF3F4A"/>
    <w:rPr>
      <w:rFonts w:cs="Times New Roman"/>
      <w:color w:val="0000FF"/>
      <w:u w:val="single"/>
    </w:rPr>
  </w:style>
  <w:style w:type="paragraph" w:styleId="BalloonText">
    <w:name w:val="Balloon Text"/>
    <w:basedOn w:val="Normal"/>
    <w:link w:val="BalloonTextChar"/>
    <w:uiPriority w:val="99"/>
    <w:semiHidden/>
    <w:rsid w:val="00F23260"/>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F23260"/>
    <w:rPr>
      <w:rFonts w:ascii="Tahoma" w:hAnsi="Tahoma" w:cs="Tahoma"/>
      <w:sz w:val="16"/>
      <w:szCs w:val="16"/>
      <w:lang w:val="nl-NL"/>
    </w:rPr>
  </w:style>
  <w:style w:type="character" w:styleId="FollowedHyperlink">
    <w:name w:val="FollowedHyperlink"/>
    <w:uiPriority w:val="99"/>
    <w:semiHidden/>
    <w:unhideWhenUsed/>
    <w:rsid w:val="006417E7"/>
    <w:rPr>
      <w:color w:val="800080"/>
      <w:u w:val="single"/>
    </w:rPr>
  </w:style>
  <w:style w:type="paragraph" w:styleId="Header">
    <w:name w:val="header"/>
    <w:basedOn w:val="Normal"/>
    <w:link w:val="HeaderChar"/>
    <w:uiPriority w:val="99"/>
    <w:unhideWhenUsed/>
    <w:rsid w:val="00E27ABE"/>
    <w:pPr>
      <w:tabs>
        <w:tab w:val="center" w:pos="4536"/>
        <w:tab w:val="right" w:pos="9072"/>
      </w:tabs>
    </w:pPr>
  </w:style>
  <w:style w:type="character" w:customStyle="1" w:styleId="HeaderChar">
    <w:name w:val="Header Char"/>
    <w:link w:val="Header"/>
    <w:uiPriority w:val="99"/>
    <w:rsid w:val="00E27ABE"/>
    <w:rPr>
      <w:lang w:val="nl-NL"/>
    </w:rPr>
  </w:style>
  <w:style w:type="paragraph" w:styleId="Footer">
    <w:name w:val="footer"/>
    <w:basedOn w:val="Normal"/>
    <w:link w:val="FooterChar"/>
    <w:uiPriority w:val="99"/>
    <w:unhideWhenUsed/>
    <w:rsid w:val="00E27ABE"/>
    <w:pPr>
      <w:tabs>
        <w:tab w:val="center" w:pos="4536"/>
        <w:tab w:val="right" w:pos="9072"/>
      </w:tabs>
    </w:pPr>
  </w:style>
  <w:style w:type="character" w:customStyle="1" w:styleId="FooterChar">
    <w:name w:val="Footer Char"/>
    <w:link w:val="Footer"/>
    <w:uiPriority w:val="99"/>
    <w:rsid w:val="00E27ABE"/>
    <w:rPr>
      <w:lang w:val="nl-NL"/>
    </w:rPr>
  </w:style>
  <w:style w:type="character" w:customStyle="1" w:styleId="Heading3Char">
    <w:name w:val="Heading 3 Char"/>
    <w:link w:val="Heading3"/>
    <w:rsid w:val="00106D84"/>
    <w:rPr>
      <w:rFonts w:ascii="Cambria" w:eastAsia="Times New Roman" w:hAnsi="Cambria" w:cs="Times New Roman"/>
      <w:b/>
      <w:bCs/>
      <w:sz w:val="26"/>
      <w:szCs w:val="26"/>
      <w:lang w:val="nl-NL"/>
    </w:rPr>
  </w:style>
  <w:style w:type="table" w:styleId="TableGrid">
    <w:name w:val="Table Grid"/>
    <w:basedOn w:val="TableNormal"/>
    <w:locked/>
    <w:rsid w:val="00DB46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mphasis">
    <w:name w:val="Emphasis"/>
    <w:qFormat/>
    <w:locked/>
    <w:rsid w:val="00012F35"/>
    <w:rPr>
      <w:i/>
      <w:iCs/>
    </w:rPr>
  </w:style>
  <w:style w:type="character" w:customStyle="1" w:styleId="Heading2Char">
    <w:name w:val="Heading 2 Char"/>
    <w:link w:val="Heading2"/>
    <w:uiPriority w:val="9"/>
    <w:rsid w:val="00012F35"/>
    <w:rPr>
      <w:rFonts w:ascii="Cambria" w:eastAsia="Times New Roman" w:hAnsi="Cambria" w:cs="Times New Roman"/>
      <w:b/>
      <w:bCs/>
      <w:i/>
      <w:iCs/>
      <w:sz w:val="28"/>
      <w:szCs w:val="28"/>
      <w:lang w:val="nl-NL"/>
    </w:rPr>
  </w:style>
  <w:style w:type="character" w:styleId="Strong">
    <w:name w:val="Strong"/>
    <w:qFormat/>
    <w:locked/>
    <w:rsid w:val="00A17DD9"/>
    <w:rPr>
      <w:b/>
      <w:bCs/>
    </w:rPr>
  </w:style>
  <w:style w:type="paragraph" w:styleId="TOCHeading">
    <w:name w:val="TOC Heading"/>
    <w:basedOn w:val="Heading1"/>
    <w:next w:val="Normal"/>
    <w:uiPriority w:val="39"/>
    <w:unhideWhenUsed/>
    <w:qFormat/>
    <w:rsid w:val="00F67CC4"/>
    <w:pPr>
      <w:keepLines/>
      <w:spacing w:before="480" w:after="0"/>
      <w:outlineLvl w:val="9"/>
    </w:pPr>
    <w:rPr>
      <w:rFonts w:eastAsia="MS Gothic"/>
      <w:color w:val="365F91"/>
      <w:kern w:val="0"/>
      <w:sz w:val="28"/>
      <w:szCs w:val="28"/>
      <w:lang w:val="en-US" w:eastAsia="ja-JP"/>
    </w:rPr>
  </w:style>
  <w:style w:type="paragraph" w:styleId="TOC1">
    <w:name w:val="toc 1"/>
    <w:basedOn w:val="Normal"/>
    <w:next w:val="Normal"/>
    <w:autoRedefine/>
    <w:uiPriority w:val="39"/>
    <w:locked/>
    <w:rsid w:val="00F67CC4"/>
  </w:style>
  <w:style w:type="paragraph" w:styleId="NoSpacing">
    <w:name w:val="No Spacing"/>
    <w:uiPriority w:val="1"/>
    <w:qFormat/>
    <w:rsid w:val="00857BDC"/>
    <w:rPr>
      <w:sz w:val="22"/>
      <w:szCs w:val="22"/>
      <w:lang w:val="nl-NL"/>
    </w:rPr>
  </w:style>
  <w:style w:type="character" w:customStyle="1" w:styleId="Heading4Char">
    <w:name w:val="Heading 4 Char"/>
    <w:link w:val="Heading4"/>
    <w:rsid w:val="008F5A7F"/>
    <w:rPr>
      <w:rFonts w:ascii="Calibri" w:eastAsia="Times New Roman" w:hAnsi="Calibri" w:cs="Times New Roman"/>
      <w:b/>
      <w:bCs/>
      <w:sz w:val="28"/>
      <w:szCs w:val="28"/>
      <w:lang w:val="nl-NL"/>
    </w:rPr>
  </w:style>
  <w:style w:type="character" w:customStyle="1" w:styleId="Heading5Char">
    <w:name w:val="Heading 5 Char"/>
    <w:link w:val="Heading5"/>
    <w:rsid w:val="008F5A7F"/>
    <w:rPr>
      <w:rFonts w:ascii="Calibri" w:eastAsia="Times New Roman" w:hAnsi="Calibri" w:cs="Times New Roman"/>
      <w:b/>
      <w:bCs/>
      <w:i/>
      <w:iCs/>
      <w:sz w:val="26"/>
      <w:szCs w:val="26"/>
      <w:lang w:val="nl-NL"/>
    </w:rPr>
  </w:style>
  <w:style w:type="paragraph" w:styleId="Title">
    <w:name w:val="Title"/>
    <w:basedOn w:val="Normal"/>
    <w:next w:val="Normal"/>
    <w:link w:val="TitleChar"/>
    <w:uiPriority w:val="10"/>
    <w:qFormat/>
    <w:locked/>
    <w:rsid w:val="00C149EE"/>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leChar">
    <w:name w:val="Title Char"/>
    <w:link w:val="Title"/>
    <w:uiPriority w:val="10"/>
    <w:rsid w:val="00C149EE"/>
    <w:rPr>
      <w:rFonts w:ascii="Cambria" w:eastAsia="Times New Roman" w:hAnsi="Cambria" w:cs="Times New Roman"/>
      <w:color w:val="17365D"/>
      <w:spacing w:val="5"/>
      <w:kern w:val="28"/>
      <w:sz w:val="52"/>
      <w:szCs w:val="52"/>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9" w:unhideWhenUsed="0" w:qFormat="1"/>
    <w:lsdException w:name="heading 2" w:locked="1" w:uiPriority="9"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1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D7C6D"/>
    <w:pPr>
      <w:spacing w:after="200" w:line="276" w:lineRule="auto"/>
    </w:pPr>
    <w:rPr>
      <w:sz w:val="22"/>
      <w:szCs w:val="22"/>
      <w:lang w:val="nl-NL"/>
    </w:rPr>
  </w:style>
  <w:style w:type="paragraph" w:styleId="Kop1">
    <w:name w:val="heading 1"/>
    <w:basedOn w:val="Standaard"/>
    <w:next w:val="Standaard"/>
    <w:link w:val="Kop1Char"/>
    <w:uiPriority w:val="9"/>
    <w:qFormat/>
    <w:locked/>
    <w:rsid w:val="00E240EA"/>
    <w:pPr>
      <w:keepNext/>
      <w:spacing w:before="240" w:after="60"/>
      <w:outlineLvl w:val="0"/>
    </w:pPr>
    <w:rPr>
      <w:rFonts w:ascii="Cambria" w:eastAsia="Times New Roman" w:hAnsi="Cambria" w:cs="Times New Roman"/>
      <w:b/>
      <w:bCs/>
      <w:kern w:val="32"/>
      <w:sz w:val="32"/>
      <w:szCs w:val="32"/>
    </w:rPr>
  </w:style>
  <w:style w:type="paragraph" w:styleId="Kop2">
    <w:name w:val="heading 2"/>
    <w:basedOn w:val="Standaard"/>
    <w:next w:val="Standaard"/>
    <w:link w:val="Kop2Char"/>
    <w:uiPriority w:val="9"/>
    <w:unhideWhenUsed/>
    <w:qFormat/>
    <w:locked/>
    <w:rsid w:val="00012F35"/>
    <w:pPr>
      <w:keepNext/>
      <w:spacing w:before="240" w:after="60"/>
      <w:outlineLvl w:val="1"/>
    </w:pPr>
    <w:rPr>
      <w:rFonts w:ascii="Cambria" w:eastAsia="Times New Roman" w:hAnsi="Cambria" w:cs="Times New Roman"/>
      <w:b/>
      <w:bCs/>
      <w:i/>
      <w:iCs/>
      <w:sz w:val="28"/>
      <w:szCs w:val="28"/>
    </w:rPr>
  </w:style>
  <w:style w:type="paragraph" w:styleId="Kop3">
    <w:name w:val="heading 3"/>
    <w:basedOn w:val="Standaard"/>
    <w:next w:val="Standaard"/>
    <w:link w:val="Kop3Char"/>
    <w:unhideWhenUsed/>
    <w:qFormat/>
    <w:locked/>
    <w:rsid w:val="00106D84"/>
    <w:pPr>
      <w:keepNext/>
      <w:spacing w:before="240" w:after="60"/>
      <w:outlineLvl w:val="2"/>
    </w:pPr>
    <w:rPr>
      <w:rFonts w:ascii="Cambria" w:eastAsia="Times New Roman" w:hAnsi="Cambria" w:cs="Times New Roman"/>
      <w:b/>
      <w:bCs/>
      <w:sz w:val="26"/>
      <w:szCs w:val="26"/>
    </w:rPr>
  </w:style>
  <w:style w:type="paragraph" w:styleId="Kop4">
    <w:name w:val="heading 4"/>
    <w:basedOn w:val="Standaard"/>
    <w:next w:val="Standaard"/>
    <w:link w:val="Kop4Char"/>
    <w:unhideWhenUsed/>
    <w:qFormat/>
    <w:locked/>
    <w:rsid w:val="008F5A7F"/>
    <w:pPr>
      <w:keepNext/>
      <w:spacing w:before="240" w:after="60"/>
      <w:outlineLvl w:val="3"/>
    </w:pPr>
    <w:rPr>
      <w:rFonts w:eastAsia="Times New Roman" w:cs="Times New Roman"/>
      <w:b/>
      <w:bCs/>
      <w:sz w:val="28"/>
      <w:szCs w:val="28"/>
    </w:rPr>
  </w:style>
  <w:style w:type="paragraph" w:styleId="Kop5">
    <w:name w:val="heading 5"/>
    <w:basedOn w:val="Standaard"/>
    <w:next w:val="Standaard"/>
    <w:link w:val="Kop5Char"/>
    <w:unhideWhenUsed/>
    <w:qFormat/>
    <w:locked/>
    <w:rsid w:val="008F5A7F"/>
    <w:pPr>
      <w:spacing w:before="240" w:after="60"/>
      <w:outlineLvl w:val="4"/>
    </w:pPr>
    <w:rPr>
      <w:rFonts w:eastAsia="Times New Roman" w:cs="Times New Roman"/>
      <w:b/>
      <w:bCs/>
      <w:i/>
      <w:i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uiPriority w:val="9"/>
    <w:locked/>
    <w:rsid w:val="00E240EA"/>
    <w:rPr>
      <w:rFonts w:ascii="Cambria" w:hAnsi="Cambria" w:cs="Times New Roman"/>
      <w:b/>
      <w:bCs/>
      <w:kern w:val="32"/>
      <w:sz w:val="32"/>
      <w:szCs w:val="32"/>
      <w:lang w:val="nl-NL"/>
    </w:rPr>
  </w:style>
  <w:style w:type="paragraph" w:styleId="Lijstalinea">
    <w:name w:val="List Paragraph"/>
    <w:basedOn w:val="Standaard"/>
    <w:uiPriority w:val="34"/>
    <w:qFormat/>
    <w:rsid w:val="00067D8C"/>
    <w:pPr>
      <w:ind w:left="720"/>
      <w:contextualSpacing/>
    </w:pPr>
  </w:style>
  <w:style w:type="paragraph" w:styleId="Voetnoottekst">
    <w:name w:val="footnote text"/>
    <w:basedOn w:val="Standaard"/>
    <w:link w:val="VoetnoottekstChar"/>
    <w:uiPriority w:val="99"/>
    <w:semiHidden/>
    <w:rsid w:val="00FF3F4A"/>
    <w:pPr>
      <w:spacing w:after="0" w:line="240" w:lineRule="auto"/>
    </w:pPr>
    <w:rPr>
      <w:sz w:val="20"/>
      <w:szCs w:val="20"/>
    </w:rPr>
  </w:style>
  <w:style w:type="character" w:customStyle="1" w:styleId="VoetnoottekstChar">
    <w:name w:val="Voetnoottekst Char"/>
    <w:link w:val="Voetnoottekst"/>
    <w:uiPriority w:val="99"/>
    <w:semiHidden/>
    <w:locked/>
    <w:rsid w:val="00FF3F4A"/>
    <w:rPr>
      <w:rFonts w:cs="Times New Roman"/>
      <w:sz w:val="20"/>
      <w:szCs w:val="20"/>
    </w:rPr>
  </w:style>
  <w:style w:type="character" w:styleId="Voetnootmarkering">
    <w:name w:val="footnote reference"/>
    <w:uiPriority w:val="99"/>
    <w:semiHidden/>
    <w:rsid w:val="00FF3F4A"/>
    <w:rPr>
      <w:rFonts w:cs="Times New Roman"/>
      <w:vertAlign w:val="superscript"/>
    </w:rPr>
  </w:style>
  <w:style w:type="character" w:styleId="Hyperlink">
    <w:name w:val="Hyperlink"/>
    <w:uiPriority w:val="99"/>
    <w:rsid w:val="00FF3F4A"/>
    <w:rPr>
      <w:rFonts w:cs="Times New Roman"/>
      <w:color w:val="0000FF"/>
      <w:u w:val="single"/>
    </w:rPr>
  </w:style>
  <w:style w:type="paragraph" w:styleId="Ballontekst">
    <w:name w:val="Balloon Text"/>
    <w:basedOn w:val="Standaard"/>
    <w:link w:val="BallontekstChar"/>
    <w:uiPriority w:val="99"/>
    <w:semiHidden/>
    <w:rsid w:val="00F23260"/>
    <w:pPr>
      <w:spacing w:after="0" w:line="240" w:lineRule="auto"/>
    </w:pPr>
    <w:rPr>
      <w:rFonts w:ascii="Tahoma" w:hAnsi="Tahoma" w:cs="Tahoma"/>
      <w:sz w:val="16"/>
      <w:szCs w:val="16"/>
    </w:rPr>
  </w:style>
  <w:style w:type="character" w:customStyle="1" w:styleId="BallontekstChar">
    <w:name w:val="Ballontekst Char"/>
    <w:link w:val="Ballontekst"/>
    <w:uiPriority w:val="99"/>
    <w:semiHidden/>
    <w:locked/>
    <w:rsid w:val="00F23260"/>
    <w:rPr>
      <w:rFonts w:ascii="Tahoma" w:hAnsi="Tahoma" w:cs="Tahoma"/>
      <w:sz w:val="16"/>
      <w:szCs w:val="16"/>
      <w:lang w:val="nl-NL"/>
    </w:rPr>
  </w:style>
  <w:style w:type="character" w:styleId="GevolgdeHyperlink">
    <w:name w:val="FollowedHyperlink"/>
    <w:uiPriority w:val="99"/>
    <w:semiHidden/>
    <w:unhideWhenUsed/>
    <w:rsid w:val="006417E7"/>
    <w:rPr>
      <w:color w:val="800080"/>
      <w:u w:val="single"/>
    </w:rPr>
  </w:style>
  <w:style w:type="paragraph" w:styleId="Koptekst">
    <w:name w:val="header"/>
    <w:basedOn w:val="Standaard"/>
    <w:link w:val="KoptekstChar"/>
    <w:uiPriority w:val="99"/>
    <w:unhideWhenUsed/>
    <w:rsid w:val="00E27ABE"/>
    <w:pPr>
      <w:tabs>
        <w:tab w:val="center" w:pos="4536"/>
        <w:tab w:val="right" w:pos="9072"/>
      </w:tabs>
    </w:pPr>
  </w:style>
  <w:style w:type="character" w:customStyle="1" w:styleId="KoptekstChar">
    <w:name w:val="Koptekst Char"/>
    <w:link w:val="Koptekst"/>
    <w:uiPriority w:val="99"/>
    <w:rsid w:val="00E27ABE"/>
    <w:rPr>
      <w:lang w:val="nl-NL"/>
    </w:rPr>
  </w:style>
  <w:style w:type="paragraph" w:styleId="Voettekst">
    <w:name w:val="footer"/>
    <w:basedOn w:val="Standaard"/>
    <w:link w:val="VoettekstChar"/>
    <w:uiPriority w:val="99"/>
    <w:unhideWhenUsed/>
    <w:rsid w:val="00E27ABE"/>
    <w:pPr>
      <w:tabs>
        <w:tab w:val="center" w:pos="4536"/>
        <w:tab w:val="right" w:pos="9072"/>
      </w:tabs>
    </w:pPr>
  </w:style>
  <w:style w:type="character" w:customStyle="1" w:styleId="VoettekstChar">
    <w:name w:val="Voettekst Char"/>
    <w:link w:val="Voettekst"/>
    <w:uiPriority w:val="99"/>
    <w:rsid w:val="00E27ABE"/>
    <w:rPr>
      <w:lang w:val="nl-NL"/>
    </w:rPr>
  </w:style>
  <w:style w:type="character" w:customStyle="1" w:styleId="Kop3Char">
    <w:name w:val="Kop 3 Char"/>
    <w:link w:val="Kop3"/>
    <w:rsid w:val="00106D84"/>
    <w:rPr>
      <w:rFonts w:ascii="Cambria" w:eastAsia="Times New Roman" w:hAnsi="Cambria" w:cs="Times New Roman"/>
      <w:b/>
      <w:bCs/>
      <w:sz w:val="26"/>
      <w:szCs w:val="26"/>
      <w:lang w:val="nl-NL"/>
    </w:rPr>
  </w:style>
  <w:style w:type="table" w:styleId="Tabelraster">
    <w:name w:val="Table Grid"/>
    <w:basedOn w:val="Standaardtabel"/>
    <w:locked/>
    <w:rsid w:val="00DB463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adruk">
    <w:name w:val="Emphasis"/>
    <w:qFormat/>
    <w:locked/>
    <w:rsid w:val="00012F35"/>
    <w:rPr>
      <w:i/>
      <w:iCs/>
    </w:rPr>
  </w:style>
  <w:style w:type="character" w:customStyle="1" w:styleId="Kop2Char">
    <w:name w:val="Kop 2 Char"/>
    <w:link w:val="Kop2"/>
    <w:uiPriority w:val="9"/>
    <w:rsid w:val="00012F35"/>
    <w:rPr>
      <w:rFonts w:ascii="Cambria" w:eastAsia="Times New Roman" w:hAnsi="Cambria" w:cs="Times New Roman"/>
      <w:b/>
      <w:bCs/>
      <w:i/>
      <w:iCs/>
      <w:sz w:val="28"/>
      <w:szCs w:val="28"/>
      <w:lang w:val="nl-NL"/>
    </w:rPr>
  </w:style>
  <w:style w:type="character" w:styleId="Zwaar">
    <w:name w:val="Strong"/>
    <w:qFormat/>
    <w:locked/>
    <w:rsid w:val="00A17DD9"/>
    <w:rPr>
      <w:b/>
      <w:bCs/>
    </w:rPr>
  </w:style>
  <w:style w:type="paragraph" w:styleId="Kopvaninhoudsopgave">
    <w:name w:val="TOC Heading"/>
    <w:basedOn w:val="Kop1"/>
    <w:next w:val="Standaard"/>
    <w:uiPriority w:val="39"/>
    <w:unhideWhenUsed/>
    <w:qFormat/>
    <w:rsid w:val="00F67CC4"/>
    <w:pPr>
      <w:keepLines/>
      <w:spacing w:before="480" w:after="0"/>
      <w:outlineLvl w:val="9"/>
    </w:pPr>
    <w:rPr>
      <w:rFonts w:eastAsia="MS Gothic"/>
      <w:color w:val="365F91"/>
      <w:kern w:val="0"/>
      <w:sz w:val="28"/>
      <w:szCs w:val="28"/>
      <w:lang w:val="en-US" w:eastAsia="ja-JP"/>
    </w:rPr>
  </w:style>
  <w:style w:type="paragraph" w:styleId="Inhopg1">
    <w:name w:val="toc 1"/>
    <w:basedOn w:val="Standaard"/>
    <w:next w:val="Standaard"/>
    <w:autoRedefine/>
    <w:uiPriority w:val="39"/>
    <w:locked/>
    <w:rsid w:val="00F67CC4"/>
  </w:style>
  <w:style w:type="paragraph" w:styleId="Geenafstand">
    <w:name w:val="No Spacing"/>
    <w:uiPriority w:val="1"/>
    <w:qFormat/>
    <w:rsid w:val="00857BDC"/>
    <w:rPr>
      <w:sz w:val="22"/>
      <w:szCs w:val="22"/>
      <w:lang w:val="nl-NL"/>
    </w:rPr>
  </w:style>
  <w:style w:type="character" w:customStyle="1" w:styleId="Kop4Char">
    <w:name w:val="Kop 4 Char"/>
    <w:link w:val="Kop4"/>
    <w:rsid w:val="008F5A7F"/>
    <w:rPr>
      <w:rFonts w:ascii="Calibri" w:eastAsia="Times New Roman" w:hAnsi="Calibri" w:cs="Times New Roman"/>
      <w:b/>
      <w:bCs/>
      <w:sz w:val="28"/>
      <w:szCs w:val="28"/>
      <w:lang w:val="nl-NL"/>
    </w:rPr>
  </w:style>
  <w:style w:type="character" w:customStyle="1" w:styleId="Kop5Char">
    <w:name w:val="Kop 5 Char"/>
    <w:link w:val="Kop5"/>
    <w:rsid w:val="008F5A7F"/>
    <w:rPr>
      <w:rFonts w:ascii="Calibri" w:eastAsia="Times New Roman" w:hAnsi="Calibri" w:cs="Times New Roman"/>
      <w:b/>
      <w:bCs/>
      <w:i/>
      <w:iCs/>
      <w:sz w:val="26"/>
      <w:szCs w:val="26"/>
      <w:lang w:val="nl-NL"/>
    </w:rPr>
  </w:style>
  <w:style w:type="paragraph" w:styleId="Titel">
    <w:name w:val="Title"/>
    <w:basedOn w:val="Standaard"/>
    <w:next w:val="Standaard"/>
    <w:link w:val="TitelChar"/>
    <w:uiPriority w:val="10"/>
    <w:qFormat/>
    <w:locked/>
    <w:rsid w:val="00C149EE"/>
    <w:pPr>
      <w:pBdr>
        <w:bottom w:val="single" w:sz="8" w:space="4" w:color="4F81BD"/>
      </w:pBdr>
      <w:spacing w:after="300" w:line="240" w:lineRule="auto"/>
      <w:contextualSpacing/>
    </w:pPr>
    <w:rPr>
      <w:rFonts w:ascii="Cambria" w:eastAsia="Times New Roman" w:hAnsi="Cambria" w:cs="Times New Roman"/>
      <w:color w:val="17365D"/>
      <w:spacing w:val="5"/>
      <w:kern w:val="28"/>
      <w:sz w:val="52"/>
      <w:szCs w:val="52"/>
      <w:lang w:val="en-US"/>
    </w:rPr>
  </w:style>
  <w:style w:type="character" w:customStyle="1" w:styleId="TitelChar">
    <w:name w:val="Titel Char"/>
    <w:link w:val="Titel"/>
    <w:uiPriority w:val="10"/>
    <w:rsid w:val="00C149EE"/>
    <w:rPr>
      <w:rFonts w:ascii="Cambria" w:eastAsia="Times New Roman" w:hAnsi="Cambria" w:cs="Times New Roman"/>
      <w:color w:val="17365D"/>
      <w:spacing w:val="5"/>
      <w:kern w:val="28"/>
      <w:sz w:val="52"/>
      <w:szCs w:val="52"/>
      <w:lang w:val="en-US" w:eastAsia="en-US"/>
    </w:rPr>
  </w:style>
</w:styles>
</file>

<file path=word/webSettings.xml><?xml version="1.0" encoding="utf-8"?>
<w:webSettings xmlns:r="http://schemas.openxmlformats.org/officeDocument/2006/relationships" xmlns:w="http://schemas.openxmlformats.org/wordprocessingml/2006/main">
  <w:divs>
    <w:div w:id="503860989">
      <w:bodyDiv w:val="1"/>
      <w:marLeft w:val="0"/>
      <w:marRight w:val="0"/>
      <w:marTop w:val="0"/>
      <w:marBottom w:val="0"/>
      <w:divBdr>
        <w:top w:val="none" w:sz="0" w:space="0" w:color="auto"/>
        <w:left w:val="none" w:sz="0" w:space="0" w:color="auto"/>
        <w:bottom w:val="none" w:sz="0" w:space="0" w:color="auto"/>
        <w:right w:val="none" w:sz="0" w:space="0" w:color="auto"/>
      </w:divBdr>
    </w:div>
    <w:div w:id="569466116">
      <w:bodyDiv w:val="1"/>
      <w:marLeft w:val="0"/>
      <w:marRight w:val="0"/>
      <w:marTop w:val="0"/>
      <w:marBottom w:val="0"/>
      <w:divBdr>
        <w:top w:val="none" w:sz="0" w:space="0" w:color="auto"/>
        <w:left w:val="none" w:sz="0" w:space="0" w:color="auto"/>
        <w:bottom w:val="none" w:sz="0" w:space="0" w:color="auto"/>
        <w:right w:val="none" w:sz="0" w:space="0" w:color="auto"/>
      </w:divBdr>
    </w:div>
    <w:div w:id="583758560">
      <w:bodyDiv w:val="1"/>
      <w:marLeft w:val="0"/>
      <w:marRight w:val="0"/>
      <w:marTop w:val="0"/>
      <w:marBottom w:val="0"/>
      <w:divBdr>
        <w:top w:val="none" w:sz="0" w:space="0" w:color="auto"/>
        <w:left w:val="none" w:sz="0" w:space="0" w:color="auto"/>
        <w:bottom w:val="none" w:sz="0" w:space="0" w:color="auto"/>
        <w:right w:val="none" w:sz="0" w:space="0" w:color="auto"/>
      </w:divBdr>
    </w:div>
    <w:div w:id="598031313">
      <w:bodyDiv w:val="1"/>
      <w:marLeft w:val="0"/>
      <w:marRight w:val="0"/>
      <w:marTop w:val="0"/>
      <w:marBottom w:val="0"/>
      <w:divBdr>
        <w:top w:val="none" w:sz="0" w:space="0" w:color="auto"/>
        <w:left w:val="none" w:sz="0" w:space="0" w:color="auto"/>
        <w:bottom w:val="none" w:sz="0" w:space="0" w:color="auto"/>
        <w:right w:val="none" w:sz="0" w:space="0" w:color="auto"/>
      </w:divBdr>
    </w:div>
    <w:div w:id="821627667">
      <w:bodyDiv w:val="1"/>
      <w:marLeft w:val="0"/>
      <w:marRight w:val="0"/>
      <w:marTop w:val="0"/>
      <w:marBottom w:val="0"/>
      <w:divBdr>
        <w:top w:val="none" w:sz="0" w:space="0" w:color="auto"/>
        <w:left w:val="none" w:sz="0" w:space="0" w:color="auto"/>
        <w:bottom w:val="none" w:sz="0" w:space="0" w:color="auto"/>
        <w:right w:val="none" w:sz="0" w:space="0" w:color="auto"/>
      </w:divBdr>
    </w:div>
    <w:div w:id="1042168975">
      <w:bodyDiv w:val="1"/>
      <w:marLeft w:val="0"/>
      <w:marRight w:val="0"/>
      <w:marTop w:val="0"/>
      <w:marBottom w:val="0"/>
      <w:divBdr>
        <w:top w:val="none" w:sz="0" w:space="0" w:color="auto"/>
        <w:left w:val="none" w:sz="0" w:space="0" w:color="auto"/>
        <w:bottom w:val="none" w:sz="0" w:space="0" w:color="auto"/>
        <w:right w:val="none" w:sz="0" w:space="0" w:color="auto"/>
      </w:divBdr>
    </w:div>
    <w:div w:id="1042485493">
      <w:bodyDiv w:val="1"/>
      <w:marLeft w:val="0"/>
      <w:marRight w:val="0"/>
      <w:marTop w:val="0"/>
      <w:marBottom w:val="0"/>
      <w:divBdr>
        <w:top w:val="none" w:sz="0" w:space="0" w:color="auto"/>
        <w:left w:val="none" w:sz="0" w:space="0" w:color="auto"/>
        <w:bottom w:val="none" w:sz="0" w:space="0" w:color="auto"/>
        <w:right w:val="none" w:sz="0" w:space="0" w:color="auto"/>
      </w:divBdr>
    </w:div>
    <w:div w:id="1090195121">
      <w:bodyDiv w:val="1"/>
      <w:marLeft w:val="0"/>
      <w:marRight w:val="0"/>
      <w:marTop w:val="0"/>
      <w:marBottom w:val="0"/>
      <w:divBdr>
        <w:top w:val="none" w:sz="0" w:space="0" w:color="auto"/>
        <w:left w:val="none" w:sz="0" w:space="0" w:color="auto"/>
        <w:bottom w:val="none" w:sz="0" w:space="0" w:color="auto"/>
        <w:right w:val="none" w:sz="0" w:space="0" w:color="auto"/>
      </w:divBdr>
    </w:div>
    <w:div w:id="1189294662">
      <w:bodyDiv w:val="1"/>
      <w:marLeft w:val="0"/>
      <w:marRight w:val="0"/>
      <w:marTop w:val="0"/>
      <w:marBottom w:val="0"/>
      <w:divBdr>
        <w:top w:val="none" w:sz="0" w:space="0" w:color="auto"/>
        <w:left w:val="none" w:sz="0" w:space="0" w:color="auto"/>
        <w:bottom w:val="none" w:sz="0" w:space="0" w:color="auto"/>
        <w:right w:val="none" w:sz="0" w:space="0" w:color="auto"/>
      </w:divBdr>
    </w:div>
    <w:div w:id="1242369973">
      <w:bodyDiv w:val="1"/>
      <w:marLeft w:val="0"/>
      <w:marRight w:val="0"/>
      <w:marTop w:val="0"/>
      <w:marBottom w:val="0"/>
      <w:divBdr>
        <w:top w:val="none" w:sz="0" w:space="0" w:color="auto"/>
        <w:left w:val="none" w:sz="0" w:space="0" w:color="auto"/>
        <w:bottom w:val="none" w:sz="0" w:space="0" w:color="auto"/>
        <w:right w:val="none" w:sz="0" w:space="0" w:color="auto"/>
      </w:divBdr>
    </w:div>
    <w:div w:id="1289823173">
      <w:bodyDiv w:val="1"/>
      <w:marLeft w:val="0"/>
      <w:marRight w:val="0"/>
      <w:marTop w:val="0"/>
      <w:marBottom w:val="0"/>
      <w:divBdr>
        <w:top w:val="none" w:sz="0" w:space="0" w:color="auto"/>
        <w:left w:val="none" w:sz="0" w:space="0" w:color="auto"/>
        <w:bottom w:val="none" w:sz="0" w:space="0" w:color="auto"/>
        <w:right w:val="none" w:sz="0" w:space="0" w:color="auto"/>
      </w:divBdr>
    </w:div>
    <w:div w:id="1541042750">
      <w:bodyDiv w:val="1"/>
      <w:marLeft w:val="0"/>
      <w:marRight w:val="0"/>
      <w:marTop w:val="0"/>
      <w:marBottom w:val="0"/>
      <w:divBdr>
        <w:top w:val="none" w:sz="0" w:space="0" w:color="auto"/>
        <w:left w:val="none" w:sz="0" w:space="0" w:color="auto"/>
        <w:bottom w:val="none" w:sz="0" w:space="0" w:color="auto"/>
        <w:right w:val="none" w:sz="0" w:space="0" w:color="auto"/>
      </w:divBdr>
    </w:div>
    <w:div w:id="1576744756">
      <w:bodyDiv w:val="1"/>
      <w:marLeft w:val="0"/>
      <w:marRight w:val="0"/>
      <w:marTop w:val="0"/>
      <w:marBottom w:val="0"/>
      <w:divBdr>
        <w:top w:val="none" w:sz="0" w:space="0" w:color="auto"/>
        <w:left w:val="none" w:sz="0" w:space="0" w:color="auto"/>
        <w:bottom w:val="none" w:sz="0" w:space="0" w:color="auto"/>
        <w:right w:val="none" w:sz="0" w:space="0" w:color="auto"/>
      </w:divBdr>
    </w:div>
    <w:div w:id="1581522288">
      <w:bodyDiv w:val="1"/>
      <w:marLeft w:val="0"/>
      <w:marRight w:val="0"/>
      <w:marTop w:val="0"/>
      <w:marBottom w:val="0"/>
      <w:divBdr>
        <w:top w:val="none" w:sz="0" w:space="0" w:color="auto"/>
        <w:left w:val="none" w:sz="0" w:space="0" w:color="auto"/>
        <w:bottom w:val="none" w:sz="0" w:space="0" w:color="auto"/>
        <w:right w:val="none" w:sz="0" w:space="0" w:color="auto"/>
      </w:divBdr>
    </w:div>
    <w:div w:id="1828745045">
      <w:bodyDiv w:val="1"/>
      <w:marLeft w:val="0"/>
      <w:marRight w:val="0"/>
      <w:marTop w:val="0"/>
      <w:marBottom w:val="0"/>
      <w:divBdr>
        <w:top w:val="none" w:sz="0" w:space="0" w:color="auto"/>
        <w:left w:val="none" w:sz="0" w:space="0" w:color="auto"/>
        <w:bottom w:val="none" w:sz="0" w:space="0" w:color="auto"/>
        <w:right w:val="none" w:sz="0" w:space="0" w:color="auto"/>
      </w:divBdr>
      <w:divsChild>
        <w:div w:id="1296106939">
          <w:marLeft w:val="0"/>
          <w:marRight w:val="0"/>
          <w:marTop w:val="0"/>
          <w:marBottom w:val="0"/>
          <w:divBdr>
            <w:top w:val="none" w:sz="0" w:space="0" w:color="auto"/>
            <w:left w:val="none" w:sz="0" w:space="0" w:color="auto"/>
            <w:bottom w:val="none" w:sz="0" w:space="0" w:color="auto"/>
            <w:right w:val="none" w:sz="0" w:space="0" w:color="auto"/>
          </w:divBdr>
          <w:divsChild>
            <w:div w:id="1729769567">
              <w:marLeft w:val="0"/>
              <w:marRight w:val="0"/>
              <w:marTop w:val="0"/>
              <w:marBottom w:val="0"/>
              <w:divBdr>
                <w:top w:val="none" w:sz="0" w:space="0" w:color="auto"/>
                <w:left w:val="none" w:sz="0" w:space="0" w:color="auto"/>
                <w:bottom w:val="none" w:sz="0" w:space="0" w:color="auto"/>
                <w:right w:val="none" w:sz="0" w:space="0" w:color="auto"/>
              </w:divBdr>
              <w:divsChild>
                <w:div w:id="920526422">
                  <w:marLeft w:val="258"/>
                  <w:marRight w:val="258"/>
                  <w:marTop w:val="185"/>
                  <w:marBottom w:val="0"/>
                  <w:divBdr>
                    <w:top w:val="none" w:sz="0" w:space="0" w:color="auto"/>
                    <w:left w:val="none" w:sz="0" w:space="0" w:color="auto"/>
                    <w:bottom w:val="none" w:sz="0" w:space="0" w:color="auto"/>
                    <w:right w:val="none" w:sz="0" w:space="0" w:color="auto"/>
                  </w:divBdr>
                  <w:divsChild>
                    <w:div w:id="65811834">
                      <w:marLeft w:val="0"/>
                      <w:marRight w:val="0"/>
                      <w:marTop w:val="0"/>
                      <w:marBottom w:val="0"/>
                      <w:divBdr>
                        <w:top w:val="none" w:sz="0" w:space="0" w:color="auto"/>
                        <w:left w:val="none" w:sz="0" w:space="0" w:color="auto"/>
                        <w:bottom w:val="none" w:sz="0" w:space="0" w:color="auto"/>
                        <w:right w:val="none" w:sz="0" w:space="0" w:color="auto"/>
                      </w:divBdr>
                      <w:divsChild>
                        <w:div w:id="1447769208">
                          <w:marLeft w:val="0"/>
                          <w:marRight w:val="0"/>
                          <w:marTop w:val="0"/>
                          <w:marBottom w:val="0"/>
                          <w:divBdr>
                            <w:top w:val="none" w:sz="0" w:space="0" w:color="auto"/>
                            <w:left w:val="none" w:sz="0" w:space="0" w:color="auto"/>
                            <w:bottom w:val="none" w:sz="0" w:space="0" w:color="auto"/>
                            <w:right w:val="none" w:sz="0" w:space="0" w:color="auto"/>
                          </w:divBdr>
                          <w:divsChild>
                            <w:div w:id="1093286471">
                              <w:marLeft w:val="0"/>
                              <w:marRight w:val="0"/>
                              <w:marTop w:val="0"/>
                              <w:marBottom w:val="0"/>
                              <w:divBdr>
                                <w:top w:val="none" w:sz="0" w:space="0" w:color="auto"/>
                                <w:left w:val="none" w:sz="0" w:space="0" w:color="auto"/>
                                <w:bottom w:val="none" w:sz="0" w:space="0" w:color="auto"/>
                                <w:right w:val="none" w:sz="0" w:space="0" w:color="auto"/>
                              </w:divBdr>
                              <w:divsChild>
                                <w:div w:id="934750002">
                                  <w:marLeft w:val="0"/>
                                  <w:marRight w:val="0"/>
                                  <w:marTop w:val="0"/>
                                  <w:marBottom w:val="0"/>
                                  <w:divBdr>
                                    <w:top w:val="none" w:sz="0" w:space="0" w:color="auto"/>
                                    <w:left w:val="none" w:sz="0" w:space="0" w:color="auto"/>
                                    <w:bottom w:val="none" w:sz="0" w:space="0" w:color="auto"/>
                                    <w:right w:val="none" w:sz="0" w:space="0" w:color="auto"/>
                                  </w:divBdr>
                                  <w:divsChild>
                                    <w:div w:id="387925035">
                                      <w:marLeft w:val="0"/>
                                      <w:marRight w:val="0"/>
                                      <w:marTop w:val="0"/>
                                      <w:marBottom w:val="0"/>
                                      <w:divBdr>
                                        <w:top w:val="none" w:sz="0" w:space="0" w:color="auto"/>
                                        <w:left w:val="none" w:sz="0" w:space="0" w:color="auto"/>
                                        <w:bottom w:val="none" w:sz="0" w:space="0" w:color="auto"/>
                                        <w:right w:val="none" w:sz="0" w:space="0" w:color="auto"/>
                                      </w:divBdr>
                                      <w:divsChild>
                                        <w:div w:id="1871139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22320851">
      <w:bodyDiv w:val="1"/>
      <w:marLeft w:val="0"/>
      <w:marRight w:val="0"/>
      <w:marTop w:val="0"/>
      <w:marBottom w:val="0"/>
      <w:divBdr>
        <w:top w:val="none" w:sz="0" w:space="0" w:color="auto"/>
        <w:left w:val="none" w:sz="0" w:space="0" w:color="auto"/>
        <w:bottom w:val="none" w:sz="0" w:space="0" w:color="auto"/>
        <w:right w:val="none" w:sz="0" w:space="0" w:color="auto"/>
      </w:divBdr>
    </w:div>
    <w:div w:id="2080051030">
      <w:bodyDiv w:val="1"/>
      <w:marLeft w:val="0"/>
      <w:marRight w:val="0"/>
      <w:marTop w:val="0"/>
      <w:marBottom w:val="0"/>
      <w:divBdr>
        <w:top w:val="none" w:sz="0" w:space="0" w:color="auto"/>
        <w:left w:val="none" w:sz="0" w:space="0" w:color="auto"/>
        <w:bottom w:val="none" w:sz="0" w:space="0" w:color="auto"/>
        <w:right w:val="none" w:sz="0" w:space="0" w:color="auto"/>
      </w:divBdr>
    </w:div>
    <w:div w:id="2101098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sec.gov/info/edgar/siccodes.htm" TargetMode="External"/><Relationship Id="rId2" Type="http://schemas.openxmlformats.org/officeDocument/2006/relationships/hyperlink" Target="http://www.accountant.nl/Accountant/Nieuws/Goldman+Sachs+helpt+bij+creatief+boekhouden+Grieke.aspx" TargetMode="External"/><Relationship Id="rId1" Type="http://schemas.openxmlformats.org/officeDocument/2006/relationships/hyperlink" Target="http://nos.nl/artikel/235738-tekort-griekenland-valt-hoger-uit.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51451C-B539-41E8-B7A5-13DBE56833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99</Pages>
  <Words>35454</Words>
  <Characters>202094</Characters>
  <Application>Microsoft Office Word</Application>
  <DocSecurity>4</DocSecurity>
  <Lines>1684</Lines>
  <Paragraphs>474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Introduction</vt:lpstr>
      <vt:lpstr>Introduction</vt:lpstr>
    </vt:vector>
  </TitlesOfParts>
  <Company>Erasmus Universiteit Rotterdam</Company>
  <LinksUpToDate>false</LinksUpToDate>
  <CharactersWithSpaces>237074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Introduction</dc:title>
  <dc:creator>Mick</dc:creator>
  <cp:lastModifiedBy>Helene L. Molenaar</cp:lastModifiedBy>
  <cp:revision>2</cp:revision>
  <cp:lastPrinted>2012-09-24T09:20:00Z</cp:lastPrinted>
  <dcterms:created xsi:type="dcterms:W3CDTF">2013-02-26T08:56:00Z</dcterms:created>
  <dcterms:modified xsi:type="dcterms:W3CDTF">2013-02-26T08:56:00Z</dcterms:modified>
</cp:coreProperties>
</file>