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88" w:rsidRPr="00781608" w:rsidRDefault="00A77F88" w:rsidP="00A77F88">
      <w:pPr>
        <w:spacing w:line="360" w:lineRule="auto"/>
        <w:jc w:val="center"/>
        <w:rPr>
          <w:rFonts w:cs="Times New Roman"/>
          <w:b/>
          <w:sz w:val="24"/>
          <w:szCs w:val="24"/>
          <w:lang w:val="en-US"/>
        </w:rPr>
      </w:pPr>
      <w:bookmarkStart w:id="0" w:name="_GoBack"/>
      <w:bookmarkEnd w:id="0"/>
      <w:r w:rsidRPr="00781608">
        <w:rPr>
          <w:rFonts w:cs="Times New Roman"/>
          <w:b/>
          <w:sz w:val="24"/>
          <w:szCs w:val="24"/>
          <w:lang w:val="en-US"/>
        </w:rPr>
        <w:t>ERASMUS UNIVERSITY ROTTERDAM</w:t>
      </w:r>
    </w:p>
    <w:p w:rsidR="00A77F88" w:rsidRPr="00781608" w:rsidRDefault="00A77F88" w:rsidP="00E1177A">
      <w:pPr>
        <w:spacing w:line="360" w:lineRule="auto"/>
        <w:jc w:val="both"/>
        <w:rPr>
          <w:rFonts w:cs="Times New Roman"/>
          <w:b/>
          <w:sz w:val="24"/>
          <w:szCs w:val="24"/>
          <w:lang w:val="en-US"/>
        </w:rPr>
      </w:pPr>
    </w:p>
    <w:p w:rsidR="00A77F88" w:rsidRPr="00781608" w:rsidRDefault="00A77F88" w:rsidP="00A77F88">
      <w:pPr>
        <w:spacing w:after="0" w:line="360" w:lineRule="auto"/>
        <w:jc w:val="center"/>
        <w:rPr>
          <w:rFonts w:cs="Times New Roman"/>
          <w:b/>
          <w:sz w:val="40"/>
          <w:szCs w:val="40"/>
          <w:lang w:val="en-US"/>
        </w:rPr>
      </w:pPr>
      <w:r w:rsidRPr="00781608">
        <w:rPr>
          <w:rFonts w:cs="Times New Roman"/>
          <w:b/>
          <w:sz w:val="40"/>
          <w:szCs w:val="40"/>
          <w:lang w:val="en-US"/>
        </w:rPr>
        <w:t>Master Thesis</w:t>
      </w:r>
    </w:p>
    <w:p w:rsidR="00A77F88" w:rsidRPr="00781608" w:rsidRDefault="00A77F88" w:rsidP="00A77F88">
      <w:pPr>
        <w:spacing w:after="0" w:line="360" w:lineRule="auto"/>
        <w:jc w:val="center"/>
        <w:rPr>
          <w:rFonts w:cs="Times New Roman"/>
          <w:lang w:val="en-US"/>
        </w:rPr>
      </w:pPr>
      <w:r w:rsidRPr="00781608">
        <w:rPr>
          <w:rFonts w:cs="Times New Roman"/>
          <w:lang w:val="en-US"/>
        </w:rPr>
        <w:t>To obtain the academic degree of</w:t>
      </w:r>
    </w:p>
    <w:p w:rsidR="00A77F88" w:rsidRPr="00781608" w:rsidRDefault="00A77F88" w:rsidP="00A77F88">
      <w:pPr>
        <w:spacing w:after="0" w:line="360" w:lineRule="auto"/>
        <w:jc w:val="center"/>
        <w:rPr>
          <w:rFonts w:cs="Times New Roman"/>
          <w:lang w:val="en-US"/>
        </w:rPr>
      </w:pPr>
      <w:r w:rsidRPr="00781608">
        <w:rPr>
          <w:rFonts w:cs="Times New Roman"/>
          <w:lang w:val="en-US"/>
        </w:rPr>
        <w:t>Master of Science in Economics &amp; Business</w:t>
      </w:r>
    </w:p>
    <w:p w:rsidR="00A77F88" w:rsidRPr="00781608" w:rsidRDefault="00A77F88" w:rsidP="00A77F88">
      <w:pPr>
        <w:spacing w:line="360" w:lineRule="auto"/>
        <w:jc w:val="center"/>
        <w:rPr>
          <w:rFonts w:cs="Times New Roman"/>
          <w:lang w:val="en-US"/>
        </w:rPr>
      </w:pPr>
      <w:r w:rsidRPr="00781608">
        <w:rPr>
          <w:rFonts w:cs="Times New Roman"/>
          <w:lang w:val="en-US"/>
        </w:rPr>
        <w:t>(Major in International Economics)</w:t>
      </w:r>
    </w:p>
    <w:p w:rsidR="00A77F88" w:rsidRPr="00781608" w:rsidRDefault="00A77F88" w:rsidP="00A77F88">
      <w:pPr>
        <w:spacing w:line="360" w:lineRule="auto"/>
        <w:jc w:val="center"/>
        <w:rPr>
          <w:rFonts w:cs="Times New Roman"/>
          <w:lang w:val="en-US"/>
        </w:rPr>
      </w:pPr>
    </w:p>
    <w:p w:rsidR="00C44AC0" w:rsidRPr="00781608" w:rsidRDefault="00C44AC0" w:rsidP="00A77F88">
      <w:pPr>
        <w:spacing w:line="360" w:lineRule="auto"/>
        <w:jc w:val="center"/>
        <w:rPr>
          <w:rFonts w:cs="Times New Roman"/>
          <w:lang w:val="en-US"/>
        </w:rPr>
      </w:pPr>
    </w:p>
    <w:p w:rsidR="00424C5C" w:rsidRPr="00781608" w:rsidRDefault="00C44AC0" w:rsidP="00C44AC0">
      <w:pPr>
        <w:spacing w:line="360" w:lineRule="auto"/>
        <w:jc w:val="center"/>
        <w:rPr>
          <w:rFonts w:cs="Times New Roman"/>
          <w:b/>
          <w:sz w:val="32"/>
          <w:szCs w:val="32"/>
          <w:lang w:val="en-US"/>
        </w:rPr>
      </w:pPr>
      <w:r w:rsidRPr="00781608">
        <w:rPr>
          <w:rFonts w:cs="Times New Roman"/>
          <w:b/>
          <w:sz w:val="32"/>
          <w:szCs w:val="32"/>
          <w:lang w:val="en-US"/>
        </w:rPr>
        <w:t>Information A</w:t>
      </w:r>
      <w:r w:rsidR="00C916F7" w:rsidRPr="00781608">
        <w:rPr>
          <w:rFonts w:cs="Times New Roman"/>
          <w:b/>
          <w:sz w:val="32"/>
          <w:szCs w:val="32"/>
          <w:lang w:val="en-US"/>
        </w:rPr>
        <w:t>vailab</w:t>
      </w:r>
      <w:r w:rsidRPr="00781608">
        <w:rPr>
          <w:rFonts w:cs="Times New Roman"/>
          <w:b/>
          <w:sz w:val="32"/>
          <w:szCs w:val="32"/>
          <w:lang w:val="en-US"/>
        </w:rPr>
        <w:t>ility Influences the Impact of Rating Events on Sovereign Bond M</w:t>
      </w:r>
      <w:r w:rsidR="00A77F88" w:rsidRPr="00781608">
        <w:rPr>
          <w:rFonts w:cs="Times New Roman"/>
          <w:b/>
          <w:sz w:val="32"/>
          <w:szCs w:val="32"/>
          <w:lang w:val="en-US"/>
        </w:rPr>
        <w:t>arkets</w:t>
      </w:r>
    </w:p>
    <w:p w:rsidR="00C916F7" w:rsidRPr="00781608" w:rsidRDefault="00C916F7" w:rsidP="00E1177A">
      <w:pPr>
        <w:spacing w:line="360" w:lineRule="auto"/>
        <w:jc w:val="both"/>
        <w:rPr>
          <w:rFonts w:cs="Times New Roman"/>
          <w:b/>
          <w:sz w:val="24"/>
          <w:szCs w:val="24"/>
          <w:lang w:val="en-US"/>
        </w:rPr>
      </w:pPr>
    </w:p>
    <w:p w:rsidR="00C44AC0" w:rsidRPr="00781608" w:rsidRDefault="00C44AC0" w:rsidP="00E1177A">
      <w:pPr>
        <w:spacing w:line="360" w:lineRule="auto"/>
        <w:jc w:val="both"/>
        <w:rPr>
          <w:rFonts w:cs="Times New Roman"/>
          <w:b/>
          <w:sz w:val="24"/>
          <w:szCs w:val="24"/>
          <w:lang w:val="en-US"/>
        </w:rPr>
      </w:pPr>
    </w:p>
    <w:p w:rsidR="00C44AC0" w:rsidRPr="00781608" w:rsidRDefault="00C44AC0" w:rsidP="00E1177A">
      <w:pPr>
        <w:spacing w:line="360" w:lineRule="auto"/>
        <w:jc w:val="both"/>
        <w:rPr>
          <w:rFonts w:cs="Times New Roman"/>
          <w:b/>
          <w:sz w:val="24"/>
          <w:szCs w:val="24"/>
          <w:lang w:val="en-US"/>
        </w:rPr>
      </w:pPr>
    </w:p>
    <w:p w:rsidR="00C916F7" w:rsidRPr="00781608" w:rsidRDefault="00C916F7" w:rsidP="00E1177A">
      <w:pPr>
        <w:spacing w:line="360" w:lineRule="auto"/>
        <w:jc w:val="both"/>
        <w:rPr>
          <w:rFonts w:cs="Times New Roman"/>
          <w:b/>
          <w:sz w:val="24"/>
          <w:szCs w:val="24"/>
          <w:lang w:val="en-US"/>
        </w:rPr>
      </w:pPr>
    </w:p>
    <w:p w:rsidR="00C44AC0" w:rsidRPr="00781608" w:rsidRDefault="00C44AC0">
      <w:pPr>
        <w:rPr>
          <w:rFonts w:cs="Times New Roman"/>
          <w:i/>
          <w:sz w:val="24"/>
          <w:szCs w:val="24"/>
          <w:lang w:val="en-US"/>
        </w:rPr>
      </w:pPr>
    </w:p>
    <w:p w:rsidR="00A77F88" w:rsidRPr="00781608" w:rsidRDefault="00A77F88">
      <w:pPr>
        <w:rPr>
          <w:rFonts w:cs="Times New Roman"/>
          <w:i/>
          <w:sz w:val="24"/>
          <w:szCs w:val="24"/>
          <w:lang w:val="en-US"/>
        </w:rPr>
      </w:pPr>
      <w:r w:rsidRPr="00781608">
        <w:rPr>
          <w:rFonts w:cs="Times New Roman"/>
          <w:i/>
          <w:sz w:val="24"/>
          <w:szCs w:val="24"/>
          <w:lang w:val="en-US"/>
        </w:rPr>
        <w:t>Erasmus School of Economics</w:t>
      </w:r>
    </w:p>
    <w:p w:rsidR="00A77F88" w:rsidRPr="00781608" w:rsidRDefault="00A77F88">
      <w:pPr>
        <w:rPr>
          <w:rFonts w:cs="Times New Roman"/>
          <w:i/>
          <w:sz w:val="24"/>
          <w:szCs w:val="24"/>
          <w:lang w:val="en-US"/>
        </w:rPr>
      </w:pPr>
      <w:r w:rsidRPr="00781608">
        <w:rPr>
          <w:rFonts w:cs="Times New Roman"/>
          <w:i/>
          <w:sz w:val="24"/>
          <w:szCs w:val="24"/>
          <w:lang w:val="en-US"/>
        </w:rPr>
        <w:t>Department of Economics</w:t>
      </w:r>
    </w:p>
    <w:p w:rsidR="00C916F7" w:rsidRPr="00781608" w:rsidRDefault="00A77F88">
      <w:pPr>
        <w:rPr>
          <w:rFonts w:cs="Times New Roman"/>
          <w:sz w:val="24"/>
          <w:szCs w:val="24"/>
          <w:lang w:val="en-US"/>
        </w:rPr>
      </w:pPr>
      <w:r w:rsidRPr="00781608">
        <w:rPr>
          <w:rFonts w:cs="Times New Roman"/>
          <w:b/>
          <w:sz w:val="24"/>
          <w:szCs w:val="24"/>
          <w:lang w:val="en-US"/>
        </w:rPr>
        <w:t>Author:</w:t>
      </w:r>
      <w:r w:rsidR="00C101D1" w:rsidRPr="00781608">
        <w:rPr>
          <w:rFonts w:cs="Times New Roman"/>
          <w:sz w:val="24"/>
          <w:szCs w:val="24"/>
          <w:lang w:val="en-US"/>
        </w:rPr>
        <w:t xml:space="preserve"> Ann</w:t>
      </w:r>
      <w:r w:rsidR="00676985">
        <w:rPr>
          <w:rFonts w:cs="Times New Roman"/>
          <w:sz w:val="24"/>
          <w:szCs w:val="24"/>
          <w:lang w:val="en-US"/>
        </w:rPr>
        <w:t>a Eleonora (Anneloor)</w:t>
      </w:r>
      <w:r w:rsidR="00C101D1" w:rsidRPr="00781608">
        <w:rPr>
          <w:rFonts w:cs="Times New Roman"/>
          <w:sz w:val="24"/>
          <w:szCs w:val="24"/>
          <w:lang w:val="en-US"/>
        </w:rPr>
        <w:t xml:space="preserve"> Hoeb</w:t>
      </w:r>
      <w:r w:rsidR="00C916F7" w:rsidRPr="00781608">
        <w:rPr>
          <w:rFonts w:cs="Times New Roman"/>
          <w:sz w:val="24"/>
          <w:szCs w:val="24"/>
          <w:lang w:val="en-US"/>
        </w:rPr>
        <w:t>é</w:t>
      </w:r>
      <w:r w:rsidR="00C101D1" w:rsidRPr="00781608">
        <w:rPr>
          <w:rFonts w:cs="Times New Roman"/>
          <w:sz w:val="24"/>
          <w:szCs w:val="24"/>
          <w:lang w:val="en-US"/>
        </w:rPr>
        <w:t>e</w:t>
      </w:r>
    </w:p>
    <w:p w:rsidR="00C916F7" w:rsidRPr="00781608" w:rsidRDefault="00A77F88" w:rsidP="00C916F7">
      <w:pPr>
        <w:rPr>
          <w:rFonts w:cs="Times New Roman"/>
          <w:sz w:val="24"/>
          <w:szCs w:val="24"/>
          <w:lang w:val="en-US"/>
        </w:rPr>
      </w:pPr>
      <w:r w:rsidRPr="00781608">
        <w:rPr>
          <w:rFonts w:cs="Times New Roman"/>
          <w:b/>
          <w:sz w:val="24"/>
          <w:szCs w:val="24"/>
          <w:lang w:val="en-US"/>
        </w:rPr>
        <w:t>Exam Number:</w:t>
      </w:r>
      <w:r w:rsidRPr="00781608">
        <w:rPr>
          <w:rFonts w:cs="Times New Roman"/>
          <w:sz w:val="24"/>
          <w:szCs w:val="24"/>
          <w:lang w:val="en-US"/>
        </w:rPr>
        <w:t xml:space="preserve"> </w:t>
      </w:r>
      <w:r w:rsidR="00C916F7" w:rsidRPr="00781608">
        <w:rPr>
          <w:rFonts w:cs="Times New Roman"/>
          <w:sz w:val="24"/>
          <w:szCs w:val="24"/>
          <w:lang w:val="en-US"/>
        </w:rPr>
        <w:t>348301</w:t>
      </w:r>
    </w:p>
    <w:p w:rsidR="00C916F7" w:rsidRPr="00781608" w:rsidRDefault="00A77F88">
      <w:pPr>
        <w:rPr>
          <w:rFonts w:cs="Times New Roman"/>
          <w:sz w:val="24"/>
          <w:szCs w:val="24"/>
          <w:lang w:val="en-US"/>
        </w:rPr>
      </w:pPr>
      <w:r w:rsidRPr="00781608">
        <w:rPr>
          <w:rFonts w:cs="Times New Roman"/>
          <w:b/>
          <w:sz w:val="24"/>
          <w:szCs w:val="24"/>
          <w:lang w:val="en-US"/>
        </w:rPr>
        <w:t>Email address:</w:t>
      </w:r>
      <w:r w:rsidRPr="00781608">
        <w:rPr>
          <w:rFonts w:cs="Times New Roman"/>
          <w:sz w:val="24"/>
          <w:szCs w:val="24"/>
          <w:lang w:val="en-US"/>
        </w:rPr>
        <w:t xml:space="preserve"> aehoebee@gmail.com</w:t>
      </w:r>
    </w:p>
    <w:p w:rsidR="00C916F7" w:rsidRPr="00781608" w:rsidRDefault="00A77F88">
      <w:pPr>
        <w:rPr>
          <w:rFonts w:cs="Times New Roman"/>
          <w:sz w:val="24"/>
          <w:szCs w:val="24"/>
          <w:lang w:val="en-US"/>
        </w:rPr>
      </w:pPr>
      <w:r w:rsidRPr="00781608">
        <w:rPr>
          <w:rFonts w:cs="Times New Roman"/>
          <w:b/>
          <w:sz w:val="24"/>
          <w:szCs w:val="24"/>
          <w:lang w:val="en-US"/>
        </w:rPr>
        <w:t>Supervisor:</w:t>
      </w:r>
      <w:r w:rsidRPr="00781608">
        <w:rPr>
          <w:rFonts w:cs="Times New Roman"/>
          <w:sz w:val="24"/>
          <w:szCs w:val="24"/>
          <w:lang w:val="en-US"/>
        </w:rPr>
        <w:t xml:space="preserve"> B.M. Sadaba, MSc</w:t>
      </w:r>
    </w:p>
    <w:p w:rsidR="00C916F7" w:rsidRPr="00781608" w:rsidRDefault="00A77F88">
      <w:pPr>
        <w:rPr>
          <w:rFonts w:cs="Times New Roman"/>
          <w:sz w:val="24"/>
          <w:szCs w:val="24"/>
          <w:lang w:val="en-US"/>
        </w:rPr>
      </w:pPr>
      <w:r w:rsidRPr="00781608">
        <w:rPr>
          <w:rFonts w:cs="Times New Roman"/>
          <w:b/>
          <w:sz w:val="24"/>
          <w:szCs w:val="24"/>
          <w:lang w:val="en-US"/>
        </w:rPr>
        <w:t>Study Program:</w:t>
      </w:r>
      <w:r w:rsidRPr="00781608">
        <w:rPr>
          <w:rFonts w:cs="Times New Roman"/>
          <w:sz w:val="24"/>
          <w:szCs w:val="24"/>
          <w:lang w:val="en-US"/>
        </w:rPr>
        <w:t xml:space="preserve"> Business Economics</w:t>
      </w:r>
    </w:p>
    <w:p w:rsidR="00A77F88" w:rsidRPr="00781608" w:rsidRDefault="00A77F88">
      <w:pPr>
        <w:rPr>
          <w:rFonts w:cs="Times New Roman"/>
          <w:sz w:val="24"/>
          <w:szCs w:val="24"/>
          <w:lang w:val="en-US"/>
        </w:rPr>
      </w:pPr>
      <w:r w:rsidRPr="00781608">
        <w:rPr>
          <w:rFonts w:cs="Times New Roman"/>
          <w:b/>
          <w:sz w:val="24"/>
          <w:szCs w:val="24"/>
          <w:lang w:val="en-US"/>
        </w:rPr>
        <w:t>Specialization:</w:t>
      </w:r>
      <w:r w:rsidRPr="00781608">
        <w:rPr>
          <w:rFonts w:cs="Times New Roman"/>
          <w:sz w:val="24"/>
          <w:szCs w:val="24"/>
          <w:lang w:val="en-US"/>
        </w:rPr>
        <w:t xml:space="preserve"> International Economics</w:t>
      </w:r>
    </w:p>
    <w:p w:rsidR="00A77F88" w:rsidRPr="00781608" w:rsidRDefault="00A77F88">
      <w:pPr>
        <w:rPr>
          <w:rFonts w:cs="Times New Roman"/>
          <w:sz w:val="24"/>
          <w:szCs w:val="24"/>
          <w:lang w:val="en-US"/>
        </w:rPr>
      </w:pPr>
      <w:r w:rsidRPr="00781608">
        <w:rPr>
          <w:rFonts w:cs="Times New Roman"/>
          <w:b/>
          <w:sz w:val="24"/>
          <w:szCs w:val="24"/>
          <w:lang w:val="en-US"/>
        </w:rPr>
        <w:t>Date:</w:t>
      </w:r>
      <w:r w:rsidRPr="00781608">
        <w:rPr>
          <w:rFonts w:cs="Times New Roman"/>
          <w:sz w:val="24"/>
          <w:szCs w:val="24"/>
          <w:lang w:val="en-US"/>
        </w:rPr>
        <w:t xml:space="preserve"> 24/6/2013</w:t>
      </w:r>
    </w:p>
    <w:p w:rsidR="005B1F10" w:rsidRDefault="005B1F10">
      <w:pPr>
        <w:rPr>
          <w:rFonts w:cs="Times New Roman"/>
          <w:b/>
          <w:sz w:val="24"/>
          <w:szCs w:val="24"/>
          <w:lang w:val="en-US"/>
        </w:rPr>
      </w:pPr>
      <w:r>
        <w:rPr>
          <w:rFonts w:cs="Times New Roman"/>
          <w:b/>
          <w:sz w:val="24"/>
          <w:szCs w:val="24"/>
          <w:lang w:val="en-US"/>
        </w:rPr>
        <w:lastRenderedPageBreak/>
        <w:br w:type="page"/>
      </w:r>
    </w:p>
    <w:p w:rsidR="00C101D1" w:rsidRPr="00781608" w:rsidRDefault="00C101D1" w:rsidP="00F23951">
      <w:pPr>
        <w:rPr>
          <w:rFonts w:cs="Times New Roman"/>
          <w:b/>
          <w:sz w:val="24"/>
          <w:szCs w:val="24"/>
          <w:lang w:val="en-US"/>
        </w:rPr>
      </w:pPr>
      <w:r w:rsidRPr="00781608">
        <w:rPr>
          <w:rFonts w:cs="Times New Roman"/>
          <w:b/>
          <w:sz w:val="24"/>
          <w:szCs w:val="24"/>
          <w:lang w:val="en-US"/>
        </w:rPr>
        <w:lastRenderedPageBreak/>
        <w:t>Abstract</w:t>
      </w:r>
      <w:r w:rsidR="0031065D" w:rsidRPr="00781608">
        <w:rPr>
          <w:rFonts w:cs="Times New Roman"/>
          <w:b/>
          <w:sz w:val="24"/>
          <w:szCs w:val="24"/>
          <w:lang w:val="en-US"/>
        </w:rPr>
        <w:t xml:space="preserve"> </w:t>
      </w:r>
    </w:p>
    <w:p w:rsidR="00E65450" w:rsidRPr="00781608" w:rsidRDefault="00D846E3" w:rsidP="00764641">
      <w:pPr>
        <w:spacing w:line="360" w:lineRule="auto"/>
        <w:jc w:val="both"/>
        <w:rPr>
          <w:rFonts w:cs="Times New Roman"/>
          <w:lang w:val="en-US"/>
        </w:rPr>
      </w:pPr>
      <w:r w:rsidRPr="00781608">
        <w:rPr>
          <w:rFonts w:cs="Times New Roman"/>
          <w:lang w:val="en-US"/>
        </w:rPr>
        <w:t>M</w:t>
      </w:r>
      <w:r w:rsidR="0074550A" w:rsidRPr="00781608">
        <w:rPr>
          <w:rFonts w:cs="Times New Roman"/>
          <w:lang w:val="en-US"/>
        </w:rPr>
        <w:t>uch</w:t>
      </w:r>
      <w:r w:rsidR="00655136" w:rsidRPr="00781608">
        <w:rPr>
          <w:rFonts w:cs="Times New Roman"/>
          <w:lang w:val="en-US"/>
        </w:rPr>
        <w:t xml:space="preserve"> of the previous literature </w:t>
      </w:r>
      <w:r w:rsidR="00C101D1" w:rsidRPr="00781608">
        <w:rPr>
          <w:rFonts w:cs="Times New Roman"/>
          <w:lang w:val="en-US"/>
        </w:rPr>
        <w:t xml:space="preserve">over the past decade </w:t>
      </w:r>
      <w:r w:rsidR="00655136" w:rsidRPr="00781608">
        <w:rPr>
          <w:rFonts w:cs="Times New Roman"/>
          <w:lang w:val="en-US"/>
        </w:rPr>
        <w:t>has shown that</w:t>
      </w:r>
      <w:r w:rsidR="00F73922" w:rsidRPr="00781608">
        <w:rPr>
          <w:rFonts w:cs="Times New Roman"/>
          <w:lang w:val="en-US"/>
        </w:rPr>
        <w:t xml:space="preserve"> </w:t>
      </w:r>
      <w:r w:rsidR="00C101D1" w:rsidRPr="00781608">
        <w:rPr>
          <w:rFonts w:cs="Times New Roman"/>
          <w:lang w:val="en-US"/>
        </w:rPr>
        <w:t xml:space="preserve">negative rating events have a significant impact on sovereign </w:t>
      </w:r>
      <w:r w:rsidR="00655136" w:rsidRPr="00781608">
        <w:rPr>
          <w:rFonts w:cs="Times New Roman"/>
          <w:lang w:val="en-US"/>
        </w:rPr>
        <w:t xml:space="preserve">bond </w:t>
      </w:r>
      <w:r w:rsidR="002D1647" w:rsidRPr="00781608">
        <w:rPr>
          <w:rFonts w:cs="Times New Roman"/>
          <w:lang w:val="en-US"/>
        </w:rPr>
        <w:t>spreads</w:t>
      </w:r>
      <w:r w:rsidR="00E65450" w:rsidRPr="00781608">
        <w:rPr>
          <w:rFonts w:cs="Times New Roman"/>
          <w:lang w:val="en-US"/>
        </w:rPr>
        <w:t xml:space="preserve">. </w:t>
      </w:r>
      <w:r w:rsidR="005E6C41" w:rsidRPr="00781608">
        <w:rPr>
          <w:rFonts w:cs="Times New Roman"/>
          <w:lang w:val="en-US"/>
        </w:rPr>
        <w:t xml:space="preserve">However, </w:t>
      </w:r>
      <w:r w:rsidR="00655136" w:rsidRPr="00781608">
        <w:rPr>
          <w:rFonts w:cs="Times New Roman"/>
          <w:lang w:val="en-US"/>
        </w:rPr>
        <w:t xml:space="preserve">in </w:t>
      </w:r>
      <w:r w:rsidR="005E6C41" w:rsidRPr="00781608">
        <w:rPr>
          <w:rFonts w:cs="Times New Roman"/>
          <w:lang w:val="en-US"/>
        </w:rPr>
        <w:t>t</w:t>
      </w:r>
      <w:r w:rsidR="00E65450" w:rsidRPr="00781608">
        <w:rPr>
          <w:rFonts w:cs="Times New Roman"/>
          <w:lang w:val="en-US"/>
        </w:rPr>
        <w:t xml:space="preserve">his </w:t>
      </w:r>
      <w:r w:rsidR="00655136" w:rsidRPr="00781608">
        <w:rPr>
          <w:rFonts w:cs="Times New Roman"/>
          <w:lang w:val="en-US"/>
        </w:rPr>
        <w:t xml:space="preserve">thesis I </w:t>
      </w:r>
      <w:r w:rsidR="00E65450" w:rsidRPr="00781608">
        <w:rPr>
          <w:rFonts w:cs="Times New Roman"/>
          <w:lang w:val="en-US"/>
        </w:rPr>
        <w:t>show</w:t>
      </w:r>
      <w:r w:rsidR="00C101D1" w:rsidRPr="00781608">
        <w:rPr>
          <w:rFonts w:cs="Times New Roman"/>
          <w:lang w:val="en-US"/>
        </w:rPr>
        <w:t xml:space="preserve"> that</w:t>
      </w:r>
      <w:r w:rsidR="00676985">
        <w:rPr>
          <w:rFonts w:cs="Times New Roman"/>
          <w:lang w:val="en-US"/>
        </w:rPr>
        <w:t>,</w:t>
      </w:r>
      <w:r w:rsidR="00C101D1" w:rsidRPr="00781608">
        <w:rPr>
          <w:rFonts w:cs="Times New Roman"/>
          <w:lang w:val="en-US"/>
        </w:rPr>
        <w:t xml:space="preserve"> when accounting for </w:t>
      </w:r>
      <w:r w:rsidR="00655136" w:rsidRPr="00781608">
        <w:rPr>
          <w:rFonts w:cs="Times New Roman"/>
          <w:lang w:val="en-US"/>
        </w:rPr>
        <w:t>freedom of press</w:t>
      </w:r>
      <w:r w:rsidR="009F0F85" w:rsidRPr="00781608">
        <w:rPr>
          <w:rFonts w:cs="Times New Roman"/>
          <w:lang w:val="en-US"/>
        </w:rPr>
        <w:t xml:space="preserve"> and </w:t>
      </w:r>
      <w:r w:rsidR="00C101D1" w:rsidRPr="00781608">
        <w:rPr>
          <w:rFonts w:cs="Times New Roman"/>
          <w:lang w:val="en-US"/>
        </w:rPr>
        <w:t xml:space="preserve">the level of </w:t>
      </w:r>
      <w:r w:rsidR="0074550A" w:rsidRPr="00781608">
        <w:rPr>
          <w:rFonts w:cs="Times New Roman"/>
          <w:lang w:val="en-US"/>
        </w:rPr>
        <w:t>transparency</w:t>
      </w:r>
      <w:r w:rsidR="00F73922" w:rsidRPr="00781608">
        <w:rPr>
          <w:rFonts w:cs="Times New Roman"/>
          <w:lang w:val="en-US"/>
        </w:rPr>
        <w:t xml:space="preserve"> </w:t>
      </w:r>
      <w:r w:rsidR="00655136" w:rsidRPr="00781608">
        <w:rPr>
          <w:rFonts w:cs="Times New Roman"/>
          <w:lang w:val="en-US"/>
        </w:rPr>
        <w:t>in</w:t>
      </w:r>
      <w:r w:rsidR="00F73922" w:rsidRPr="00781608">
        <w:rPr>
          <w:rFonts w:cs="Times New Roman"/>
          <w:lang w:val="en-US"/>
        </w:rPr>
        <w:t xml:space="preserve"> </w:t>
      </w:r>
      <w:r w:rsidR="00655136" w:rsidRPr="00781608">
        <w:rPr>
          <w:rFonts w:cs="Times New Roman"/>
          <w:lang w:val="en-US"/>
        </w:rPr>
        <w:t>a country</w:t>
      </w:r>
      <w:r w:rsidR="00676985">
        <w:rPr>
          <w:rFonts w:cs="Times New Roman"/>
          <w:lang w:val="en-US"/>
        </w:rPr>
        <w:t>,</w:t>
      </w:r>
      <w:r w:rsidR="00F73922" w:rsidRPr="00781608">
        <w:rPr>
          <w:rFonts w:cs="Times New Roman"/>
          <w:lang w:val="en-US"/>
        </w:rPr>
        <w:t xml:space="preserve"> </w:t>
      </w:r>
      <w:r w:rsidR="00655136" w:rsidRPr="00781608">
        <w:rPr>
          <w:rFonts w:cs="Times New Roman"/>
          <w:lang w:val="en-US"/>
        </w:rPr>
        <w:t xml:space="preserve">the statistical significance </w:t>
      </w:r>
      <w:r w:rsidR="00221494" w:rsidRPr="00781608">
        <w:rPr>
          <w:rFonts w:cs="Times New Roman"/>
          <w:lang w:val="en-US"/>
        </w:rPr>
        <w:t xml:space="preserve">of rating events </w:t>
      </w:r>
      <w:r w:rsidR="00655136" w:rsidRPr="00781608">
        <w:rPr>
          <w:rFonts w:cs="Times New Roman"/>
          <w:lang w:val="en-US"/>
        </w:rPr>
        <w:t>decreases</w:t>
      </w:r>
      <w:r w:rsidR="00221494" w:rsidRPr="00781608">
        <w:rPr>
          <w:rFonts w:cs="Times New Roman"/>
          <w:lang w:val="en-US"/>
        </w:rPr>
        <w:t xml:space="preserve"> or even </w:t>
      </w:r>
      <w:r w:rsidR="00EE58A3" w:rsidRPr="00781608">
        <w:rPr>
          <w:rFonts w:cs="Times New Roman"/>
          <w:lang w:val="en-US"/>
        </w:rPr>
        <w:t>disappears</w:t>
      </w:r>
      <w:r w:rsidR="00C101D1" w:rsidRPr="00781608">
        <w:rPr>
          <w:rFonts w:cs="Times New Roman"/>
          <w:lang w:val="en-US"/>
        </w:rPr>
        <w:t xml:space="preserve">. </w:t>
      </w:r>
      <w:r w:rsidR="00F73922" w:rsidRPr="00781608">
        <w:rPr>
          <w:rFonts w:cs="Times New Roman"/>
          <w:lang w:val="en-US"/>
        </w:rPr>
        <w:t xml:space="preserve">Thus, </w:t>
      </w:r>
      <w:r w:rsidR="009F0F85" w:rsidRPr="00781608">
        <w:rPr>
          <w:rFonts w:cs="Times New Roman"/>
          <w:lang w:val="en-US"/>
        </w:rPr>
        <w:t xml:space="preserve">I argue that </w:t>
      </w:r>
      <w:r w:rsidR="00F73922" w:rsidRPr="00781608">
        <w:rPr>
          <w:rFonts w:cs="Times New Roman"/>
          <w:lang w:val="en-US"/>
        </w:rPr>
        <w:t xml:space="preserve">it is </w:t>
      </w:r>
      <w:r w:rsidR="009F0F85" w:rsidRPr="00781608">
        <w:rPr>
          <w:rFonts w:cs="Times New Roman"/>
          <w:lang w:val="en-US"/>
        </w:rPr>
        <w:t>i</w:t>
      </w:r>
      <w:r w:rsidR="00E65450" w:rsidRPr="00781608">
        <w:rPr>
          <w:rFonts w:cs="Times New Roman"/>
          <w:lang w:val="en-US"/>
        </w:rPr>
        <w:t xml:space="preserve">nformation availability </w:t>
      </w:r>
      <w:r w:rsidR="009F0F85" w:rsidRPr="00781608">
        <w:rPr>
          <w:rFonts w:cs="Times New Roman"/>
          <w:lang w:val="en-US"/>
        </w:rPr>
        <w:t xml:space="preserve">which </w:t>
      </w:r>
      <w:r w:rsidR="00E65450" w:rsidRPr="00781608">
        <w:rPr>
          <w:rFonts w:cs="Times New Roman"/>
          <w:lang w:val="en-US"/>
        </w:rPr>
        <w:t>is cruc</w:t>
      </w:r>
      <w:r w:rsidR="00C101D1" w:rsidRPr="00781608">
        <w:rPr>
          <w:rFonts w:cs="Times New Roman"/>
          <w:lang w:val="en-US"/>
        </w:rPr>
        <w:t xml:space="preserve">ial for </w:t>
      </w:r>
      <w:r w:rsidR="00F375C0" w:rsidRPr="00781608">
        <w:rPr>
          <w:rFonts w:cs="Times New Roman"/>
          <w:lang w:val="en-US"/>
        </w:rPr>
        <w:t xml:space="preserve">the efficiency of </w:t>
      </w:r>
      <w:r w:rsidR="00C101D1" w:rsidRPr="00781608">
        <w:rPr>
          <w:rFonts w:cs="Times New Roman"/>
          <w:lang w:val="en-US"/>
        </w:rPr>
        <w:t>financial markets</w:t>
      </w:r>
      <w:r w:rsidR="00F73922" w:rsidRPr="00781608">
        <w:rPr>
          <w:rFonts w:cs="Times New Roman"/>
          <w:lang w:val="en-US"/>
        </w:rPr>
        <w:t>. S</w:t>
      </w:r>
      <w:r w:rsidR="00C101D1" w:rsidRPr="00781608">
        <w:rPr>
          <w:rFonts w:cs="Times New Roman"/>
          <w:lang w:val="en-US"/>
        </w:rPr>
        <w:t xml:space="preserve">o when information is not always available and transparency </w:t>
      </w:r>
      <w:r w:rsidR="009F0F85" w:rsidRPr="00781608">
        <w:rPr>
          <w:rFonts w:cs="Times New Roman"/>
          <w:lang w:val="en-US"/>
        </w:rPr>
        <w:t xml:space="preserve">is </w:t>
      </w:r>
      <w:r w:rsidR="00C101D1" w:rsidRPr="00781608">
        <w:rPr>
          <w:rFonts w:cs="Times New Roman"/>
          <w:lang w:val="en-US"/>
        </w:rPr>
        <w:t>thus</w:t>
      </w:r>
      <w:r w:rsidR="00E65450" w:rsidRPr="00781608">
        <w:rPr>
          <w:rFonts w:cs="Times New Roman"/>
          <w:lang w:val="en-US"/>
        </w:rPr>
        <w:t xml:space="preserve"> </w:t>
      </w:r>
      <w:r w:rsidR="00C101D1" w:rsidRPr="00781608">
        <w:rPr>
          <w:rFonts w:cs="Times New Roman"/>
          <w:lang w:val="en-US"/>
        </w:rPr>
        <w:t>low, market participa</w:t>
      </w:r>
      <w:r w:rsidR="009F0F85" w:rsidRPr="00781608">
        <w:rPr>
          <w:rFonts w:cs="Times New Roman"/>
          <w:lang w:val="en-US"/>
        </w:rPr>
        <w:t xml:space="preserve">nts are more dependent upon credit rating events </w:t>
      </w:r>
      <w:r w:rsidR="00C101D1" w:rsidRPr="00781608">
        <w:rPr>
          <w:rFonts w:cs="Times New Roman"/>
          <w:lang w:val="en-US"/>
        </w:rPr>
        <w:t xml:space="preserve">to </w:t>
      </w:r>
      <w:r w:rsidR="009F0F85" w:rsidRPr="00781608">
        <w:rPr>
          <w:rFonts w:cs="Times New Roman"/>
          <w:lang w:val="en-US"/>
        </w:rPr>
        <w:t>make</w:t>
      </w:r>
      <w:r w:rsidR="00C101D1" w:rsidRPr="00781608">
        <w:rPr>
          <w:rFonts w:cs="Times New Roman"/>
          <w:lang w:val="en-US"/>
        </w:rPr>
        <w:t xml:space="preserve"> their investment decisions. A rating </w:t>
      </w:r>
      <w:r w:rsidR="009F0F85" w:rsidRPr="00781608">
        <w:rPr>
          <w:rFonts w:cs="Times New Roman"/>
          <w:lang w:val="en-US"/>
        </w:rPr>
        <w:t>event is</w:t>
      </w:r>
      <w:r w:rsidR="00C101D1" w:rsidRPr="00781608">
        <w:rPr>
          <w:rFonts w:cs="Times New Roman"/>
          <w:lang w:val="en-US"/>
        </w:rPr>
        <w:t xml:space="preserve"> therefor</w:t>
      </w:r>
      <w:r w:rsidR="00E65450" w:rsidRPr="00781608">
        <w:rPr>
          <w:rFonts w:cs="Times New Roman"/>
          <w:lang w:val="en-US"/>
        </w:rPr>
        <w:t>e</w:t>
      </w:r>
      <w:r w:rsidR="00C101D1" w:rsidRPr="00781608">
        <w:rPr>
          <w:rFonts w:cs="Times New Roman"/>
          <w:lang w:val="en-US"/>
        </w:rPr>
        <w:t xml:space="preserve"> </w:t>
      </w:r>
      <w:r w:rsidR="009F0F85" w:rsidRPr="00781608">
        <w:rPr>
          <w:rFonts w:cs="Times New Roman"/>
          <w:lang w:val="en-US"/>
        </w:rPr>
        <w:t xml:space="preserve">expected to </w:t>
      </w:r>
      <w:r w:rsidR="00C101D1" w:rsidRPr="00781608">
        <w:rPr>
          <w:rFonts w:cs="Times New Roman"/>
          <w:lang w:val="en-US"/>
        </w:rPr>
        <w:t xml:space="preserve">have </w:t>
      </w:r>
      <w:r w:rsidR="009F0F85" w:rsidRPr="00781608">
        <w:rPr>
          <w:rFonts w:cs="Times New Roman"/>
          <w:lang w:val="en-US"/>
        </w:rPr>
        <w:t>a significant impact</w:t>
      </w:r>
      <w:r w:rsidR="00C101D1" w:rsidRPr="00781608">
        <w:rPr>
          <w:rFonts w:cs="Times New Roman"/>
          <w:lang w:val="en-US"/>
        </w:rPr>
        <w:t xml:space="preserve"> in </w:t>
      </w:r>
      <w:r w:rsidR="00221494" w:rsidRPr="00781608">
        <w:rPr>
          <w:rFonts w:cs="Times New Roman"/>
          <w:lang w:val="en-US"/>
        </w:rPr>
        <w:t xml:space="preserve">countries with little information availability, </w:t>
      </w:r>
      <w:r w:rsidR="00F73922" w:rsidRPr="00781608">
        <w:rPr>
          <w:rFonts w:cs="Times New Roman"/>
          <w:lang w:val="en-US"/>
        </w:rPr>
        <w:t xml:space="preserve">while </w:t>
      </w:r>
      <w:r w:rsidR="00221494" w:rsidRPr="00781608">
        <w:rPr>
          <w:rFonts w:cs="Times New Roman"/>
          <w:lang w:val="en-US"/>
        </w:rPr>
        <w:t xml:space="preserve">no impact </w:t>
      </w:r>
      <w:r w:rsidR="004A3BA9" w:rsidRPr="00781608">
        <w:rPr>
          <w:rFonts w:cs="Times New Roman"/>
          <w:lang w:val="en-US"/>
        </w:rPr>
        <w:t xml:space="preserve">is expected </w:t>
      </w:r>
      <w:r w:rsidR="00221494" w:rsidRPr="00781608">
        <w:rPr>
          <w:rFonts w:cs="Times New Roman"/>
          <w:lang w:val="en-US"/>
        </w:rPr>
        <w:t>in countries with ample information availability</w:t>
      </w:r>
      <w:r w:rsidR="00F73922" w:rsidRPr="00781608">
        <w:rPr>
          <w:rFonts w:cs="Times New Roman"/>
          <w:lang w:val="en-US"/>
        </w:rPr>
        <w:t xml:space="preserve">. I find evidence of this as </w:t>
      </w:r>
      <w:r w:rsidR="00221494" w:rsidRPr="00781608">
        <w:rPr>
          <w:rFonts w:cs="Times New Roman"/>
          <w:lang w:val="en-US"/>
        </w:rPr>
        <w:t>the significant impact of positive rating events cease</w:t>
      </w:r>
      <w:r w:rsidR="00F73922" w:rsidRPr="00781608">
        <w:rPr>
          <w:rFonts w:cs="Times New Roman"/>
          <w:lang w:val="en-US"/>
        </w:rPr>
        <w:t>s</w:t>
      </w:r>
      <w:r w:rsidR="00221494" w:rsidRPr="00781608">
        <w:rPr>
          <w:rFonts w:cs="Times New Roman"/>
          <w:lang w:val="en-US"/>
        </w:rPr>
        <w:t xml:space="preserve"> and the impact of negative rating events decrease</w:t>
      </w:r>
      <w:r w:rsidR="00F73922" w:rsidRPr="00781608">
        <w:rPr>
          <w:rFonts w:cs="Times New Roman"/>
          <w:lang w:val="en-US"/>
        </w:rPr>
        <w:t>s</w:t>
      </w:r>
      <w:r w:rsidR="002D1647" w:rsidRPr="00781608">
        <w:rPr>
          <w:rFonts w:cs="Times New Roman"/>
          <w:lang w:val="en-US"/>
        </w:rPr>
        <w:t xml:space="preserve"> after accounting for information availability</w:t>
      </w:r>
      <w:r w:rsidR="00221494" w:rsidRPr="00781608">
        <w:rPr>
          <w:rFonts w:cs="Times New Roman"/>
          <w:lang w:val="en-US"/>
        </w:rPr>
        <w:t xml:space="preserve">. Effects of rating events remain only significant for sovereign 5-year maturity bond </w:t>
      </w:r>
      <w:r w:rsidR="003D3077" w:rsidRPr="00781608">
        <w:rPr>
          <w:rFonts w:cs="Times New Roman"/>
          <w:lang w:val="en-US"/>
        </w:rPr>
        <w:t>spreads</w:t>
      </w:r>
      <w:r w:rsidR="004A3BA9" w:rsidRPr="00781608">
        <w:rPr>
          <w:rFonts w:cs="Times New Roman"/>
          <w:lang w:val="en-US"/>
        </w:rPr>
        <w:t xml:space="preserve"> although muted</w:t>
      </w:r>
      <w:r w:rsidR="00221494" w:rsidRPr="00781608">
        <w:rPr>
          <w:rFonts w:cs="Times New Roman"/>
          <w:lang w:val="en-US"/>
        </w:rPr>
        <w:t>, while 1- and 10-year bonds are no longer significantly affected.</w:t>
      </w:r>
      <w:r w:rsidR="00F73922" w:rsidRPr="00781608">
        <w:rPr>
          <w:rFonts w:cs="Times New Roman"/>
          <w:lang w:val="en-US"/>
        </w:rPr>
        <w:t xml:space="preserve"> Finally, by </w:t>
      </w:r>
      <w:r w:rsidR="0074550A" w:rsidRPr="00781608">
        <w:rPr>
          <w:rFonts w:cs="Times New Roman"/>
          <w:lang w:val="en-US"/>
        </w:rPr>
        <w:t>accounting</w:t>
      </w:r>
      <w:r w:rsidR="00F73922" w:rsidRPr="00781608">
        <w:rPr>
          <w:rFonts w:cs="Times New Roman"/>
          <w:lang w:val="en-US"/>
        </w:rPr>
        <w:t xml:space="preserve"> for the influence of the recent financial crisis, I find </w:t>
      </w:r>
      <w:r w:rsidR="0027238A" w:rsidRPr="00781608">
        <w:rPr>
          <w:rFonts w:cs="Times New Roman"/>
          <w:lang w:val="en-US"/>
        </w:rPr>
        <w:t xml:space="preserve">that the impact of negative rating events on sovereign bond markets </w:t>
      </w:r>
      <w:r w:rsidR="00676985">
        <w:rPr>
          <w:rFonts w:cs="Times New Roman"/>
          <w:lang w:val="en-US"/>
        </w:rPr>
        <w:t>becomes</w:t>
      </w:r>
      <w:r w:rsidR="004A3BA9" w:rsidRPr="00781608">
        <w:rPr>
          <w:rFonts w:cs="Times New Roman"/>
          <w:lang w:val="en-US"/>
        </w:rPr>
        <w:t xml:space="preserve"> even more </w:t>
      </w:r>
      <w:r w:rsidR="0027238A" w:rsidRPr="00781608">
        <w:rPr>
          <w:rFonts w:cs="Times New Roman"/>
          <w:lang w:val="en-US"/>
        </w:rPr>
        <w:t>decrease</w:t>
      </w:r>
      <w:r w:rsidR="004A3BA9" w:rsidRPr="00781608">
        <w:rPr>
          <w:rFonts w:cs="Times New Roman"/>
          <w:lang w:val="en-US"/>
        </w:rPr>
        <w:t>d</w:t>
      </w:r>
      <w:r w:rsidR="0027238A" w:rsidRPr="00781608">
        <w:rPr>
          <w:rFonts w:cs="Times New Roman"/>
          <w:lang w:val="en-US"/>
        </w:rPr>
        <w:t>. This show</w:t>
      </w:r>
      <w:r w:rsidRPr="00781608">
        <w:rPr>
          <w:rFonts w:cs="Times New Roman"/>
          <w:lang w:val="en-US"/>
        </w:rPr>
        <w:t>s</w:t>
      </w:r>
      <w:r w:rsidR="0027238A" w:rsidRPr="00781608">
        <w:rPr>
          <w:rFonts w:cs="Times New Roman"/>
          <w:lang w:val="en-US"/>
        </w:rPr>
        <w:t xml:space="preserve"> </w:t>
      </w:r>
      <w:r w:rsidR="00F73922" w:rsidRPr="00781608">
        <w:rPr>
          <w:rFonts w:cs="Times New Roman"/>
          <w:lang w:val="en-US"/>
        </w:rPr>
        <w:t xml:space="preserve">that markets </w:t>
      </w:r>
      <w:r w:rsidR="003D3077" w:rsidRPr="00781608">
        <w:rPr>
          <w:rFonts w:cs="Times New Roman"/>
          <w:lang w:val="en-US"/>
        </w:rPr>
        <w:t>tend to have larger spreads</w:t>
      </w:r>
      <w:r w:rsidR="0027238A" w:rsidRPr="00781608">
        <w:rPr>
          <w:rFonts w:cs="Times New Roman"/>
          <w:lang w:val="en-US"/>
        </w:rPr>
        <w:t xml:space="preserve"> in times of a crisis.</w:t>
      </w:r>
      <w:r w:rsidR="00F73922" w:rsidRPr="00781608">
        <w:rPr>
          <w:rFonts w:cs="Times New Roman"/>
          <w:lang w:val="en-US"/>
        </w:rPr>
        <w:t xml:space="preserve"> </w:t>
      </w:r>
    </w:p>
    <w:p w:rsidR="00F23951" w:rsidRPr="00781608" w:rsidRDefault="00F23951">
      <w:pPr>
        <w:rPr>
          <w:rFonts w:cs="Times New Roman"/>
          <w:b/>
          <w:sz w:val="24"/>
          <w:szCs w:val="24"/>
          <w:lang w:val="en-US"/>
        </w:rPr>
      </w:pPr>
      <w:r w:rsidRPr="00781608">
        <w:rPr>
          <w:rFonts w:cs="Times New Roman"/>
          <w:b/>
          <w:sz w:val="24"/>
          <w:szCs w:val="24"/>
          <w:lang w:val="en-US"/>
        </w:rPr>
        <w:br w:type="page"/>
      </w:r>
    </w:p>
    <w:p w:rsidR="00F23951" w:rsidRPr="00781608" w:rsidRDefault="00F23951">
      <w:pPr>
        <w:rPr>
          <w:rFonts w:cs="Times New Roman"/>
          <w:b/>
          <w:sz w:val="24"/>
          <w:szCs w:val="24"/>
          <w:lang w:val="en-US"/>
        </w:rPr>
      </w:pPr>
      <w:r w:rsidRPr="00781608">
        <w:rPr>
          <w:rFonts w:cs="Times New Roman"/>
          <w:b/>
          <w:sz w:val="24"/>
          <w:szCs w:val="24"/>
          <w:lang w:val="en-US"/>
        </w:rPr>
        <w:lastRenderedPageBreak/>
        <w:t>Acknowledg</w:t>
      </w:r>
      <w:r w:rsidR="00F93D0B" w:rsidRPr="00781608">
        <w:rPr>
          <w:rFonts w:cs="Times New Roman"/>
          <w:b/>
          <w:sz w:val="24"/>
          <w:szCs w:val="24"/>
          <w:lang w:val="en-US"/>
        </w:rPr>
        <w:t>ement</w:t>
      </w:r>
    </w:p>
    <w:p w:rsidR="00C916F7" w:rsidRPr="00781608" w:rsidRDefault="00F93D0B" w:rsidP="00764641">
      <w:pPr>
        <w:spacing w:line="360" w:lineRule="auto"/>
        <w:jc w:val="both"/>
        <w:rPr>
          <w:rFonts w:cs="Times New Roman"/>
          <w:sz w:val="24"/>
          <w:szCs w:val="24"/>
          <w:lang w:val="en-US"/>
        </w:rPr>
      </w:pPr>
      <w:r w:rsidRPr="00781608">
        <w:rPr>
          <w:rFonts w:cs="Times New Roman"/>
          <w:sz w:val="24"/>
          <w:szCs w:val="24"/>
          <w:lang w:val="en-US"/>
        </w:rPr>
        <w:t xml:space="preserve">I greatly appreciate the help of Myrthe Palmboom, who, when I got frustrated or stuck, always found a way to get me going again and start again with refreshed energy. Also, I would like to thank my friends who had to endure my broad explanations on my subject which is not their but nevertheless were there for me to listen. Last but not least, </w:t>
      </w:r>
      <w:r w:rsidR="00F23951" w:rsidRPr="00781608">
        <w:rPr>
          <w:rFonts w:cs="Times New Roman"/>
          <w:sz w:val="24"/>
          <w:szCs w:val="24"/>
          <w:lang w:val="en-US"/>
        </w:rPr>
        <w:t xml:space="preserve">I am grateful to my parents who supported and encouraged me whenever I needed it; who were patient and loving whenever I got lost and who always have </w:t>
      </w:r>
      <w:r w:rsidRPr="00781608">
        <w:rPr>
          <w:rFonts w:cs="Times New Roman"/>
          <w:sz w:val="24"/>
          <w:szCs w:val="24"/>
          <w:lang w:val="en-US"/>
        </w:rPr>
        <w:t xml:space="preserve">an </w:t>
      </w:r>
      <w:r w:rsidR="00F23951" w:rsidRPr="00781608">
        <w:rPr>
          <w:rFonts w:cs="Times New Roman"/>
          <w:sz w:val="24"/>
          <w:szCs w:val="24"/>
          <w:lang w:val="en-US"/>
        </w:rPr>
        <w:t xml:space="preserve">inexhaustible faith in my abilities to succeed in the things I set out to do. </w:t>
      </w:r>
      <w:r w:rsidRPr="00781608">
        <w:rPr>
          <w:rFonts w:cs="Times New Roman"/>
          <w:sz w:val="24"/>
          <w:szCs w:val="24"/>
          <w:lang w:val="en-US"/>
        </w:rPr>
        <w:t>It has been a long journey and with your help it has now come to an end.</w:t>
      </w:r>
      <w:r w:rsidR="00C916F7" w:rsidRPr="00781608">
        <w:rPr>
          <w:rFonts w:cs="Times New Roman"/>
          <w:sz w:val="24"/>
          <w:szCs w:val="24"/>
          <w:lang w:val="en-US"/>
        </w:rPr>
        <w:br w:type="page"/>
      </w:r>
    </w:p>
    <w:sdt>
      <w:sdtPr>
        <w:rPr>
          <w:rFonts w:asciiTheme="minorHAnsi" w:eastAsiaTheme="minorHAnsi" w:hAnsiTheme="minorHAnsi" w:cstheme="minorBidi"/>
          <w:b w:val="0"/>
          <w:bCs w:val="0"/>
          <w:color w:val="auto"/>
          <w:sz w:val="22"/>
          <w:szCs w:val="22"/>
          <w:lang w:eastAsia="en-US"/>
        </w:rPr>
        <w:id w:val="1345672139"/>
        <w:docPartObj>
          <w:docPartGallery w:val="Table of Contents"/>
          <w:docPartUnique/>
        </w:docPartObj>
      </w:sdtPr>
      <w:sdtEndPr/>
      <w:sdtContent>
        <w:p w:rsidR="009E763E" w:rsidRPr="00781608" w:rsidRDefault="009E763E" w:rsidP="009E763E">
          <w:pPr>
            <w:pStyle w:val="Kopvaninhoudsopgave"/>
            <w:spacing w:after="240"/>
            <w:rPr>
              <w:rFonts w:asciiTheme="minorHAnsi" w:hAnsiTheme="minorHAnsi"/>
              <w:color w:val="auto"/>
              <w:sz w:val="24"/>
              <w:szCs w:val="24"/>
            </w:rPr>
          </w:pPr>
          <w:r w:rsidRPr="00781608">
            <w:rPr>
              <w:rFonts w:asciiTheme="minorHAnsi" w:hAnsiTheme="minorHAnsi"/>
              <w:color w:val="auto"/>
              <w:sz w:val="24"/>
              <w:szCs w:val="24"/>
            </w:rPr>
            <w:t>Table of Content</w:t>
          </w:r>
        </w:p>
        <w:p w:rsidR="009E763E" w:rsidRPr="00781608" w:rsidRDefault="009E763E">
          <w:pPr>
            <w:pStyle w:val="Inhopg1"/>
            <w:tabs>
              <w:tab w:val="right" w:leader="dot" w:pos="8290"/>
            </w:tabs>
            <w:rPr>
              <w:rFonts w:eastAsiaTheme="minorEastAsia"/>
              <w:noProof/>
              <w:lang w:eastAsia="nl-NL"/>
            </w:rPr>
          </w:pPr>
          <w:r w:rsidRPr="00781608">
            <w:fldChar w:fldCharType="begin"/>
          </w:r>
          <w:r w:rsidRPr="00781608">
            <w:instrText xml:space="preserve"> TOC \o "1-3" \h \z \u </w:instrText>
          </w:r>
          <w:r w:rsidRPr="00781608">
            <w:fldChar w:fldCharType="separate"/>
          </w:r>
          <w:hyperlink w:anchor="_Toc359926542" w:history="1">
            <w:r w:rsidRPr="00781608">
              <w:rPr>
                <w:rStyle w:val="Hyperlink"/>
                <w:noProof/>
                <w:color w:val="auto"/>
              </w:rPr>
              <w:t>1. Introduction</w:t>
            </w:r>
            <w:r w:rsidRPr="00781608">
              <w:rPr>
                <w:noProof/>
                <w:webHidden/>
              </w:rPr>
              <w:tab/>
            </w:r>
            <w:r w:rsidRPr="00781608">
              <w:rPr>
                <w:noProof/>
                <w:webHidden/>
              </w:rPr>
              <w:fldChar w:fldCharType="begin"/>
            </w:r>
            <w:r w:rsidRPr="00781608">
              <w:rPr>
                <w:noProof/>
                <w:webHidden/>
              </w:rPr>
              <w:instrText xml:space="preserve"> PAGEREF _Toc359926542 \h </w:instrText>
            </w:r>
            <w:r w:rsidRPr="00781608">
              <w:rPr>
                <w:noProof/>
                <w:webHidden/>
              </w:rPr>
            </w:r>
            <w:r w:rsidRPr="00781608">
              <w:rPr>
                <w:noProof/>
                <w:webHidden/>
              </w:rPr>
              <w:fldChar w:fldCharType="separate"/>
            </w:r>
            <w:r w:rsidR="005B1F10">
              <w:rPr>
                <w:noProof/>
                <w:webHidden/>
              </w:rPr>
              <w:t>5</w:t>
            </w:r>
            <w:r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43" w:history="1">
            <w:r w:rsidR="009E763E" w:rsidRPr="00781608">
              <w:rPr>
                <w:rStyle w:val="Hyperlink"/>
                <w:rFonts w:cs="Times New Roman"/>
                <w:noProof/>
                <w:color w:val="auto"/>
                <w:lang w:val="en-US"/>
              </w:rPr>
              <w:t>2. Literature review</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_Toc359926543 \h </w:instrText>
            </w:r>
            <w:r w:rsidR="009E763E" w:rsidRPr="00781608">
              <w:rPr>
                <w:noProof/>
                <w:webHidden/>
              </w:rPr>
            </w:r>
            <w:r w:rsidR="009E763E" w:rsidRPr="00781608">
              <w:rPr>
                <w:noProof/>
                <w:webHidden/>
              </w:rPr>
              <w:fldChar w:fldCharType="separate"/>
            </w:r>
            <w:r w:rsidR="005B1F10">
              <w:rPr>
                <w:noProof/>
                <w:webHidden/>
              </w:rPr>
              <w:t>6</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44" w:history="1">
            <w:r w:rsidR="009E763E" w:rsidRPr="00781608">
              <w:rPr>
                <w:rStyle w:val="Hyperlink"/>
                <w:rFonts w:cs="Times New Roman"/>
                <w:noProof/>
                <w:color w:val="auto"/>
                <w:lang w:val="en-US"/>
              </w:rPr>
              <w:t>2.1 Predictability of rating events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_Toc359926544 \h </w:instrText>
            </w:r>
            <w:r w:rsidR="009E763E" w:rsidRPr="00781608">
              <w:rPr>
                <w:noProof/>
                <w:webHidden/>
              </w:rPr>
            </w:r>
            <w:r w:rsidR="009E763E" w:rsidRPr="00781608">
              <w:rPr>
                <w:noProof/>
                <w:webHidden/>
              </w:rPr>
              <w:fldChar w:fldCharType="separate"/>
            </w:r>
            <w:r w:rsidR="005B1F10">
              <w:rPr>
                <w:noProof/>
                <w:webHidden/>
              </w:rPr>
              <w:t>7</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45" w:history="1">
            <w:r w:rsidR="009E763E" w:rsidRPr="00781608">
              <w:rPr>
                <w:rStyle w:val="Hyperlink"/>
                <w:rFonts w:cs="Times New Roman"/>
                <w:noProof/>
                <w:color w:val="auto"/>
                <w:lang w:val="en-US"/>
              </w:rPr>
              <w:t>2.2 Rating events during crises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_Toc359926545 \h </w:instrText>
            </w:r>
            <w:r w:rsidR="009E763E" w:rsidRPr="00781608">
              <w:rPr>
                <w:noProof/>
                <w:webHidden/>
              </w:rPr>
            </w:r>
            <w:r w:rsidR="009E763E" w:rsidRPr="00781608">
              <w:rPr>
                <w:noProof/>
                <w:webHidden/>
              </w:rPr>
              <w:fldChar w:fldCharType="separate"/>
            </w:r>
            <w:r w:rsidR="005B1F10">
              <w:rPr>
                <w:noProof/>
                <w:webHidden/>
              </w:rPr>
              <w:t>8</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46" w:history="1">
            <w:r w:rsidR="009E763E" w:rsidRPr="00781608">
              <w:rPr>
                <w:rStyle w:val="Hyperlink"/>
                <w:rFonts w:cs="Times New Roman"/>
                <w:noProof/>
                <w:color w:val="auto"/>
                <w:lang w:val="en-US"/>
              </w:rPr>
              <w:t>2.3 The influence of rating events on non-sovereign yields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_Toc359926546 \h </w:instrText>
            </w:r>
            <w:r w:rsidR="009E763E" w:rsidRPr="00781608">
              <w:rPr>
                <w:noProof/>
                <w:webHidden/>
              </w:rPr>
            </w:r>
            <w:r w:rsidR="009E763E" w:rsidRPr="00781608">
              <w:rPr>
                <w:noProof/>
                <w:webHidden/>
              </w:rPr>
              <w:fldChar w:fldCharType="separate"/>
            </w:r>
            <w:r w:rsidR="005B1F10">
              <w:rPr>
                <w:noProof/>
                <w:webHidden/>
              </w:rPr>
              <w:t>10</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47" w:history="1">
            <w:r w:rsidR="009E763E" w:rsidRPr="00781608">
              <w:rPr>
                <w:rStyle w:val="Hyperlink"/>
                <w:rFonts w:cs="Times New Roman"/>
                <w:noProof/>
                <w:color w:val="auto"/>
                <w:lang w:val="en-US"/>
              </w:rPr>
              <w:t>2.4 The influence of rating events on sovereign yields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_Toc359926547 \h </w:instrText>
            </w:r>
            <w:r w:rsidR="009E763E" w:rsidRPr="00781608">
              <w:rPr>
                <w:noProof/>
                <w:webHidden/>
              </w:rPr>
            </w:r>
            <w:r w:rsidR="009E763E" w:rsidRPr="00781608">
              <w:rPr>
                <w:noProof/>
                <w:webHidden/>
              </w:rPr>
              <w:fldChar w:fldCharType="separate"/>
            </w:r>
            <w:r w:rsidR="005B1F10">
              <w:rPr>
                <w:noProof/>
                <w:webHidden/>
              </w:rPr>
              <w:t>10</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48" w:history="1">
            <w:r w:rsidR="009E763E" w:rsidRPr="00781608">
              <w:rPr>
                <w:rStyle w:val="Hyperlink"/>
                <w:rFonts w:cs="Times New Roman"/>
                <w:noProof/>
                <w:color w:val="auto"/>
                <w:lang w:val="en-US"/>
              </w:rPr>
              <w:t>2.5 Information availability</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_Toc359926548 \h </w:instrText>
            </w:r>
            <w:r w:rsidR="009E763E" w:rsidRPr="00781608">
              <w:rPr>
                <w:noProof/>
                <w:webHidden/>
              </w:rPr>
            </w:r>
            <w:r w:rsidR="009E763E" w:rsidRPr="00781608">
              <w:rPr>
                <w:noProof/>
                <w:webHidden/>
              </w:rPr>
              <w:fldChar w:fldCharType="separate"/>
            </w:r>
            <w:r w:rsidR="005B1F10">
              <w:rPr>
                <w:noProof/>
                <w:webHidden/>
              </w:rPr>
              <w:t>11</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49" w:history="1">
            <w:r w:rsidR="009E763E" w:rsidRPr="00781608">
              <w:rPr>
                <w:rStyle w:val="Hyperlink"/>
                <w:rFonts w:cs="Times New Roman"/>
                <w:noProof/>
                <w:color w:val="auto"/>
                <w:lang w:val="en-US"/>
              </w:rPr>
              <w:t>2.6 Transparency</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_Toc359926549 \h </w:instrText>
            </w:r>
            <w:r w:rsidR="009E763E" w:rsidRPr="00781608">
              <w:rPr>
                <w:noProof/>
                <w:webHidden/>
              </w:rPr>
            </w:r>
            <w:r w:rsidR="009E763E" w:rsidRPr="00781608">
              <w:rPr>
                <w:noProof/>
                <w:webHidden/>
              </w:rPr>
              <w:fldChar w:fldCharType="separate"/>
            </w:r>
            <w:r w:rsidR="005B1F10">
              <w:rPr>
                <w:noProof/>
                <w:webHidden/>
              </w:rPr>
              <w:t>13</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50" w:history="1">
            <w:r w:rsidR="009E763E" w:rsidRPr="00781608">
              <w:rPr>
                <w:rStyle w:val="Hyperlink"/>
                <w:rFonts w:cs="Times New Roman"/>
                <w:noProof/>
                <w:color w:val="auto"/>
                <w:lang w:val="en-US"/>
              </w:rPr>
              <w:t>2.7 Conformity between the various studies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_Toc359926550 \h </w:instrText>
            </w:r>
            <w:r w:rsidR="009E763E" w:rsidRPr="00781608">
              <w:rPr>
                <w:noProof/>
                <w:webHidden/>
              </w:rPr>
            </w:r>
            <w:r w:rsidR="009E763E" w:rsidRPr="00781608">
              <w:rPr>
                <w:noProof/>
                <w:webHidden/>
              </w:rPr>
              <w:fldChar w:fldCharType="separate"/>
            </w:r>
            <w:r w:rsidR="005B1F10">
              <w:rPr>
                <w:noProof/>
                <w:webHidden/>
              </w:rPr>
              <w:t>14</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51" w:history="1">
            <w:r w:rsidR="009E763E" w:rsidRPr="00781608">
              <w:rPr>
                <w:rStyle w:val="Hyperlink"/>
                <w:rFonts w:cs="Times New Roman"/>
                <w:noProof/>
                <w:color w:val="auto"/>
                <w:lang w:val="en-US"/>
              </w:rPr>
              <w:t>2.8 Contagion</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_Toc359926551 \h </w:instrText>
            </w:r>
            <w:r w:rsidR="009E763E" w:rsidRPr="00781608">
              <w:rPr>
                <w:noProof/>
                <w:webHidden/>
              </w:rPr>
            </w:r>
            <w:r w:rsidR="009E763E" w:rsidRPr="00781608">
              <w:rPr>
                <w:noProof/>
                <w:webHidden/>
              </w:rPr>
              <w:fldChar w:fldCharType="separate"/>
            </w:r>
            <w:r w:rsidR="005B1F10">
              <w:rPr>
                <w:noProof/>
                <w:webHidden/>
              </w:rPr>
              <w:t>15</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52" w:history="1">
            <w:r w:rsidR="009E763E" w:rsidRPr="00781608">
              <w:rPr>
                <w:rStyle w:val="Hyperlink"/>
                <w:rFonts w:cs="Times New Roman"/>
                <w:noProof/>
                <w:color w:val="auto"/>
                <w:lang w:val="en-US"/>
              </w:rPr>
              <w:t>3. Hypotheses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_Toc359926552 \h </w:instrText>
            </w:r>
            <w:r w:rsidR="009E763E" w:rsidRPr="00781608">
              <w:rPr>
                <w:noProof/>
                <w:webHidden/>
              </w:rPr>
            </w:r>
            <w:r w:rsidR="009E763E" w:rsidRPr="00781608">
              <w:rPr>
                <w:noProof/>
                <w:webHidden/>
              </w:rPr>
              <w:fldChar w:fldCharType="separate"/>
            </w:r>
            <w:r w:rsidR="005B1F10">
              <w:rPr>
                <w:noProof/>
                <w:webHidden/>
              </w:rPr>
              <w:t>15</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53" w:history="1">
            <w:r w:rsidR="009E763E" w:rsidRPr="00781608">
              <w:rPr>
                <w:rStyle w:val="Hyperlink"/>
                <w:rFonts w:cs="Times New Roman"/>
                <w:noProof/>
                <w:color w:val="auto"/>
                <w:lang w:val="en-US"/>
              </w:rPr>
              <w:t>4. Methodology</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_Toc359926553 \h </w:instrText>
            </w:r>
            <w:r w:rsidR="009E763E" w:rsidRPr="00781608">
              <w:rPr>
                <w:noProof/>
                <w:webHidden/>
              </w:rPr>
            </w:r>
            <w:r w:rsidR="009E763E" w:rsidRPr="00781608">
              <w:rPr>
                <w:noProof/>
                <w:webHidden/>
              </w:rPr>
              <w:fldChar w:fldCharType="separate"/>
            </w:r>
            <w:r w:rsidR="005B1F10">
              <w:rPr>
                <w:noProof/>
                <w:webHidden/>
              </w:rPr>
              <w:t>17</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54" w:history="1">
            <w:r w:rsidR="009E763E" w:rsidRPr="00781608">
              <w:rPr>
                <w:rStyle w:val="Hyperlink"/>
                <w:rFonts w:cs="Times New Roman"/>
                <w:noProof/>
                <w:color w:val="auto"/>
                <w:lang w:val="en-US"/>
              </w:rPr>
              <w:t>4.1 Data</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_Toc359926554 \h </w:instrText>
            </w:r>
            <w:r w:rsidR="009E763E" w:rsidRPr="00781608">
              <w:rPr>
                <w:noProof/>
                <w:webHidden/>
              </w:rPr>
            </w:r>
            <w:r w:rsidR="009E763E" w:rsidRPr="00781608">
              <w:rPr>
                <w:noProof/>
                <w:webHidden/>
              </w:rPr>
              <w:fldChar w:fldCharType="separate"/>
            </w:r>
            <w:r w:rsidR="005B1F10">
              <w:rPr>
                <w:noProof/>
                <w:webHidden/>
              </w:rPr>
              <w:t>18</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55" w:history="1">
            <w:r w:rsidR="009E763E" w:rsidRPr="00781608">
              <w:rPr>
                <w:rStyle w:val="Hyperlink"/>
                <w:rFonts w:cs="Times New Roman"/>
                <w:noProof/>
                <w:color w:val="auto"/>
                <w:lang w:val="en-US"/>
              </w:rPr>
              <w:t>4.2 Description of the data</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_Toc359926555 \h </w:instrText>
            </w:r>
            <w:r w:rsidR="009E763E" w:rsidRPr="00781608">
              <w:rPr>
                <w:noProof/>
                <w:webHidden/>
              </w:rPr>
            </w:r>
            <w:r w:rsidR="009E763E" w:rsidRPr="00781608">
              <w:rPr>
                <w:noProof/>
                <w:webHidden/>
              </w:rPr>
              <w:fldChar w:fldCharType="separate"/>
            </w:r>
            <w:r w:rsidR="005B1F10">
              <w:rPr>
                <w:noProof/>
                <w:webHidden/>
              </w:rPr>
              <w:t>22</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56" w:history="1">
            <w:r w:rsidR="009E763E" w:rsidRPr="00781608">
              <w:rPr>
                <w:rStyle w:val="Hyperlink"/>
                <w:rFonts w:cs="Times New Roman"/>
                <w:noProof/>
                <w:color w:val="auto"/>
                <w:lang w:val="en-US"/>
              </w:rPr>
              <w:t>5. Empirical model</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_Toc359926556 \h </w:instrText>
            </w:r>
            <w:r w:rsidR="009E763E" w:rsidRPr="00781608">
              <w:rPr>
                <w:noProof/>
                <w:webHidden/>
              </w:rPr>
            </w:r>
            <w:r w:rsidR="009E763E" w:rsidRPr="00781608">
              <w:rPr>
                <w:noProof/>
                <w:webHidden/>
              </w:rPr>
              <w:fldChar w:fldCharType="separate"/>
            </w:r>
            <w:r w:rsidR="005B1F10">
              <w:rPr>
                <w:noProof/>
                <w:webHidden/>
              </w:rPr>
              <w:t>22</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57" w:history="1">
            <w:r w:rsidR="009E763E" w:rsidRPr="00781608">
              <w:rPr>
                <w:rStyle w:val="Hyperlink"/>
                <w:rFonts w:cs="Times New Roman"/>
                <w:noProof/>
                <w:color w:val="auto"/>
                <w:lang w:val="en-US"/>
              </w:rPr>
              <w:t>6. Results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_Toc359926557 \h </w:instrText>
            </w:r>
            <w:r w:rsidR="009E763E" w:rsidRPr="00781608">
              <w:rPr>
                <w:noProof/>
                <w:webHidden/>
              </w:rPr>
            </w:r>
            <w:r w:rsidR="009E763E" w:rsidRPr="00781608">
              <w:rPr>
                <w:noProof/>
                <w:webHidden/>
              </w:rPr>
              <w:fldChar w:fldCharType="separate"/>
            </w:r>
            <w:r w:rsidR="005B1F10">
              <w:rPr>
                <w:noProof/>
                <w:webHidden/>
              </w:rPr>
              <w:t>24</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58" w:history="1">
            <w:r w:rsidR="009E763E" w:rsidRPr="00781608">
              <w:rPr>
                <w:rStyle w:val="Hyperlink"/>
                <w:rFonts w:cs="Times New Roman"/>
                <w:noProof/>
                <w:color w:val="auto"/>
                <w:lang w:val="en-US"/>
              </w:rPr>
              <w:t>6.1 Description of the results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_Toc359926558 \h </w:instrText>
            </w:r>
            <w:r w:rsidR="009E763E" w:rsidRPr="00781608">
              <w:rPr>
                <w:noProof/>
                <w:webHidden/>
              </w:rPr>
            </w:r>
            <w:r w:rsidR="009E763E" w:rsidRPr="00781608">
              <w:rPr>
                <w:noProof/>
                <w:webHidden/>
              </w:rPr>
              <w:fldChar w:fldCharType="separate"/>
            </w:r>
            <w:r w:rsidR="005B1F10">
              <w:rPr>
                <w:noProof/>
                <w:webHidden/>
              </w:rPr>
              <w:t>25</w:t>
            </w:r>
            <w:r w:rsidR="009E763E" w:rsidRPr="00781608">
              <w:rPr>
                <w:noProof/>
                <w:webHidden/>
              </w:rPr>
              <w:fldChar w:fldCharType="end"/>
            </w:r>
          </w:hyperlink>
        </w:p>
        <w:p w:rsidR="009E763E" w:rsidRPr="00781608" w:rsidRDefault="006A25AF">
          <w:pPr>
            <w:pStyle w:val="Inhopg2"/>
            <w:tabs>
              <w:tab w:val="right" w:leader="dot" w:pos="8290"/>
            </w:tabs>
            <w:rPr>
              <w:noProof/>
            </w:rPr>
          </w:pPr>
          <w:hyperlink w:anchor="_Toc359926559" w:history="1">
            <w:r w:rsidR="009E763E" w:rsidRPr="00781608">
              <w:rPr>
                <w:rStyle w:val="Hyperlink"/>
                <w:rFonts w:cs="Times New Roman"/>
                <w:noProof/>
                <w:color w:val="auto"/>
                <w:lang w:val="en-US"/>
              </w:rPr>
              <w:t>6.2 Analysis of the results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_Toc359926559 \h </w:instrText>
            </w:r>
            <w:r w:rsidR="009E763E" w:rsidRPr="00781608">
              <w:rPr>
                <w:noProof/>
                <w:webHidden/>
              </w:rPr>
            </w:r>
            <w:r w:rsidR="009E763E" w:rsidRPr="00781608">
              <w:rPr>
                <w:noProof/>
                <w:webHidden/>
              </w:rPr>
              <w:fldChar w:fldCharType="separate"/>
            </w:r>
            <w:r w:rsidR="005B1F10">
              <w:rPr>
                <w:noProof/>
                <w:webHidden/>
              </w:rPr>
              <w:t>27</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60" w:history="1">
            <w:r w:rsidR="009E763E" w:rsidRPr="00781608">
              <w:rPr>
                <w:rStyle w:val="Hyperlink"/>
                <w:rFonts w:cs="Times New Roman"/>
                <w:noProof/>
                <w:color w:val="auto"/>
                <w:lang w:val="en-US"/>
              </w:rPr>
              <w:t>7. Conclusion</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_Toc359926560 \h </w:instrText>
            </w:r>
            <w:r w:rsidR="009E763E" w:rsidRPr="00781608">
              <w:rPr>
                <w:noProof/>
                <w:webHidden/>
              </w:rPr>
            </w:r>
            <w:r w:rsidR="009E763E" w:rsidRPr="00781608">
              <w:rPr>
                <w:noProof/>
                <w:webHidden/>
              </w:rPr>
              <w:fldChar w:fldCharType="separate"/>
            </w:r>
            <w:r w:rsidR="005B1F10">
              <w:rPr>
                <w:noProof/>
                <w:webHidden/>
              </w:rPr>
              <w:t>31</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61" w:history="1">
            <w:r w:rsidR="009E763E" w:rsidRPr="00781608">
              <w:rPr>
                <w:rStyle w:val="Hyperlink"/>
                <w:rFonts w:cs="Times New Roman"/>
                <w:noProof/>
                <w:color w:val="auto"/>
                <w:lang w:val="en-US"/>
              </w:rPr>
              <w:t>8. Discussion</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_Toc359926561 \h </w:instrText>
            </w:r>
            <w:r w:rsidR="009E763E" w:rsidRPr="00781608">
              <w:rPr>
                <w:noProof/>
                <w:webHidden/>
              </w:rPr>
            </w:r>
            <w:r w:rsidR="009E763E" w:rsidRPr="00781608">
              <w:rPr>
                <w:noProof/>
                <w:webHidden/>
              </w:rPr>
              <w:fldChar w:fldCharType="separate"/>
            </w:r>
            <w:r w:rsidR="005B1F10">
              <w:rPr>
                <w:noProof/>
                <w:webHidden/>
              </w:rPr>
              <w:t>32</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62" w:history="1">
            <w:r w:rsidR="009E763E" w:rsidRPr="00781608">
              <w:rPr>
                <w:rStyle w:val="Hyperlink"/>
                <w:noProof/>
                <w:color w:val="auto"/>
                <w:lang w:val="en-US"/>
              </w:rPr>
              <w:t>APPENDIX A</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_Toc359926562 \h </w:instrText>
            </w:r>
            <w:r w:rsidR="009E763E" w:rsidRPr="00781608">
              <w:rPr>
                <w:noProof/>
                <w:webHidden/>
              </w:rPr>
            </w:r>
            <w:r w:rsidR="009E763E" w:rsidRPr="00781608">
              <w:rPr>
                <w:noProof/>
                <w:webHidden/>
              </w:rPr>
              <w:fldChar w:fldCharType="separate"/>
            </w:r>
            <w:r w:rsidR="005B1F10">
              <w:rPr>
                <w:noProof/>
                <w:webHidden/>
              </w:rPr>
              <w:t>34</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63" w:history="1">
            <w:r w:rsidR="009E763E" w:rsidRPr="00781608">
              <w:rPr>
                <w:rStyle w:val="Hyperlink"/>
                <w:noProof/>
                <w:color w:val="auto"/>
              </w:rPr>
              <w:t>APPENDIX B</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_Toc359926563 \h </w:instrText>
            </w:r>
            <w:r w:rsidR="009E763E" w:rsidRPr="00781608">
              <w:rPr>
                <w:noProof/>
                <w:webHidden/>
              </w:rPr>
            </w:r>
            <w:r w:rsidR="009E763E" w:rsidRPr="00781608">
              <w:rPr>
                <w:noProof/>
                <w:webHidden/>
              </w:rPr>
              <w:fldChar w:fldCharType="separate"/>
            </w:r>
            <w:r w:rsidR="005B1F10">
              <w:rPr>
                <w:noProof/>
                <w:webHidden/>
              </w:rPr>
              <w:t>35</w:t>
            </w:r>
            <w:r w:rsidR="009E763E" w:rsidRPr="00781608">
              <w:rPr>
                <w:noProof/>
                <w:webHidden/>
              </w:rPr>
              <w:fldChar w:fldCharType="end"/>
            </w:r>
          </w:hyperlink>
        </w:p>
        <w:p w:rsidR="009E763E" w:rsidRPr="00781608" w:rsidRDefault="006A25AF">
          <w:pPr>
            <w:pStyle w:val="Inhopg1"/>
            <w:tabs>
              <w:tab w:val="right" w:leader="dot" w:pos="8290"/>
            </w:tabs>
            <w:rPr>
              <w:rFonts w:eastAsiaTheme="minorEastAsia"/>
              <w:noProof/>
              <w:lang w:eastAsia="nl-NL"/>
            </w:rPr>
          </w:pPr>
          <w:hyperlink w:anchor="_Toc359926564" w:history="1">
            <w:r w:rsidR="009E763E" w:rsidRPr="00781608">
              <w:rPr>
                <w:rStyle w:val="Hyperlink"/>
                <w:rFonts w:cs="Times New Roman"/>
                <w:noProof/>
                <w:color w:val="auto"/>
                <w:lang w:val="en-US"/>
              </w:rPr>
              <w:t>References</w:t>
            </w:r>
            <w:r w:rsidR="009E763E" w:rsidRPr="00781608">
              <w:rPr>
                <w:noProof/>
                <w:webHidden/>
              </w:rPr>
              <w:tab/>
            </w:r>
            <w:r w:rsidR="009E763E" w:rsidRPr="00781608">
              <w:rPr>
                <w:noProof/>
                <w:webHidden/>
              </w:rPr>
              <w:fldChar w:fldCharType="begin"/>
            </w:r>
            <w:r w:rsidR="009E763E" w:rsidRPr="00781608">
              <w:rPr>
                <w:noProof/>
                <w:webHidden/>
              </w:rPr>
              <w:instrText xml:space="preserve"> PAGEREF _Toc359926564 \h </w:instrText>
            </w:r>
            <w:r w:rsidR="009E763E" w:rsidRPr="00781608">
              <w:rPr>
                <w:noProof/>
                <w:webHidden/>
              </w:rPr>
            </w:r>
            <w:r w:rsidR="009E763E" w:rsidRPr="00781608">
              <w:rPr>
                <w:noProof/>
                <w:webHidden/>
              </w:rPr>
              <w:fldChar w:fldCharType="separate"/>
            </w:r>
            <w:r w:rsidR="005B1F10">
              <w:rPr>
                <w:noProof/>
                <w:webHidden/>
              </w:rPr>
              <w:t>38</w:t>
            </w:r>
            <w:r w:rsidR="009E763E" w:rsidRPr="00781608">
              <w:rPr>
                <w:noProof/>
                <w:webHidden/>
              </w:rPr>
              <w:fldChar w:fldCharType="end"/>
            </w:r>
          </w:hyperlink>
        </w:p>
        <w:p w:rsidR="009E763E" w:rsidRPr="00781608" w:rsidRDefault="009E763E">
          <w:r w:rsidRPr="00781608">
            <w:rPr>
              <w:b/>
              <w:bCs/>
            </w:rPr>
            <w:fldChar w:fldCharType="end"/>
          </w:r>
        </w:p>
      </w:sdtContent>
    </w:sdt>
    <w:p w:rsidR="00E1177A" w:rsidRPr="00A16CD4" w:rsidRDefault="00F93D0B" w:rsidP="00A16CD4">
      <w:pPr>
        <w:pStyle w:val="Kop1"/>
        <w:spacing w:before="0" w:after="240" w:line="360" w:lineRule="auto"/>
        <w:jc w:val="both"/>
        <w:rPr>
          <w:rStyle w:val="Zwaar"/>
          <w:rFonts w:asciiTheme="minorHAnsi" w:hAnsiTheme="minorHAnsi"/>
          <w:i/>
          <w:color w:val="auto"/>
          <w:sz w:val="24"/>
          <w:szCs w:val="24"/>
          <w:lang w:val="en-US"/>
        </w:rPr>
      </w:pPr>
      <w:r w:rsidRPr="00676985">
        <w:rPr>
          <w:rFonts w:asciiTheme="minorHAnsi" w:hAnsiTheme="minorHAnsi" w:cs="Times New Roman"/>
          <w:b w:val="0"/>
          <w:color w:val="auto"/>
          <w:sz w:val="24"/>
          <w:szCs w:val="24"/>
          <w:lang w:val="en-US"/>
        </w:rPr>
        <w:br w:type="column"/>
      </w:r>
      <w:bookmarkStart w:id="1" w:name="_Toc359926542"/>
      <w:r w:rsidR="00EC5381" w:rsidRPr="00A16CD4">
        <w:rPr>
          <w:rStyle w:val="Zwaar"/>
          <w:rFonts w:asciiTheme="minorHAnsi" w:hAnsiTheme="minorHAnsi"/>
          <w:i/>
          <w:color w:val="auto"/>
          <w:sz w:val="24"/>
          <w:szCs w:val="24"/>
          <w:lang w:val="en-US"/>
        </w:rPr>
        <w:lastRenderedPageBreak/>
        <w:t xml:space="preserve">1. </w:t>
      </w:r>
      <w:r w:rsidR="00E1177A" w:rsidRPr="00A16CD4">
        <w:rPr>
          <w:rStyle w:val="Zwaar"/>
          <w:rFonts w:asciiTheme="minorHAnsi" w:hAnsiTheme="minorHAnsi"/>
          <w:i/>
          <w:color w:val="auto"/>
          <w:sz w:val="24"/>
          <w:szCs w:val="24"/>
          <w:lang w:val="en-US"/>
        </w:rPr>
        <w:t>Introduction</w:t>
      </w:r>
      <w:bookmarkEnd w:id="1"/>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81608" w:rsidRPr="00A16CD4">
        <w:rPr>
          <w:rStyle w:val="Zwaar"/>
          <w:rFonts w:asciiTheme="minorHAnsi" w:hAnsiTheme="minorHAnsi"/>
          <w:i/>
          <w:color w:val="auto"/>
          <w:sz w:val="24"/>
          <w:szCs w:val="24"/>
          <w:lang w:val="en-US"/>
        </w:rPr>
        <w:tab/>
      </w:r>
      <w:r w:rsidR="00764641" w:rsidRPr="00A16CD4">
        <w:rPr>
          <w:rStyle w:val="Zwaar"/>
          <w:rFonts w:asciiTheme="minorHAnsi" w:hAnsiTheme="minorHAnsi"/>
          <w:i/>
          <w:color w:val="auto"/>
          <w:sz w:val="24"/>
          <w:szCs w:val="24"/>
          <w:lang w:val="en-US"/>
        </w:rPr>
        <w:t xml:space="preserve">     </w:t>
      </w:r>
    </w:p>
    <w:p w:rsidR="00D2148A" w:rsidRPr="00781608" w:rsidRDefault="005A3FA0" w:rsidP="00A16CD4">
      <w:pPr>
        <w:spacing w:line="360" w:lineRule="auto"/>
        <w:jc w:val="both"/>
        <w:rPr>
          <w:rFonts w:cs="Times New Roman"/>
          <w:sz w:val="24"/>
          <w:szCs w:val="24"/>
          <w:lang w:val="en-US"/>
        </w:rPr>
      </w:pPr>
      <w:r w:rsidRPr="00781608">
        <w:rPr>
          <w:rFonts w:cs="Times New Roman"/>
          <w:sz w:val="24"/>
          <w:szCs w:val="24"/>
          <w:lang w:val="en-US"/>
        </w:rPr>
        <w:t xml:space="preserve">This thesis looks at the impact of rating events </w:t>
      </w:r>
      <w:r w:rsidR="004B2D00" w:rsidRPr="00781608">
        <w:rPr>
          <w:rFonts w:cs="Times New Roman"/>
          <w:sz w:val="24"/>
          <w:szCs w:val="24"/>
          <w:lang w:val="en-US"/>
        </w:rPr>
        <w:t xml:space="preserve">on </w:t>
      </w:r>
      <w:r w:rsidR="00E271E4" w:rsidRPr="00781608">
        <w:rPr>
          <w:rFonts w:cs="Times New Roman"/>
          <w:sz w:val="24"/>
          <w:szCs w:val="24"/>
          <w:lang w:val="en-US"/>
        </w:rPr>
        <w:t xml:space="preserve">sovereign </w:t>
      </w:r>
      <w:r w:rsidR="00A16CD4">
        <w:rPr>
          <w:rFonts w:cs="Times New Roman"/>
          <w:sz w:val="24"/>
          <w:szCs w:val="24"/>
          <w:lang w:val="en-US"/>
        </w:rPr>
        <w:t>bond yield spreads</w:t>
      </w:r>
      <w:r w:rsidR="004B2D00" w:rsidRPr="00781608">
        <w:rPr>
          <w:rFonts w:cs="Times New Roman"/>
          <w:sz w:val="24"/>
          <w:szCs w:val="24"/>
          <w:lang w:val="en-US"/>
        </w:rPr>
        <w:t xml:space="preserve"> </w:t>
      </w:r>
      <w:r w:rsidRPr="00781608">
        <w:rPr>
          <w:rFonts w:cs="Times New Roman"/>
          <w:sz w:val="24"/>
          <w:szCs w:val="24"/>
          <w:lang w:val="en-US"/>
        </w:rPr>
        <w:t>after controllin</w:t>
      </w:r>
      <w:r w:rsidR="00D2148A" w:rsidRPr="00781608">
        <w:rPr>
          <w:rFonts w:cs="Times New Roman"/>
          <w:sz w:val="24"/>
          <w:szCs w:val="24"/>
          <w:lang w:val="en-US"/>
        </w:rPr>
        <w:t xml:space="preserve">g for information availability. </w:t>
      </w:r>
      <w:r w:rsidR="00124978" w:rsidRPr="00781608">
        <w:rPr>
          <w:rFonts w:cs="Times New Roman"/>
          <w:sz w:val="24"/>
          <w:szCs w:val="24"/>
          <w:lang w:val="en-US"/>
        </w:rPr>
        <w:t>C</w:t>
      </w:r>
      <w:r w:rsidR="00D2148A" w:rsidRPr="00781608">
        <w:rPr>
          <w:rFonts w:cs="Times New Roman"/>
          <w:sz w:val="24"/>
          <w:szCs w:val="24"/>
          <w:lang w:val="en-US"/>
        </w:rPr>
        <w:t xml:space="preserve">redit rating agencies (CRAs) </w:t>
      </w:r>
      <w:r w:rsidR="00124978" w:rsidRPr="00781608">
        <w:rPr>
          <w:rFonts w:cs="Times New Roman"/>
          <w:sz w:val="24"/>
          <w:szCs w:val="24"/>
          <w:lang w:val="en-US"/>
        </w:rPr>
        <w:t>rate countries to create a comparison between countries</w:t>
      </w:r>
      <w:r w:rsidR="006203DB" w:rsidRPr="00781608">
        <w:rPr>
          <w:rFonts w:cs="Times New Roman"/>
          <w:sz w:val="24"/>
          <w:szCs w:val="24"/>
          <w:lang w:val="en-US"/>
        </w:rPr>
        <w:t>. They</w:t>
      </w:r>
      <w:r w:rsidR="00124978" w:rsidRPr="00781608">
        <w:rPr>
          <w:rFonts w:cs="Times New Roman"/>
          <w:sz w:val="24"/>
          <w:szCs w:val="24"/>
          <w:lang w:val="en-US"/>
        </w:rPr>
        <w:t xml:space="preserve"> </w:t>
      </w:r>
      <w:r w:rsidR="00D2148A" w:rsidRPr="00781608">
        <w:rPr>
          <w:rFonts w:cs="Times New Roman"/>
          <w:sz w:val="24"/>
          <w:szCs w:val="24"/>
          <w:lang w:val="en-US"/>
        </w:rPr>
        <w:t>co</w:t>
      </w:r>
      <w:r w:rsidR="0027238A" w:rsidRPr="00781608">
        <w:rPr>
          <w:rFonts w:cs="Times New Roman"/>
          <w:sz w:val="24"/>
          <w:szCs w:val="24"/>
          <w:lang w:val="en-US"/>
        </w:rPr>
        <w:t>nstruct</w:t>
      </w:r>
      <w:r w:rsidR="00D2148A" w:rsidRPr="00781608">
        <w:rPr>
          <w:rFonts w:cs="Times New Roman"/>
          <w:sz w:val="24"/>
          <w:szCs w:val="24"/>
          <w:lang w:val="en-US"/>
        </w:rPr>
        <w:t xml:space="preserve"> their ratings from publicly available information</w:t>
      </w:r>
      <w:r w:rsidR="0027238A" w:rsidRPr="00781608">
        <w:rPr>
          <w:rFonts w:cs="Times New Roman"/>
          <w:sz w:val="24"/>
          <w:szCs w:val="24"/>
          <w:lang w:val="en-US"/>
        </w:rPr>
        <w:t xml:space="preserve">. </w:t>
      </w:r>
      <w:r w:rsidR="008D4936" w:rsidRPr="00781608">
        <w:rPr>
          <w:rFonts w:cs="Times New Roman"/>
          <w:sz w:val="24"/>
          <w:szCs w:val="24"/>
          <w:lang w:val="en-US"/>
        </w:rPr>
        <w:t>These ratings represent how the country is currently assessed. Countries</w:t>
      </w:r>
      <w:r w:rsidR="0027238A" w:rsidRPr="00781608">
        <w:rPr>
          <w:rFonts w:cs="Times New Roman"/>
          <w:sz w:val="24"/>
          <w:szCs w:val="24"/>
          <w:lang w:val="en-US"/>
        </w:rPr>
        <w:t xml:space="preserve"> are </w:t>
      </w:r>
      <w:r w:rsidR="008D4936" w:rsidRPr="00781608">
        <w:rPr>
          <w:rFonts w:cs="Times New Roman"/>
          <w:sz w:val="24"/>
          <w:szCs w:val="24"/>
          <w:lang w:val="en-US"/>
        </w:rPr>
        <w:t xml:space="preserve">also </w:t>
      </w:r>
      <w:r w:rsidR="0027238A" w:rsidRPr="00781608">
        <w:rPr>
          <w:rFonts w:cs="Times New Roman"/>
          <w:sz w:val="24"/>
          <w:szCs w:val="24"/>
          <w:lang w:val="en-US"/>
        </w:rPr>
        <w:t>assigned an outlook which can be positive, stable or negative. Apart from that, countries can be placed on a watchlist, which means that the country’s rating is under review</w:t>
      </w:r>
      <w:r w:rsidR="00432476" w:rsidRPr="00781608">
        <w:rPr>
          <w:rFonts w:cs="Times New Roman"/>
          <w:sz w:val="24"/>
          <w:szCs w:val="24"/>
          <w:lang w:val="en-US"/>
        </w:rPr>
        <w:t xml:space="preserve"> to be either up- or downgraded</w:t>
      </w:r>
      <w:r w:rsidR="0027238A" w:rsidRPr="00781608">
        <w:rPr>
          <w:rFonts w:cs="Times New Roman"/>
          <w:sz w:val="24"/>
          <w:szCs w:val="24"/>
          <w:lang w:val="en-US"/>
        </w:rPr>
        <w:t>. Changes in ratings and outlooks or when placed on the watchlist are different types of rating events. T</w:t>
      </w:r>
      <w:r w:rsidR="006203DB" w:rsidRPr="00781608">
        <w:rPr>
          <w:rFonts w:cs="Times New Roman"/>
          <w:sz w:val="24"/>
          <w:szCs w:val="24"/>
          <w:lang w:val="en-US"/>
        </w:rPr>
        <w:t>he rating events</w:t>
      </w:r>
      <w:r w:rsidR="0027238A" w:rsidRPr="00781608">
        <w:rPr>
          <w:rFonts w:cs="Times New Roman"/>
          <w:sz w:val="24"/>
          <w:szCs w:val="24"/>
          <w:lang w:val="en-US"/>
        </w:rPr>
        <w:t xml:space="preserve"> </w:t>
      </w:r>
      <w:r w:rsidR="006203DB" w:rsidRPr="00781608">
        <w:rPr>
          <w:rFonts w:cs="Times New Roman"/>
          <w:sz w:val="24"/>
          <w:szCs w:val="24"/>
          <w:lang w:val="en-US"/>
        </w:rPr>
        <w:t>are</w:t>
      </w:r>
      <w:r w:rsidR="0027238A" w:rsidRPr="00781608">
        <w:rPr>
          <w:rFonts w:cs="Times New Roman"/>
          <w:sz w:val="24"/>
          <w:szCs w:val="24"/>
          <w:lang w:val="en-US"/>
        </w:rPr>
        <w:t xml:space="preserve"> </w:t>
      </w:r>
      <w:r w:rsidR="006203DB" w:rsidRPr="00781608">
        <w:rPr>
          <w:rFonts w:cs="Times New Roman"/>
          <w:sz w:val="24"/>
          <w:szCs w:val="24"/>
          <w:lang w:val="en-US"/>
        </w:rPr>
        <w:t xml:space="preserve">lagged, </w:t>
      </w:r>
      <w:r w:rsidR="0027238A" w:rsidRPr="00781608">
        <w:rPr>
          <w:rFonts w:cs="Times New Roman"/>
          <w:sz w:val="24"/>
          <w:szCs w:val="24"/>
          <w:lang w:val="en-US"/>
        </w:rPr>
        <w:t xml:space="preserve">namely, they </w:t>
      </w:r>
      <w:r w:rsidR="006203DB" w:rsidRPr="00781608">
        <w:rPr>
          <w:rFonts w:cs="Times New Roman"/>
          <w:sz w:val="24"/>
          <w:szCs w:val="24"/>
          <w:lang w:val="en-US"/>
        </w:rPr>
        <w:t>contain no new information and should therefore have no influence on the financial markets</w:t>
      </w:r>
      <w:r w:rsidR="0027238A" w:rsidRPr="00781608">
        <w:rPr>
          <w:rFonts w:cs="Times New Roman"/>
          <w:sz w:val="24"/>
          <w:szCs w:val="24"/>
          <w:lang w:val="en-US"/>
        </w:rPr>
        <w:t>.</w:t>
      </w:r>
      <w:r w:rsidR="00AE578B" w:rsidRPr="00781608">
        <w:rPr>
          <w:rStyle w:val="Voetnootmarkering"/>
          <w:rFonts w:cs="Times New Roman"/>
          <w:sz w:val="24"/>
          <w:szCs w:val="24"/>
          <w:lang w:val="en-US"/>
        </w:rPr>
        <w:footnoteReference w:id="1"/>
      </w:r>
      <w:r w:rsidR="0027238A" w:rsidRPr="00781608">
        <w:rPr>
          <w:rFonts w:cs="Times New Roman"/>
          <w:sz w:val="24"/>
          <w:szCs w:val="24"/>
          <w:lang w:val="en-US"/>
        </w:rPr>
        <w:t xml:space="preserve"> </w:t>
      </w:r>
      <w:r w:rsidR="006203DB" w:rsidRPr="00781608">
        <w:rPr>
          <w:rFonts w:cs="Times New Roman"/>
          <w:sz w:val="24"/>
          <w:szCs w:val="24"/>
          <w:lang w:val="en-US"/>
        </w:rPr>
        <w:t>Lots of research</w:t>
      </w:r>
      <w:r w:rsidR="00D846E3" w:rsidRPr="00781608">
        <w:rPr>
          <w:rFonts w:cs="Times New Roman"/>
          <w:sz w:val="24"/>
          <w:szCs w:val="24"/>
          <w:lang w:val="en-US"/>
        </w:rPr>
        <w:t>, which will be discussed in the next section,</w:t>
      </w:r>
      <w:r w:rsidR="006203DB" w:rsidRPr="00781608">
        <w:rPr>
          <w:rFonts w:cs="Times New Roman"/>
          <w:sz w:val="24"/>
          <w:szCs w:val="24"/>
          <w:lang w:val="en-US"/>
        </w:rPr>
        <w:t xml:space="preserve"> has been done to find out whether or not rating events have significant impact on bond markets.</w:t>
      </w:r>
    </w:p>
    <w:p w:rsidR="008D4936" w:rsidRPr="00781608" w:rsidRDefault="00BA7F1B" w:rsidP="00E1177A">
      <w:pPr>
        <w:spacing w:line="360" w:lineRule="auto"/>
        <w:jc w:val="both"/>
        <w:rPr>
          <w:rFonts w:cs="Times New Roman"/>
          <w:sz w:val="24"/>
          <w:szCs w:val="24"/>
          <w:lang w:val="en-US"/>
        </w:rPr>
      </w:pPr>
      <w:r w:rsidRPr="00781608">
        <w:rPr>
          <w:rFonts w:cs="Times New Roman"/>
          <w:sz w:val="24"/>
          <w:szCs w:val="24"/>
          <w:lang w:val="en-US"/>
        </w:rPr>
        <w:t>The dependent variable in this study are the 1-, 5- and 10-yea</w:t>
      </w:r>
      <w:r w:rsidR="00A16CD4">
        <w:rPr>
          <w:rFonts w:cs="Times New Roman"/>
          <w:sz w:val="24"/>
          <w:szCs w:val="24"/>
          <w:lang w:val="en-US"/>
        </w:rPr>
        <w:t>r maturity sovereign bond yield spreads</w:t>
      </w:r>
      <w:r w:rsidRPr="00781608">
        <w:rPr>
          <w:rFonts w:cs="Times New Roman"/>
          <w:sz w:val="24"/>
          <w:szCs w:val="24"/>
          <w:lang w:val="en-US"/>
        </w:rPr>
        <w:t xml:space="preserve">. </w:t>
      </w:r>
      <w:r w:rsidR="008D4936" w:rsidRPr="00781608">
        <w:rPr>
          <w:rFonts w:cs="Times New Roman"/>
          <w:sz w:val="24"/>
          <w:szCs w:val="24"/>
          <w:lang w:val="en-US"/>
        </w:rPr>
        <w:t>B</w:t>
      </w:r>
      <w:r w:rsidR="00F375C0" w:rsidRPr="00781608">
        <w:rPr>
          <w:rFonts w:cs="Times New Roman"/>
          <w:sz w:val="24"/>
          <w:szCs w:val="24"/>
          <w:lang w:val="en-US"/>
        </w:rPr>
        <w:t xml:space="preserve">y the use of empirical models, </w:t>
      </w:r>
      <w:r w:rsidR="008D4936" w:rsidRPr="00781608">
        <w:rPr>
          <w:rFonts w:cs="Times New Roman"/>
          <w:sz w:val="24"/>
          <w:szCs w:val="24"/>
          <w:lang w:val="en-US"/>
        </w:rPr>
        <w:t xml:space="preserve">the goal is </w:t>
      </w:r>
      <w:r w:rsidR="00F375C0" w:rsidRPr="00781608">
        <w:rPr>
          <w:rFonts w:cs="Times New Roman"/>
          <w:sz w:val="24"/>
          <w:szCs w:val="24"/>
          <w:lang w:val="en-US"/>
        </w:rPr>
        <w:t xml:space="preserve">to </w:t>
      </w:r>
      <w:r w:rsidR="008D4936" w:rsidRPr="00781608">
        <w:rPr>
          <w:rFonts w:cs="Times New Roman"/>
          <w:sz w:val="24"/>
          <w:szCs w:val="24"/>
          <w:lang w:val="en-US"/>
        </w:rPr>
        <w:t>explore</w:t>
      </w:r>
      <w:r w:rsidR="00F375C0" w:rsidRPr="00781608">
        <w:rPr>
          <w:rFonts w:cs="Times New Roman"/>
          <w:sz w:val="24"/>
          <w:szCs w:val="24"/>
          <w:lang w:val="en-US"/>
        </w:rPr>
        <w:t xml:space="preserve"> if </w:t>
      </w:r>
      <w:r w:rsidR="008D4936" w:rsidRPr="00781608">
        <w:rPr>
          <w:rFonts w:cs="Times New Roman"/>
          <w:sz w:val="24"/>
          <w:szCs w:val="24"/>
          <w:lang w:val="en-US"/>
        </w:rPr>
        <w:t xml:space="preserve">after </w:t>
      </w:r>
      <w:r w:rsidR="00F375C0" w:rsidRPr="00781608">
        <w:rPr>
          <w:rFonts w:cs="Times New Roman"/>
          <w:sz w:val="24"/>
          <w:szCs w:val="24"/>
          <w:lang w:val="en-US"/>
        </w:rPr>
        <w:t xml:space="preserve">controlling for information availability, the impact of rating events </w:t>
      </w:r>
      <w:r w:rsidR="008D4936" w:rsidRPr="00781608">
        <w:rPr>
          <w:rFonts w:cs="Times New Roman"/>
          <w:sz w:val="24"/>
          <w:szCs w:val="24"/>
          <w:lang w:val="en-US"/>
        </w:rPr>
        <w:t xml:space="preserve">on yield spreads </w:t>
      </w:r>
      <w:r w:rsidR="00F375C0" w:rsidRPr="00781608">
        <w:rPr>
          <w:rFonts w:cs="Times New Roman"/>
          <w:sz w:val="24"/>
          <w:szCs w:val="24"/>
          <w:lang w:val="en-US"/>
        </w:rPr>
        <w:t>disappear</w:t>
      </w:r>
      <w:r w:rsidR="008D4936" w:rsidRPr="00781608">
        <w:rPr>
          <w:rFonts w:cs="Times New Roman"/>
          <w:sz w:val="24"/>
          <w:szCs w:val="24"/>
          <w:lang w:val="en-US"/>
        </w:rPr>
        <w:t>s</w:t>
      </w:r>
      <w:r w:rsidR="00F375C0" w:rsidRPr="00781608">
        <w:rPr>
          <w:rFonts w:cs="Times New Roman"/>
          <w:sz w:val="24"/>
          <w:szCs w:val="24"/>
          <w:lang w:val="en-US"/>
        </w:rPr>
        <w:t xml:space="preserve"> or at least significantly decrease</w:t>
      </w:r>
      <w:r w:rsidR="008D4936" w:rsidRPr="00781608">
        <w:rPr>
          <w:rFonts w:cs="Times New Roman"/>
          <w:sz w:val="24"/>
          <w:szCs w:val="24"/>
          <w:lang w:val="en-US"/>
        </w:rPr>
        <w:t>s</w:t>
      </w:r>
      <w:r w:rsidR="00F375C0" w:rsidRPr="00781608">
        <w:rPr>
          <w:rFonts w:cs="Times New Roman"/>
          <w:sz w:val="24"/>
          <w:szCs w:val="24"/>
          <w:lang w:val="en-US"/>
        </w:rPr>
        <w:t>.</w:t>
      </w:r>
      <w:r w:rsidR="008D4936" w:rsidRPr="00781608">
        <w:rPr>
          <w:rFonts w:cs="Times New Roman"/>
          <w:sz w:val="24"/>
          <w:szCs w:val="24"/>
          <w:lang w:val="en-US"/>
        </w:rPr>
        <w:t xml:space="preserve"> I use the ratings</w:t>
      </w:r>
      <w:r w:rsidR="005A3FA0" w:rsidRPr="00781608">
        <w:rPr>
          <w:rFonts w:cs="Times New Roman"/>
          <w:sz w:val="24"/>
          <w:szCs w:val="24"/>
          <w:lang w:val="en-US"/>
        </w:rPr>
        <w:t xml:space="preserve"> </w:t>
      </w:r>
      <w:r w:rsidR="008D4936" w:rsidRPr="00781608">
        <w:rPr>
          <w:rFonts w:cs="Times New Roman"/>
          <w:sz w:val="24"/>
          <w:szCs w:val="24"/>
          <w:lang w:val="en-US"/>
        </w:rPr>
        <w:t xml:space="preserve">of the </w:t>
      </w:r>
      <w:r w:rsidR="00AE578B" w:rsidRPr="00781608">
        <w:rPr>
          <w:rFonts w:cs="Times New Roman"/>
          <w:sz w:val="24"/>
          <w:szCs w:val="24"/>
          <w:lang w:val="en-US"/>
        </w:rPr>
        <w:t xml:space="preserve">three </w:t>
      </w:r>
      <w:r w:rsidR="005A3FA0" w:rsidRPr="00781608">
        <w:rPr>
          <w:rFonts w:cs="Times New Roman"/>
          <w:sz w:val="24"/>
          <w:szCs w:val="24"/>
          <w:lang w:val="en-US"/>
        </w:rPr>
        <w:t xml:space="preserve">largest and most influential </w:t>
      </w:r>
      <w:r w:rsidR="008D4936" w:rsidRPr="00781608">
        <w:rPr>
          <w:rFonts w:cs="Times New Roman"/>
          <w:sz w:val="24"/>
          <w:szCs w:val="24"/>
          <w:lang w:val="en-US"/>
        </w:rPr>
        <w:t>CRAs</w:t>
      </w:r>
      <w:r w:rsidR="005A3FA0" w:rsidRPr="00781608">
        <w:rPr>
          <w:rFonts w:cs="Times New Roman"/>
          <w:sz w:val="24"/>
          <w:szCs w:val="24"/>
          <w:lang w:val="en-US"/>
        </w:rPr>
        <w:t xml:space="preserve"> in the world: Fitch, Moody’s and Standard &amp; Poor’s (S&amp;P). </w:t>
      </w:r>
    </w:p>
    <w:p w:rsidR="005A3FA0" w:rsidRPr="00781608" w:rsidRDefault="00D846E3" w:rsidP="00E1177A">
      <w:pPr>
        <w:spacing w:line="360" w:lineRule="auto"/>
        <w:jc w:val="both"/>
        <w:rPr>
          <w:rFonts w:cs="Times New Roman"/>
          <w:sz w:val="24"/>
          <w:szCs w:val="24"/>
          <w:lang w:val="en-US"/>
        </w:rPr>
      </w:pPr>
      <w:r w:rsidRPr="00781608">
        <w:rPr>
          <w:rFonts w:cs="Times New Roman"/>
          <w:sz w:val="24"/>
          <w:szCs w:val="24"/>
          <w:lang w:val="en-US"/>
        </w:rPr>
        <w:t xml:space="preserve">Earlier studies by Radelet et al. (1998) and Bhatia (2002) </w:t>
      </w:r>
      <w:r w:rsidR="006203DB" w:rsidRPr="00781608">
        <w:rPr>
          <w:rFonts w:cs="Times New Roman"/>
          <w:sz w:val="24"/>
          <w:szCs w:val="24"/>
          <w:lang w:val="en-US"/>
        </w:rPr>
        <w:t>ha</w:t>
      </w:r>
      <w:r w:rsidRPr="00781608">
        <w:rPr>
          <w:rFonts w:cs="Times New Roman"/>
          <w:sz w:val="24"/>
          <w:szCs w:val="24"/>
          <w:lang w:val="en-US"/>
        </w:rPr>
        <w:t>ve</w:t>
      </w:r>
      <w:r w:rsidR="006203DB" w:rsidRPr="00781608">
        <w:rPr>
          <w:rFonts w:cs="Times New Roman"/>
          <w:sz w:val="24"/>
          <w:szCs w:val="24"/>
          <w:lang w:val="en-US"/>
        </w:rPr>
        <w:t xml:space="preserve"> shown that CRAs tend to overreact during crises</w:t>
      </w:r>
      <w:r w:rsidR="00BA7F1B" w:rsidRPr="00781608">
        <w:rPr>
          <w:rFonts w:cs="Times New Roman"/>
          <w:sz w:val="24"/>
          <w:szCs w:val="24"/>
          <w:lang w:val="en-US"/>
        </w:rPr>
        <w:t>, creating panic</w:t>
      </w:r>
      <w:r w:rsidR="006203DB" w:rsidRPr="00781608">
        <w:rPr>
          <w:rFonts w:cs="Times New Roman"/>
          <w:sz w:val="24"/>
          <w:szCs w:val="24"/>
          <w:lang w:val="en-US"/>
        </w:rPr>
        <w:t xml:space="preserve"> and thereby speed up or </w:t>
      </w:r>
      <w:r w:rsidR="00BA7F1B" w:rsidRPr="00781608">
        <w:rPr>
          <w:rFonts w:cs="Times New Roman"/>
          <w:sz w:val="24"/>
          <w:szCs w:val="24"/>
          <w:lang w:val="en-US"/>
        </w:rPr>
        <w:t>deepen</w:t>
      </w:r>
      <w:r w:rsidR="006203DB" w:rsidRPr="00781608">
        <w:rPr>
          <w:rFonts w:cs="Times New Roman"/>
          <w:sz w:val="24"/>
          <w:szCs w:val="24"/>
          <w:lang w:val="en-US"/>
        </w:rPr>
        <w:t xml:space="preserve"> the crisis. </w:t>
      </w:r>
      <w:r w:rsidR="00BA7F1B" w:rsidRPr="00781608">
        <w:rPr>
          <w:rFonts w:cs="Times New Roman"/>
          <w:sz w:val="24"/>
          <w:szCs w:val="24"/>
          <w:lang w:val="en-US"/>
        </w:rPr>
        <w:t>This thesis show</w:t>
      </w:r>
      <w:r w:rsidRPr="00781608">
        <w:rPr>
          <w:rFonts w:cs="Times New Roman"/>
          <w:sz w:val="24"/>
          <w:szCs w:val="24"/>
          <w:lang w:val="en-US"/>
        </w:rPr>
        <w:t>s</w:t>
      </w:r>
      <w:r w:rsidR="00BA7F1B" w:rsidRPr="00781608">
        <w:rPr>
          <w:rFonts w:cs="Times New Roman"/>
          <w:sz w:val="24"/>
          <w:szCs w:val="24"/>
          <w:lang w:val="en-US"/>
        </w:rPr>
        <w:t xml:space="preserve"> that whether or not there is a crisis, there should be no significant reaction in the bond markets following a rating event</w:t>
      </w:r>
      <w:r w:rsidR="008D4936" w:rsidRPr="00781608">
        <w:rPr>
          <w:rFonts w:cs="Times New Roman"/>
          <w:sz w:val="24"/>
          <w:szCs w:val="24"/>
          <w:lang w:val="en-US"/>
        </w:rPr>
        <w:t xml:space="preserve"> if information is publicly available</w:t>
      </w:r>
      <w:r w:rsidR="00BA7F1B" w:rsidRPr="00781608">
        <w:rPr>
          <w:rFonts w:cs="Times New Roman"/>
          <w:sz w:val="24"/>
          <w:szCs w:val="24"/>
          <w:lang w:val="en-US"/>
        </w:rPr>
        <w:t xml:space="preserve">. </w:t>
      </w:r>
      <w:r w:rsidRPr="00781608">
        <w:rPr>
          <w:rFonts w:cs="Times New Roman"/>
          <w:sz w:val="24"/>
          <w:szCs w:val="24"/>
          <w:lang w:val="en-US"/>
        </w:rPr>
        <w:t xml:space="preserve">The highlights of the findings are that </w:t>
      </w:r>
      <w:r w:rsidR="004B2D00" w:rsidRPr="00781608">
        <w:rPr>
          <w:rFonts w:cs="Times New Roman"/>
          <w:sz w:val="24"/>
          <w:szCs w:val="24"/>
          <w:lang w:val="en-US"/>
        </w:rPr>
        <w:t xml:space="preserve">accounting for </w:t>
      </w:r>
      <w:r w:rsidR="00F15F35" w:rsidRPr="00781608">
        <w:rPr>
          <w:rFonts w:cs="Times New Roman"/>
          <w:sz w:val="24"/>
          <w:szCs w:val="24"/>
          <w:lang w:val="en-US"/>
        </w:rPr>
        <w:t>information availability, by the use of variables for the level of transparency and the amount of freedom of press</w:t>
      </w:r>
      <w:r w:rsidR="004B2D00" w:rsidRPr="00781608">
        <w:rPr>
          <w:rFonts w:cs="Times New Roman"/>
          <w:sz w:val="24"/>
          <w:szCs w:val="24"/>
          <w:lang w:val="en-US"/>
        </w:rPr>
        <w:t xml:space="preserve"> </w:t>
      </w:r>
      <w:r w:rsidR="00F375C0" w:rsidRPr="00781608">
        <w:rPr>
          <w:rFonts w:cs="Times New Roman"/>
          <w:sz w:val="24"/>
          <w:szCs w:val="24"/>
          <w:lang w:val="en-US"/>
        </w:rPr>
        <w:t>lowers the impact of rating events on</w:t>
      </w:r>
      <w:r w:rsidR="004B197D" w:rsidRPr="00781608">
        <w:rPr>
          <w:rFonts w:cs="Times New Roman"/>
          <w:sz w:val="24"/>
          <w:szCs w:val="24"/>
          <w:lang w:val="en-US"/>
        </w:rPr>
        <w:t xml:space="preserve"> bond </w:t>
      </w:r>
      <w:r w:rsidR="00A16CD4">
        <w:rPr>
          <w:rFonts w:cs="Times New Roman"/>
          <w:sz w:val="24"/>
          <w:szCs w:val="24"/>
          <w:lang w:val="en-US"/>
        </w:rPr>
        <w:t>spreads</w:t>
      </w:r>
      <w:r w:rsidR="004B197D" w:rsidRPr="00781608">
        <w:rPr>
          <w:rFonts w:cs="Times New Roman"/>
          <w:sz w:val="24"/>
          <w:szCs w:val="24"/>
          <w:lang w:val="en-US"/>
        </w:rPr>
        <w:t xml:space="preserve"> and that</w:t>
      </w:r>
      <w:r w:rsidR="004B2D00" w:rsidRPr="00781608">
        <w:rPr>
          <w:rFonts w:cs="Times New Roman"/>
          <w:sz w:val="24"/>
          <w:szCs w:val="24"/>
          <w:lang w:val="en-US"/>
        </w:rPr>
        <w:t xml:space="preserve"> </w:t>
      </w:r>
      <w:r w:rsidR="004B197D" w:rsidRPr="00781608">
        <w:rPr>
          <w:rFonts w:cs="Times New Roman"/>
          <w:sz w:val="24"/>
          <w:szCs w:val="24"/>
          <w:lang w:val="en-US"/>
        </w:rPr>
        <w:t>a</w:t>
      </w:r>
      <w:r w:rsidR="004B2D00" w:rsidRPr="00781608">
        <w:rPr>
          <w:rFonts w:cs="Times New Roman"/>
          <w:sz w:val="24"/>
          <w:szCs w:val="24"/>
          <w:lang w:val="en-US"/>
        </w:rPr>
        <w:t xml:space="preserve">ccounting for the crisis </w:t>
      </w:r>
      <w:r w:rsidR="0088735C" w:rsidRPr="00781608">
        <w:rPr>
          <w:rFonts w:cs="Times New Roman"/>
          <w:sz w:val="24"/>
          <w:szCs w:val="24"/>
          <w:lang w:val="en-US"/>
        </w:rPr>
        <w:t xml:space="preserve">further </w:t>
      </w:r>
      <w:r w:rsidR="003D3077" w:rsidRPr="00781608">
        <w:rPr>
          <w:rFonts w:cs="Times New Roman"/>
          <w:sz w:val="24"/>
          <w:szCs w:val="24"/>
          <w:lang w:val="en-US"/>
        </w:rPr>
        <w:t xml:space="preserve">limits the </w:t>
      </w:r>
      <w:r w:rsidR="00265297" w:rsidRPr="00781608">
        <w:rPr>
          <w:rFonts w:cs="Times New Roman"/>
          <w:sz w:val="24"/>
          <w:szCs w:val="24"/>
          <w:lang w:val="en-US"/>
        </w:rPr>
        <w:t xml:space="preserve">wideness of the </w:t>
      </w:r>
      <w:r w:rsidR="003D3077" w:rsidRPr="00781608">
        <w:rPr>
          <w:rFonts w:cs="Times New Roman"/>
          <w:sz w:val="24"/>
          <w:szCs w:val="24"/>
          <w:lang w:val="en-US"/>
        </w:rPr>
        <w:t>spreads</w:t>
      </w:r>
      <w:r w:rsidR="004B2D00" w:rsidRPr="00781608">
        <w:rPr>
          <w:rFonts w:cs="Times New Roman"/>
          <w:sz w:val="24"/>
          <w:szCs w:val="24"/>
          <w:lang w:val="en-US"/>
        </w:rPr>
        <w:t xml:space="preserve">, </w:t>
      </w:r>
      <w:r w:rsidR="004B197D" w:rsidRPr="00781608">
        <w:rPr>
          <w:rFonts w:cs="Times New Roman"/>
          <w:sz w:val="24"/>
          <w:szCs w:val="24"/>
          <w:lang w:val="en-US"/>
        </w:rPr>
        <w:t>i.e.</w:t>
      </w:r>
      <w:r w:rsidR="004B2D00" w:rsidRPr="00781608">
        <w:rPr>
          <w:rFonts w:cs="Times New Roman"/>
          <w:sz w:val="24"/>
          <w:szCs w:val="24"/>
          <w:lang w:val="en-US"/>
        </w:rPr>
        <w:t xml:space="preserve"> </w:t>
      </w:r>
      <w:r w:rsidR="003D3077" w:rsidRPr="00781608">
        <w:rPr>
          <w:rFonts w:cs="Times New Roman"/>
          <w:sz w:val="24"/>
          <w:szCs w:val="24"/>
          <w:lang w:val="en-US"/>
        </w:rPr>
        <w:t>in times of crisis markets the spreads are wider</w:t>
      </w:r>
      <w:r w:rsidR="004B2D00" w:rsidRPr="00781608">
        <w:rPr>
          <w:rFonts w:cs="Times New Roman"/>
          <w:sz w:val="24"/>
          <w:szCs w:val="24"/>
          <w:lang w:val="en-US"/>
        </w:rPr>
        <w:t>.</w:t>
      </w:r>
      <w:r w:rsidR="00E271E4" w:rsidRPr="00781608">
        <w:rPr>
          <w:rFonts w:cs="Times New Roman"/>
          <w:sz w:val="24"/>
          <w:szCs w:val="24"/>
          <w:lang w:val="en-US"/>
        </w:rPr>
        <w:t xml:space="preserve"> </w:t>
      </w:r>
      <w:r w:rsidR="00265297" w:rsidRPr="00781608">
        <w:rPr>
          <w:rFonts w:cs="Times New Roman"/>
          <w:sz w:val="24"/>
          <w:szCs w:val="24"/>
          <w:lang w:val="en-US"/>
        </w:rPr>
        <w:t>The findings further show that p</w:t>
      </w:r>
      <w:r w:rsidR="00E271E4" w:rsidRPr="00781608">
        <w:rPr>
          <w:rFonts w:cs="Times New Roman"/>
          <w:sz w:val="24"/>
          <w:szCs w:val="24"/>
          <w:lang w:val="en-US"/>
        </w:rPr>
        <w:t xml:space="preserve">ositive rating events no longer have any significant influence but negative rating events still do on </w:t>
      </w:r>
      <w:r w:rsidR="00E271E4" w:rsidRPr="00781608">
        <w:rPr>
          <w:rFonts w:cs="Times New Roman"/>
          <w:sz w:val="24"/>
          <w:szCs w:val="24"/>
          <w:lang w:val="en-US"/>
        </w:rPr>
        <w:lastRenderedPageBreak/>
        <w:t xml:space="preserve">5-year maturity sovereign bond </w:t>
      </w:r>
      <w:r w:rsidR="00A16CD4">
        <w:rPr>
          <w:rFonts w:cs="Times New Roman"/>
          <w:sz w:val="24"/>
          <w:szCs w:val="24"/>
          <w:lang w:val="en-US"/>
        </w:rPr>
        <w:t>spreads</w:t>
      </w:r>
      <w:r w:rsidR="00E271E4" w:rsidRPr="00781608">
        <w:rPr>
          <w:rFonts w:cs="Times New Roman"/>
          <w:sz w:val="24"/>
          <w:szCs w:val="24"/>
          <w:lang w:val="en-US"/>
        </w:rPr>
        <w:t xml:space="preserve">. All other maturities are no longer significantly influenced by these events. </w:t>
      </w:r>
      <w:r w:rsidR="00F15F35" w:rsidRPr="00781608">
        <w:rPr>
          <w:rFonts w:cs="Times New Roman"/>
          <w:sz w:val="24"/>
          <w:szCs w:val="24"/>
          <w:lang w:val="en-US"/>
        </w:rPr>
        <w:t>The variable for freedom of press is significant for estimating yield spreads whereas the variable measuring the</w:t>
      </w:r>
      <w:r w:rsidR="00E271E4" w:rsidRPr="00781608">
        <w:rPr>
          <w:rFonts w:cs="Times New Roman"/>
          <w:sz w:val="24"/>
          <w:szCs w:val="24"/>
          <w:lang w:val="en-US"/>
        </w:rPr>
        <w:t xml:space="preserve"> level of transparency</w:t>
      </w:r>
      <w:r w:rsidR="00F15F35" w:rsidRPr="00781608">
        <w:rPr>
          <w:rFonts w:cs="Times New Roman"/>
          <w:sz w:val="24"/>
          <w:szCs w:val="24"/>
          <w:lang w:val="en-US"/>
        </w:rPr>
        <w:t xml:space="preserve"> is not</w:t>
      </w:r>
      <w:r w:rsidR="00E271E4" w:rsidRPr="00781608">
        <w:rPr>
          <w:rFonts w:cs="Times New Roman"/>
          <w:sz w:val="24"/>
          <w:szCs w:val="24"/>
          <w:lang w:val="en-US"/>
        </w:rPr>
        <w:t>, i.e. the amount of corruption present in a country, does not seem to significantly</w:t>
      </w:r>
      <w:r w:rsidR="00F15F35" w:rsidRPr="00781608">
        <w:rPr>
          <w:rFonts w:cs="Times New Roman"/>
          <w:sz w:val="24"/>
          <w:szCs w:val="24"/>
          <w:lang w:val="en-US"/>
        </w:rPr>
        <w:t xml:space="preserve"> influence sovereign bond yield spreads</w:t>
      </w:r>
      <w:r w:rsidR="00E271E4" w:rsidRPr="00781608">
        <w:rPr>
          <w:rFonts w:cs="Times New Roman"/>
          <w:sz w:val="24"/>
          <w:szCs w:val="24"/>
          <w:lang w:val="en-US"/>
        </w:rPr>
        <w:t>.</w:t>
      </w:r>
      <w:r w:rsidR="00F15F35" w:rsidRPr="00781608">
        <w:rPr>
          <w:rFonts w:cs="Times New Roman"/>
          <w:sz w:val="24"/>
          <w:szCs w:val="24"/>
          <w:lang w:val="en-US"/>
        </w:rPr>
        <w:t xml:space="preserve"> However, the goal of this study is to test if, by accounting for information availability,</w:t>
      </w:r>
      <w:r w:rsidR="00BA7F1B" w:rsidRPr="00781608">
        <w:rPr>
          <w:rFonts w:cs="Times New Roman"/>
          <w:sz w:val="24"/>
          <w:szCs w:val="24"/>
          <w:lang w:val="en-US"/>
        </w:rPr>
        <w:t xml:space="preserve"> </w:t>
      </w:r>
      <w:r w:rsidR="00F15F35" w:rsidRPr="00781608">
        <w:rPr>
          <w:rFonts w:cs="Times New Roman"/>
          <w:sz w:val="24"/>
          <w:szCs w:val="24"/>
          <w:lang w:val="en-US"/>
        </w:rPr>
        <w:t>the impact of rating events on yield spreads would cease or at least decrease and results show that this is indeed the case.</w:t>
      </w:r>
    </w:p>
    <w:p w:rsidR="000A7956" w:rsidRPr="00A16CD4" w:rsidRDefault="00764641" w:rsidP="00A16CD4">
      <w:pPr>
        <w:pStyle w:val="Kop1"/>
        <w:spacing w:before="0" w:after="240"/>
        <w:rPr>
          <w:rFonts w:asciiTheme="minorHAnsi" w:hAnsiTheme="minorHAnsi" w:cs="Times New Roman"/>
          <w:i/>
          <w:color w:val="auto"/>
          <w:sz w:val="24"/>
          <w:szCs w:val="24"/>
          <w:lang w:val="en-US"/>
        </w:rPr>
      </w:pPr>
      <w:bookmarkStart w:id="2" w:name="_Toc359926543"/>
      <w:r>
        <w:rPr>
          <w:rFonts w:asciiTheme="minorHAnsi" w:hAnsiTheme="minorHAnsi" w:cs="Times New Roman"/>
          <w:color w:val="auto"/>
          <w:sz w:val="24"/>
          <w:szCs w:val="24"/>
          <w:lang w:val="en-US"/>
        </w:rPr>
        <w:br w:type="column"/>
      </w:r>
      <w:r w:rsidR="00EC5381" w:rsidRPr="00A16CD4">
        <w:rPr>
          <w:rFonts w:asciiTheme="minorHAnsi" w:hAnsiTheme="minorHAnsi" w:cs="Times New Roman"/>
          <w:i/>
          <w:color w:val="auto"/>
          <w:sz w:val="24"/>
          <w:szCs w:val="24"/>
          <w:lang w:val="en-US"/>
        </w:rPr>
        <w:lastRenderedPageBreak/>
        <w:t xml:space="preserve">2. </w:t>
      </w:r>
      <w:r w:rsidR="000A7956" w:rsidRPr="00A16CD4">
        <w:rPr>
          <w:rFonts w:asciiTheme="minorHAnsi" w:hAnsiTheme="minorHAnsi" w:cs="Times New Roman"/>
          <w:i/>
          <w:color w:val="auto"/>
          <w:sz w:val="24"/>
          <w:szCs w:val="24"/>
          <w:lang w:val="en-US"/>
        </w:rPr>
        <w:t>Literature review</w:t>
      </w:r>
      <w:bookmarkEnd w:id="2"/>
    </w:p>
    <w:p w:rsidR="00EC5AEA" w:rsidRPr="00781608" w:rsidRDefault="00EC5AEA" w:rsidP="00764641">
      <w:pPr>
        <w:spacing w:line="360" w:lineRule="auto"/>
        <w:jc w:val="both"/>
        <w:rPr>
          <w:rFonts w:cs="Times New Roman"/>
          <w:sz w:val="24"/>
          <w:szCs w:val="24"/>
          <w:lang w:val="en-US"/>
        </w:rPr>
      </w:pPr>
      <w:r w:rsidRPr="00781608">
        <w:rPr>
          <w:rFonts w:cs="Times New Roman"/>
          <w:sz w:val="24"/>
          <w:szCs w:val="24"/>
          <w:lang w:val="en-US"/>
        </w:rPr>
        <w:t xml:space="preserve">In this section </w:t>
      </w:r>
      <w:r w:rsidR="004B197D" w:rsidRPr="00781608">
        <w:rPr>
          <w:rFonts w:cs="Times New Roman"/>
          <w:sz w:val="24"/>
          <w:szCs w:val="24"/>
          <w:lang w:val="en-US"/>
        </w:rPr>
        <w:t xml:space="preserve">I present </w:t>
      </w:r>
      <w:r w:rsidRPr="00781608">
        <w:rPr>
          <w:rFonts w:cs="Times New Roman"/>
          <w:sz w:val="24"/>
          <w:szCs w:val="24"/>
          <w:lang w:val="en-US"/>
        </w:rPr>
        <w:t xml:space="preserve">a broad overview of literature concerning credit rating agencies (CRAs) and their impact on bond markets. The three most influential CRAs are Moody’s Investors Service (Moody’s), Standard &amp; Poor’s (S&amp;P) and Fitch Ratings (Fitch). </w:t>
      </w:r>
      <w:r w:rsidR="004B197D" w:rsidRPr="00781608">
        <w:rPr>
          <w:rFonts w:cs="Times New Roman"/>
          <w:sz w:val="24"/>
          <w:szCs w:val="24"/>
          <w:lang w:val="en-US"/>
        </w:rPr>
        <w:t>Compared to company credit rating, s</w:t>
      </w:r>
      <w:r w:rsidRPr="00781608">
        <w:rPr>
          <w:rFonts w:cs="Times New Roman"/>
          <w:sz w:val="24"/>
          <w:szCs w:val="24"/>
          <w:lang w:val="en-US"/>
        </w:rPr>
        <w:t>overeign credit rating is relatively young. Only since the 1980’s, countries outside the USA and Canada are being rated and since the 1990’s also emerging markets. Between 2000 and now, most third world countries started to be rated as well. In most cases, the sovereign credit rating can be seen as the country’s ‘ceiling’, meaning that domestic companies do not have ratings exceeding the sovereign’s. Around 40% of all bonds issued are sovereigns, leading to demand for an internationally accepted benchmark to help with investment decisions. The issuer pays a fee for its rating to have an internationally respected ‘seal of approval’.</w:t>
      </w:r>
      <w:r w:rsidRPr="00781608">
        <w:rPr>
          <w:rStyle w:val="Voetnootmarkering"/>
          <w:rFonts w:cs="Times New Roman"/>
          <w:sz w:val="24"/>
          <w:szCs w:val="24"/>
        </w:rPr>
        <w:footnoteReference w:id="2"/>
      </w:r>
      <w:r w:rsidRPr="00781608">
        <w:rPr>
          <w:rFonts w:cs="Times New Roman"/>
          <w:sz w:val="24"/>
          <w:szCs w:val="24"/>
          <w:lang w:val="en-US"/>
        </w:rPr>
        <w:t xml:space="preserve"> S&amp;P believes that because of</w:t>
      </w:r>
      <w:r w:rsidRPr="00781608">
        <w:rPr>
          <w:rFonts w:cs="Times New Roman"/>
          <w:sz w:val="24"/>
          <w:szCs w:val="24"/>
          <w:lang w:val="en-GB"/>
        </w:rPr>
        <w:t xml:space="preserve"> globalisation</w:t>
      </w:r>
      <w:r w:rsidRPr="00781608">
        <w:rPr>
          <w:rFonts w:cs="Times New Roman"/>
          <w:sz w:val="24"/>
          <w:szCs w:val="24"/>
          <w:lang w:val="en-US"/>
        </w:rPr>
        <w:t xml:space="preserve"> and liberalization of financial markets, the need for such benchmarks increased enormously.</w:t>
      </w:r>
      <w:r w:rsidRPr="00781608">
        <w:rPr>
          <w:rStyle w:val="Voetnootmarkering"/>
          <w:rFonts w:cs="Times New Roman"/>
          <w:sz w:val="24"/>
          <w:szCs w:val="24"/>
          <w:lang w:val="en-US"/>
        </w:rPr>
        <w:footnoteReference w:id="3"/>
      </w:r>
      <w:r w:rsidRPr="00781608">
        <w:rPr>
          <w:rFonts w:cs="Times New Roman"/>
          <w:sz w:val="24"/>
          <w:szCs w:val="24"/>
          <w:lang w:val="en-US"/>
        </w:rPr>
        <w:t xml:space="preserve"> The CRAs provide an independent benchmark and help reduce the information asymmetry between issuers and investors.</w:t>
      </w:r>
    </w:p>
    <w:p w:rsidR="00EC5381" w:rsidRPr="00781608" w:rsidRDefault="00AE578B" w:rsidP="00764641">
      <w:pPr>
        <w:pStyle w:val="Kop1"/>
        <w:spacing w:before="0" w:line="360" w:lineRule="auto"/>
        <w:rPr>
          <w:rFonts w:asciiTheme="minorHAnsi" w:hAnsiTheme="minorHAnsi"/>
          <w:color w:val="auto"/>
          <w:sz w:val="24"/>
          <w:szCs w:val="24"/>
          <w:lang w:val="en-US"/>
        </w:rPr>
      </w:pPr>
      <w:bookmarkStart w:id="3" w:name="_Toc359926544"/>
      <w:r w:rsidRPr="00781608">
        <w:rPr>
          <w:rFonts w:asciiTheme="minorHAnsi" w:hAnsiTheme="minorHAnsi"/>
          <w:color w:val="auto"/>
          <w:sz w:val="24"/>
          <w:szCs w:val="24"/>
          <w:lang w:val="en-US"/>
        </w:rPr>
        <w:t>2.1</w:t>
      </w:r>
      <w:r w:rsidR="00EC5381" w:rsidRPr="00781608">
        <w:rPr>
          <w:rFonts w:asciiTheme="minorHAnsi" w:hAnsiTheme="minorHAnsi"/>
          <w:color w:val="auto"/>
          <w:sz w:val="24"/>
          <w:szCs w:val="24"/>
          <w:lang w:val="en-US"/>
        </w:rPr>
        <w:t xml:space="preserve"> Predictability of rating events</w:t>
      </w:r>
      <w:bookmarkEnd w:id="3"/>
    </w:p>
    <w:p w:rsidR="00493EFA" w:rsidRPr="00781608" w:rsidRDefault="00B45539" w:rsidP="00764641">
      <w:pPr>
        <w:spacing w:line="360" w:lineRule="auto"/>
        <w:jc w:val="both"/>
        <w:rPr>
          <w:rFonts w:cs="Times New Roman"/>
          <w:sz w:val="24"/>
          <w:szCs w:val="24"/>
          <w:lang w:val="en-US"/>
        </w:rPr>
      </w:pPr>
      <w:r w:rsidRPr="00781608">
        <w:rPr>
          <w:rFonts w:cs="Times New Roman"/>
          <w:sz w:val="24"/>
          <w:szCs w:val="24"/>
          <w:lang w:val="en-US"/>
        </w:rPr>
        <w:t xml:space="preserve">Ratings are </w:t>
      </w:r>
      <w:r w:rsidR="004900DB" w:rsidRPr="00781608">
        <w:rPr>
          <w:rFonts w:cs="Times New Roman"/>
          <w:sz w:val="24"/>
          <w:szCs w:val="24"/>
          <w:lang w:val="en-US"/>
        </w:rPr>
        <w:t xml:space="preserve">considered </w:t>
      </w:r>
      <w:r w:rsidRPr="00781608">
        <w:rPr>
          <w:rFonts w:cs="Times New Roman"/>
          <w:sz w:val="24"/>
          <w:szCs w:val="24"/>
          <w:lang w:val="en-US"/>
        </w:rPr>
        <w:t xml:space="preserve">to have a </w:t>
      </w:r>
      <w:r w:rsidR="004900DB" w:rsidRPr="00781608">
        <w:rPr>
          <w:rFonts w:cs="Times New Roman"/>
          <w:sz w:val="24"/>
          <w:szCs w:val="24"/>
          <w:lang w:val="en-US"/>
        </w:rPr>
        <w:t>large</w:t>
      </w:r>
      <w:r w:rsidRPr="00781608">
        <w:rPr>
          <w:rFonts w:cs="Times New Roman"/>
          <w:sz w:val="24"/>
          <w:szCs w:val="24"/>
          <w:lang w:val="en-US"/>
        </w:rPr>
        <w:t xml:space="preserve"> impact on financial markets and over the past decades there has already been quite some extensive research </w:t>
      </w:r>
      <w:r w:rsidR="00567E79" w:rsidRPr="00781608">
        <w:rPr>
          <w:rFonts w:cs="Times New Roman"/>
          <w:sz w:val="24"/>
          <w:szCs w:val="24"/>
          <w:lang w:val="en-US"/>
        </w:rPr>
        <w:t xml:space="preserve">done </w:t>
      </w:r>
      <w:r w:rsidRPr="00781608">
        <w:rPr>
          <w:rFonts w:cs="Times New Roman"/>
          <w:sz w:val="24"/>
          <w:szCs w:val="24"/>
          <w:lang w:val="en-US"/>
        </w:rPr>
        <w:t xml:space="preserve">on various aspects of CRAs and </w:t>
      </w:r>
      <w:r w:rsidR="004900DB" w:rsidRPr="00781608">
        <w:rPr>
          <w:rFonts w:cs="Times New Roman"/>
          <w:sz w:val="24"/>
          <w:szCs w:val="24"/>
          <w:lang w:val="en-US"/>
        </w:rPr>
        <w:t xml:space="preserve">their </w:t>
      </w:r>
      <w:r w:rsidRPr="00781608">
        <w:rPr>
          <w:rFonts w:cs="Times New Roman"/>
          <w:sz w:val="24"/>
          <w:szCs w:val="24"/>
          <w:lang w:val="en-US"/>
        </w:rPr>
        <w:t>ratings</w:t>
      </w:r>
      <w:r w:rsidR="00692662" w:rsidRPr="00781608">
        <w:rPr>
          <w:rFonts w:cs="Times New Roman"/>
          <w:sz w:val="24"/>
          <w:szCs w:val="24"/>
          <w:lang w:val="en-US"/>
        </w:rPr>
        <w:t>.</w:t>
      </w:r>
      <w:r w:rsidR="00EC5381" w:rsidRPr="00781608">
        <w:rPr>
          <w:rFonts w:cs="Times New Roman"/>
          <w:sz w:val="24"/>
          <w:szCs w:val="24"/>
          <w:lang w:val="en-US"/>
        </w:rPr>
        <w:t xml:space="preserve"> </w:t>
      </w:r>
      <w:r w:rsidRPr="00781608">
        <w:rPr>
          <w:rFonts w:cs="Times New Roman"/>
          <w:sz w:val="24"/>
          <w:szCs w:val="24"/>
          <w:lang w:val="en-US"/>
        </w:rPr>
        <w:t xml:space="preserve">Several studies </w:t>
      </w:r>
      <w:r w:rsidR="00751F7D" w:rsidRPr="00781608">
        <w:rPr>
          <w:rFonts w:cs="Times New Roman"/>
          <w:sz w:val="24"/>
          <w:szCs w:val="24"/>
          <w:lang w:val="en-US"/>
        </w:rPr>
        <w:t>focus</w:t>
      </w:r>
      <w:r w:rsidR="004B197D" w:rsidRPr="00781608">
        <w:rPr>
          <w:rFonts w:cs="Times New Roman"/>
          <w:sz w:val="24"/>
          <w:szCs w:val="24"/>
          <w:lang w:val="en-US"/>
        </w:rPr>
        <w:t xml:space="preserve"> </w:t>
      </w:r>
      <w:r w:rsidRPr="00781608">
        <w:rPr>
          <w:rFonts w:cs="Times New Roman"/>
          <w:sz w:val="24"/>
          <w:szCs w:val="24"/>
          <w:lang w:val="en-US"/>
        </w:rPr>
        <w:t>on the possibility o</w:t>
      </w:r>
      <w:r w:rsidR="004B197D" w:rsidRPr="00781608">
        <w:rPr>
          <w:rFonts w:cs="Times New Roman"/>
          <w:sz w:val="24"/>
          <w:szCs w:val="24"/>
          <w:lang w:val="en-US"/>
        </w:rPr>
        <w:t>f</w:t>
      </w:r>
      <w:r w:rsidRPr="00781608">
        <w:rPr>
          <w:rFonts w:cs="Times New Roman"/>
          <w:sz w:val="24"/>
          <w:szCs w:val="24"/>
          <w:lang w:val="en-US"/>
        </w:rPr>
        <w:t xml:space="preserve"> predict</w:t>
      </w:r>
      <w:r w:rsidR="004B197D" w:rsidRPr="00781608">
        <w:rPr>
          <w:rFonts w:cs="Times New Roman"/>
          <w:sz w:val="24"/>
          <w:szCs w:val="24"/>
          <w:lang w:val="en-US"/>
        </w:rPr>
        <w:t>ing</w:t>
      </w:r>
      <w:r w:rsidRPr="00781608">
        <w:rPr>
          <w:rFonts w:cs="Times New Roman"/>
          <w:sz w:val="24"/>
          <w:szCs w:val="24"/>
          <w:lang w:val="en-US"/>
        </w:rPr>
        <w:t xml:space="preserve"> ratings and rating changes</w:t>
      </w:r>
      <w:r w:rsidR="00692662" w:rsidRPr="00781608">
        <w:rPr>
          <w:rFonts w:cs="Times New Roman"/>
          <w:sz w:val="24"/>
          <w:szCs w:val="24"/>
          <w:lang w:val="en-US"/>
        </w:rPr>
        <w:t>. Kaplan and Urwitz (1979) buil</w:t>
      </w:r>
      <w:r w:rsidR="004B197D" w:rsidRPr="00781608">
        <w:rPr>
          <w:rFonts w:cs="Times New Roman"/>
          <w:sz w:val="24"/>
          <w:szCs w:val="24"/>
          <w:lang w:val="en-US"/>
        </w:rPr>
        <w:t>d</w:t>
      </w:r>
      <w:r w:rsidRPr="00781608">
        <w:rPr>
          <w:rFonts w:cs="Times New Roman"/>
          <w:sz w:val="24"/>
          <w:szCs w:val="24"/>
          <w:lang w:val="en-US"/>
        </w:rPr>
        <w:t xml:space="preserve"> a</w:t>
      </w:r>
      <w:r w:rsidR="00265297" w:rsidRPr="00781608">
        <w:rPr>
          <w:rFonts w:cs="Times New Roman"/>
          <w:sz w:val="24"/>
          <w:szCs w:val="24"/>
          <w:lang w:val="en-US"/>
        </w:rPr>
        <w:t>n</w:t>
      </w:r>
      <w:r w:rsidRPr="00781608">
        <w:rPr>
          <w:rFonts w:cs="Times New Roman"/>
          <w:sz w:val="24"/>
          <w:szCs w:val="24"/>
          <w:lang w:val="en-US"/>
        </w:rPr>
        <w:t xml:space="preserve"> </w:t>
      </w:r>
      <w:r w:rsidR="004C7D9B" w:rsidRPr="00781608">
        <w:rPr>
          <w:rFonts w:cs="Times New Roman"/>
          <w:sz w:val="24"/>
          <w:szCs w:val="24"/>
          <w:lang w:val="en-US"/>
        </w:rPr>
        <w:t xml:space="preserve">empirical </w:t>
      </w:r>
      <w:r w:rsidRPr="00781608">
        <w:rPr>
          <w:rFonts w:cs="Times New Roman"/>
          <w:sz w:val="24"/>
          <w:szCs w:val="24"/>
          <w:lang w:val="en-US"/>
        </w:rPr>
        <w:t xml:space="preserve">model using as much as </w:t>
      </w:r>
      <w:r w:rsidR="004C7D9B" w:rsidRPr="00781608">
        <w:rPr>
          <w:rFonts w:cs="Times New Roman"/>
          <w:sz w:val="24"/>
          <w:szCs w:val="24"/>
          <w:lang w:val="en-US"/>
        </w:rPr>
        <w:t>six</w:t>
      </w:r>
      <w:r w:rsidRPr="00781608">
        <w:rPr>
          <w:rFonts w:cs="Times New Roman"/>
          <w:sz w:val="24"/>
          <w:szCs w:val="24"/>
          <w:lang w:val="en-US"/>
        </w:rPr>
        <w:t xml:space="preserve"> </w:t>
      </w:r>
      <w:r w:rsidR="004B197D" w:rsidRPr="00781608">
        <w:rPr>
          <w:rFonts w:cs="Times New Roman"/>
          <w:sz w:val="24"/>
          <w:szCs w:val="24"/>
          <w:lang w:val="en-US"/>
        </w:rPr>
        <w:t xml:space="preserve">explanatory </w:t>
      </w:r>
      <w:r w:rsidRPr="00781608">
        <w:rPr>
          <w:rFonts w:cs="Times New Roman"/>
          <w:sz w:val="24"/>
          <w:szCs w:val="24"/>
          <w:lang w:val="en-US"/>
        </w:rPr>
        <w:t>variables</w:t>
      </w:r>
      <w:r w:rsidR="004C7D9B" w:rsidRPr="00781608">
        <w:rPr>
          <w:rFonts w:cs="Times New Roman"/>
          <w:sz w:val="24"/>
          <w:szCs w:val="24"/>
          <w:lang w:val="en-US"/>
        </w:rPr>
        <w:t xml:space="preserve"> </w:t>
      </w:r>
      <w:r w:rsidRPr="00781608">
        <w:rPr>
          <w:rFonts w:cs="Times New Roman"/>
          <w:sz w:val="24"/>
          <w:szCs w:val="24"/>
          <w:lang w:val="en-US"/>
        </w:rPr>
        <w:t xml:space="preserve">and were able to correctly estimate more than two-third of newly issued company ratings. </w:t>
      </w:r>
      <w:r w:rsidR="004C7D9B" w:rsidRPr="00781608">
        <w:rPr>
          <w:rFonts w:cs="Times New Roman"/>
          <w:sz w:val="24"/>
          <w:szCs w:val="24"/>
          <w:lang w:val="en-US"/>
        </w:rPr>
        <w:t xml:space="preserve">Following that paper, </w:t>
      </w:r>
      <w:r w:rsidRPr="00781608">
        <w:rPr>
          <w:rFonts w:cs="Times New Roman"/>
          <w:sz w:val="24"/>
          <w:szCs w:val="24"/>
          <w:lang w:val="en-US"/>
        </w:rPr>
        <w:t xml:space="preserve">Cantor and Packer (1996) show that by using a model with only </w:t>
      </w:r>
      <w:r w:rsidR="004C7D9B" w:rsidRPr="00781608">
        <w:rPr>
          <w:rFonts w:cs="Times New Roman"/>
          <w:sz w:val="24"/>
          <w:szCs w:val="24"/>
          <w:lang w:val="en-US"/>
        </w:rPr>
        <w:t>eight</w:t>
      </w:r>
      <w:r w:rsidRPr="00781608">
        <w:rPr>
          <w:rFonts w:cs="Times New Roman"/>
          <w:sz w:val="24"/>
          <w:szCs w:val="24"/>
          <w:lang w:val="en-US"/>
        </w:rPr>
        <w:t xml:space="preserve"> variables</w:t>
      </w:r>
      <w:r w:rsidRPr="00781608">
        <w:rPr>
          <w:rStyle w:val="Voetnootmarkering"/>
          <w:rFonts w:cs="Times New Roman"/>
          <w:sz w:val="24"/>
          <w:szCs w:val="24"/>
        </w:rPr>
        <w:footnoteReference w:id="4"/>
      </w:r>
      <w:r w:rsidRPr="00781608">
        <w:rPr>
          <w:rFonts w:cs="Times New Roman"/>
          <w:sz w:val="24"/>
          <w:szCs w:val="24"/>
          <w:lang w:val="en-US"/>
        </w:rPr>
        <w:t>, 90% of an assigned rating can be explained, leading to over 70% of accurat</w:t>
      </w:r>
      <w:r w:rsidR="00692662" w:rsidRPr="00781608">
        <w:rPr>
          <w:rFonts w:cs="Times New Roman"/>
          <w:sz w:val="24"/>
          <w:szCs w:val="24"/>
          <w:lang w:val="en-US"/>
        </w:rPr>
        <w:t>e</w:t>
      </w:r>
      <w:r w:rsidR="005E6C41" w:rsidRPr="00781608">
        <w:rPr>
          <w:rFonts w:cs="Times New Roman"/>
          <w:sz w:val="24"/>
          <w:szCs w:val="24"/>
          <w:lang w:val="en-US"/>
        </w:rPr>
        <w:t>ly estimated</w:t>
      </w:r>
      <w:r w:rsidRPr="00781608">
        <w:rPr>
          <w:rFonts w:cs="Times New Roman"/>
          <w:sz w:val="24"/>
          <w:szCs w:val="24"/>
          <w:lang w:val="en-US"/>
        </w:rPr>
        <w:t xml:space="preserve"> ratings. Later research by Amato and Furfine (2003) and Hill et al. (2010) support this </w:t>
      </w:r>
      <w:r w:rsidRPr="00781608">
        <w:rPr>
          <w:rFonts w:cs="Times New Roman"/>
          <w:sz w:val="24"/>
          <w:szCs w:val="24"/>
          <w:lang w:val="en-US"/>
        </w:rPr>
        <w:lastRenderedPageBreak/>
        <w:t>result</w:t>
      </w:r>
      <w:r w:rsidR="00122F95" w:rsidRPr="00781608">
        <w:rPr>
          <w:rFonts w:cs="Times New Roman"/>
          <w:sz w:val="24"/>
          <w:szCs w:val="24"/>
          <w:lang w:val="en-US"/>
        </w:rPr>
        <w:t xml:space="preserve"> and</w:t>
      </w:r>
      <w:r w:rsidRPr="00781608">
        <w:rPr>
          <w:rFonts w:cs="Times New Roman"/>
          <w:sz w:val="24"/>
          <w:szCs w:val="24"/>
          <w:lang w:val="en-US"/>
        </w:rPr>
        <w:t xml:space="preserve"> </w:t>
      </w:r>
      <w:r w:rsidR="00122F95" w:rsidRPr="00781608">
        <w:rPr>
          <w:rFonts w:cs="Times New Roman"/>
          <w:sz w:val="24"/>
          <w:szCs w:val="24"/>
          <w:lang w:val="en-US"/>
        </w:rPr>
        <w:t>t</w:t>
      </w:r>
      <w:r w:rsidRPr="00781608">
        <w:rPr>
          <w:rFonts w:cs="Times New Roman"/>
          <w:sz w:val="24"/>
          <w:szCs w:val="24"/>
          <w:lang w:val="en-US"/>
        </w:rPr>
        <w:t>he indicators they</w:t>
      </w:r>
      <w:r w:rsidR="00122F95" w:rsidRPr="00781608">
        <w:rPr>
          <w:rFonts w:cs="Times New Roman"/>
          <w:sz w:val="24"/>
          <w:szCs w:val="24"/>
          <w:lang w:val="en-US"/>
        </w:rPr>
        <w:t xml:space="preserve"> </w:t>
      </w:r>
      <w:r w:rsidRPr="00781608">
        <w:rPr>
          <w:rFonts w:cs="Times New Roman"/>
          <w:sz w:val="24"/>
          <w:szCs w:val="24"/>
          <w:lang w:val="en-US"/>
        </w:rPr>
        <w:t>use are publically available and it is therefor</w:t>
      </w:r>
      <w:r w:rsidR="004C7D9B" w:rsidRPr="00781608">
        <w:rPr>
          <w:rFonts w:cs="Times New Roman"/>
          <w:sz w:val="24"/>
          <w:szCs w:val="24"/>
          <w:lang w:val="en-US"/>
        </w:rPr>
        <w:t>e</w:t>
      </w:r>
      <w:r w:rsidRPr="00781608">
        <w:rPr>
          <w:rFonts w:cs="Times New Roman"/>
          <w:sz w:val="24"/>
          <w:szCs w:val="24"/>
          <w:lang w:val="en-US"/>
        </w:rPr>
        <w:t xml:space="preserve"> </w:t>
      </w:r>
      <w:r w:rsidR="004C7D9B" w:rsidRPr="00781608">
        <w:rPr>
          <w:rFonts w:cs="Times New Roman"/>
          <w:sz w:val="24"/>
          <w:szCs w:val="24"/>
          <w:lang w:val="en-US"/>
        </w:rPr>
        <w:t xml:space="preserve">expected </w:t>
      </w:r>
      <w:r w:rsidRPr="00781608">
        <w:rPr>
          <w:rFonts w:cs="Times New Roman"/>
          <w:sz w:val="24"/>
          <w:szCs w:val="24"/>
          <w:lang w:val="en-US"/>
        </w:rPr>
        <w:t xml:space="preserve">that most of </w:t>
      </w:r>
      <w:r w:rsidR="00122F95" w:rsidRPr="00781608">
        <w:rPr>
          <w:rFonts w:cs="Times New Roman"/>
          <w:sz w:val="24"/>
          <w:szCs w:val="24"/>
          <w:lang w:val="en-US"/>
        </w:rPr>
        <w:t>the effect on market’s reaction associated to a</w:t>
      </w:r>
      <w:r w:rsidRPr="00781608">
        <w:rPr>
          <w:rFonts w:cs="Times New Roman"/>
          <w:sz w:val="24"/>
          <w:szCs w:val="24"/>
          <w:lang w:val="en-US"/>
        </w:rPr>
        <w:t xml:space="preserve"> rating event is already anticipated</w:t>
      </w:r>
      <w:r w:rsidR="004C7D9B" w:rsidRPr="00781608">
        <w:rPr>
          <w:rFonts w:cs="Times New Roman"/>
          <w:sz w:val="24"/>
          <w:szCs w:val="24"/>
          <w:lang w:val="en-US"/>
        </w:rPr>
        <w:t>.</w:t>
      </w:r>
      <w:r w:rsidRPr="00781608">
        <w:rPr>
          <w:rFonts w:cs="Times New Roman"/>
          <w:sz w:val="24"/>
          <w:szCs w:val="24"/>
          <w:lang w:val="en-US"/>
        </w:rPr>
        <w:t xml:space="preserve"> </w:t>
      </w:r>
      <w:r w:rsidR="004C7D9B" w:rsidRPr="00781608">
        <w:rPr>
          <w:rFonts w:cs="Times New Roman"/>
          <w:sz w:val="24"/>
          <w:szCs w:val="24"/>
          <w:lang w:val="en-US"/>
        </w:rPr>
        <w:t>H</w:t>
      </w:r>
      <w:r w:rsidRPr="00781608">
        <w:rPr>
          <w:rFonts w:cs="Times New Roman"/>
          <w:sz w:val="24"/>
          <w:szCs w:val="24"/>
          <w:lang w:val="en-US"/>
        </w:rPr>
        <w:t xml:space="preserve">owever, there is still some significant reaction in the markets suggesting </w:t>
      </w:r>
      <w:r w:rsidR="004B197D" w:rsidRPr="00781608">
        <w:rPr>
          <w:rFonts w:cs="Times New Roman"/>
          <w:sz w:val="24"/>
          <w:szCs w:val="24"/>
          <w:lang w:val="en-US"/>
        </w:rPr>
        <w:t xml:space="preserve">that, according to Hand et al. (1992), </w:t>
      </w:r>
      <w:r w:rsidRPr="00781608">
        <w:rPr>
          <w:rFonts w:cs="Times New Roman"/>
          <w:sz w:val="24"/>
          <w:szCs w:val="24"/>
          <w:lang w:val="en-US"/>
        </w:rPr>
        <w:t>the rating changes contain at least some additional information</w:t>
      </w:r>
      <w:r w:rsidR="004B197D" w:rsidRPr="00781608">
        <w:rPr>
          <w:rFonts w:cs="Times New Roman"/>
          <w:sz w:val="24"/>
          <w:szCs w:val="24"/>
          <w:lang w:val="en-US"/>
        </w:rPr>
        <w:t xml:space="preserve">. </w:t>
      </w:r>
      <w:r w:rsidRPr="00781608">
        <w:rPr>
          <w:rFonts w:cs="Times New Roman"/>
          <w:sz w:val="24"/>
          <w:szCs w:val="24"/>
          <w:lang w:val="en-US"/>
        </w:rPr>
        <w:t>This is in line with the methodology used by S&amp;P (2012) wh</w:t>
      </w:r>
      <w:r w:rsidR="004C7D9B" w:rsidRPr="00781608">
        <w:rPr>
          <w:rFonts w:cs="Times New Roman"/>
          <w:sz w:val="24"/>
          <w:szCs w:val="24"/>
          <w:lang w:val="en-US"/>
        </w:rPr>
        <w:t xml:space="preserve">o </w:t>
      </w:r>
      <w:r w:rsidRPr="00781608">
        <w:rPr>
          <w:rFonts w:cs="Times New Roman"/>
          <w:sz w:val="24"/>
          <w:szCs w:val="24"/>
          <w:lang w:val="en-US"/>
        </w:rPr>
        <w:t>look at scores on five key areas to come to a benchmark rating and use their own assessment of the issuer to come to a final rating, thus containing a small bit of additional information</w:t>
      </w:r>
      <w:r w:rsidR="00122F95" w:rsidRPr="00781608">
        <w:rPr>
          <w:rFonts w:cs="Times New Roman"/>
          <w:sz w:val="24"/>
          <w:szCs w:val="24"/>
          <w:lang w:val="en-US"/>
        </w:rPr>
        <w:t xml:space="preserve"> as explained in the previous section</w:t>
      </w:r>
      <w:r w:rsidRPr="00781608">
        <w:rPr>
          <w:rFonts w:cs="Times New Roman"/>
          <w:sz w:val="24"/>
          <w:szCs w:val="24"/>
          <w:lang w:val="en-US"/>
        </w:rPr>
        <w:t xml:space="preserve">. Deutsche Bank (2004) supports the idea of not only using a model but also use </w:t>
      </w:r>
      <w:r w:rsidR="007818E9" w:rsidRPr="00781608">
        <w:rPr>
          <w:rFonts w:cs="Times New Roman"/>
          <w:sz w:val="24"/>
          <w:szCs w:val="24"/>
          <w:lang w:val="en-US"/>
        </w:rPr>
        <w:t>analytically derived</w:t>
      </w:r>
      <w:r w:rsidRPr="00781608">
        <w:rPr>
          <w:rFonts w:cs="Times New Roman"/>
          <w:sz w:val="24"/>
          <w:szCs w:val="24"/>
          <w:lang w:val="en-US"/>
        </w:rPr>
        <w:t xml:space="preserve"> </w:t>
      </w:r>
      <w:r w:rsidR="007818E9" w:rsidRPr="00781608">
        <w:rPr>
          <w:rFonts w:cs="Times New Roman"/>
          <w:sz w:val="24"/>
          <w:szCs w:val="24"/>
          <w:lang w:val="en-US"/>
        </w:rPr>
        <w:t>opinions</w:t>
      </w:r>
      <w:r w:rsidRPr="00781608">
        <w:rPr>
          <w:rFonts w:cs="Times New Roman"/>
          <w:sz w:val="24"/>
          <w:szCs w:val="24"/>
          <w:lang w:val="en-US"/>
        </w:rPr>
        <w:t xml:space="preserve"> as </w:t>
      </w:r>
      <w:r w:rsidR="007818E9" w:rsidRPr="00781608">
        <w:rPr>
          <w:rFonts w:cs="Times New Roman"/>
          <w:sz w:val="24"/>
          <w:szCs w:val="24"/>
          <w:lang w:val="en-US"/>
        </w:rPr>
        <w:t>it</w:t>
      </w:r>
      <w:r w:rsidRPr="00781608">
        <w:rPr>
          <w:rFonts w:cs="Times New Roman"/>
          <w:sz w:val="24"/>
          <w:szCs w:val="24"/>
          <w:lang w:val="en-US"/>
        </w:rPr>
        <w:t xml:space="preserve"> argues that if everyone uses the same model to predict the market, everyone would react to the same warning signals, which could lead to acceleration of a could-be crisis. </w:t>
      </w:r>
    </w:p>
    <w:p w:rsidR="00EC5381" w:rsidRPr="00781608" w:rsidRDefault="00EC5381" w:rsidP="00764641">
      <w:pPr>
        <w:pStyle w:val="Kop1"/>
        <w:spacing w:before="0" w:line="360" w:lineRule="auto"/>
        <w:rPr>
          <w:rFonts w:asciiTheme="minorHAnsi" w:hAnsiTheme="minorHAnsi"/>
          <w:color w:val="auto"/>
          <w:sz w:val="24"/>
          <w:szCs w:val="24"/>
          <w:lang w:val="en-US"/>
        </w:rPr>
      </w:pPr>
      <w:bookmarkStart w:id="4" w:name="_Toc359926545"/>
      <w:r w:rsidRPr="00781608">
        <w:rPr>
          <w:rFonts w:asciiTheme="minorHAnsi" w:hAnsiTheme="minorHAnsi"/>
          <w:color w:val="auto"/>
          <w:sz w:val="24"/>
          <w:szCs w:val="24"/>
          <w:lang w:val="en-US"/>
        </w:rPr>
        <w:t>2.</w:t>
      </w:r>
      <w:r w:rsidR="00AE578B" w:rsidRPr="00781608">
        <w:rPr>
          <w:rFonts w:asciiTheme="minorHAnsi" w:hAnsiTheme="minorHAnsi"/>
          <w:color w:val="auto"/>
          <w:sz w:val="24"/>
          <w:szCs w:val="24"/>
          <w:lang w:val="en-US"/>
        </w:rPr>
        <w:t>2</w:t>
      </w:r>
      <w:r w:rsidRPr="00781608">
        <w:rPr>
          <w:rFonts w:asciiTheme="minorHAnsi" w:hAnsiTheme="minorHAnsi"/>
          <w:color w:val="auto"/>
          <w:sz w:val="24"/>
          <w:szCs w:val="24"/>
          <w:lang w:val="en-US"/>
        </w:rPr>
        <w:t xml:space="preserve"> Rating events during crises</w:t>
      </w:r>
      <w:bookmarkEnd w:id="4"/>
    </w:p>
    <w:p w:rsidR="002F38B8" w:rsidRPr="00781608" w:rsidRDefault="00A15D23" w:rsidP="00764641">
      <w:pPr>
        <w:spacing w:line="360" w:lineRule="auto"/>
        <w:jc w:val="both"/>
        <w:rPr>
          <w:rFonts w:cs="Times New Roman"/>
          <w:sz w:val="24"/>
          <w:szCs w:val="24"/>
          <w:lang w:val="en-US"/>
        </w:rPr>
      </w:pPr>
      <w:r w:rsidRPr="00781608">
        <w:rPr>
          <w:rFonts w:cs="Times New Roman"/>
          <w:sz w:val="24"/>
          <w:szCs w:val="24"/>
          <w:lang w:val="en-US"/>
        </w:rPr>
        <w:t>F</w:t>
      </w:r>
      <w:r w:rsidR="004C7D9B" w:rsidRPr="00781608">
        <w:rPr>
          <w:rFonts w:cs="Times New Roman"/>
          <w:sz w:val="24"/>
          <w:szCs w:val="24"/>
          <w:lang w:val="en-US"/>
        </w:rPr>
        <w:t xml:space="preserve">rom </w:t>
      </w:r>
      <w:r w:rsidR="00B45539" w:rsidRPr="00781608">
        <w:rPr>
          <w:rFonts w:cs="Times New Roman"/>
          <w:sz w:val="24"/>
          <w:szCs w:val="24"/>
          <w:lang w:val="en-US"/>
        </w:rPr>
        <w:t>1997 to 2002</w:t>
      </w:r>
      <w:r w:rsidR="004C7D9B" w:rsidRPr="00781608">
        <w:rPr>
          <w:rFonts w:cs="Times New Roman"/>
          <w:sz w:val="24"/>
          <w:szCs w:val="24"/>
          <w:lang w:val="en-US"/>
        </w:rPr>
        <w:t>,</w:t>
      </w:r>
      <w:r w:rsidR="00B45539" w:rsidRPr="00781608">
        <w:rPr>
          <w:rFonts w:cs="Times New Roman"/>
          <w:sz w:val="24"/>
          <w:szCs w:val="24"/>
          <w:lang w:val="en-US"/>
        </w:rPr>
        <w:t xml:space="preserve"> there were several crises which exposed the shortcomings of the CRAs. Radelet et al. (1998) looked at reasons for the </w:t>
      </w:r>
      <w:r w:rsidR="002C29CD" w:rsidRPr="00781608">
        <w:rPr>
          <w:rFonts w:cs="Times New Roman"/>
          <w:sz w:val="24"/>
          <w:szCs w:val="24"/>
          <w:lang w:val="en-US"/>
        </w:rPr>
        <w:t xml:space="preserve">East </w:t>
      </w:r>
      <w:r w:rsidR="00B45539" w:rsidRPr="00781608">
        <w:rPr>
          <w:rFonts w:cs="Times New Roman"/>
          <w:sz w:val="24"/>
          <w:szCs w:val="24"/>
          <w:lang w:val="en-US"/>
        </w:rPr>
        <w:t xml:space="preserve">Asian crisis to erupt. They think it is partly due to collective actions </w:t>
      </w:r>
      <w:r w:rsidRPr="00781608">
        <w:rPr>
          <w:rFonts w:cs="Times New Roman"/>
          <w:sz w:val="24"/>
          <w:szCs w:val="24"/>
          <w:lang w:val="en-US"/>
        </w:rPr>
        <w:t xml:space="preserve">by cautious </w:t>
      </w:r>
      <w:r w:rsidR="00B45539" w:rsidRPr="00781608">
        <w:rPr>
          <w:rFonts w:cs="Times New Roman"/>
          <w:sz w:val="24"/>
          <w:szCs w:val="24"/>
          <w:lang w:val="en-US"/>
        </w:rPr>
        <w:t xml:space="preserve">investors </w:t>
      </w:r>
      <w:r w:rsidRPr="00781608">
        <w:rPr>
          <w:rFonts w:cs="Times New Roman"/>
          <w:sz w:val="24"/>
          <w:szCs w:val="24"/>
          <w:lang w:val="en-US"/>
        </w:rPr>
        <w:t>no longer lending out money</w:t>
      </w:r>
      <w:r w:rsidR="00B45539" w:rsidRPr="00781608">
        <w:rPr>
          <w:rFonts w:cs="Times New Roman"/>
          <w:sz w:val="24"/>
          <w:szCs w:val="24"/>
          <w:lang w:val="en-US"/>
        </w:rPr>
        <w:t xml:space="preserve">. </w:t>
      </w:r>
      <w:r w:rsidRPr="00781608">
        <w:rPr>
          <w:rFonts w:cs="Times New Roman"/>
          <w:sz w:val="24"/>
          <w:szCs w:val="24"/>
          <w:lang w:val="en-US"/>
        </w:rPr>
        <w:t>D</w:t>
      </w:r>
      <w:r w:rsidR="00B45539" w:rsidRPr="00781608">
        <w:rPr>
          <w:rFonts w:cs="Times New Roman"/>
          <w:sz w:val="24"/>
          <w:szCs w:val="24"/>
          <w:lang w:val="en-US"/>
        </w:rPr>
        <w:t xml:space="preserve">ebtors </w:t>
      </w:r>
      <w:r w:rsidRPr="00781608">
        <w:rPr>
          <w:rFonts w:cs="Times New Roman"/>
          <w:sz w:val="24"/>
          <w:szCs w:val="24"/>
          <w:lang w:val="en-US"/>
        </w:rPr>
        <w:t xml:space="preserve">therefore </w:t>
      </w:r>
      <w:r w:rsidR="00B45539" w:rsidRPr="00781608">
        <w:rPr>
          <w:rFonts w:cs="Times New Roman"/>
          <w:sz w:val="24"/>
          <w:szCs w:val="24"/>
          <w:lang w:val="en-US"/>
        </w:rPr>
        <w:t>immediately went into default</w:t>
      </w:r>
      <w:r w:rsidRPr="00781608">
        <w:rPr>
          <w:rFonts w:cs="Times New Roman"/>
          <w:sz w:val="24"/>
          <w:szCs w:val="24"/>
          <w:lang w:val="en-US"/>
        </w:rPr>
        <w:t xml:space="preserve">, which </w:t>
      </w:r>
      <w:r w:rsidR="00B45539" w:rsidRPr="00781608">
        <w:rPr>
          <w:rFonts w:cs="Times New Roman"/>
          <w:sz w:val="24"/>
          <w:szCs w:val="24"/>
          <w:lang w:val="en-US"/>
        </w:rPr>
        <w:t>led to exchange rat</w:t>
      </w:r>
      <w:r w:rsidRPr="00781608">
        <w:rPr>
          <w:rFonts w:cs="Times New Roman"/>
          <w:sz w:val="24"/>
          <w:szCs w:val="24"/>
          <w:lang w:val="en-US"/>
        </w:rPr>
        <w:t>es being under pressure and</w:t>
      </w:r>
      <w:r w:rsidR="00B45539" w:rsidRPr="00781608">
        <w:rPr>
          <w:rFonts w:cs="Times New Roman"/>
          <w:sz w:val="24"/>
          <w:szCs w:val="24"/>
          <w:lang w:val="en-US"/>
        </w:rPr>
        <w:t xml:space="preserve"> foreign investors </w:t>
      </w:r>
      <w:r w:rsidRPr="00781608">
        <w:rPr>
          <w:rFonts w:cs="Times New Roman"/>
          <w:sz w:val="24"/>
          <w:szCs w:val="24"/>
          <w:lang w:val="en-US"/>
        </w:rPr>
        <w:t>expecting</w:t>
      </w:r>
      <w:r w:rsidR="00692662" w:rsidRPr="00781608">
        <w:rPr>
          <w:rFonts w:cs="Times New Roman"/>
          <w:sz w:val="24"/>
          <w:szCs w:val="24"/>
          <w:lang w:val="en-US"/>
        </w:rPr>
        <w:t xml:space="preserve"> a domino</w:t>
      </w:r>
      <w:r w:rsidRPr="00781608">
        <w:rPr>
          <w:rFonts w:cs="Times New Roman"/>
          <w:sz w:val="24"/>
          <w:szCs w:val="24"/>
          <w:lang w:val="en-US"/>
        </w:rPr>
        <w:t xml:space="preserve"> effect for other countries</w:t>
      </w:r>
      <w:r w:rsidR="00B23028" w:rsidRPr="00781608">
        <w:rPr>
          <w:rFonts w:cs="Times New Roman"/>
          <w:sz w:val="24"/>
          <w:szCs w:val="24"/>
          <w:lang w:val="en-US"/>
        </w:rPr>
        <w:t xml:space="preserve"> causing a self-fulfilling prophecy</w:t>
      </w:r>
      <w:r w:rsidR="00B45539" w:rsidRPr="00781608">
        <w:rPr>
          <w:rFonts w:cs="Times New Roman"/>
          <w:sz w:val="24"/>
          <w:szCs w:val="24"/>
          <w:lang w:val="en-US"/>
        </w:rPr>
        <w:t xml:space="preserve">. When all this was already going on, the CRAs belatedly started downgrading the East Asian countries, which led to even more credit withdrawal from the region and thus a further deepening of the crisis. In the aftermath of the </w:t>
      </w:r>
      <w:r w:rsidR="002C29CD" w:rsidRPr="00781608">
        <w:rPr>
          <w:rFonts w:cs="Times New Roman"/>
          <w:sz w:val="24"/>
          <w:szCs w:val="24"/>
          <w:lang w:val="en-US"/>
        </w:rPr>
        <w:t xml:space="preserve">East </w:t>
      </w:r>
      <w:r w:rsidR="00B45539" w:rsidRPr="00781608">
        <w:rPr>
          <w:rFonts w:cs="Times New Roman"/>
          <w:sz w:val="24"/>
          <w:szCs w:val="24"/>
          <w:lang w:val="en-US"/>
        </w:rPr>
        <w:t>Asian crisis there were two major points of criticism</w:t>
      </w:r>
      <w:r w:rsidR="002C29CD" w:rsidRPr="00781608">
        <w:rPr>
          <w:rFonts w:cs="Times New Roman"/>
          <w:sz w:val="24"/>
          <w:szCs w:val="24"/>
          <w:lang w:val="en-US"/>
        </w:rPr>
        <w:t xml:space="preserve"> on CRAs</w:t>
      </w:r>
      <w:r w:rsidRPr="00781608">
        <w:rPr>
          <w:rFonts w:cs="Times New Roman"/>
          <w:sz w:val="24"/>
          <w:szCs w:val="24"/>
          <w:lang w:val="en-US"/>
        </w:rPr>
        <w:t>. The first</w:t>
      </w:r>
      <w:r w:rsidR="00B45539" w:rsidRPr="00781608">
        <w:rPr>
          <w:rFonts w:cs="Times New Roman"/>
          <w:sz w:val="24"/>
          <w:szCs w:val="24"/>
          <w:lang w:val="en-US"/>
        </w:rPr>
        <w:t xml:space="preserve"> </w:t>
      </w:r>
      <w:r w:rsidRPr="00781608">
        <w:rPr>
          <w:rFonts w:cs="Times New Roman"/>
          <w:sz w:val="24"/>
          <w:szCs w:val="24"/>
          <w:lang w:val="en-US"/>
        </w:rPr>
        <w:t xml:space="preserve">was that </w:t>
      </w:r>
      <w:r w:rsidR="00B45539" w:rsidRPr="00781608">
        <w:rPr>
          <w:rFonts w:cs="Times New Roman"/>
          <w:sz w:val="24"/>
          <w:szCs w:val="24"/>
          <w:lang w:val="en-US"/>
        </w:rPr>
        <w:t xml:space="preserve">they failed to detect weaknesses in advance and </w:t>
      </w:r>
      <w:r w:rsidRPr="00781608">
        <w:rPr>
          <w:rFonts w:cs="Times New Roman"/>
          <w:sz w:val="24"/>
          <w:szCs w:val="24"/>
          <w:lang w:val="en-US"/>
        </w:rPr>
        <w:t xml:space="preserve">the </w:t>
      </w:r>
      <w:r w:rsidR="00B45539" w:rsidRPr="00781608">
        <w:rPr>
          <w:rFonts w:cs="Times New Roman"/>
          <w:sz w:val="24"/>
          <w:szCs w:val="24"/>
          <w:lang w:val="en-US"/>
        </w:rPr>
        <w:t>second that when the CRAs finally responded, they overreacted with their downgrades, causing a further deepening of the crisis. Looking at the first point of criticism, Bhatia (2002) f</w:t>
      </w:r>
      <w:r w:rsidR="00B23028" w:rsidRPr="00781608">
        <w:rPr>
          <w:rFonts w:cs="Times New Roman"/>
          <w:sz w:val="24"/>
          <w:szCs w:val="24"/>
          <w:lang w:val="en-US"/>
        </w:rPr>
        <w:t>i</w:t>
      </w:r>
      <w:r w:rsidR="00B45539" w:rsidRPr="00781608">
        <w:rPr>
          <w:rFonts w:cs="Times New Roman"/>
          <w:sz w:val="24"/>
          <w:szCs w:val="24"/>
          <w:lang w:val="en-US"/>
        </w:rPr>
        <w:t>nd</w:t>
      </w:r>
      <w:r w:rsidR="00B23028" w:rsidRPr="00781608">
        <w:rPr>
          <w:rFonts w:cs="Times New Roman"/>
          <w:sz w:val="24"/>
          <w:szCs w:val="24"/>
          <w:lang w:val="en-US"/>
        </w:rPr>
        <w:t>s</w:t>
      </w:r>
      <w:r w:rsidR="00B45539" w:rsidRPr="00781608">
        <w:rPr>
          <w:rFonts w:cs="Times New Roman"/>
          <w:sz w:val="24"/>
          <w:szCs w:val="24"/>
          <w:lang w:val="en-US"/>
        </w:rPr>
        <w:t xml:space="preserve"> that the CRAs base their rating decisions on debt sustainability simulations rather than macroeconomic projection, pointing out</w:t>
      </w:r>
      <w:r w:rsidR="00A60D34" w:rsidRPr="00781608">
        <w:rPr>
          <w:rFonts w:cs="Times New Roman"/>
          <w:sz w:val="24"/>
          <w:szCs w:val="24"/>
          <w:lang w:val="en-US"/>
        </w:rPr>
        <w:t xml:space="preserve"> that it is not the goal of CRA</w:t>
      </w:r>
      <w:r w:rsidR="00B45539" w:rsidRPr="00781608">
        <w:rPr>
          <w:rFonts w:cs="Times New Roman"/>
          <w:sz w:val="24"/>
          <w:szCs w:val="24"/>
          <w:lang w:val="en-US"/>
        </w:rPr>
        <w:t>s to predict credit crises but to look at the probability of default an</w:t>
      </w:r>
      <w:r w:rsidR="00634685" w:rsidRPr="00781608">
        <w:rPr>
          <w:rFonts w:cs="Times New Roman"/>
          <w:sz w:val="24"/>
          <w:szCs w:val="24"/>
          <w:lang w:val="en-US"/>
        </w:rPr>
        <w:t>d the expected recovery rate. During</w:t>
      </w:r>
      <w:r w:rsidR="00B45539" w:rsidRPr="00781608">
        <w:rPr>
          <w:rFonts w:cs="Times New Roman"/>
          <w:sz w:val="24"/>
          <w:szCs w:val="24"/>
          <w:lang w:val="en-US"/>
        </w:rPr>
        <w:t xml:space="preserve"> the Asian crisis however the currency crisis led to a debt cri</w:t>
      </w:r>
      <w:r w:rsidR="00A60D34" w:rsidRPr="00781608">
        <w:rPr>
          <w:rFonts w:cs="Times New Roman"/>
          <w:sz w:val="24"/>
          <w:szCs w:val="24"/>
          <w:lang w:val="en-US"/>
        </w:rPr>
        <w:t>sis, which is something the CRA</w:t>
      </w:r>
      <w:r w:rsidR="00B45539" w:rsidRPr="00781608">
        <w:rPr>
          <w:rFonts w:cs="Times New Roman"/>
          <w:sz w:val="24"/>
          <w:szCs w:val="24"/>
          <w:lang w:val="en-US"/>
        </w:rPr>
        <w:t xml:space="preserve">s should be able to predict and at which they failed. Sy (2004) </w:t>
      </w:r>
      <w:r w:rsidR="004C7D9B" w:rsidRPr="00781608">
        <w:rPr>
          <w:rFonts w:cs="Times New Roman"/>
          <w:sz w:val="24"/>
          <w:szCs w:val="24"/>
          <w:lang w:val="en-US"/>
        </w:rPr>
        <w:t>looks into</w:t>
      </w:r>
      <w:r w:rsidR="00B45539" w:rsidRPr="00781608">
        <w:rPr>
          <w:rFonts w:cs="Times New Roman"/>
          <w:sz w:val="24"/>
          <w:szCs w:val="24"/>
          <w:lang w:val="en-US"/>
        </w:rPr>
        <w:t xml:space="preserve"> </w:t>
      </w:r>
      <w:r w:rsidR="005E6C41" w:rsidRPr="00781608">
        <w:rPr>
          <w:rFonts w:cs="Times New Roman"/>
          <w:sz w:val="24"/>
          <w:szCs w:val="24"/>
          <w:lang w:val="en-US"/>
        </w:rPr>
        <w:t>whether</w:t>
      </w:r>
      <w:r w:rsidR="00B45539" w:rsidRPr="00781608">
        <w:rPr>
          <w:rFonts w:cs="Times New Roman"/>
          <w:sz w:val="24"/>
          <w:szCs w:val="24"/>
          <w:lang w:val="en-US"/>
        </w:rPr>
        <w:t xml:space="preserve"> currency crises and defaults are closely linked </w:t>
      </w:r>
      <w:r w:rsidR="00B45539" w:rsidRPr="00781608">
        <w:rPr>
          <w:rFonts w:cs="Times New Roman"/>
          <w:sz w:val="24"/>
          <w:szCs w:val="24"/>
          <w:lang w:val="en-US"/>
        </w:rPr>
        <w:lastRenderedPageBreak/>
        <w:t>and should therefor</w:t>
      </w:r>
      <w:r w:rsidR="00634685" w:rsidRPr="00781608">
        <w:rPr>
          <w:rFonts w:cs="Times New Roman"/>
          <w:sz w:val="24"/>
          <w:szCs w:val="24"/>
          <w:lang w:val="en-US"/>
        </w:rPr>
        <w:t>e</w:t>
      </w:r>
      <w:r w:rsidR="00A60D34" w:rsidRPr="00781608">
        <w:rPr>
          <w:rFonts w:cs="Times New Roman"/>
          <w:sz w:val="24"/>
          <w:szCs w:val="24"/>
          <w:lang w:val="en-US"/>
        </w:rPr>
        <w:t xml:space="preserve"> be anticipated by CRA</w:t>
      </w:r>
      <w:r w:rsidR="00B45539" w:rsidRPr="00781608">
        <w:rPr>
          <w:rFonts w:cs="Times New Roman"/>
          <w:sz w:val="24"/>
          <w:szCs w:val="24"/>
          <w:lang w:val="en-US"/>
        </w:rPr>
        <w:t>s. He f</w:t>
      </w:r>
      <w:r w:rsidR="00B23028" w:rsidRPr="00781608">
        <w:rPr>
          <w:rFonts w:cs="Times New Roman"/>
          <w:sz w:val="24"/>
          <w:szCs w:val="24"/>
          <w:lang w:val="en-US"/>
        </w:rPr>
        <w:t>i</w:t>
      </w:r>
      <w:r w:rsidR="00B45539" w:rsidRPr="00781608">
        <w:rPr>
          <w:rFonts w:cs="Times New Roman"/>
          <w:sz w:val="24"/>
          <w:szCs w:val="24"/>
          <w:lang w:val="en-US"/>
        </w:rPr>
        <w:t>nd</w:t>
      </w:r>
      <w:r w:rsidR="00B23028" w:rsidRPr="00781608">
        <w:rPr>
          <w:rFonts w:cs="Times New Roman"/>
          <w:sz w:val="24"/>
          <w:szCs w:val="24"/>
          <w:lang w:val="en-US"/>
        </w:rPr>
        <w:t>s</w:t>
      </w:r>
      <w:r w:rsidR="00B45539" w:rsidRPr="00781608">
        <w:rPr>
          <w:rFonts w:cs="Times New Roman"/>
          <w:sz w:val="24"/>
          <w:szCs w:val="24"/>
          <w:lang w:val="en-US"/>
        </w:rPr>
        <w:t xml:space="preserve"> that indeed CRA</w:t>
      </w:r>
      <w:r w:rsidR="00910889" w:rsidRPr="00781608">
        <w:rPr>
          <w:rFonts w:cs="Times New Roman"/>
          <w:sz w:val="24"/>
          <w:szCs w:val="24"/>
          <w:lang w:val="en-US"/>
        </w:rPr>
        <w:t>s</w:t>
      </w:r>
      <w:r w:rsidR="00B45539" w:rsidRPr="00781608">
        <w:rPr>
          <w:rFonts w:cs="Times New Roman"/>
          <w:sz w:val="24"/>
          <w:szCs w:val="24"/>
          <w:lang w:val="en-US"/>
        </w:rPr>
        <w:t xml:space="preserve"> do </w:t>
      </w:r>
      <w:r w:rsidR="00021283" w:rsidRPr="00781608">
        <w:rPr>
          <w:rFonts w:cs="Times New Roman"/>
          <w:sz w:val="24"/>
          <w:szCs w:val="24"/>
          <w:lang w:val="en-US"/>
        </w:rPr>
        <w:t xml:space="preserve">not predict currency crises and </w:t>
      </w:r>
      <w:r w:rsidR="004C7D9B" w:rsidRPr="00781608">
        <w:rPr>
          <w:rFonts w:cs="Times New Roman"/>
          <w:sz w:val="24"/>
          <w:szCs w:val="24"/>
          <w:lang w:val="en-US"/>
        </w:rPr>
        <w:t>only</w:t>
      </w:r>
      <w:r w:rsidR="00021283" w:rsidRPr="00781608">
        <w:rPr>
          <w:rFonts w:cs="Times New Roman"/>
          <w:sz w:val="24"/>
          <w:szCs w:val="24"/>
          <w:lang w:val="en-US"/>
        </w:rPr>
        <w:t xml:space="preserve"> </w:t>
      </w:r>
      <w:r w:rsidR="00B45539" w:rsidRPr="00781608">
        <w:rPr>
          <w:rFonts w:cs="Times New Roman"/>
          <w:sz w:val="24"/>
          <w:szCs w:val="24"/>
          <w:lang w:val="en-US"/>
        </w:rPr>
        <w:t>adjust their ratings afterwards</w:t>
      </w:r>
      <w:r w:rsidR="00910889" w:rsidRPr="00781608">
        <w:rPr>
          <w:rFonts w:cs="Times New Roman"/>
          <w:sz w:val="24"/>
          <w:szCs w:val="24"/>
          <w:lang w:val="en-US"/>
        </w:rPr>
        <w:t xml:space="preserve">. </w:t>
      </w:r>
      <w:r w:rsidR="004C7D9B" w:rsidRPr="00781608">
        <w:rPr>
          <w:rFonts w:cs="Times New Roman"/>
          <w:sz w:val="24"/>
          <w:szCs w:val="24"/>
          <w:lang w:val="en-US"/>
        </w:rPr>
        <w:t xml:space="preserve">However, </w:t>
      </w:r>
      <w:r w:rsidR="00B45539" w:rsidRPr="00781608">
        <w:rPr>
          <w:rFonts w:cs="Times New Roman"/>
          <w:sz w:val="24"/>
          <w:szCs w:val="24"/>
          <w:lang w:val="en-US"/>
        </w:rPr>
        <w:t xml:space="preserve">this </w:t>
      </w:r>
      <w:r w:rsidR="004C7D9B" w:rsidRPr="00781608">
        <w:rPr>
          <w:rFonts w:cs="Times New Roman"/>
          <w:sz w:val="24"/>
          <w:szCs w:val="24"/>
          <w:lang w:val="en-US"/>
        </w:rPr>
        <w:t xml:space="preserve">should not be taken as a weakness of CRAs since </w:t>
      </w:r>
      <w:r w:rsidR="00B45539" w:rsidRPr="00781608">
        <w:rPr>
          <w:rFonts w:cs="Times New Roman"/>
          <w:sz w:val="24"/>
          <w:szCs w:val="24"/>
          <w:lang w:val="en-US"/>
        </w:rPr>
        <w:t xml:space="preserve">currency crises only have a 6% correlation with sovereign defaults and thus </w:t>
      </w:r>
      <w:r w:rsidR="004C7D9B" w:rsidRPr="00781608">
        <w:rPr>
          <w:rFonts w:cs="Times New Roman"/>
          <w:sz w:val="24"/>
          <w:szCs w:val="24"/>
          <w:lang w:val="en-US"/>
        </w:rPr>
        <w:t xml:space="preserve">it is not in the </w:t>
      </w:r>
      <w:r w:rsidR="00B45539" w:rsidRPr="00781608">
        <w:rPr>
          <w:rFonts w:cs="Times New Roman"/>
          <w:sz w:val="24"/>
          <w:szCs w:val="24"/>
          <w:lang w:val="en-US"/>
        </w:rPr>
        <w:t>CRAs</w:t>
      </w:r>
      <w:r w:rsidR="00021283" w:rsidRPr="00781608">
        <w:rPr>
          <w:rFonts w:cs="Times New Roman"/>
          <w:sz w:val="24"/>
          <w:szCs w:val="24"/>
          <w:lang w:val="en-US"/>
        </w:rPr>
        <w:t>’ scope</w:t>
      </w:r>
      <w:r w:rsidR="00B45539" w:rsidRPr="00781608">
        <w:rPr>
          <w:rFonts w:cs="Times New Roman"/>
          <w:sz w:val="24"/>
          <w:szCs w:val="24"/>
          <w:lang w:val="en-US"/>
        </w:rPr>
        <w:t xml:space="preserve"> to anticipate currency crises. H</w:t>
      </w:r>
      <w:r w:rsidR="00021283" w:rsidRPr="00781608">
        <w:rPr>
          <w:rFonts w:cs="Times New Roman"/>
          <w:sz w:val="24"/>
          <w:szCs w:val="24"/>
          <w:lang w:val="en-US"/>
        </w:rPr>
        <w:t xml:space="preserve">e also </w:t>
      </w:r>
      <w:r w:rsidR="00B45539" w:rsidRPr="00781608">
        <w:rPr>
          <w:rFonts w:cs="Times New Roman"/>
          <w:sz w:val="24"/>
          <w:szCs w:val="24"/>
          <w:lang w:val="en-US"/>
        </w:rPr>
        <w:t>show</w:t>
      </w:r>
      <w:r w:rsidR="00021283" w:rsidRPr="00781608">
        <w:rPr>
          <w:rFonts w:cs="Times New Roman"/>
          <w:sz w:val="24"/>
          <w:szCs w:val="24"/>
          <w:lang w:val="en-US"/>
        </w:rPr>
        <w:t xml:space="preserve">s </w:t>
      </w:r>
      <w:r w:rsidR="00B45539" w:rsidRPr="00781608">
        <w:rPr>
          <w:rFonts w:cs="Times New Roman"/>
          <w:sz w:val="24"/>
          <w:szCs w:val="24"/>
          <w:lang w:val="en-US"/>
        </w:rPr>
        <w:t>that CRAs are better at predicting defaults than currency crises but then again also fail to predict almost certain defaults if not for the large bailouts by the international community</w:t>
      </w:r>
      <w:r w:rsidR="00021283" w:rsidRPr="00781608">
        <w:rPr>
          <w:rFonts w:cs="Times New Roman"/>
          <w:sz w:val="24"/>
          <w:szCs w:val="24"/>
          <w:lang w:val="en-US"/>
        </w:rPr>
        <w:t xml:space="preserve">. He further </w:t>
      </w:r>
      <w:r w:rsidR="00B23028" w:rsidRPr="00781608">
        <w:rPr>
          <w:rFonts w:cs="Times New Roman"/>
          <w:sz w:val="24"/>
          <w:szCs w:val="24"/>
          <w:lang w:val="en-US"/>
        </w:rPr>
        <w:t>supports</w:t>
      </w:r>
      <w:r w:rsidR="00B45539" w:rsidRPr="00781608">
        <w:rPr>
          <w:rFonts w:cs="Times New Roman"/>
          <w:sz w:val="24"/>
          <w:szCs w:val="24"/>
          <w:lang w:val="en-US"/>
        </w:rPr>
        <w:t xml:space="preserve"> the result found by Reinhart (2002) who shows that only in 46% of the currency crises default occurs. For emerging economies this raises to 69% showing again that even though a currency crisis does not necessarily mean default, it does increase the likelihood of default. </w:t>
      </w:r>
      <w:r w:rsidR="007818E9" w:rsidRPr="00781608">
        <w:rPr>
          <w:rFonts w:cs="Times New Roman"/>
          <w:sz w:val="24"/>
          <w:szCs w:val="24"/>
          <w:lang w:val="en-US"/>
        </w:rPr>
        <w:t>Reinhart</w:t>
      </w:r>
      <w:r w:rsidR="00B45539" w:rsidRPr="00781608">
        <w:rPr>
          <w:rFonts w:cs="Times New Roman"/>
          <w:sz w:val="24"/>
          <w:szCs w:val="24"/>
          <w:lang w:val="en-US"/>
        </w:rPr>
        <w:t xml:space="preserve"> therefor</w:t>
      </w:r>
      <w:r w:rsidR="00634685" w:rsidRPr="00781608">
        <w:rPr>
          <w:rFonts w:cs="Times New Roman"/>
          <w:sz w:val="24"/>
          <w:szCs w:val="24"/>
          <w:lang w:val="en-US"/>
        </w:rPr>
        <w:t>e</w:t>
      </w:r>
      <w:r w:rsidR="00B45539" w:rsidRPr="00781608">
        <w:rPr>
          <w:rFonts w:cs="Times New Roman"/>
          <w:sz w:val="24"/>
          <w:szCs w:val="24"/>
          <w:lang w:val="en-US"/>
        </w:rPr>
        <w:t xml:space="preserve"> suggests that CRAs use additional variables to che</w:t>
      </w:r>
      <w:r w:rsidR="00B23028" w:rsidRPr="00781608">
        <w:rPr>
          <w:rFonts w:cs="Times New Roman"/>
          <w:sz w:val="24"/>
          <w:szCs w:val="24"/>
          <w:lang w:val="en-US"/>
        </w:rPr>
        <w:t xml:space="preserve">ck for currency crises as well. </w:t>
      </w:r>
      <w:r w:rsidR="002E636F" w:rsidRPr="00781608">
        <w:rPr>
          <w:rFonts w:cs="Times New Roman"/>
          <w:sz w:val="24"/>
          <w:szCs w:val="24"/>
          <w:lang w:val="en-US"/>
        </w:rPr>
        <w:t>Hill and Faff (2010</w:t>
      </w:r>
      <w:r w:rsidR="00782436" w:rsidRPr="00781608">
        <w:rPr>
          <w:rFonts w:cs="Times New Roman"/>
          <w:sz w:val="24"/>
          <w:szCs w:val="24"/>
          <w:lang w:val="en-US"/>
        </w:rPr>
        <w:t>)</w:t>
      </w:r>
      <w:r w:rsidR="002E636F" w:rsidRPr="00781608">
        <w:rPr>
          <w:rFonts w:cs="Times New Roman"/>
          <w:sz w:val="24"/>
          <w:szCs w:val="24"/>
          <w:lang w:val="en-US"/>
        </w:rPr>
        <w:t xml:space="preserve"> emphasize that timeliness is everything when it comes to rating events. If CRAs react too early, they are accused of accelerating and exacerbating crises. But when too late</w:t>
      </w:r>
      <w:r w:rsidR="00782436" w:rsidRPr="00781608">
        <w:rPr>
          <w:rFonts w:cs="Times New Roman"/>
          <w:sz w:val="24"/>
          <w:szCs w:val="24"/>
          <w:lang w:val="en-US"/>
        </w:rPr>
        <w:t>,</w:t>
      </w:r>
      <w:r w:rsidR="002E636F" w:rsidRPr="00781608">
        <w:rPr>
          <w:rFonts w:cs="Times New Roman"/>
          <w:sz w:val="24"/>
          <w:szCs w:val="24"/>
          <w:lang w:val="en-US"/>
        </w:rPr>
        <w:t xml:space="preserve"> </w:t>
      </w:r>
      <w:r w:rsidR="00782436" w:rsidRPr="00781608">
        <w:rPr>
          <w:rFonts w:cs="Times New Roman"/>
          <w:sz w:val="24"/>
          <w:szCs w:val="24"/>
          <w:lang w:val="en-US"/>
        </w:rPr>
        <w:t xml:space="preserve">they are </w:t>
      </w:r>
      <w:r w:rsidR="002E636F" w:rsidRPr="00781608">
        <w:rPr>
          <w:rFonts w:cs="Times New Roman"/>
          <w:sz w:val="24"/>
          <w:szCs w:val="24"/>
          <w:lang w:val="en-US"/>
        </w:rPr>
        <w:t xml:space="preserve">criticized for </w:t>
      </w:r>
      <w:r w:rsidR="00782436" w:rsidRPr="00781608">
        <w:rPr>
          <w:rFonts w:cs="Times New Roman"/>
          <w:sz w:val="24"/>
          <w:szCs w:val="24"/>
          <w:lang w:val="en-US"/>
        </w:rPr>
        <w:t>f</w:t>
      </w:r>
      <w:r w:rsidR="002E636F" w:rsidRPr="00781608">
        <w:rPr>
          <w:rFonts w:cs="Times New Roman"/>
          <w:sz w:val="24"/>
          <w:szCs w:val="24"/>
          <w:lang w:val="en-US"/>
        </w:rPr>
        <w:t>ail</w:t>
      </w:r>
      <w:r w:rsidR="00782436" w:rsidRPr="00781608">
        <w:rPr>
          <w:rFonts w:cs="Times New Roman"/>
          <w:sz w:val="24"/>
          <w:szCs w:val="24"/>
          <w:lang w:val="en-US"/>
        </w:rPr>
        <w:t>ing</w:t>
      </w:r>
      <w:r w:rsidR="002E636F" w:rsidRPr="00781608">
        <w:rPr>
          <w:rFonts w:cs="Times New Roman"/>
          <w:sz w:val="24"/>
          <w:szCs w:val="24"/>
          <w:lang w:val="en-US"/>
        </w:rPr>
        <w:t xml:space="preserve"> to accurately predict the increased risk and possible default. The timeliness of the rating event is thus crucial</w:t>
      </w:r>
      <w:r w:rsidR="002F38B8" w:rsidRPr="00781608">
        <w:rPr>
          <w:rFonts w:cs="Times New Roman"/>
          <w:sz w:val="24"/>
          <w:szCs w:val="24"/>
          <w:lang w:val="en-US"/>
        </w:rPr>
        <w:t xml:space="preserve"> as a wrong timing could cause</w:t>
      </w:r>
      <w:r w:rsidR="002E636F" w:rsidRPr="00781608">
        <w:rPr>
          <w:rFonts w:cs="Times New Roman"/>
          <w:sz w:val="24"/>
          <w:szCs w:val="24"/>
          <w:lang w:val="en-US"/>
        </w:rPr>
        <w:t xml:space="preserve"> a worsening of a crisis.</w:t>
      </w:r>
    </w:p>
    <w:p w:rsidR="00B45539" w:rsidRPr="00781608" w:rsidRDefault="00B23028" w:rsidP="00E1177A">
      <w:pPr>
        <w:spacing w:line="360" w:lineRule="auto"/>
        <w:jc w:val="both"/>
        <w:rPr>
          <w:rFonts w:cs="Times New Roman"/>
          <w:sz w:val="24"/>
          <w:szCs w:val="24"/>
          <w:lang w:val="en-US"/>
        </w:rPr>
      </w:pPr>
      <w:r w:rsidRPr="00781608">
        <w:rPr>
          <w:rFonts w:cs="Times New Roman"/>
          <w:sz w:val="24"/>
          <w:szCs w:val="24"/>
          <w:lang w:val="en-US"/>
        </w:rPr>
        <w:t>Bhatia (2002) also looks</w:t>
      </w:r>
      <w:r w:rsidR="00B45539" w:rsidRPr="00781608">
        <w:rPr>
          <w:rFonts w:cs="Times New Roman"/>
          <w:sz w:val="24"/>
          <w:szCs w:val="24"/>
          <w:lang w:val="en-US"/>
        </w:rPr>
        <w:t xml:space="preserve"> at the </w:t>
      </w:r>
      <w:r w:rsidR="00FF4B12" w:rsidRPr="00781608">
        <w:rPr>
          <w:rFonts w:cs="Times New Roman"/>
          <w:sz w:val="24"/>
          <w:szCs w:val="24"/>
          <w:lang w:val="en-US"/>
        </w:rPr>
        <w:t xml:space="preserve">effects of </w:t>
      </w:r>
      <w:r w:rsidR="00B45539" w:rsidRPr="00781608">
        <w:rPr>
          <w:rFonts w:cs="Times New Roman"/>
          <w:sz w:val="24"/>
          <w:szCs w:val="24"/>
          <w:lang w:val="en-US"/>
        </w:rPr>
        <w:t>o</w:t>
      </w:r>
      <w:r w:rsidR="009F6F4A" w:rsidRPr="00781608">
        <w:rPr>
          <w:rFonts w:cs="Times New Roman"/>
          <w:sz w:val="24"/>
          <w:szCs w:val="24"/>
          <w:lang w:val="en-US"/>
        </w:rPr>
        <w:t xml:space="preserve">verreaction by </w:t>
      </w:r>
      <w:r w:rsidR="00FF4B12" w:rsidRPr="00781608">
        <w:rPr>
          <w:rFonts w:cs="Times New Roman"/>
          <w:sz w:val="24"/>
          <w:szCs w:val="24"/>
          <w:lang w:val="en-US"/>
        </w:rPr>
        <w:t xml:space="preserve">the </w:t>
      </w:r>
      <w:r w:rsidR="009F6F4A" w:rsidRPr="00781608">
        <w:rPr>
          <w:rFonts w:cs="Times New Roman"/>
          <w:sz w:val="24"/>
          <w:szCs w:val="24"/>
          <w:lang w:val="en-US"/>
        </w:rPr>
        <w:t>CRAs caused by</w:t>
      </w:r>
      <w:r w:rsidR="00B45539" w:rsidRPr="00781608">
        <w:rPr>
          <w:rFonts w:cs="Times New Roman"/>
          <w:sz w:val="24"/>
          <w:szCs w:val="24"/>
          <w:lang w:val="en-US"/>
        </w:rPr>
        <w:t xml:space="preserve"> rating failure, i.e. the ability to accurately predict a country’s probable future, i.e. no more than a three-notch change within 12 </w:t>
      </w:r>
      <w:r w:rsidR="00634685" w:rsidRPr="00781608">
        <w:rPr>
          <w:rFonts w:cs="Times New Roman"/>
          <w:sz w:val="24"/>
          <w:szCs w:val="24"/>
          <w:lang w:val="en-US"/>
        </w:rPr>
        <w:t>months. His study</w:t>
      </w:r>
      <w:r w:rsidR="00B45539" w:rsidRPr="00781608">
        <w:rPr>
          <w:rFonts w:cs="Times New Roman"/>
          <w:sz w:val="24"/>
          <w:szCs w:val="24"/>
          <w:lang w:val="en-US"/>
        </w:rPr>
        <w:t xml:space="preserve"> shows that in times of cris</w:t>
      </w:r>
      <w:r w:rsidR="00FF4B12" w:rsidRPr="00781608">
        <w:rPr>
          <w:rFonts w:cs="Times New Roman"/>
          <w:sz w:val="24"/>
          <w:szCs w:val="24"/>
          <w:lang w:val="en-US"/>
        </w:rPr>
        <w:t>i</w:t>
      </w:r>
      <w:r w:rsidR="00B45539" w:rsidRPr="00781608">
        <w:rPr>
          <w:rFonts w:cs="Times New Roman"/>
          <w:sz w:val="24"/>
          <w:szCs w:val="24"/>
          <w:lang w:val="en-US"/>
        </w:rPr>
        <w:t xml:space="preserve">s CRAs continually fail in their ratings, often because they appear to be too conservative in their assumptions. When CRAs finally do react, they tend to overreact. </w:t>
      </w:r>
      <w:r w:rsidR="00FF4B12" w:rsidRPr="00781608">
        <w:rPr>
          <w:rFonts w:cs="Times New Roman"/>
          <w:sz w:val="24"/>
          <w:szCs w:val="24"/>
          <w:lang w:val="en-US"/>
        </w:rPr>
        <w:t xml:space="preserve">Several other studies support these findings stating </w:t>
      </w:r>
      <w:r w:rsidR="00B45539" w:rsidRPr="00781608">
        <w:rPr>
          <w:rFonts w:cs="Times New Roman"/>
          <w:sz w:val="24"/>
          <w:szCs w:val="24"/>
          <w:lang w:val="en-US"/>
        </w:rPr>
        <w:t>that “ratings tend to be sticky, lagging markets, and then to overreact when they do change</w:t>
      </w:r>
      <w:r w:rsidR="0074550A" w:rsidRPr="00781608">
        <w:rPr>
          <w:rFonts w:cs="Times New Roman"/>
          <w:sz w:val="24"/>
          <w:szCs w:val="24"/>
          <w:lang w:val="en-US"/>
        </w:rPr>
        <w:t>” (</w:t>
      </w:r>
      <w:r w:rsidR="00FF4B12" w:rsidRPr="00781608">
        <w:rPr>
          <w:rFonts w:cs="Times New Roman"/>
          <w:sz w:val="24"/>
          <w:szCs w:val="24"/>
          <w:lang w:val="en-US"/>
        </w:rPr>
        <w:t>Larrain et al. (1997), Radelet et al. (1998), Amato and Furfine (2003</w:t>
      </w:r>
      <w:r w:rsidR="007467CA" w:rsidRPr="00781608">
        <w:rPr>
          <w:rFonts w:cs="Times New Roman"/>
          <w:sz w:val="24"/>
          <w:szCs w:val="24"/>
          <w:lang w:val="en-US"/>
        </w:rPr>
        <w:t>)</w:t>
      </w:r>
      <w:r w:rsidR="00FF4B12" w:rsidRPr="00781608">
        <w:rPr>
          <w:rFonts w:cs="Times New Roman"/>
          <w:sz w:val="24"/>
          <w:szCs w:val="24"/>
          <w:lang w:val="en-US"/>
        </w:rPr>
        <w:t xml:space="preserve"> and UNCTAD (2008))</w:t>
      </w:r>
      <w:r w:rsidR="00B45539" w:rsidRPr="00781608">
        <w:rPr>
          <w:rFonts w:cs="Times New Roman"/>
          <w:sz w:val="24"/>
          <w:szCs w:val="24"/>
          <w:lang w:val="en-US"/>
        </w:rPr>
        <w:t>.</w:t>
      </w:r>
      <w:r w:rsidR="00B45539" w:rsidRPr="00781608">
        <w:rPr>
          <w:rStyle w:val="Voetnootmarkering"/>
          <w:rFonts w:cs="Times New Roman"/>
          <w:sz w:val="24"/>
          <w:szCs w:val="24"/>
        </w:rPr>
        <w:footnoteReference w:id="5"/>
      </w:r>
      <w:r w:rsidR="00B45539" w:rsidRPr="00781608">
        <w:rPr>
          <w:rFonts w:cs="Times New Roman"/>
          <w:sz w:val="24"/>
          <w:szCs w:val="24"/>
          <w:lang w:val="en-US"/>
        </w:rPr>
        <w:t xml:space="preserve"> To their </w:t>
      </w:r>
      <w:r w:rsidR="00751F7D" w:rsidRPr="00781608">
        <w:rPr>
          <w:rFonts w:cs="Times New Roman"/>
          <w:sz w:val="24"/>
          <w:szCs w:val="24"/>
          <w:lang w:val="en-US"/>
        </w:rPr>
        <w:t>defense</w:t>
      </w:r>
      <w:r w:rsidR="00FF4B12" w:rsidRPr="00781608">
        <w:rPr>
          <w:rFonts w:cs="Times New Roman"/>
          <w:sz w:val="24"/>
          <w:szCs w:val="24"/>
          <w:lang w:val="en-US"/>
        </w:rPr>
        <w:t>,</w:t>
      </w:r>
      <w:r w:rsidR="00B45539" w:rsidRPr="00781608">
        <w:rPr>
          <w:rFonts w:cs="Times New Roman"/>
          <w:sz w:val="24"/>
          <w:szCs w:val="24"/>
          <w:lang w:val="en-US"/>
        </w:rPr>
        <w:t xml:space="preserve"> the CRAs respond that it is their goal to maintain rating stability and not to react to short term changes (Moody’s, 2011; Amato and Furfine, 2003; Altman and Rijken, 2004; UNCTAD, 2008; Hill et al., 2010; Pennartz and Snoeij, 2012) Even though CRAs emphasize that their vision applies for the long term, they catered to the criticism by coming up with short term visions implemented in outlook</w:t>
      </w:r>
      <w:r w:rsidR="00431214" w:rsidRPr="00781608">
        <w:rPr>
          <w:rFonts w:cs="Times New Roman"/>
          <w:sz w:val="24"/>
          <w:szCs w:val="24"/>
          <w:lang w:val="en-US"/>
        </w:rPr>
        <w:t>s</w:t>
      </w:r>
      <w:r w:rsidR="00B45539" w:rsidRPr="00781608">
        <w:rPr>
          <w:rFonts w:cs="Times New Roman"/>
          <w:sz w:val="24"/>
          <w:szCs w:val="24"/>
          <w:lang w:val="en-US"/>
        </w:rPr>
        <w:t xml:space="preserve"> which </w:t>
      </w:r>
      <w:r w:rsidR="00431214" w:rsidRPr="00781608">
        <w:rPr>
          <w:rFonts w:cs="Times New Roman"/>
          <w:sz w:val="24"/>
          <w:szCs w:val="24"/>
          <w:lang w:val="en-US"/>
        </w:rPr>
        <w:lastRenderedPageBreak/>
        <w:t>are</w:t>
      </w:r>
      <w:r w:rsidR="00B45539" w:rsidRPr="00781608">
        <w:rPr>
          <w:rFonts w:cs="Times New Roman"/>
          <w:sz w:val="24"/>
          <w:szCs w:val="24"/>
          <w:lang w:val="en-US"/>
        </w:rPr>
        <w:t xml:space="preserve"> now assigned to every rating to have an indication of the expected trend. Under normal circumstances countries are reviewed once every 2 years. In times of economic turmoil, rating decisions have to be made </w:t>
      </w:r>
      <w:r w:rsidR="00B45539" w:rsidRPr="00781608">
        <w:rPr>
          <w:rFonts w:cs="Times New Roman"/>
          <w:i/>
          <w:sz w:val="24"/>
          <w:szCs w:val="24"/>
          <w:lang w:val="en-US"/>
        </w:rPr>
        <w:t>ad hoc</w:t>
      </w:r>
      <w:r w:rsidR="00B45539" w:rsidRPr="00781608">
        <w:rPr>
          <w:rFonts w:cs="Times New Roman"/>
          <w:sz w:val="24"/>
          <w:szCs w:val="24"/>
          <w:lang w:val="en-US"/>
        </w:rPr>
        <w:t xml:space="preserve"> and are sometimes an </w:t>
      </w:r>
      <w:r w:rsidR="00B45539" w:rsidRPr="00781608">
        <w:rPr>
          <w:rFonts w:cs="Times New Roman"/>
          <w:i/>
          <w:sz w:val="24"/>
          <w:szCs w:val="24"/>
          <w:lang w:val="en-US"/>
        </w:rPr>
        <w:t>ex post</w:t>
      </w:r>
      <w:r w:rsidR="00B45539" w:rsidRPr="00781608">
        <w:rPr>
          <w:rFonts w:cs="Times New Roman"/>
          <w:sz w:val="24"/>
          <w:szCs w:val="24"/>
          <w:lang w:val="en-US"/>
        </w:rPr>
        <w:t xml:space="preserve"> reaction to media coverage (Bhatia, 2002 and UNCTAD, 2008).</w:t>
      </w:r>
    </w:p>
    <w:p w:rsidR="00EC5381" w:rsidRPr="00781608" w:rsidRDefault="00AE578B" w:rsidP="00764641">
      <w:pPr>
        <w:pStyle w:val="Kop1"/>
        <w:spacing w:before="0" w:line="360" w:lineRule="auto"/>
        <w:rPr>
          <w:rFonts w:asciiTheme="minorHAnsi" w:hAnsiTheme="minorHAnsi"/>
          <w:color w:val="auto"/>
          <w:sz w:val="24"/>
          <w:szCs w:val="24"/>
          <w:lang w:val="en-US"/>
        </w:rPr>
      </w:pPr>
      <w:bookmarkStart w:id="5" w:name="_Toc359926546"/>
      <w:r w:rsidRPr="00781608">
        <w:rPr>
          <w:rFonts w:asciiTheme="minorHAnsi" w:hAnsiTheme="minorHAnsi"/>
          <w:color w:val="auto"/>
          <w:sz w:val="24"/>
          <w:szCs w:val="24"/>
          <w:lang w:val="en-US"/>
        </w:rPr>
        <w:t>2.3</w:t>
      </w:r>
      <w:r w:rsidR="00EC5381" w:rsidRPr="00781608">
        <w:rPr>
          <w:rFonts w:asciiTheme="minorHAnsi" w:hAnsiTheme="minorHAnsi"/>
          <w:color w:val="auto"/>
          <w:sz w:val="24"/>
          <w:szCs w:val="24"/>
          <w:lang w:val="en-US"/>
        </w:rPr>
        <w:t xml:space="preserve"> The influence of rating events on non-sovereign yields</w:t>
      </w:r>
      <w:bookmarkEnd w:id="5"/>
    </w:p>
    <w:p w:rsidR="005D62CA" w:rsidRPr="00781608" w:rsidRDefault="00FF4B12" w:rsidP="00E1177A">
      <w:pPr>
        <w:spacing w:line="360" w:lineRule="auto"/>
        <w:jc w:val="both"/>
        <w:rPr>
          <w:rFonts w:cs="Times New Roman"/>
          <w:sz w:val="24"/>
          <w:szCs w:val="24"/>
          <w:lang w:val="en-US"/>
        </w:rPr>
      </w:pPr>
      <w:r w:rsidRPr="00781608">
        <w:rPr>
          <w:rFonts w:cs="Times New Roman"/>
          <w:sz w:val="24"/>
          <w:szCs w:val="24"/>
          <w:lang w:val="en-US"/>
        </w:rPr>
        <w:t xml:space="preserve">A first work exploring the effect of </w:t>
      </w:r>
      <w:r w:rsidR="008D66CC" w:rsidRPr="00781608">
        <w:rPr>
          <w:rFonts w:cs="Times New Roman"/>
          <w:sz w:val="24"/>
          <w:szCs w:val="24"/>
          <w:lang w:val="en-US"/>
        </w:rPr>
        <w:t xml:space="preserve">rating changes </w:t>
      </w:r>
      <w:r w:rsidRPr="00781608">
        <w:rPr>
          <w:rFonts w:cs="Times New Roman"/>
          <w:sz w:val="24"/>
          <w:szCs w:val="24"/>
          <w:lang w:val="en-US"/>
        </w:rPr>
        <w:t xml:space="preserve">on corporate yields </w:t>
      </w:r>
      <w:r w:rsidR="00B23028" w:rsidRPr="00781608">
        <w:rPr>
          <w:rFonts w:cs="Times New Roman"/>
          <w:sz w:val="24"/>
          <w:szCs w:val="24"/>
          <w:lang w:val="en-US"/>
        </w:rPr>
        <w:t>i</w:t>
      </w:r>
      <w:r w:rsidR="00D05BFF" w:rsidRPr="00781608">
        <w:rPr>
          <w:rFonts w:cs="Times New Roman"/>
          <w:sz w:val="24"/>
          <w:szCs w:val="24"/>
          <w:lang w:val="en-US"/>
        </w:rPr>
        <w:t xml:space="preserve">s </w:t>
      </w:r>
      <w:r w:rsidR="007818E9" w:rsidRPr="00781608">
        <w:rPr>
          <w:rFonts w:cs="Times New Roman"/>
          <w:sz w:val="24"/>
          <w:szCs w:val="24"/>
          <w:lang w:val="en-US"/>
        </w:rPr>
        <w:t xml:space="preserve">by </w:t>
      </w:r>
      <w:r w:rsidR="008D66CC" w:rsidRPr="00781608">
        <w:rPr>
          <w:rFonts w:cs="Times New Roman"/>
          <w:sz w:val="24"/>
          <w:szCs w:val="24"/>
          <w:lang w:val="en-US"/>
        </w:rPr>
        <w:t>Katz (1974)</w:t>
      </w:r>
      <w:r w:rsidRPr="00781608">
        <w:rPr>
          <w:rFonts w:cs="Times New Roman"/>
          <w:sz w:val="24"/>
          <w:szCs w:val="24"/>
          <w:lang w:val="en-US"/>
        </w:rPr>
        <w:t>.</w:t>
      </w:r>
      <w:r w:rsidR="008D66CC" w:rsidRPr="00781608">
        <w:rPr>
          <w:rFonts w:cs="Times New Roman"/>
          <w:sz w:val="24"/>
          <w:szCs w:val="24"/>
          <w:lang w:val="en-US"/>
        </w:rPr>
        <w:t xml:space="preserve"> </w:t>
      </w:r>
      <w:r w:rsidRPr="00781608">
        <w:rPr>
          <w:rFonts w:cs="Times New Roman"/>
          <w:sz w:val="24"/>
          <w:szCs w:val="24"/>
          <w:lang w:val="en-US"/>
        </w:rPr>
        <w:t xml:space="preserve">He </w:t>
      </w:r>
      <w:r w:rsidR="008D66CC" w:rsidRPr="00781608">
        <w:rPr>
          <w:rFonts w:cs="Times New Roman"/>
          <w:sz w:val="24"/>
          <w:szCs w:val="24"/>
          <w:lang w:val="en-US"/>
        </w:rPr>
        <w:t>f</w:t>
      </w:r>
      <w:r w:rsidRPr="00781608">
        <w:rPr>
          <w:rFonts w:cs="Times New Roman"/>
          <w:sz w:val="24"/>
          <w:szCs w:val="24"/>
          <w:lang w:val="en-US"/>
        </w:rPr>
        <w:t>i</w:t>
      </w:r>
      <w:r w:rsidR="008D66CC" w:rsidRPr="00781608">
        <w:rPr>
          <w:rFonts w:cs="Times New Roman"/>
          <w:sz w:val="24"/>
          <w:szCs w:val="24"/>
          <w:lang w:val="en-US"/>
        </w:rPr>
        <w:t>nd</w:t>
      </w:r>
      <w:r w:rsidRPr="00781608">
        <w:rPr>
          <w:rFonts w:cs="Times New Roman"/>
          <w:sz w:val="24"/>
          <w:szCs w:val="24"/>
          <w:lang w:val="en-US"/>
        </w:rPr>
        <w:t>s</w:t>
      </w:r>
      <w:r w:rsidR="008D66CC" w:rsidRPr="00781608">
        <w:rPr>
          <w:rFonts w:cs="Times New Roman"/>
          <w:sz w:val="24"/>
          <w:szCs w:val="24"/>
          <w:lang w:val="en-US"/>
        </w:rPr>
        <w:t xml:space="preserve"> that the rating change </w:t>
      </w:r>
      <w:r w:rsidR="00B23028" w:rsidRPr="00781608">
        <w:rPr>
          <w:rFonts w:cs="Times New Roman"/>
          <w:sz w:val="24"/>
          <w:szCs w:val="24"/>
          <w:lang w:val="en-US"/>
        </w:rPr>
        <w:t>i</w:t>
      </w:r>
      <w:r w:rsidR="008D66CC" w:rsidRPr="00781608">
        <w:rPr>
          <w:rFonts w:cs="Times New Roman"/>
          <w:sz w:val="24"/>
          <w:szCs w:val="24"/>
          <w:lang w:val="en-US"/>
        </w:rPr>
        <w:t>s not anticipated in the months prior to the change and that it t</w:t>
      </w:r>
      <w:r w:rsidR="00B23028" w:rsidRPr="00781608">
        <w:rPr>
          <w:rFonts w:cs="Times New Roman"/>
          <w:sz w:val="24"/>
          <w:szCs w:val="24"/>
          <w:lang w:val="en-US"/>
        </w:rPr>
        <w:t>a</w:t>
      </w:r>
      <w:r w:rsidR="008D66CC" w:rsidRPr="00781608">
        <w:rPr>
          <w:rFonts w:cs="Times New Roman"/>
          <w:sz w:val="24"/>
          <w:szCs w:val="24"/>
          <w:lang w:val="en-US"/>
        </w:rPr>
        <w:t>k</w:t>
      </w:r>
      <w:r w:rsidR="00B23028" w:rsidRPr="00781608">
        <w:rPr>
          <w:rFonts w:cs="Times New Roman"/>
          <w:sz w:val="24"/>
          <w:szCs w:val="24"/>
          <w:lang w:val="en-US"/>
        </w:rPr>
        <w:t>es</w:t>
      </w:r>
      <w:r w:rsidR="008D66CC" w:rsidRPr="00781608">
        <w:rPr>
          <w:rFonts w:cs="Times New Roman"/>
          <w:sz w:val="24"/>
          <w:szCs w:val="24"/>
          <w:lang w:val="en-US"/>
        </w:rPr>
        <w:t xml:space="preserve"> </w:t>
      </w:r>
      <w:r w:rsidRPr="00781608">
        <w:rPr>
          <w:rFonts w:cs="Times New Roman"/>
          <w:sz w:val="24"/>
          <w:szCs w:val="24"/>
          <w:lang w:val="en-US"/>
        </w:rPr>
        <w:t xml:space="preserve">between </w:t>
      </w:r>
      <w:r w:rsidR="008D66CC" w:rsidRPr="00781608">
        <w:rPr>
          <w:rFonts w:cs="Times New Roman"/>
          <w:sz w:val="24"/>
          <w:szCs w:val="24"/>
          <w:lang w:val="en-US"/>
        </w:rPr>
        <w:t xml:space="preserve">6 to 10 weeks </w:t>
      </w:r>
      <w:r w:rsidR="005E6C41" w:rsidRPr="00781608">
        <w:rPr>
          <w:rFonts w:cs="Times New Roman"/>
          <w:sz w:val="24"/>
          <w:szCs w:val="24"/>
          <w:lang w:val="en-US"/>
        </w:rPr>
        <w:t xml:space="preserve">for </w:t>
      </w:r>
      <w:r w:rsidR="008D66CC" w:rsidRPr="00781608">
        <w:rPr>
          <w:rFonts w:cs="Times New Roman"/>
          <w:sz w:val="24"/>
          <w:szCs w:val="24"/>
          <w:lang w:val="en-US"/>
        </w:rPr>
        <w:t xml:space="preserve">prices to adjust, suggesting strong market </w:t>
      </w:r>
      <w:r w:rsidRPr="00781608">
        <w:rPr>
          <w:rFonts w:cs="Times New Roman"/>
          <w:sz w:val="24"/>
          <w:szCs w:val="24"/>
          <w:lang w:val="en-US"/>
        </w:rPr>
        <w:t>sluggishness</w:t>
      </w:r>
      <w:r w:rsidR="008D66CC" w:rsidRPr="00781608">
        <w:rPr>
          <w:rFonts w:cs="Times New Roman"/>
          <w:sz w:val="24"/>
          <w:szCs w:val="24"/>
          <w:lang w:val="en-US"/>
        </w:rPr>
        <w:t xml:space="preserve">. </w:t>
      </w:r>
      <w:r w:rsidR="008E7093" w:rsidRPr="00781608">
        <w:rPr>
          <w:rFonts w:cs="Times New Roman"/>
          <w:sz w:val="24"/>
          <w:szCs w:val="24"/>
          <w:lang w:val="en-US"/>
        </w:rPr>
        <w:t xml:space="preserve">Partnoy (1999) argues that CRAs only look at </w:t>
      </w:r>
      <w:r w:rsidR="0074550A" w:rsidRPr="00781608">
        <w:rPr>
          <w:rFonts w:cs="Times New Roman"/>
          <w:sz w:val="24"/>
          <w:szCs w:val="24"/>
          <w:lang w:val="en-US"/>
        </w:rPr>
        <w:t>already</w:t>
      </w:r>
      <w:r w:rsidR="008E7093" w:rsidRPr="00781608">
        <w:rPr>
          <w:rFonts w:cs="Times New Roman"/>
          <w:sz w:val="24"/>
          <w:szCs w:val="24"/>
          <w:lang w:val="en-US"/>
        </w:rPr>
        <w:t xml:space="preserve"> available information and therefore their ratings are lagged. This underlines earlier research by </w:t>
      </w:r>
      <w:r w:rsidR="008D66CC" w:rsidRPr="00781608">
        <w:rPr>
          <w:rFonts w:cs="Times New Roman"/>
          <w:sz w:val="24"/>
          <w:szCs w:val="24"/>
          <w:lang w:val="en-US"/>
        </w:rPr>
        <w:t>Weinstein (1978)</w:t>
      </w:r>
      <w:r w:rsidR="008E7093" w:rsidRPr="00781608">
        <w:rPr>
          <w:rFonts w:cs="Times New Roman"/>
          <w:sz w:val="24"/>
          <w:szCs w:val="24"/>
          <w:lang w:val="en-US"/>
        </w:rPr>
        <w:t xml:space="preserve"> who </w:t>
      </w:r>
      <w:r w:rsidR="008D66CC" w:rsidRPr="00781608">
        <w:rPr>
          <w:rFonts w:cs="Times New Roman"/>
          <w:sz w:val="24"/>
          <w:szCs w:val="24"/>
          <w:lang w:val="en-US"/>
        </w:rPr>
        <w:t>look</w:t>
      </w:r>
      <w:r w:rsidR="00B23028" w:rsidRPr="00781608">
        <w:rPr>
          <w:rFonts w:cs="Times New Roman"/>
          <w:sz w:val="24"/>
          <w:szCs w:val="24"/>
          <w:lang w:val="en-US"/>
        </w:rPr>
        <w:t>s</w:t>
      </w:r>
      <w:r w:rsidR="008D66CC" w:rsidRPr="00781608">
        <w:rPr>
          <w:rFonts w:cs="Times New Roman"/>
          <w:sz w:val="24"/>
          <w:szCs w:val="24"/>
          <w:lang w:val="en-US"/>
        </w:rPr>
        <w:t xml:space="preserve"> at monthly stock returns and found no significant evidence for rating changes having any influence on those returns</w:t>
      </w:r>
      <w:r w:rsidR="0053635F" w:rsidRPr="00781608">
        <w:rPr>
          <w:rFonts w:cs="Times New Roman"/>
          <w:sz w:val="24"/>
          <w:szCs w:val="24"/>
          <w:lang w:val="en-US"/>
        </w:rPr>
        <w:t>. Finding no significant statistical evidence leads Weinstein to believe that there is strong market efficiency.</w:t>
      </w:r>
      <w:r w:rsidR="008D66CC" w:rsidRPr="00781608">
        <w:rPr>
          <w:rFonts w:cs="Times New Roman"/>
          <w:sz w:val="24"/>
          <w:szCs w:val="24"/>
          <w:lang w:val="en-US"/>
        </w:rPr>
        <w:t xml:space="preserve"> </w:t>
      </w:r>
      <w:r w:rsidR="0053635F" w:rsidRPr="00781608">
        <w:rPr>
          <w:rFonts w:cs="Times New Roman"/>
          <w:sz w:val="24"/>
          <w:szCs w:val="24"/>
          <w:lang w:val="en-US"/>
        </w:rPr>
        <w:t>The first</w:t>
      </w:r>
      <w:r w:rsidR="00D05BFF" w:rsidRPr="00781608">
        <w:rPr>
          <w:rFonts w:cs="Times New Roman"/>
          <w:sz w:val="24"/>
          <w:szCs w:val="24"/>
          <w:lang w:val="en-US"/>
        </w:rPr>
        <w:t xml:space="preserve"> ones</w:t>
      </w:r>
      <w:r w:rsidR="0053635F" w:rsidRPr="00781608">
        <w:rPr>
          <w:rFonts w:cs="Times New Roman"/>
          <w:sz w:val="24"/>
          <w:szCs w:val="24"/>
          <w:lang w:val="en-US"/>
        </w:rPr>
        <w:t xml:space="preserve"> to do research on the effect of rating changes on daily bond- and stock prices were Hand</w:t>
      </w:r>
      <w:r w:rsidR="00F84724" w:rsidRPr="00781608">
        <w:rPr>
          <w:rFonts w:cs="Times New Roman"/>
          <w:sz w:val="24"/>
          <w:szCs w:val="24"/>
          <w:lang w:val="en-US"/>
        </w:rPr>
        <w:t xml:space="preserve"> et al. (1992). Using only a 20-</w:t>
      </w:r>
      <w:r w:rsidR="0053635F" w:rsidRPr="00781608">
        <w:rPr>
          <w:rFonts w:cs="Times New Roman"/>
          <w:sz w:val="24"/>
          <w:szCs w:val="24"/>
          <w:lang w:val="en-US"/>
        </w:rPr>
        <w:t>day window, they f</w:t>
      </w:r>
      <w:r w:rsidR="00B23028" w:rsidRPr="00781608">
        <w:rPr>
          <w:rFonts w:cs="Times New Roman"/>
          <w:sz w:val="24"/>
          <w:szCs w:val="24"/>
          <w:lang w:val="en-US"/>
        </w:rPr>
        <w:t>i</w:t>
      </w:r>
      <w:r w:rsidR="0053635F" w:rsidRPr="00781608">
        <w:rPr>
          <w:rFonts w:cs="Times New Roman"/>
          <w:sz w:val="24"/>
          <w:szCs w:val="24"/>
          <w:lang w:val="en-US"/>
        </w:rPr>
        <w:t xml:space="preserve">nd marginal significant evidence for downgrades. Later Cantor and Packer (1996) confirm this result by </w:t>
      </w:r>
      <w:r w:rsidR="006E399E" w:rsidRPr="00781608">
        <w:rPr>
          <w:rFonts w:cs="Times New Roman"/>
          <w:sz w:val="24"/>
          <w:szCs w:val="24"/>
          <w:lang w:val="en-US"/>
        </w:rPr>
        <w:t>showing</w:t>
      </w:r>
      <w:r w:rsidR="0053635F" w:rsidRPr="00781608">
        <w:rPr>
          <w:rFonts w:cs="Times New Roman"/>
          <w:sz w:val="24"/>
          <w:szCs w:val="24"/>
          <w:lang w:val="en-US"/>
        </w:rPr>
        <w:t xml:space="preserve"> that even though most of </w:t>
      </w:r>
      <w:r w:rsidR="006E399E" w:rsidRPr="00781608">
        <w:rPr>
          <w:rFonts w:cs="Times New Roman"/>
          <w:sz w:val="24"/>
          <w:szCs w:val="24"/>
          <w:lang w:val="en-US"/>
        </w:rPr>
        <w:t>a</w:t>
      </w:r>
      <w:r w:rsidR="0053635F" w:rsidRPr="00781608">
        <w:rPr>
          <w:rFonts w:cs="Times New Roman"/>
          <w:sz w:val="24"/>
          <w:szCs w:val="24"/>
          <w:lang w:val="en-US"/>
        </w:rPr>
        <w:t xml:space="preserve"> rating event is already </w:t>
      </w:r>
      <w:r w:rsidR="0074550A" w:rsidRPr="00781608">
        <w:rPr>
          <w:rFonts w:cs="Times New Roman"/>
          <w:sz w:val="24"/>
          <w:szCs w:val="24"/>
          <w:lang w:val="en-US"/>
        </w:rPr>
        <w:t>anticipated;</w:t>
      </w:r>
      <w:r w:rsidR="0053635F" w:rsidRPr="00781608">
        <w:rPr>
          <w:rFonts w:cs="Times New Roman"/>
          <w:sz w:val="24"/>
          <w:szCs w:val="24"/>
          <w:lang w:val="en-US"/>
        </w:rPr>
        <w:t xml:space="preserve"> there are still significant returns after the rating change, suggesting </w:t>
      </w:r>
      <w:r w:rsidR="00DC6BDB" w:rsidRPr="00781608">
        <w:rPr>
          <w:rFonts w:cs="Times New Roman"/>
          <w:sz w:val="24"/>
          <w:szCs w:val="24"/>
          <w:lang w:val="en-US"/>
        </w:rPr>
        <w:t xml:space="preserve">it contains </w:t>
      </w:r>
      <w:r w:rsidR="0053635F" w:rsidRPr="00781608">
        <w:rPr>
          <w:rFonts w:cs="Times New Roman"/>
          <w:sz w:val="24"/>
          <w:szCs w:val="24"/>
          <w:lang w:val="en-US"/>
        </w:rPr>
        <w:t xml:space="preserve">at least some new </w:t>
      </w:r>
      <w:r w:rsidR="00DC6BDB" w:rsidRPr="00781608">
        <w:rPr>
          <w:rFonts w:cs="Times New Roman"/>
          <w:sz w:val="24"/>
          <w:szCs w:val="24"/>
          <w:lang w:val="en-US"/>
        </w:rPr>
        <w:t xml:space="preserve">information. </w:t>
      </w:r>
      <w:r w:rsidR="00B02A3E" w:rsidRPr="00781608">
        <w:rPr>
          <w:rFonts w:cs="Times New Roman"/>
          <w:sz w:val="24"/>
          <w:szCs w:val="24"/>
          <w:lang w:val="en-US"/>
        </w:rPr>
        <w:t xml:space="preserve">Seeing that most of </w:t>
      </w:r>
      <w:r w:rsidR="006E399E" w:rsidRPr="00781608">
        <w:rPr>
          <w:rFonts w:cs="Times New Roman"/>
          <w:sz w:val="24"/>
          <w:szCs w:val="24"/>
          <w:lang w:val="en-US"/>
        </w:rPr>
        <w:t>a</w:t>
      </w:r>
      <w:r w:rsidR="00B02A3E" w:rsidRPr="00781608">
        <w:rPr>
          <w:rFonts w:cs="Times New Roman"/>
          <w:sz w:val="24"/>
          <w:szCs w:val="24"/>
          <w:lang w:val="en-US"/>
        </w:rPr>
        <w:t xml:space="preserve"> rating event </w:t>
      </w:r>
      <w:r w:rsidR="00B23028" w:rsidRPr="00781608">
        <w:rPr>
          <w:rFonts w:cs="Times New Roman"/>
          <w:sz w:val="24"/>
          <w:szCs w:val="24"/>
          <w:lang w:val="en-US"/>
        </w:rPr>
        <w:t>i</w:t>
      </w:r>
      <w:r w:rsidR="00B02A3E" w:rsidRPr="00781608">
        <w:rPr>
          <w:rFonts w:cs="Times New Roman"/>
          <w:sz w:val="24"/>
          <w:szCs w:val="24"/>
          <w:lang w:val="en-US"/>
        </w:rPr>
        <w:t xml:space="preserve">s already anticipated, Hull et al. (2004) look at whether CDS </w:t>
      </w:r>
      <w:r w:rsidR="006E399E" w:rsidRPr="00781608">
        <w:rPr>
          <w:rFonts w:cs="Times New Roman"/>
          <w:sz w:val="24"/>
          <w:szCs w:val="24"/>
          <w:lang w:val="en-US"/>
        </w:rPr>
        <w:t xml:space="preserve">spreads </w:t>
      </w:r>
      <w:r w:rsidR="00B02A3E" w:rsidRPr="00781608">
        <w:rPr>
          <w:rFonts w:cs="Times New Roman"/>
          <w:sz w:val="24"/>
          <w:szCs w:val="24"/>
          <w:lang w:val="en-US"/>
        </w:rPr>
        <w:t>could predict rating events and found significant evidence that they could. From one</w:t>
      </w:r>
      <w:r w:rsidR="00543ED5" w:rsidRPr="00781608">
        <w:rPr>
          <w:rFonts w:cs="Times New Roman"/>
          <w:sz w:val="24"/>
          <w:szCs w:val="24"/>
          <w:lang w:val="en-US"/>
        </w:rPr>
        <w:t xml:space="preserve"> day after the rating event there were no longer any significant returns, which is in line with Norden and Weber (2004)</w:t>
      </w:r>
      <w:r w:rsidR="00B23028" w:rsidRPr="00781608">
        <w:rPr>
          <w:rFonts w:cs="Times New Roman"/>
          <w:sz w:val="24"/>
          <w:szCs w:val="24"/>
          <w:lang w:val="en-US"/>
        </w:rPr>
        <w:t xml:space="preserve"> who fi</w:t>
      </w:r>
      <w:r w:rsidR="00E62714" w:rsidRPr="00781608">
        <w:rPr>
          <w:rFonts w:cs="Times New Roman"/>
          <w:sz w:val="24"/>
          <w:szCs w:val="24"/>
          <w:lang w:val="en-US"/>
        </w:rPr>
        <w:t xml:space="preserve">nd that all type of rating events </w:t>
      </w:r>
      <w:r w:rsidR="00B23028" w:rsidRPr="00781608">
        <w:rPr>
          <w:rFonts w:cs="Times New Roman"/>
          <w:sz w:val="24"/>
          <w:szCs w:val="24"/>
          <w:lang w:val="en-US"/>
        </w:rPr>
        <w:t>a</w:t>
      </w:r>
      <w:r w:rsidR="00E62714" w:rsidRPr="00781608">
        <w:rPr>
          <w:rFonts w:cs="Times New Roman"/>
          <w:sz w:val="24"/>
          <w:szCs w:val="24"/>
          <w:lang w:val="en-US"/>
        </w:rPr>
        <w:t>re anticipated and show no significant results the days after a rating event</w:t>
      </w:r>
      <w:r w:rsidR="00543ED5" w:rsidRPr="00781608">
        <w:rPr>
          <w:rFonts w:cs="Times New Roman"/>
          <w:sz w:val="24"/>
          <w:szCs w:val="24"/>
          <w:lang w:val="en-US"/>
        </w:rPr>
        <w:t>. Micu et al. (2006) g</w:t>
      </w:r>
      <w:r w:rsidR="00B23028" w:rsidRPr="00781608">
        <w:rPr>
          <w:rFonts w:cs="Times New Roman"/>
          <w:sz w:val="24"/>
          <w:szCs w:val="24"/>
          <w:lang w:val="en-US"/>
        </w:rPr>
        <w:t>e</w:t>
      </w:r>
      <w:r w:rsidR="00543ED5" w:rsidRPr="00781608">
        <w:rPr>
          <w:rFonts w:cs="Times New Roman"/>
          <w:sz w:val="24"/>
          <w:szCs w:val="24"/>
          <w:lang w:val="en-US"/>
        </w:rPr>
        <w:t xml:space="preserve">t roughly the same results </w:t>
      </w:r>
      <w:r w:rsidR="009A4223" w:rsidRPr="00781608">
        <w:rPr>
          <w:rFonts w:cs="Times New Roman"/>
          <w:sz w:val="24"/>
          <w:szCs w:val="24"/>
          <w:lang w:val="en-US"/>
        </w:rPr>
        <w:t xml:space="preserve">of </w:t>
      </w:r>
      <w:r w:rsidR="008E7093" w:rsidRPr="00781608">
        <w:rPr>
          <w:rFonts w:cs="Times New Roman"/>
          <w:sz w:val="24"/>
          <w:szCs w:val="24"/>
          <w:lang w:val="en-US"/>
        </w:rPr>
        <w:t>a</w:t>
      </w:r>
      <w:r w:rsidR="00E62714" w:rsidRPr="00781608">
        <w:rPr>
          <w:rFonts w:cs="Times New Roman"/>
          <w:sz w:val="24"/>
          <w:szCs w:val="24"/>
          <w:lang w:val="en-US"/>
        </w:rPr>
        <w:t>nticipating</w:t>
      </w:r>
      <w:r w:rsidR="008E7093" w:rsidRPr="00781608">
        <w:rPr>
          <w:rFonts w:cs="Times New Roman"/>
          <w:sz w:val="24"/>
          <w:szCs w:val="24"/>
          <w:lang w:val="en-US"/>
        </w:rPr>
        <w:t xml:space="preserve"> negative rating events, </w:t>
      </w:r>
      <w:r w:rsidR="009A4223" w:rsidRPr="00781608">
        <w:rPr>
          <w:rFonts w:cs="Times New Roman"/>
          <w:sz w:val="24"/>
          <w:szCs w:val="24"/>
          <w:lang w:val="en-US"/>
        </w:rPr>
        <w:t xml:space="preserve">however, </w:t>
      </w:r>
      <w:r w:rsidR="00543ED5" w:rsidRPr="00781608">
        <w:rPr>
          <w:rFonts w:cs="Times New Roman"/>
          <w:sz w:val="24"/>
          <w:szCs w:val="24"/>
          <w:lang w:val="en-US"/>
        </w:rPr>
        <w:t xml:space="preserve">there </w:t>
      </w:r>
      <w:r w:rsidR="00B23028" w:rsidRPr="00781608">
        <w:rPr>
          <w:rFonts w:cs="Times New Roman"/>
          <w:sz w:val="24"/>
          <w:szCs w:val="24"/>
          <w:lang w:val="en-US"/>
        </w:rPr>
        <w:t>a</w:t>
      </w:r>
      <w:r w:rsidR="00543ED5" w:rsidRPr="00781608">
        <w:rPr>
          <w:rFonts w:cs="Times New Roman"/>
          <w:sz w:val="24"/>
          <w:szCs w:val="24"/>
          <w:lang w:val="en-US"/>
        </w:rPr>
        <w:t xml:space="preserve">re significant returns </w:t>
      </w:r>
      <w:r w:rsidR="00E62714" w:rsidRPr="00781608">
        <w:rPr>
          <w:rFonts w:cs="Times New Roman"/>
          <w:sz w:val="24"/>
          <w:szCs w:val="24"/>
          <w:lang w:val="en-US"/>
        </w:rPr>
        <w:t>a</w:t>
      </w:r>
      <w:r w:rsidR="009A4223" w:rsidRPr="00781608">
        <w:rPr>
          <w:rFonts w:cs="Times New Roman"/>
          <w:sz w:val="24"/>
          <w:szCs w:val="24"/>
          <w:lang w:val="en-US"/>
        </w:rPr>
        <w:t>fter</w:t>
      </w:r>
      <w:r w:rsidR="00543ED5" w:rsidRPr="00781608">
        <w:rPr>
          <w:rFonts w:cs="Times New Roman"/>
          <w:sz w:val="24"/>
          <w:szCs w:val="24"/>
          <w:lang w:val="en-US"/>
        </w:rPr>
        <w:t xml:space="preserve"> positive rating events</w:t>
      </w:r>
      <w:r w:rsidR="008B4F9B" w:rsidRPr="00781608">
        <w:rPr>
          <w:rFonts w:cs="Times New Roman"/>
          <w:sz w:val="24"/>
          <w:szCs w:val="24"/>
          <w:lang w:val="en-US"/>
        </w:rPr>
        <w:t xml:space="preserve"> as </w:t>
      </w:r>
      <w:r w:rsidR="008E7093" w:rsidRPr="00781608">
        <w:rPr>
          <w:rFonts w:cs="Times New Roman"/>
          <w:sz w:val="24"/>
          <w:szCs w:val="24"/>
          <w:lang w:val="en-US"/>
        </w:rPr>
        <w:t>well</w:t>
      </w:r>
      <w:r w:rsidR="00543ED5" w:rsidRPr="00781608">
        <w:rPr>
          <w:rFonts w:cs="Times New Roman"/>
          <w:sz w:val="24"/>
          <w:szCs w:val="24"/>
          <w:lang w:val="en-US"/>
        </w:rPr>
        <w:t xml:space="preserve">, but more on those asymmetric results later in this paper. </w:t>
      </w:r>
    </w:p>
    <w:p w:rsidR="00EC5381" w:rsidRPr="00781608" w:rsidRDefault="00AE578B" w:rsidP="00781608">
      <w:pPr>
        <w:pStyle w:val="Kop2"/>
        <w:spacing w:line="360" w:lineRule="auto"/>
        <w:rPr>
          <w:rFonts w:asciiTheme="minorHAnsi" w:hAnsiTheme="minorHAnsi"/>
          <w:color w:val="auto"/>
          <w:sz w:val="24"/>
          <w:szCs w:val="24"/>
          <w:lang w:val="en-US"/>
        </w:rPr>
      </w:pPr>
      <w:bookmarkStart w:id="6" w:name="_Toc359926547"/>
      <w:r w:rsidRPr="00781608">
        <w:rPr>
          <w:rFonts w:asciiTheme="minorHAnsi" w:hAnsiTheme="minorHAnsi"/>
          <w:color w:val="auto"/>
          <w:sz w:val="24"/>
          <w:szCs w:val="24"/>
          <w:lang w:val="en-US"/>
        </w:rPr>
        <w:t>2.4</w:t>
      </w:r>
      <w:r w:rsidR="00EC5381" w:rsidRPr="00781608">
        <w:rPr>
          <w:rFonts w:asciiTheme="minorHAnsi" w:hAnsiTheme="minorHAnsi"/>
          <w:color w:val="auto"/>
          <w:sz w:val="24"/>
          <w:szCs w:val="24"/>
          <w:lang w:val="en-US"/>
        </w:rPr>
        <w:t xml:space="preserve"> The influence of rating events on sovereign yields</w:t>
      </w:r>
      <w:bookmarkEnd w:id="6"/>
    </w:p>
    <w:p w:rsidR="00453703" w:rsidRPr="00781608" w:rsidRDefault="00FB713A" w:rsidP="00E1177A">
      <w:pPr>
        <w:spacing w:line="360" w:lineRule="auto"/>
        <w:jc w:val="both"/>
        <w:rPr>
          <w:rFonts w:cs="Times New Roman"/>
          <w:b/>
          <w:sz w:val="24"/>
          <w:szCs w:val="24"/>
          <w:lang w:val="en-US"/>
        </w:rPr>
      </w:pPr>
      <w:r w:rsidRPr="00781608">
        <w:rPr>
          <w:rFonts w:cs="Times New Roman"/>
          <w:sz w:val="24"/>
          <w:szCs w:val="24"/>
          <w:lang w:val="en-US"/>
        </w:rPr>
        <w:t>Because sovereign rating is relatively new, the earliest studies on the influence of rating events on sovereign CDS spreads and bonds date from the 1990’s. Cantor and Packer (1996) f</w:t>
      </w:r>
      <w:r w:rsidR="00B23028" w:rsidRPr="00781608">
        <w:rPr>
          <w:rFonts w:cs="Times New Roman"/>
          <w:sz w:val="24"/>
          <w:szCs w:val="24"/>
          <w:lang w:val="en-US"/>
        </w:rPr>
        <w:t>i</w:t>
      </w:r>
      <w:r w:rsidRPr="00781608">
        <w:rPr>
          <w:rFonts w:cs="Times New Roman"/>
          <w:sz w:val="24"/>
          <w:szCs w:val="24"/>
          <w:lang w:val="en-US"/>
        </w:rPr>
        <w:t xml:space="preserve">nd a strong correlation between </w:t>
      </w:r>
      <w:r w:rsidR="00A53519" w:rsidRPr="00781608">
        <w:rPr>
          <w:rFonts w:cs="Times New Roman"/>
          <w:sz w:val="24"/>
          <w:szCs w:val="24"/>
          <w:lang w:val="en-US"/>
        </w:rPr>
        <w:t xml:space="preserve">rating events and sovereign spreads </w:t>
      </w:r>
      <w:r w:rsidR="00A53519" w:rsidRPr="00781608">
        <w:rPr>
          <w:rFonts w:cs="Times New Roman"/>
          <w:sz w:val="24"/>
          <w:szCs w:val="24"/>
          <w:lang w:val="en-US"/>
        </w:rPr>
        <w:lastRenderedPageBreak/>
        <w:t xml:space="preserve">as well as information availability. Even though much of the rating event is anticipated, </w:t>
      </w:r>
      <w:r w:rsidR="00B23028" w:rsidRPr="00781608">
        <w:rPr>
          <w:rFonts w:cs="Times New Roman"/>
          <w:sz w:val="24"/>
          <w:szCs w:val="24"/>
          <w:lang w:val="en-US"/>
        </w:rPr>
        <w:t>they show</w:t>
      </w:r>
      <w:r w:rsidR="00A53519" w:rsidRPr="00781608">
        <w:rPr>
          <w:rFonts w:cs="Times New Roman"/>
          <w:sz w:val="24"/>
          <w:szCs w:val="24"/>
          <w:lang w:val="en-US"/>
        </w:rPr>
        <w:t xml:space="preserve"> significant statistical evidence that rating events independently affect the sovereign spreads. Larrain et al. (1998) f</w:t>
      </w:r>
      <w:r w:rsidR="00B23028" w:rsidRPr="00781608">
        <w:rPr>
          <w:rFonts w:cs="Times New Roman"/>
          <w:sz w:val="24"/>
          <w:szCs w:val="24"/>
          <w:lang w:val="en-US"/>
        </w:rPr>
        <w:t>i</w:t>
      </w:r>
      <w:r w:rsidR="00A53519" w:rsidRPr="00781608">
        <w:rPr>
          <w:rFonts w:cs="Times New Roman"/>
          <w:sz w:val="24"/>
          <w:szCs w:val="24"/>
          <w:lang w:val="en-US"/>
        </w:rPr>
        <w:t xml:space="preserve">nd the same results, muted by anticipation </w:t>
      </w:r>
      <w:r w:rsidR="008E7093" w:rsidRPr="00781608">
        <w:rPr>
          <w:rFonts w:cs="Times New Roman"/>
          <w:sz w:val="24"/>
          <w:szCs w:val="24"/>
          <w:lang w:val="en-US"/>
        </w:rPr>
        <w:t>in the previous weeks</w:t>
      </w:r>
      <w:r w:rsidR="00A53519" w:rsidRPr="00781608">
        <w:rPr>
          <w:rFonts w:cs="Times New Roman"/>
          <w:sz w:val="24"/>
          <w:szCs w:val="24"/>
          <w:lang w:val="en-US"/>
        </w:rPr>
        <w:t>, for negative rating events in emerging markets.</w:t>
      </w:r>
      <w:r w:rsidR="008B4F9B" w:rsidRPr="00781608">
        <w:rPr>
          <w:rFonts w:cs="Times New Roman"/>
          <w:sz w:val="24"/>
          <w:szCs w:val="24"/>
          <w:lang w:val="en-US"/>
        </w:rPr>
        <w:t xml:space="preserve"> Kaminsky and Schmukler (2002) also show that rating events significantly affect sovereign spreads and bond</w:t>
      </w:r>
      <w:r w:rsidR="007467CA" w:rsidRPr="00781608">
        <w:rPr>
          <w:rFonts w:cs="Times New Roman"/>
          <w:sz w:val="24"/>
          <w:szCs w:val="24"/>
          <w:lang w:val="en-US"/>
        </w:rPr>
        <w:t xml:space="preserve"> yields</w:t>
      </w:r>
      <w:r w:rsidR="008B4F9B" w:rsidRPr="00781608">
        <w:rPr>
          <w:rFonts w:cs="Times New Roman"/>
          <w:sz w:val="24"/>
          <w:szCs w:val="24"/>
          <w:lang w:val="en-US"/>
        </w:rPr>
        <w:t>.</w:t>
      </w:r>
      <w:r w:rsidR="00336EE7" w:rsidRPr="00781608">
        <w:rPr>
          <w:rFonts w:cs="Times New Roman"/>
          <w:sz w:val="24"/>
          <w:szCs w:val="24"/>
          <w:lang w:val="en-US"/>
        </w:rPr>
        <w:t xml:space="preserve"> This is in contrast with Bissoondoyal (2004) who finds no significant impact by rating events. </w:t>
      </w:r>
      <w:r w:rsidR="007467CA" w:rsidRPr="00781608">
        <w:rPr>
          <w:rFonts w:cs="Times New Roman"/>
          <w:sz w:val="24"/>
          <w:szCs w:val="24"/>
          <w:lang w:val="en-US"/>
        </w:rPr>
        <w:t>However, l</w:t>
      </w:r>
      <w:r w:rsidR="00336EE7" w:rsidRPr="00781608">
        <w:rPr>
          <w:rFonts w:cs="Times New Roman"/>
          <w:sz w:val="24"/>
          <w:szCs w:val="24"/>
          <w:lang w:val="en-US"/>
        </w:rPr>
        <w:t>ater studies</w:t>
      </w:r>
      <w:r w:rsidR="007467CA" w:rsidRPr="00781608">
        <w:rPr>
          <w:rFonts w:cs="Times New Roman"/>
          <w:sz w:val="24"/>
          <w:szCs w:val="24"/>
          <w:lang w:val="en-US"/>
        </w:rPr>
        <w:t xml:space="preserve"> </w:t>
      </w:r>
      <w:r w:rsidR="008B4F9B" w:rsidRPr="00781608">
        <w:rPr>
          <w:rFonts w:cs="Times New Roman"/>
          <w:sz w:val="24"/>
          <w:szCs w:val="24"/>
          <w:lang w:val="en-US"/>
        </w:rPr>
        <w:t xml:space="preserve">get significant results on rating events having an impact </w:t>
      </w:r>
      <w:r w:rsidR="00F86340" w:rsidRPr="00781608">
        <w:rPr>
          <w:rFonts w:cs="Times New Roman"/>
          <w:sz w:val="24"/>
          <w:szCs w:val="24"/>
          <w:lang w:val="en-US"/>
        </w:rPr>
        <w:t>on the markets</w:t>
      </w:r>
      <w:r w:rsidR="007467CA" w:rsidRPr="00781608">
        <w:rPr>
          <w:rFonts w:cs="Times New Roman"/>
          <w:sz w:val="24"/>
          <w:szCs w:val="24"/>
          <w:lang w:val="en-US"/>
        </w:rPr>
        <w:t xml:space="preserve"> (UNCTAD (2008), Ismailescu and Kazemi (2010) and Afonso et al. (2012))</w:t>
      </w:r>
      <w:r w:rsidR="00F86340" w:rsidRPr="00781608">
        <w:rPr>
          <w:rFonts w:cs="Times New Roman"/>
          <w:sz w:val="24"/>
          <w:szCs w:val="24"/>
          <w:lang w:val="en-US"/>
        </w:rPr>
        <w:t xml:space="preserve">. </w:t>
      </w:r>
      <w:r w:rsidR="007467CA" w:rsidRPr="00781608">
        <w:rPr>
          <w:rFonts w:cs="Times New Roman"/>
          <w:sz w:val="24"/>
          <w:szCs w:val="24"/>
          <w:lang w:val="en-US"/>
        </w:rPr>
        <w:t xml:space="preserve">Additionally, </w:t>
      </w:r>
      <w:r w:rsidR="008B4F9B" w:rsidRPr="00781608">
        <w:rPr>
          <w:rFonts w:cs="Times New Roman"/>
          <w:sz w:val="24"/>
          <w:szCs w:val="24"/>
          <w:lang w:val="en-US"/>
        </w:rPr>
        <w:t xml:space="preserve">Gande and Parsley (2010) also find significant effects </w:t>
      </w:r>
      <w:r w:rsidR="008E7093" w:rsidRPr="00781608">
        <w:rPr>
          <w:rFonts w:cs="Times New Roman"/>
          <w:sz w:val="24"/>
          <w:szCs w:val="24"/>
          <w:lang w:val="en-US"/>
        </w:rPr>
        <w:t xml:space="preserve">of ratings </w:t>
      </w:r>
      <w:r w:rsidR="008B4F9B" w:rsidRPr="00781608">
        <w:rPr>
          <w:rFonts w:cs="Times New Roman"/>
          <w:sz w:val="24"/>
          <w:szCs w:val="24"/>
          <w:lang w:val="en-US"/>
        </w:rPr>
        <w:t xml:space="preserve">on capital flows. After a downgrade, the event country experiences an increased outflow and decreased inflow of capital. </w:t>
      </w:r>
      <w:r w:rsidR="00200035" w:rsidRPr="00781608">
        <w:rPr>
          <w:rFonts w:cs="Times New Roman"/>
          <w:sz w:val="24"/>
          <w:szCs w:val="24"/>
          <w:lang w:val="en-US"/>
        </w:rPr>
        <w:t>Where most studies get significant effects in the aftermath of a rating event even though most of it is anticipated, Hull e</w:t>
      </w:r>
      <w:r w:rsidR="00D05BFF" w:rsidRPr="00781608">
        <w:rPr>
          <w:rFonts w:cs="Times New Roman"/>
          <w:sz w:val="24"/>
          <w:szCs w:val="24"/>
          <w:lang w:val="en-US"/>
        </w:rPr>
        <w:t>t al. (2010) show that sovereign</w:t>
      </w:r>
      <w:r w:rsidR="00200035" w:rsidRPr="00781608">
        <w:rPr>
          <w:rFonts w:cs="Times New Roman"/>
          <w:sz w:val="24"/>
          <w:szCs w:val="24"/>
          <w:lang w:val="en-US"/>
        </w:rPr>
        <w:t xml:space="preserve"> CDS spreads serve as a perfect indicator for upcoming rating events. The total effect is anticipated and adjusted in the markets by the day the rating event is taking place</w:t>
      </w:r>
      <w:r w:rsidR="00910889" w:rsidRPr="00781608">
        <w:rPr>
          <w:rFonts w:cs="Times New Roman"/>
          <w:sz w:val="24"/>
          <w:szCs w:val="24"/>
          <w:lang w:val="en-US"/>
        </w:rPr>
        <w:t>.</w:t>
      </w:r>
      <w:r w:rsidR="000740F8" w:rsidRPr="00781608">
        <w:rPr>
          <w:rFonts w:cs="Times New Roman"/>
          <w:b/>
          <w:sz w:val="24"/>
          <w:szCs w:val="24"/>
          <w:lang w:val="en-US"/>
        </w:rPr>
        <w:t xml:space="preserve"> </w:t>
      </w:r>
      <w:r w:rsidR="00200035" w:rsidRPr="00781608">
        <w:rPr>
          <w:rFonts w:cs="Times New Roman"/>
          <w:sz w:val="24"/>
          <w:szCs w:val="24"/>
          <w:lang w:val="en-US"/>
        </w:rPr>
        <w:t xml:space="preserve">Because of the fact that so much of the rating event is already anticipated and hardly contains any new information, CRAs are criticized for </w:t>
      </w:r>
      <w:r w:rsidR="005E1849" w:rsidRPr="00781608">
        <w:rPr>
          <w:rFonts w:cs="Times New Roman"/>
          <w:sz w:val="24"/>
          <w:szCs w:val="24"/>
          <w:lang w:val="en-US"/>
        </w:rPr>
        <w:t>acting pro-cyclical (Kaminsky and Schmuckler, 2002; Amato and Furfine, 2003 and UNCTAD, 2008). Larrain et al. (1998) and Reinhart (2002) however do not seek the reason in pro-cyclicality but in the reasoning that not only sovereign markets react to rating event</w:t>
      </w:r>
      <w:r w:rsidR="00CA39F4" w:rsidRPr="00781608">
        <w:rPr>
          <w:rFonts w:cs="Times New Roman"/>
          <w:sz w:val="24"/>
          <w:szCs w:val="24"/>
          <w:lang w:val="en-US"/>
        </w:rPr>
        <w:t xml:space="preserve"> </w:t>
      </w:r>
      <w:r w:rsidR="00014CF4" w:rsidRPr="00781608">
        <w:rPr>
          <w:rFonts w:cs="Times New Roman"/>
          <w:sz w:val="24"/>
          <w:szCs w:val="24"/>
          <w:lang w:val="en-US"/>
        </w:rPr>
        <w:t>but</w:t>
      </w:r>
      <w:r w:rsidR="005E1849" w:rsidRPr="00781608">
        <w:rPr>
          <w:rFonts w:cs="Times New Roman"/>
          <w:sz w:val="24"/>
          <w:szCs w:val="24"/>
          <w:lang w:val="en-US"/>
        </w:rPr>
        <w:t xml:space="preserve"> that rating event also systematically happen due to market conditions, suggesting it is a two-way correlation.</w:t>
      </w:r>
      <w:r w:rsidR="00041A26" w:rsidRPr="00781608">
        <w:rPr>
          <w:rFonts w:cs="Times New Roman"/>
          <w:sz w:val="24"/>
          <w:szCs w:val="24"/>
          <w:lang w:val="en-US"/>
        </w:rPr>
        <w:t xml:space="preserve"> </w:t>
      </w:r>
    </w:p>
    <w:p w:rsidR="00EC5381" w:rsidRPr="00781608" w:rsidRDefault="00AE578B" w:rsidP="00781608">
      <w:pPr>
        <w:pStyle w:val="Kop2"/>
        <w:spacing w:line="360" w:lineRule="auto"/>
        <w:rPr>
          <w:rFonts w:asciiTheme="minorHAnsi" w:hAnsiTheme="minorHAnsi" w:cs="Times New Roman"/>
          <w:color w:val="auto"/>
          <w:sz w:val="24"/>
          <w:szCs w:val="24"/>
          <w:lang w:val="en-US"/>
        </w:rPr>
      </w:pPr>
      <w:bookmarkStart w:id="7" w:name="_Toc359926548"/>
      <w:r w:rsidRPr="00781608">
        <w:rPr>
          <w:rFonts w:asciiTheme="minorHAnsi" w:hAnsiTheme="minorHAnsi" w:cs="Times New Roman"/>
          <w:color w:val="auto"/>
          <w:sz w:val="24"/>
          <w:szCs w:val="24"/>
          <w:lang w:val="en-US"/>
        </w:rPr>
        <w:t>2.5</w:t>
      </w:r>
      <w:r w:rsidR="00EC5381" w:rsidRPr="00781608">
        <w:rPr>
          <w:rFonts w:asciiTheme="minorHAnsi" w:hAnsiTheme="minorHAnsi" w:cs="Times New Roman"/>
          <w:color w:val="auto"/>
          <w:sz w:val="24"/>
          <w:szCs w:val="24"/>
          <w:lang w:val="en-US"/>
        </w:rPr>
        <w:t xml:space="preserve"> Information availability</w:t>
      </w:r>
      <w:bookmarkEnd w:id="7"/>
    </w:p>
    <w:p w:rsidR="006B64B6" w:rsidRPr="00781608" w:rsidRDefault="006B64B6" w:rsidP="00764641">
      <w:pPr>
        <w:spacing w:line="360" w:lineRule="auto"/>
        <w:jc w:val="both"/>
        <w:rPr>
          <w:rFonts w:cs="Times New Roman"/>
          <w:sz w:val="24"/>
          <w:szCs w:val="24"/>
          <w:lang w:val="en-US"/>
        </w:rPr>
      </w:pPr>
      <w:r w:rsidRPr="00781608">
        <w:rPr>
          <w:rFonts w:cs="Times New Roman"/>
          <w:sz w:val="24"/>
          <w:szCs w:val="24"/>
          <w:lang w:val="en-US"/>
        </w:rPr>
        <w:t xml:space="preserve">The importance of </w:t>
      </w:r>
      <w:r w:rsidR="00F86340" w:rsidRPr="00781608">
        <w:rPr>
          <w:rFonts w:cs="Times New Roman"/>
          <w:sz w:val="24"/>
          <w:szCs w:val="24"/>
          <w:lang w:val="en-US"/>
        </w:rPr>
        <w:t>information availability</w:t>
      </w:r>
      <w:r w:rsidRPr="00781608">
        <w:rPr>
          <w:rFonts w:cs="Times New Roman"/>
          <w:sz w:val="24"/>
          <w:szCs w:val="24"/>
          <w:lang w:val="en-US"/>
        </w:rPr>
        <w:t xml:space="preserve"> is </w:t>
      </w:r>
      <w:r w:rsidR="00F84724" w:rsidRPr="00781608">
        <w:rPr>
          <w:rFonts w:cs="Times New Roman"/>
          <w:sz w:val="24"/>
          <w:szCs w:val="24"/>
          <w:lang w:val="en-US"/>
        </w:rPr>
        <w:t xml:space="preserve">already </w:t>
      </w:r>
      <w:r w:rsidRPr="00781608">
        <w:rPr>
          <w:rFonts w:cs="Times New Roman"/>
          <w:sz w:val="24"/>
          <w:szCs w:val="24"/>
          <w:lang w:val="en-US"/>
        </w:rPr>
        <w:t>shown by Fama et al. (1969</w:t>
      </w:r>
      <w:r w:rsidR="00F84724" w:rsidRPr="00781608">
        <w:rPr>
          <w:rFonts w:cs="Times New Roman"/>
          <w:sz w:val="24"/>
          <w:szCs w:val="24"/>
          <w:lang w:val="en-US"/>
        </w:rPr>
        <w:t>)</w:t>
      </w:r>
      <w:r w:rsidR="00EC574E" w:rsidRPr="00781608">
        <w:rPr>
          <w:rFonts w:cs="Times New Roman"/>
          <w:sz w:val="24"/>
          <w:szCs w:val="24"/>
          <w:lang w:val="en-US"/>
        </w:rPr>
        <w:t>,</w:t>
      </w:r>
      <w:r w:rsidR="00F84724" w:rsidRPr="00781608">
        <w:rPr>
          <w:rFonts w:cs="Times New Roman"/>
          <w:sz w:val="24"/>
          <w:szCs w:val="24"/>
          <w:lang w:val="en-US"/>
        </w:rPr>
        <w:t xml:space="preserve"> who look at stock splits</w:t>
      </w:r>
      <w:r w:rsidR="00CA39F4" w:rsidRPr="00781608">
        <w:rPr>
          <w:rFonts w:cs="Times New Roman"/>
          <w:sz w:val="24"/>
          <w:szCs w:val="24"/>
          <w:lang w:val="en-US"/>
        </w:rPr>
        <w:t>.</w:t>
      </w:r>
      <w:r w:rsidR="00CA39F4" w:rsidRPr="00781608">
        <w:rPr>
          <w:rStyle w:val="Voetnootmarkering"/>
          <w:rFonts w:cs="Times New Roman"/>
          <w:sz w:val="24"/>
          <w:szCs w:val="24"/>
          <w:lang w:val="en-US"/>
        </w:rPr>
        <w:footnoteReference w:id="6"/>
      </w:r>
      <w:r w:rsidR="00CA39F4" w:rsidRPr="00781608">
        <w:rPr>
          <w:rFonts w:cs="Times New Roman"/>
          <w:sz w:val="24"/>
          <w:szCs w:val="24"/>
          <w:lang w:val="en-US"/>
        </w:rPr>
        <w:t xml:space="preserve"> </w:t>
      </w:r>
      <w:r w:rsidR="000740F8" w:rsidRPr="00781608">
        <w:rPr>
          <w:rFonts w:cs="Times New Roman"/>
          <w:sz w:val="24"/>
          <w:szCs w:val="24"/>
          <w:lang w:val="en-US"/>
        </w:rPr>
        <w:t xml:space="preserve">Announcements for stock splits cause reactions to markets even though not all information </w:t>
      </w:r>
      <w:r w:rsidR="00CA39F4" w:rsidRPr="00781608">
        <w:rPr>
          <w:rFonts w:cs="Times New Roman"/>
          <w:sz w:val="24"/>
          <w:szCs w:val="24"/>
          <w:lang w:val="en-US"/>
        </w:rPr>
        <w:t>i</w:t>
      </w:r>
      <w:r w:rsidR="000740F8" w:rsidRPr="00781608">
        <w:rPr>
          <w:rFonts w:cs="Times New Roman"/>
          <w:sz w:val="24"/>
          <w:szCs w:val="24"/>
          <w:lang w:val="en-US"/>
        </w:rPr>
        <w:t>s available. Only after full disclosure did the markets settle down.</w:t>
      </w:r>
      <w:r w:rsidRPr="00781608">
        <w:rPr>
          <w:rFonts w:cs="Times New Roman"/>
          <w:sz w:val="24"/>
          <w:szCs w:val="24"/>
          <w:lang w:val="en-US"/>
        </w:rPr>
        <w:t xml:space="preserve"> This</w:t>
      </w:r>
      <w:r w:rsidRPr="00781608">
        <w:rPr>
          <w:rFonts w:cs="Times New Roman"/>
          <w:sz w:val="24"/>
          <w:szCs w:val="24"/>
          <w:lang w:val="en-GB"/>
        </w:rPr>
        <w:t xml:space="preserve"> behaviour</w:t>
      </w:r>
      <w:r w:rsidRPr="00781608">
        <w:rPr>
          <w:rFonts w:cs="Times New Roman"/>
          <w:sz w:val="24"/>
          <w:szCs w:val="24"/>
          <w:lang w:val="en-US"/>
        </w:rPr>
        <w:t xml:space="preserve"> underline</w:t>
      </w:r>
      <w:r w:rsidR="00F86340" w:rsidRPr="00781608">
        <w:rPr>
          <w:rFonts w:cs="Times New Roman"/>
          <w:sz w:val="24"/>
          <w:szCs w:val="24"/>
          <w:lang w:val="en-US"/>
        </w:rPr>
        <w:t>s</w:t>
      </w:r>
      <w:r w:rsidRPr="00781608">
        <w:rPr>
          <w:rFonts w:cs="Times New Roman"/>
          <w:sz w:val="24"/>
          <w:szCs w:val="24"/>
          <w:lang w:val="en-US"/>
        </w:rPr>
        <w:t xml:space="preserve"> the importance of the availability of information to the market. When researching </w:t>
      </w:r>
      <w:r w:rsidR="000740F8" w:rsidRPr="00781608">
        <w:rPr>
          <w:rFonts w:cs="Times New Roman"/>
          <w:sz w:val="24"/>
          <w:szCs w:val="24"/>
          <w:lang w:val="en-US"/>
        </w:rPr>
        <w:t>deviations</w:t>
      </w:r>
      <w:r w:rsidRPr="00781608">
        <w:rPr>
          <w:rFonts w:cs="Times New Roman"/>
          <w:sz w:val="24"/>
          <w:szCs w:val="24"/>
          <w:lang w:val="en-US"/>
        </w:rPr>
        <w:t xml:space="preserve"> in models Fama (1998) f</w:t>
      </w:r>
      <w:r w:rsidR="00CA39F4" w:rsidRPr="00781608">
        <w:rPr>
          <w:rFonts w:cs="Times New Roman"/>
          <w:sz w:val="24"/>
          <w:szCs w:val="24"/>
          <w:lang w:val="en-US"/>
        </w:rPr>
        <w:t>i</w:t>
      </w:r>
      <w:r w:rsidRPr="00781608">
        <w:rPr>
          <w:rFonts w:cs="Times New Roman"/>
          <w:sz w:val="24"/>
          <w:szCs w:val="24"/>
          <w:lang w:val="en-US"/>
        </w:rPr>
        <w:t>nd</w:t>
      </w:r>
      <w:r w:rsidR="00CA39F4" w:rsidRPr="00781608">
        <w:rPr>
          <w:rFonts w:cs="Times New Roman"/>
          <w:sz w:val="24"/>
          <w:szCs w:val="24"/>
          <w:lang w:val="en-US"/>
        </w:rPr>
        <w:t>s</w:t>
      </w:r>
      <w:r w:rsidRPr="00781608">
        <w:rPr>
          <w:rFonts w:cs="Times New Roman"/>
          <w:sz w:val="24"/>
          <w:szCs w:val="24"/>
          <w:lang w:val="en-US"/>
        </w:rPr>
        <w:t xml:space="preserve"> that they </w:t>
      </w:r>
      <w:r w:rsidR="00CA39F4" w:rsidRPr="00781608">
        <w:rPr>
          <w:rFonts w:cs="Times New Roman"/>
          <w:sz w:val="24"/>
          <w:szCs w:val="24"/>
          <w:lang w:val="en-US"/>
        </w:rPr>
        <w:t>a</w:t>
      </w:r>
      <w:r w:rsidRPr="00781608">
        <w:rPr>
          <w:rFonts w:cs="Times New Roman"/>
          <w:sz w:val="24"/>
          <w:szCs w:val="24"/>
          <w:lang w:val="en-US"/>
        </w:rPr>
        <w:t xml:space="preserve">re most often present when small firms </w:t>
      </w:r>
      <w:r w:rsidR="00CA39F4" w:rsidRPr="00781608">
        <w:rPr>
          <w:rFonts w:cs="Times New Roman"/>
          <w:sz w:val="24"/>
          <w:szCs w:val="24"/>
          <w:lang w:val="en-US"/>
        </w:rPr>
        <w:t>a</w:t>
      </w:r>
      <w:r w:rsidRPr="00781608">
        <w:rPr>
          <w:rFonts w:cs="Times New Roman"/>
          <w:sz w:val="24"/>
          <w:szCs w:val="24"/>
          <w:lang w:val="en-US"/>
        </w:rPr>
        <w:t xml:space="preserve">re included, suggesting </w:t>
      </w:r>
      <w:r w:rsidRPr="00781608">
        <w:rPr>
          <w:rFonts w:cs="Times New Roman"/>
          <w:sz w:val="24"/>
          <w:szCs w:val="24"/>
          <w:lang w:val="en-US"/>
        </w:rPr>
        <w:lastRenderedPageBreak/>
        <w:t>that information availability (which is often lower for small firms) is of influence on stock returns. If information is not widely available, rating changes bring more of a ‘shock’ to investors and this results in abnormal negative returns after downgrades.</w:t>
      </w:r>
      <w:r w:rsidR="00F86340" w:rsidRPr="00781608">
        <w:rPr>
          <w:rFonts w:cs="Times New Roman"/>
          <w:sz w:val="24"/>
          <w:szCs w:val="24"/>
          <w:lang w:val="en-US"/>
        </w:rPr>
        <w:t xml:space="preserve"> That rating events differ</w:t>
      </w:r>
      <w:r w:rsidR="00924302" w:rsidRPr="00781608">
        <w:rPr>
          <w:rFonts w:cs="Times New Roman"/>
          <w:sz w:val="24"/>
          <w:szCs w:val="24"/>
          <w:lang w:val="en-US"/>
        </w:rPr>
        <w:t>ing</w:t>
      </w:r>
      <w:r w:rsidR="00D32F1D" w:rsidRPr="00781608">
        <w:rPr>
          <w:rFonts w:cs="Times New Roman"/>
          <w:sz w:val="24"/>
          <w:szCs w:val="24"/>
          <w:lang w:val="en-US"/>
        </w:rPr>
        <w:t xml:space="preserve"> in impact could be dependent on the size of the firm is confirmed by Dichev en Piotroski (2001)</w:t>
      </w:r>
      <w:r w:rsidR="00816E4A" w:rsidRPr="00781608">
        <w:rPr>
          <w:rFonts w:cs="Times New Roman"/>
          <w:sz w:val="24"/>
          <w:szCs w:val="24"/>
          <w:lang w:val="en-US"/>
        </w:rPr>
        <w:t xml:space="preserve"> and Micu et al. (2006)</w:t>
      </w:r>
      <w:r w:rsidR="00F86340" w:rsidRPr="00781608">
        <w:rPr>
          <w:rFonts w:cs="Times New Roman"/>
          <w:sz w:val="24"/>
          <w:szCs w:val="24"/>
          <w:lang w:val="en-US"/>
        </w:rPr>
        <w:t>,</w:t>
      </w:r>
      <w:r w:rsidR="00D32F1D" w:rsidRPr="00781608">
        <w:rPr>
          <w:rFonts w:cs="Times New Roman"/>
          <w:sz w:val="24"/>
          <w:szCs w:val="24"/>
          <w:lang w:val="en-US"/>
        </w:rPr>
        <w:t xml:space="preserve"> who </w:t>
      </w:r>
      <w:r w:rsidR="000B660A" w:rsidRPr="00781608">
        <w:rPr>
          <w:rFonts w:cs="Times New Roman"/>
          <w:sz w:val="24"/>
          <w:szCs w:val="24"/>
          <w:lang w:val="en-US"/>
        </w:rPr>
        <w:t xml:space="preserve">all </w:t>
      </w:r>
      <w:r w:rsidR="00D32F1D" w:rsidRPr="00781608">
        <w:rPr>
          <w:rFonts w:cs="Times New Roman"/>
          <w:sz w:val="24"/>
          <w:szCs w:val="24"/>
          <w:lang w:val="en-US"/>
        </w:rPr>
        <w:t>f</w:t>
      </w:r>
      <w:r w:rsidR="00CA39F4" w:rsidRPr="00781608">
        <w:rPr>
          <w:rFonts w:cs="Times New Roman"/>
          <w:sz w:val="24"/>
          <w:szCs w:val="24"/>
          <w:lang w:val="en-US"/>
        </w:rPr>
        <w:t>i</w:t>
      </w:r>
      <w:r w:rsidR="00D32F1D" w:rsidRPr="00781608">
        <w:rPr>
          <w:rFonts w:cs="Times New Roman"/>
          <w:sz w:val="24"/>
          <w:szCs w:val="24"/>
          <w:lang w:val="en-US"/>
        </w:rPr>
        <w:t>nd that underperformance after a downgrade is most pronounced for small firms with ratings of a speculative grade.</w:t>
      </w:r>
      <w:r w:rsidR="00816E4A" w:rsidRPr="00781608">
        <w:rPr>
          <w:rFonts w:cs="Times New Roman"/>
          <w:sz w:val="24"/>
          <w:szCs w:val="24"/>
          <w:lang w:val="en-US"/>
        </w:rPr>
        <w:t xml:space="preserve"> </w:t>
      </w:r>
      <w:r w:rsidR="0074550A" w:rsidRPr="00781608">
        <w:rPr>
          <w:rFonts w:cs="Times New Roman"/>
          <w:sz w:val="24"/>
          <w:szCs w:val="24"/>
          <w:lang w:val="en-US"/>
        </w:rPr>
        <w:t>Whether country size measured in GDP has effect when looking at sovereigns remains inconclusive as Cantor and Packer (2005) find no significant impact but Ferreira and Gama (2007) do.</w:t>
      </w:r>
    </w:p>
    <w:p w:rsidR="00E85560" w:rsidRPr="00781608" w:rsidRDefault="005E1849" w:rsidP="00F15F35">
      <w:pPr>
        <w:spacing w:line="360" w:lineRule="auto"/>
        <w:jc w:val="both"/>
        <w:rPr>
          <w:rFonts w:cs="Times New Roman"/>
          <w:b/>
          <w:sz w:val="24"/>
          <w:szCs w:val="24"/>
          <w:lang w:val="en-US"/>
        </w:rPr>
      </w:pPr>
      <w:r w:rsidRPr="00781608">
        <w:rPr>
          <w:rFonts w:cs="Times New Roman"/>
          <w:sz w:val="24"/>
          <w:szCs w:val="24"/>
          <w:lang w:val="en-US"/>
        </w:rPr>
        <w:t xml:space="preserve">The reasoning of a two-way correlation </w:t>
      </w:r>
      <w:r w:rsidR="00816E4A" w:rsidRPr="00781608">
        <w:rPr>
          <w:rFonts w:cs="Times New Roman"/>
          <w:sz w:val="24"/>
          <w:szCs w:val="24"/>
          <w:lang w:val="en-US"/>
        </w:rPr>
        <w:t xml:space="preserve">as well as the dependence on size </w:t>
      </w:r>
      <w:r w:rsidRPr="00781608">
        <w:rPr>
          <w:rFonts w:cs="Times New Roman"/>
          <w:sz w:val="24"/>
          <w:szCs w:val="24"/>
          <w:lang w:val="en-US"/>
        </w:rPr>
        <w:t xml:space="preserve">seems logical when looking at media coverage. Cantor and Packer (1996) </w:t>
      </w:r>
      <w:r w:rsidR="00CA39F4" w:rsidRPr="00781608">
        <w:rPr>
          <w:rFonts w:cs="Times New Roman"/>
          <w:sz w:val="24"/>
          <w:szCs w:val="24"/>
          <w:lang w:val="en-US"/>
        </w:rPr>
        <w:t xml:space="preserve">have </w:t>
      </w:r>
      <w:r w:rsidRPr="00781608">
        <w:rPr>
          <w:rFonts w:cs="Times New Roman"/>
          <w:sz w:val="24"/>
          <w:szCs w:val="24"/>
          <w:lang w:val="en-US"/>
        </w:rPr>
        <w:t>already found high correlation between rating changes, market reacti</w:t>
      </w:r>
      <w:r w:rsidR="000B660A" w:rsidRPr="00781608">
        <w:rPr>
          <w:rFonts w:cs="Times New Roman"/>
          <w:sz w:val="24"/>
          <w:szCs w:val="24"/>
          <w:lang w:val="en-US"/>
        </w:rPr>
        <w:t>on and information availability</w:t>
      </w:r>
      <w:r w:rsidRPr="00781608">
        <w:rPr>
          <w:rFonts w:cs="Times New Roman"/>
          <w:sz w:val="24"/>
          <w:szCs w:val="24"/>
          <w:lang w:val="en-US"/>
        </w:rPr>
        <w:t xml:space="preserve">. Norden (2008) </w:t>
      </w:r>
      <w:r w:rsidR="00041A26" w:rsidRPr="00781608">
        <w:rPr>
          <w:rFonts w:cs="Times New Roman"/>
          <w:sz w:val="24"/>
          <w:szCs w:val="24"/>
          <w:lang w:val="en-US"/>
        </w:rPr>
        <w:t>predominantly</w:t>
      </w:r>
      <w:r w:rsidRPr="00781608">
        <w:rPr>
          <w:rFonts w:cs="Times New Roman"/>
          <w:sz w:val="24"/>
          <w:szCs w:val="24"/>
          <w:lang w:val="en-US"/>
        </w:rPr>
        <w:t xml:space="preserve"> focus on </w:t>
      </w:r>
      <w:r w:rsidR="00041A26" w:rsidRPr="00781608">
        <w:rPr>
          <w:rFonts w:cs="Times New Roman"/>
          <w:sz w:val="24"/>
          <w:szCs w:val="24"/>
          <w:lang w:val="en-US"/>
        </w:rPr>
        <w:t>media coverage and show that the anticipation of downgrades</w:t>
      </w:r>
      <w:r w:rsidR="006F1B43" w:rsidRPr="00781608">
        <w:rPr>
          <w:rFonts w:cs="Times New Roman"/>
          <w:sz w:val="24"/>
          <w:szCs w:val="24"/>
          <w:lang w:val="en-US"/>
        </w:rPr>
        <w:t xml:space="preserve"> can</w:t>
      </w:r>
      <w:r w:rsidR="00041A26" w:rsidRPr="00781608">
        <w:rPr>
          <w:rFonts w:cs="Times New Roman"/>
          <w:sz w:val="24"/>
          <w:szCs w:val="24"/>
          <w:lang w:val="en-US"/>
        </w:rPr>
        <w:t xml:space="preserve"> very well </w:t>
      </w:r>
      <w:r w:rsidR="006F1B43" w:rsidRPr="00781608">
        <w:rPr>
          <w:rFonts w:cs="Times New Roman"/>
          <w:sz w:val="24"/>
          <w:szCs w:val="24"/>
          <w:lang w:val="en-US"/>
        </w:rPr>
        <w:t xml:space="preserve">be </w:t>
      </w:r>
      <w:r w:rsidR="00041A26" w:rsidRPr="00781608">
        <w:rPr>
          <w:rFonts w:cs="Times New Roman"/>
          <w:sz w:val="24"/>
          <w:szCs w:val="24"/>
          <w:lang w:val="en-US"/>
        </w:rPr>
        <w:t xml:space="preserve">explained by that variable. Firms with high media coverage </w:t>
      </w:r>
      <w:r w:rsidR="009D4F18" w:rsidRPr="00781608">
        <w:rPr>
          <w:rFonts w:cs="Times New Roman"/>
          <w:sz w:val="24"/>
          <w:szCs w:val="24"/>
          <w:lang w:val="en-US"/>
        </w:rPr>
        <w:t>experience a large effect</w:t>
      </w:r>
      <w:r w:rsidR="00041A26" w:rsidRPr="00781608">
        <w:rPr>
          <w:rFonts w:cs="Times New Roman"/>
          <w:sz w:val="24"/>
          <w:szCs w:val="24"/>
          <w:lang w:val="en-US"/>
        </w:rPr>
        <w:t xml:space="preserve"> 90</w:t>
      </w:r>
      <w:r w:rsidR="009D4F18" w:rsidRPr="00781608">
        <w:rPr>
          <w:rFonts w:cs="Times New Roman"/>
          <w:sz w:val="24"/>
          <w:szCs w:val="24"/>
          <w:lang w:val="en-US"/>
        </w:rPr>
        <w:t xml:space="preserve"> to </w:t>
      </w:r>
      <w:r w:rsidR="00041A26" w:rsidRPr="00781608">
        <w:rPr>
          <w:rFonts w:cs="Times New Roman"/>
          <w:sz w:val="24"/>
          <w:szCs w:val="24"/>
          <w:lang w:val="en-US"/>
        </w:rPr>
        <w:t>11 days prior to the rating ev</w:t>
      </w:r>
      <w:r w:rsidR="00D05BFF" w:rsidRPr="00781608">
        <w:rPr>
          <w:rFonts w:cs="Times New Roman"/>
          <w:sz w:val="24"/>
          <w:szCs w:val="24"/>
          <w:lang w:val="en-US"/>
        </w:rPr>
        <w:t>e</w:t>
      </w:r>
      <w:r w:rsidR="00041A26" w:rsidRPr="00781608">
        <w:rPr>
          <w:rFonts w:cs="Times New Roman"/>
          <w:sz w:val="24"/>
          <w:szCs w:val="24"/>
          <w:lang w:val="en-US"/>
        </w:rPr>
        <w:t>nt, whereas firms with low media coverage expe</w:t>
      </w:r>
      <w:r w:rsidR="009D4F18" w:rsidRPr="00781608">
        <w:rPr>
          <w:rFonts w:cs="Times New Roman"/>
          <w:sz w:val="24"/>
          <w:szCs w:val="24"/>
          <w:lang w:val="en-US"/>
        </w:rPr>
        <w:t>rience the highest effect</w:t>
      </w:r>
      <w:r w:rsidR="00041A26" w:rsidRPr="00781608">
        <w:rPr>
          <w:rFonts w:cs="Times New Roman"/>
          <w:sz w:val="24"/>
          <w:szCs w:val="24"/>
          <w:lang w:val="en-US"/>
        </w:rPr>
        <w:t xml:space="preserve"> 11</w:t>
      </w:r>
      <w:r w:rsidR="009D4F18" w:rsidRPr="00781608">
        <w:rPr>
          <w:rFonts w:cs="Times New Roman"/>
          <w:sz w:val="24"/>
          <w:szCs w:val="24"/>
          <w:lang w:val="en-US"/>
        </w:rPr>
        <w:t xml:space="preserve"> to </w:t>
      </w:r>
      <w:r w:rsidR="00041A26" w:rsidRPr="00781608">
        <w:rPr>
          <w:rFonts w:cs="Times New Roman"/>
          <w:sz w:val="24"/>
          <w:szCs w:val="24"/>
          <w:lang w:val="en-US"/>
        </w:rPr>
        <w:t>2 days prior to the even</w:t>
      </w:r>
      <w:r w:rsidR="00924302" w:rsidRPr="00781608">
        <w:rPr>
          <w:rFonts w:cs="Times New Roman"/>
          <w:sz w:val="24"/>
          <w:szCs w:val="24"/>
          <w:lang w:val="en-US"/>
        </w:rPr>
        <w:t>t. This suggests that ratings or</w:t>
      </w:r>
      <w:r w:rsidR="00041A26" w:rsidRPr="00781608">
        <w:rPr>
          <w:rFonts w:cs="Times New Roman"/>
          <w:sz w:val="24"/>
          <w:szCs w:val="24"/>
          <w:lang w:val="en-US"/>
        </w:rPr>
        <w:t xml:space="preserve"> reviews for firms with low media coverage contain more additional information. He also gives empirical evidence on private information having influence as well. Firms that are being financed by a large number of banks seem to </w:t>
      </w:r>
      <w:r w:rsidR="00751F7D" w:rsidRPr="00781608">
        <w:rPr>
          <w:rFonts w:cs="Times New Roman"/>
          <w:sz w:val="24"/>
          <w:szCs w:val="24"/>
          <w:lang w:val="en-US"/>
        </w:rPr>
        <w:t>provide</w:t>
      </w:r>
      <w:r w:rsidR="00041A26" w:rsidRPr="00781608">
        <w:rPr>
          <w:rFonts w:cs="Times New Roman"/>
          <w:sz w:val="24"/>
          <w:szCs w:val="24"/>
          <w:lang w:val="en-US"/>
        </w:rPr>
        <w:t xml:space="preserve"> the CDS market with private information. This makes sense, as banks would have inside information on the firms they are financing. The CDS market, on which banks are active, has a stronger reaction prior to negative events than on the event day or in the days following the rating event.</w:t>
      </w:r>
      <w:r w:rsidR="00E85560" w:rsidRPr="00781608">
        <w:rPr>
          <w:rFonts w:cs="Times New Roman"/>
          <w:sz w:val="24"/>
          <w:szCs w:val="24"/>
          <w:lang w:val="en-US"/>
        </w:rPr>
        <w:t xml:space="preserve"> The imp</w:t>
      </w:r>
      <w:r w:rsidR="006F1B43" w:rsidRPr="00781608">
        <w:rPr>
          <w:rFonts w:cs="Times New Roman"/>
          <w:sz w:val="24"/>
          <w:szCs w:val="24"/>
          <w:lang w:val="en-US"/>
        </w:rPr>
        <w:t>act</w:t>
      </w:r>
      <w:r w:rsidR="00E85560" w:rsidRPr="00781608">
        <w:rPr>
          <w:rFonts w:cs="Times New Roman"/>
          <w:sz w:val="24"/>
          <w:szCs w:val="24"/>
          <w:lang w:val="en-US"/>
        </w:rPr>
        <w:t xml:space="preserve"> of med</w:t>
      </w:r>
      <w:r w:rsidR="009D4F18" w:rsidRPr="00781608">
        <w:rPr>
          <w:rFonts w:cs="Times New Roman"/>
          <w:sz w:val="24"/>
          <w:szCs w:val="24"/>
          <w:lang w:val="en-US"/>
        </w:rPr>
        <w:t>ia coverage is best explained by</w:t>
      </w:r>
      <w:r w:rsidR="00E85560" w:rsidRPr="00781608">
        <w:rPr>
          <w:rFonts w:cs="Times New Roman"/>
          <w:sz w:val="24"/>
          <w:szCs w:val="24"/>
          <w:lang w:val="en-US"/>
        </w:rPr>
        <w:t xml:space="preserve"> Radelet et al. (1998)</w:t>
      </w:r>
      <w:r w:rsidR="006F1B43" w:rsidRPr="00781608">
        <w:rPr>
          <w:rFonts w:cs="Times New Roman"/>
          <w:sz w:val="24"/>
          <w:szCs w:val="24"/>
          <w:lang w:val="en-US"/>
        </w:rPr>
        <w:t xml:space="preserve"> who </w:t>
      </w:r>
      <w:r w:rsidR="007467CA" w:rsidRPr="00781608">
        <w:rPr>
          <w:rFonts w:cs="Times New Roman"/>
          <w:sz w:val="24"/>
          <w:szCs w:val="24"/>
          <w:lang w:val="en-US"/>
        </w:rPr>
        <w:t xml:space="preserve">looks into </w:t>
      </w:r>
      <w:r w:rsidR="006F1B43" w:rsidRPr="00781608">
        <w:rPr>
          <w:rFonts w:cs="Times New Roman"/>
          <w:sz w:val="24"/>
          <w:szCs w:val="24"/>
          <w:lang w:val="en-US"/>
        </w:rPr>
        <w:t xml:space="preserve">the effect of </w:t>
      </w:r>
      <w:r w:rsidR="007467CA" w:rsidRPr="00781608">
        <w:rPr>
          <w:rFonts w:cs="Times New Roman"/>
          <w:sz w:val="24"/>
          <w:szCs w:val="24"/>
          <w:lang w:val="en-US"/>
        </w:rPr>
        <w:t>the</w:t>
      </w:r>
      <w:r w:rsidR="006F1B43" w:rsidRPr="00781608">
        <w:rPr>
          <w:rFonts w:cs="Times New Roman"/>
          <w:sz w:val="24"/>
          <w:szCs w:val="24"/>
          <w:lang w:val="en-US"/>
        </w:rPr>
        <w:t xml:space="preserve"> announcement made by </w:t>
      </w:r>
      <w:r w:rsidR="007467CA" w:rsidRPr="00781608">
        <w:rPr>
          <w:rFonts w:cs="Times New Roman"/>
          <w:sz w:val="24"/>
          <w:szCs w:val="24"/>
          <w:lang w:val="en-US"/>
        </w:rPr>
        <w:t xml:space="preserve">the </w:t>
      </w:r>
      <w:r w:rsidR="006F1B43" w:rsidRPr="00781608">
        <w:rPr>
          <w:rFonts w:cs="Times New Roman"/>
          <w:sz w:val="24"/>
          <w:szCs w:val="24"/>
          <w:lang w:val="en-US"/>
        </w:rPr>
        <w:t>US Treasury and the IMF that Indonesia was not implementing the IMF rescue program as agreed</w:t>
      </w:r>
      <w:r w:rsidR="00F90D89" w:rsidRPr="00781608">
        <w:rPr>
          <w:rStyle w:val="Voetnootmarkering"/>
          <w:rFonts w:cs="Times New Roman"/>
          <w:sz w:val="24"/>
          <w:szCs w:val="24"/>
        </w:rPr>
        <w:footnoteReference w:id="7"/>
      </w:r>
      <w:r w:rsidR="006F1B43" w:rsidRPr="00781608">
        <w:rPr>
          <w:rFonts w:cs="Times New Roman"/>
          <w:sz w:val="24"/>
          <w:szCs w:val="24"/>
          <w:lang w:val="en-US"/>
        </w:rPr>
        <w:t>.</w:t>
      </w:r>
      <w:r w:rsidR="000B660A" w:rsidRPr="00781608">
        <w:rPr>
          <w:rFonts w:cs="Times New Roman"/>
          <w:sz w:val="24"/>
          <w:szCs w:val="24"/>
          <w:lang w:val="en-US"/>
        </w:rPr>
        <w:t xml:space="preserve"> In reaction, interest rates and bond yields increased making it therefore impossible to honor agree</w:t>
      </w:r>
      <w:r w:rsidR="001F3F72" w:rsidRPr="00781608">
        <w:rPr>
          <w:rFonts w:cs="Times New Roman"/>
          <w:sz w:val="24"/>
          <w:szCs w:val="24"/>
          <w:lang w:val="en-US"/>
        </w:rPr>
        <w:t>ments</w:t>
      </w:r>
      <w:r w:rsidR="000B660A" w:rsidRPr="00781608">
        <w:rPr>
          <w:rFonts w:cs="Times New Roman"/>
          <w:sz w:val="24"/>
          <w:szCs w:val="24"/>
          <w:lang w:val="en-US"/>
        </w:rPr>
        <w:t xml:space="preserve">. </w:t>
      </w:r>
      <w:r w:rsidR="0023157F" w:rsidRPr="00781608">
        <w:rPr>
          <w:rFonts w:cs="Times New Roman"/>
          <w:sz w:val="24"/>
          <w:szCs w:val="24"/>
          <w:lang w:val="en-US"/>
        </w:rPr>
        <w:t>The announcement was made too hasty, but as media coverage in these events is extremely high, the damage already done.</w:t>
      </w:r>
      <w:r w:rsidR="006F1B43" w:rsidRPr="00781608">
        <w:rPr>
          <w:rFonts w:cs="Times New Roman"/>
          <w:sz w:val="24"/>
          <w:szCs w:val="24"/>
          <w:lang w:val="en-US"/>
        </w:rPr>
        <w:t xml:space="preserve"> </w:t>
      </w:r>
    </w:p>
    <w:p w:rsidR="00EC5381" w:rsidRPr="00781608" w:rsidRDefault="00AE578B" w:rsidP="00A16CD4">
      <w:pPr>
        <w:pStyle w:val="Kop2"/>
        <w:spacing w:before="0" w:line="360" w:lineRule="auto"/>
        <w:rPr>
          <w:rFonts w:asciiTheme="minorHAnsi" w:hAnsiTheme="minorHAnsi" w:cs="Times New Roman"/>
          <w:color w:val="auto"/>
          <w:sz w:val="24"/>
          <w:szCs w:val="24"/>
          <w:lang w:val="en-US"/>
        </w:rPr>
      </w:pPr>
      <w:bookmarkStart w:id="8" w:name="_Toc359926549"/>
      <w:r w:rsidRPr="00781608">
        <w:rPr>
          <w:rFonts w:asciiTheme="minorHAnsi" w:hAnsiTheme="minorHAnsi" w:cs="Times New Roman"/>
          <w:color w:val="auto"/>
          <w:sz w:val="24"/>
          <w:szCs w:val="24"/>
          <w:lang w:val="en-US"/>
        </w:rPr>
        <w:lastRenderedPageBreak/>
        <w:t>2.6</w:t>
      </w:r>
      <w:r w:rsidR="00EC5381" w:rsidRPr="00781608">
        <w:rPr>
          <w:rFonts w:asciiTheme="minorHAnsi" w:hAnsiTheme="minorHAnsi" w:cs="Times New Roman"/>
          <w:color w:val="auto"/>
          <w:sz w:val="24"/>
          <w:szCs w:val="24"/>
          <w:lang w:val="en-US"/>
        </w:rPr>
        <w:t xml:space="preserve"> Transparency</w:t>
      </w:r>
      <w:bookmarkEnd w:id="8"/>
    </w:p>
    <w:p w:rsidR="005D62CA" w:rsidRPr="00781608" w:rsidRDefault="006F1B43" w:rsidP="00E1177A">
      <w:pPr>
        <w:spacing w:line="360" w:lineRule="auto"/>
        <w:jc w:val="both"/>
        <w:rPr>
          <w:rFonts w:cs="Times New Roman"/>
          <w:b/>
          <w:sz w:val="24"/>
          <w:szCs w:val="24"/>
          <w:lang w:val="en-US"/>
        </w:rPr>
      </w:pPr>
      <w:r w:rsidRPr="00781608">
        <w:rPr>
          <w:rFonts w:cs="Times New Roman"/>
          <w:sz w:val="24"/>
          <w:szCs w:val="24"/>
          <w:lang w:val="en-US"/>
        </w:rPr>
        <w:t xml:space="preserve">When </w:t>
      </w:r>
      <w:r w:rsidR="0023157F" w:rsidRPr="00781608">
        <w:rPr>
          <w:rFonts w:cs="Times New Roman"/>
          <w:sz w:val="24"/>
          <w:szCs w:val="24"/>
          <w:lang w:val="en-US"/>
        </w:rPr>
        <w:t>information availability</w:t>
      </w:r>
      <w:r w:rsidRPr="00781608">
        <w:rPr>
          <w:rFonts w:cs="Times New Roman"/>
          <w:sz w:val="24"/>
          <w:szCs w:val="24"/>
          <w:lang w:val="en-US"/>
        </w:rPr>
        <w:t xml:space="preserve"> is low it could </w:t>
      </w:r>
      <w:r w:rsidR="0023157F" w:rsidRPr="00781608">
        <w:rPr>
          <w:rFonts w:cs="Times New Roman"/>
          <w:sz w:val="24"/>
          <w:szCs w:val="24"/>
          <w:lang w:val="en-US"/>
        </w:rPr>
        <w:t>be because of low transparency, which might</w:t>
      </w:r>
      <w:r w:rsidR="006B0975" w:rsidRPr="00781608">
        <w:rPr>
          <w:rFonts w:cs="Times New Roman"/>
          <w:sz w:val="24"/>
          <w:szCs w:val="24"/>
          <w:lang w:val="en-US"/>
        </w:rPr>
        <w:t xml:space="preserve"> be </w:t>
      </w:r>
      <w:r w:rsidR="0023157F" w:rsidRPr="00781608">
        <w:rPr>
          <w:rFonts w:cs="Times New Roman"/>
          <w:sz w:val="24"/>
          <w:szCs w:val="24"/>
          <w:lang w:val="en-US"/>
        </w:rPr>
        <w:t xml:space="preserve">an indication </w:t>
      </w:r>
      <w:r w:rsidR="006B0975" w:rsidRPr="00781608">
        <w:rPr>
          <w:rFonts w:cs="Times New Roman"/>
          <w:sz w:val="24"/>
          <w:szCs w:val="24"/>
          <w:lang w:val="en-US"/>
        </w:rPr>
        <w:t xml:space="preserve">that the </w:t>
      </w:r>
      <w:r w:rsidR="00751F7D" w:rsidRPr="00781608">
        <w:rPr>
          <w:rFonts w:cs="Times New Roman"/>
          <w:sz w:val="24"/>
          <w:szCs w:val="24"/>
          <w:lang w:val="en-US"/>
        </w:rPr>
        <w:t>relevant</w:t>
      </w:r>
      <w:r w:rsidR="006B0975" w:rsidRPr="00781608">
        <w:rPr>
          <w:rFonts w:cs="Times New Roman"/>
          <w:sz w:val="24"/>
          <w:szCs w:val="24"/>
          <w:lang w:val="en-US"/>
        </w:rPr>
        <w:t xml:space="preserve"> country experiences a high level of</w:t>
      </w:r>
      <w:r w:rsidR="0023157F" w:rsidRPr="00781608">
        <w:rPr>
          <w:rFonts w:cs="Times New Roman"/>
          <w:sz w:val="24"/>
          <w:szCs w:val="24"/>
          <w:lang w:val="en-US"/>
        </w:rPr>
        <w:t xml:space="preserve"> corruption</w:t>
      </w:r>
      <w:r w:rsidR="00A47510" w:rsidRPr="00781608">
        <w:rPr>
          <w:rFonts w:cs="Times New Roman"/>
          <w:sz w:val="24"/>
          <w:szCs w:val="24"/>
          <w:lang w:val="en-US"/>
        </w:rPr>
        <w:t xml:space="preserve">. Drabek and Payne (2001) look at the different aspects of transparency and define </w:t>
      </w:r>
      <w:r w:rsidR="001F3F72" w:rsidRPr="00781608">
        <w:rPr>
          <w:rFonts w:cs="Times New Roman"/>
          <w:sz w:val="24"/>
          <w:szCs w:val="24"/>
          <w:lang w:val="en-US"/>
        </w:rPr>
        <w:t>low transparency</w:t>
      </w:r>
      <w:r w:rsidR="00A47510" w:rsidRPr="00781608">
        <w:rPr>
          <w:rFonts w:cs="Times New Roman"/>
          <w:sz w:val="24"/>
          <w:szCs w:val="24"/>
          <w:lang w:val="en-US"/>
        </w:rPr>
        <w:t xml:space="preserve"> as either bribe and corruption, lack of property rights protection, bureaucratic inefficiency, poor law enforcement or the likeliness of economic policy.</w:t>
      </w:r>
      <w:r w:rsidR="006B0975" w:rsidRPr="00781608">
        <w:rPr>
          <w:rFonts w:cs="Times New Roman"/>
          <w:sz w:val="24"/>
          <w:szCs w:val="24"/>
          <w:lang w:val="en-US"/>
        </w:rPr>
        <w:t xml:space="preserve"> </w:t>
      </w:r>
      <w:r w:rsidR="001F3F72" w:rsidRPr="00781608">
        <w:rPr>
          <w:rFonts w:cs="Times New Roman"/>
          <w:sz w:val="24"/>
          <w:szCs w:val="24"/>
          <w:lang w:val="en-US"/>
        </w:rPr>
        <w:t>The</w:t>
      </w:r>
      <w:r w:rsidR="00A47510" w:rsidRPr="00781608">
        <w:rPr>
          <w:rFonts w:cs="Times New Roman"/>
          <w:sz w:val="24"/>
          <w:szCs w:val="24"/>
          <w:lang w:val="en-US"/>
        </w:rPr>
        <w:t xml:space="preserve"> level of transparency is closely </w:t>
      </w:r>
      <w:r w:rsidR="003A0DFF" w:rsidRPr="00781608">
        <w:rPr>
          <w:rFonts w:cs="Times New Roman"/>
          <w:sz w:val="24"/>
          <w:szCs w:val="24"/>
          <w:lang w:val="en-US"/>
        </w:rPr>
        <w:t>related to the level of public</w:t>
      </w:r>
      <w:r w:rsidR="00A47510" w:rsidRPr="00781608">
        <w:rPr>
          <w:rFonts w:cs="Times New Roman"/>
          <w:sz w:val="24"/>
          <w:szCs w:val="24"/>
          <w:lang w:val="en-US"/>
        </w:rPr>
        <w:t xml:space="preserve">ly available information. If this level is low, </w:t>
      </w:r>
      <w:r w:rsidR="006B0975" w:rsidRPr="00781608">
        <w:rPr>
          <w:rFonts w:cs="Times New Roman"/>
          <w:sz w:val="24"/>
          <w:szCs w:val="24"/>
          <w:lang w:val="en-US"/>
        </w:rPr>
        <w:t>any piece of information that become</w:t>
      </w:r>
      <w:r w:rsidR="00A47510" w:rsidRPr="00781608">
        <w:rPr>
          <w:rFonts w:cs="Times New Roman"/>
          <w:sz w:val="24"/>
          <w:szCs w:val="24"/>
          <w:lang w:val="en-US"/>
        </w:rPr>
        <w:t>s</w:t>
      </w:r>
      <w:r w:rsidR="006B0975" w:rsidRPr="00781608">
        <w:rPr>
          <w:rFonts w:cs="Times New Roman"/>
          <w:sz w:val="24"/>
          <w:szCs w:val="24"/>
          <w:lang w:val="en-US"/>
        </w:rPr>
        <w:t xml:space="preserve"> public </w:t>
      </w:r>
      <w:r w:rsidR="00A47510" w:rsidRPr="00781608">
        <w:rPr>
          <w:rFonts w:cs="Times New Roman"/>
          <w:sz w:val="24"/>
          <w:szCs w:val="24"/>
          <w:lang w:val="en-US"/>
        </w:rPr>
        <w:t>will ha</w:t>
      </w:r>
      <w:r w:rsidR="006B0975" w:rsidRPr="00781608">
        <w:rPr>
          <w:rFonts w:cs="Times New Roman"/>
          <w:sz w:val="24"/>
          <w:szCs w:val="24"/>
          <w:lang w:val="en-US"/>
        </w:rPr>
        <w:t>ve large</w:t>
      </w:r>
      <w:r w:rsidR="00A47510" w:rsidRPr="00781608">
        <w:rPr>
          <w:rFonts w:cs="Times New Roman"/>
          <w:sz w:val="24"/>
          <w:szCs w:val="24"/>
          <w:lang w:val="en-US"/>
        </w:rPr>
        <w:t>r</w:t>
      </w:r>
      <w:r w:rsidR="006B0975" w:rsidRPr="00781608">
        <w:rPr>
          <w:rFonts w:cs="Times New Roman"/>
          <w:sz w:val="24"/>
          <w:szCs w:val="24"/>
          <w:lang w:val="en-US"/>
        </w:rPr>
        <w:t xml:space="preserve"> impact on the markets</w:t>
      </w:r>
      <w:r w:rsidR="00A47510" w:rsidRPr="00781608">
        <w:rPr>
          <w:rFonts w:cs="Times New Roman"/>
          <w:sz w:val="24"/>
          <w:szCs w:val="24"/>
          <w:lang w:val="en-US"/>
        </w:rPr>
        <w:t xml:space="preserve"> compared to transparent countries.</w:t>
      </w:r>
      <w:r w:rsidR="006B0975" w:rsidRPr="00781608">
        <w:rPr>
          <w:rFonts w:cs="Times New Roman"/>
          <w:sz w:val="24"/>
          <w:szCs w:val="24"/>
          <w:lang w:val="en-US"/>
        </w:rPr>
        <w:t xml:space="preserve"> Since information is not always public</w:t>
      </w:r>
      <w:r w:rsidR="00A47510" w:rsidRPr="00781608">
        <w:rPr>
          <w:rFonts w:cs="Times New Roman"/>
          <w:sz w:val="24"/>
          <w:szCs w:val="24"/>
          <w:lang w:val="en-US"/>
        </w:rPr>
        <w:t>al</w:t>
      </w:r>
      <w:r w:rsidR="006B0975" w:rsidRPr="00781608">
        <w:rPr>
          <w:rFonts w:cs="Times New Roman"/>
          <w:sz w:val="24"/>
          <w:szCs w:val="24"/>
          <w:lang w:val="en-US"/>
        </w:rPr>
        <w:t xml:space="preserve">ly available in the case of corruption, markets </w:t>
      </w:r>
      <w:r w:rsidR="00FF71D6" w:rsidRPr="00781608">
        <w:rPr>
          <w:rFonts w:cs="Times New Roman"/>
          <w:sz w:val="24"/>
          <w:szCs w:val="24"/>
          <w:lang w:val="en-US"/>
        </w:rPr>
        <w:t xml:space="preserve">are quite dependent on the opinion of CRAs. </w:t>
      </w:r>
      <w:r w:rsidR="00A47510" w:rsidRPr="00781608">
        <w:rPr>
          <w:rFonts w:cs="Times New Roman"/>
          <w:sz w:val="24"/>
          <w:szCs w:val="24"/>
          <w:lang w:val="en-US"/>
        </w:rPr>
        <w:t>This is endorsed by Kaminsky and Schmukler (2010)</w:t>
      </w:r>
      <w:r w:rsidR="00924302" w:rsidRPr="00781608">
        <w:rPr>
          <w:rFonts w:cs="Times New Roman"/>
          <w:sz w:val="24"/>
          <w:szCs w:val="24"/>
          <w:lang w:val="en-US"/>
        </w:rPr>
        <w:t>,</w:t>
      </w:r>
      <w:r w:rsidR="00A47510" w:rsidRPr="00781608">
        <w:rPr>
          <w:rFonts w:cs="Times New Roman"/>
          <w:sz w:val="24"/>
          <w:szCs w:val="24"/>
          <w:lang w:val="en-US"/>
        </w:rPr>
        <w:t xml:space="preserve"> who find that rating events only have significant impact in non-transparent countries.</w:t>
      </w:r>
      <w:r w:rsidR="00016DD5" w:rsidRPr="00781608">
        <w:rPr>
          <w:rFonts w:cs="Times New Roman"/>
          <w:sz w:val="24"/>
          <w:szCs w:val="24"/>
          <w:lang w:val="en-US"/>
        </w:rPr>
        <w:t xml:space="preserve"> Gande and Parsley (2010) reason that for rating events to have an impact, they should contain new information. Since the level of information availabi</w:t>
      </w:r>
      <w:r w:rsidR="00D05BFF" w:rsidRPr="00781608">
        <w:rPr>
          <w:rFonts w:cs="Times New Roman"/>
          <w:sz w:val="24"/>
          <w:szCs w:val="24"/>
          <w:lang w:val="en-US"/>
        </w:rPr>
        <w:t xml:space="preserve">lity differs among </w:t>
      </w:r>
      <w:r w:rsidR="00016DD5" w:rsidRPr="00781608">
        <w:rPr>
          <w:rFonts w:cs="Times New Roman"/>
          <w:sz w:val="24"/>
          <w:szCs w:val="24"/>
          <w:lang w:val="en-US"/>
        </w:rPr>
        <w:t>countries, they imagined that the level of corrup</w:t>
      </w:r>
      <w:r w:rsidR="0092311E" w:rsidRPr="00781608">
        <w:rPr>
          <w:rFonts w:cs="Times New Roman"/>
          <w:sz w:val="24"/>
          <w:szCs w:val="24"/>
          <w:lang w:val="en-US"/>
        </w:rPr>
        <w:t>t</w:t>
      </w:r>
      <w:r w:rsidR="00016DD5" w:rsidRPr="00781608">
        <w:rPr>
          <w:rFonts w:cs="Times New Roman"/>
          <w:sz w:val="24"/>
          <w:szCs w:val="24"/>
          <w:lang w:val="en-US"/>
        </w:rPr>
        <w:t>ion could serve as an inf</w:t>
      </w:r>
      <w:r w:rsidR="007467CA" w:rsidRPr="00781608">
        <w:rPr>
          <w:rFonts w:cs="Times New Roman"/>
          <w:sz w:val="24"/>
          <w:szCs w:val="24"/>
          <w:lang w:val="en-US"/>
        </w:rPr>
        <w:t>luential variable and indeed fi</w:t>
      </w:r>
      <w:r w:rsidR="00016DD5" w:rsidRPr="00781608">
        <w:rPr>
          <w:rFonts w:cs="Times New Roman"/>
          <w:sz w:val="24"/>
          <w:szCs w:val="24"/>
          <w:lang w:val="en-US"/>
        </w:rPr>
        <w:t xml:space="preserve">nd that less corruption (i.e., </w:t>
      </w:r>
      <w:r w:rsidR="00B36FC5" w:rsidRPr="00781608">
        <w:rPr>
          <w:rFonts w:cs="Times New Roman"/>
          <w:sz w:val="24"/>
          <w:szCs w:val="24"/>
          <w:lang w:val="en-US"/>
        </w:rPr>
        <w:t xml:space="preserve">more </w:t>
      </w:r>
      <w:r w:rsidR="00016DD5" w:rsidRPr="00781608">
        <w:rPr>
          <w:rFonts w:cs="Times New Roman"/>
          <w:sz w:val="24"/>
          <w:szCs w:val="24"/>
          <w:lang w:val="en-US"/>
        </w:rPr>
        <w:t xml:space="preserve">transparency) completely offsets any impact by rating events. Their study also shows that </w:t>
      </w:r>
      <w:r w:rsidR="007467CA" w:rsidRPr="00781608">
        <w:rPr>
          <w:rFonts w:cs="Times New Roman"/>
          <w:sz w:val="24"/>
          <w:szCs w:val="24"/>
          <w:lang w:val="en-US"/>
        </w:rPr>
        <w:t xml:space="preserve">more </w:t>
      </w:r>
      <w:r w:rsidR="00016DD5" w:rsidRPr="00781608">
        <w:rPr>
          <w:rFonts w:cs="Times New Roman"/>
          <w:sz w:val="24"/>
          <w:szCs w:val="24"/>
          <w:lang w:val="en-US"/>
        </w:rPr>
        <w:t>corrupt countries (i.e., low transparency level)</w:t>
      </w:r>
      <w:r w:rsidR="0092311E" w:rsidRPr="00781608">
        <w:rPr>
          <w:rFonts w:cs="Times New Roman"/>
          <w:sz w:val="24"/>
          <w:szCs w:val="24"/>
          <w:lang w:val="en-US"/>
        </w:rPr>
        <w:t xml:space="preserve"> which </w:t>
      </w:r>
      <w:r w:rsidR="00C5715D" w:rsidRPr="00781608">
        <w:rPr>
          <w:rFonts w:cs="Times New Roman"/>
          <w:sz w:val="24"/>
          <w:szCs w:val="24"/>
          <w:lang w:val="en-US"/>
        </w:rPr>
        <w:t>experience a downgrade have significantly high capital outflows, mainly to non-events</w:t>
      </w:r>
      <w:r w:rsidR="00016DD5" w:rsidRPr="00781608">
        <w:rPr>
          <w:rFonts w:cs="Times New Roman"/>
          <w:sz w:val="24"/>
          <w:szCs w:val="24"/>
          <w:lang w:val="en-US"/>
        </w:rPr>
        <w:t xml:space="preserve"> </w:t>
      </w:r>
      <w:r w:rsidR="00C5715D" w:rsidRPr="00781608">
        <w:rPr>
          <w:rFonts w:cs="Times New Roman"/>
          <w:sz w:val="24"/>
          <w:szCs w:val="24"/>
          <w:lang w:val="en-US"/>
        </w:rPr>
        <w:t>high-transparency countries, which they call the ‘flight to quality phenomenon’. The reasoning that a (</w:t>
      </w:r>
      <w:r w:rsidR="001F3F72" w:rsidRPr="00781608">
        <w:rPr>
          <w:rFonts w:cs="Times New Roman"/>
          <w:sz w:val="24"/>
          <w:szCs w:val="24"/>
          <w:lang w:val="en-US"/>
        </w:rPr>
        <w:t xml:space="preserve">as it turns out </w:t>
      </w:r>
      <w:r w:rsidR="00C5715D" w:rsidRPr="00781608">
        <w:rPr>
          <w:rFonts w:cs="Times New Roman"/>
          <w:sz w:val="24"/>
          <w:szCs w:val="24"/>
          <w:lang w:val="en-US"/>
        </w:rPr>
        <w:t>negative</w:t>
      </w:r>
      <w:r w:rsidR="001F3F72" w:rsidRPr="00781608">
        <w:rPr>
          <w:rFonts w:cs="Times New Roman"/>
          <w:sz w:val="24"/>
          <w:szCs w:val="24"/>
          <w:lang w:val="en-US"/>
        </w:rPr>
        <w:t xml:space="preserve">) </w:t>
      </w:r>
      <w:r w:rsidR="00C5715D" w:rsidRPr="00781608">
        <w:rPr>
          <w:rFonts w:cs="Times New Roman"/>
          <w:sz w:val="24"/>
          <w:szCs w:val="24"/>
          <w:lang w:val="en-US"/>
        </w:rPr>
        <w:t xml:space="preserve">rating event contains new information is </w:t>
      </w:r>
      <w:r w:rsidR="002953F2" w:rsidRPr="00781608">
        <w:rPr>
          <w:rFonts w:cs="Times New Roman"/>
          <w:sz w:val="24"/>
          <w:szCs w:val="24"/>
          <w:lang w:val="en-US"/>
        </w:rPr>
        <w:t>supported by their researc</w:t>
      </w:r>
      <w:r w:rsidR="001F3F72" w:rsidRPr="00781608">
        <w:rPr>
          <w:rFonts w:cs="Times New Roman"/>
          <w:sz w:val="24"/>
          <w:szCs w:val="24"/>
          <w:lang w:val="en-US"/>
        </w:rPr>
        <w:t xml:space="preserve">h </w:t>
      </w:r>
      <w:r w:rsidR="00C5715D" w:rsidRPr="00781608">
        <w:rPr>
          <w:rFonts w:cs="Times New Roman"/>
          <w:sz w:val="24"/>
          <w:szCs w:val="24"/>
          <w:lang w:val="en-US"/>
        </w:rPr>
        <w:t>as low transparency countries have less public information. This result is consistent with Norden (2008</w:t>
      </w:r>
      <w:r w:rsidR="001A40B9" w:rsidRPr="00781608">
        <w:rPr>
          <w:rFonts w:cs="Times New Roman"/>
          <w:sz w:val="24"/>
          <w:szCs w:val="24"/>
          <w:lang w:val="en-US"/>
        </w:rPr>
        <w:t>) who states</w:t>
      </w:r>
      <w:r w:rsidR="00C5715D" w:rsidRPr="00781608">
        <w:rPr>
          <w:rFonts w:cs="Times New Roman"/>
          <w:sz w:val="24"/>
          <w:szCs w:val="24"/>
          <w:lang w:val="en-US"/>
        </w:rPr>
        <w:t xml:space="preserve"> that the amount of media coverage helps explain the anticipation of downgrades. </w:t>
      </w:r>
      <w:r w:rsidR="00CA39F4" w:rsidRPr="00781608">
        <w:rPr>
          <w:rFonts w:cs="Times New Roman"/>
          <w:sz w:val="24"/>
          <w:szCs w:val="24"/>
          <w:lang w:val="en-US"/>
        </w:rPr>
        <w:t>This</w:t>
      </w:r>
      <w:r w:rsidR="00C5715D" w:rsidRPr="00781608">
        <w:rPr>
          <w:rFonts w:cs="Times New Roman"/>
          <w:sz w:val="24"/>
          <w:szCs w:val="24"/>
          <w:lang w:val="en-US"/>
        </w:rPr>
        <w:t xml:space="preserve"> is also in line with Drabek and Payne (2001) whose research g</w:t>
      </w:r>
      <w:r w:rsidR="00CA39F4" w:rsidRPr="00781608">
        <w:rPr>
          <w:rFonts w:cs="Times New Roman"/>
          <w:sz w:val="24"/>
          <w:szCs w:val="24"/>
          <w:lang w:val="en-US"/>
        </w:rPr>
        <w:t>e</w:t>
      </w:r>
      <w:r w:rsidR="00C5715D" w:rsidRPr="00781608">
        <w:rPr>
          <w:rFonts w:cs="Times New Roman"/>
          <w:sz w:val="24"/>
          <w:szCs w:val="24"/>
          <w:lang w:val="en-US"/>
        </w:rPr>
        <w:t>t</w:t>
      </w:r>
      <w:r w:rsidR="00CA39F4" w:rsidRPr="00781608">
        <w:rPr>
          <w:rFonts w:cs="Times New Roman"/>
          <w:sz w:val="24"/>
          <w:szCs w:val="24"/>
          <w:lang w:val="en-US"/>
        </w:rPr>
        <w:t>s</w:t>
      </w:r>
      <w:r w:rsidR="00C5715D" w:rsidRPr="00781608">
        <w:rPr>
          <w:rFonts w:cs="Times New Roman"/>
          <w:sz w:val="24"/>
          <w:szCs w:val="24"/>
          <w:lang w:val="en-US"/>
        </w:rPr>
        <w:t xml:space="preserve"> significant and robust results on the positive i</w:t>
      </w:r>
      <w:r w:rsidR="0092311E" w:rsidRPr="00781608">
        <w:rPr>
          <w:rFonts w:cs="Times New Roman"/>
          <w:sz w:val="24"/>
          <w:szCs w:val="24"/>
          <w:lang w:val="en-US"/>
        </w:rPr>
        <w:t>nfluence of improved transparenc</w:t>
      </w:r>
      <w:r w:rsidR="00C5715D" w:rsidRPr="00781608">
        <w:rPr>
          <w:rFonts w:cs="Times New Roman"/>
          <w:sz w:val="24"/>
          <w:szCs w:val="24"/>
          <w:lang w:val="en-US"/>
        </w:rPr>
        <w:t>y on FDI inflows</w:t>
      </w:r>
      <w:r w:rsidR="00C5715D" w:rsidRPr="00781608">
        <w:rPr>
          <w:rStyle w:val="Voetnootmarkering"/>
          <w:rFonts w:cs="Times New Roman"/>
          <w:sz w:val="24"/>
          <w:szCs w:val="24"/>
        </w:rPr>
        <w:footnoteReference w:id="8"/>
      </w:r>
      <w:r w:rsidR="00C5715D" w:rsidRPr="00781608">
        <w:rPr>
          <w:rFonts w:cs="Times New Roman"/>
          <w:sz w:val="24"/>
          <w:szCs w:val="24"/>
          <w:lang w:val="en-US"/>
        </w:rPr>
        <w:t>.</w:t>
      </w:r>
      <w:r w:rsidR="00F90D89" w:rsidRPr="00781608">
        <w:rPr>
          <w:rFonts w:cs="Times New Roman"/>
          <w:sz w:val="24"/>
          <w:szCs w:val="24"/>
          <w:lang w:val="en-US"/>
        </w:rPr>
        <w:t xml:space="preserve"> Their results as well as those of Kaminsky and Schmuckler (2010) apply to emerging economies. Earlier </w:t>
      </w:r>
      <w:r w:rsidR="0000358F" w:rsidRPr="00781608">
        <w:rPr>
          <w:rFonts w:cs="Times New Roman"/>
          <w:sz w:val="24"/>
          <w:szCs w:val="24"/>
          <w:lang w:val="en-US"/>
        </w:rPr>
        <w:t xml:space="preserve">Goh and Ederington (1993) and </w:t>
      </w:r>
      <w:r w:rsidR="00F90D89" w:rsidRPr="00781608">
        <w:rPr>
          <w:rFonts w:cs="Times New Roman"/>
          <w:sz w:val="24"/>
          <w:szCs w:val="24"/>
          <w:lang w:val="en-US"/>
        </w:rPr>
        <w:t>Larrain et al. (1997)</w:t>
      </w:r>
      <w:r w:rsidR="0000358F" w:rsidRPr="00781608">
        <w:rPr>
          <w:rFonts w:cs="Times New Roman"/>
          <w:sz w:val="24"/>
          <w:szCs w:val="24"/>
          <w:lang w:val="en-US"/>
        </w:rPr>
        <w:t xml:space="preserve"> also f</w:t>
      </w:r>
      <w:r w:rsidR="00CA39F4" w:rsidRPr="00781608">
        <w:rPr>
          <w:rFonts w:cs="Times New Roman"/>
          <w:sz w:val="24"/>
          <w:szCs w:val="24"/>
          <w:lang w:val="en-US"/>
        </w:rPr>
        <w:t>i</w:t>
      </w:r>
      <w:r w:rsidR="0000358F" w:rsidRPr="00781608">
        <w:rPr>
          <w:rFonts w:cs="Times New Roman"/>
          <w:sz w:val="24"/>
          <w:szCs w:val="24"/>
          <w:lang w:val="en-US"/>
        </w:rPr>
        <w:t xml:space="preserve">nd significant impact only for emerging markets. </w:t>
      </w:r>
    </w:p>
    <w:p w:rsidR="00EC5381" w:rsidRPr="00781608" w:rsidRDefault="00AE578B" w:rsidP="00764641">
      <w:pPr>
        <w:pStyle w:val="Kop2"/>
        <w:spacing w:before="0" w:line="360" w:lineRule="auto"/>
        <w:rPr>
          <w:rFonts w:asciiTheme="minorHAnsi" w:hAnsiTheme="minorHAnsi" w:cs="Times New Roman"/>
          <w:color w:val="auto"/>
          <w:sz w:val="24"/>
          <w:szCs w:val="24"/>
          <w:lang w:val="en-US"/>
        </w:rPr>
      </w:pPr>
      <w:bookmarkStart w:id="9" w:name="_Toc359926550"/>
      <w:r w:rsidRPr="00781608">
        <w:rPr>
          <w:rFonts w:asciiTheme="minorHAnsi" w:hAnsiTheme="minorHAnsi" w:cs="Times New Roman"/>
          <w:color w:val="auto"/>
          <w:sz w:val="24"/>
          <w:szCs w:val="24"/>
          <w:lang w:val="en-US"/>
        </w:rPr>
        <w:lastRenderedPageBreak/>
        <w:t>2.7</w:t>
      </w:r>
      <w:r w:rsidR="00EC5381" w:rsidRPr="00781608">
        <w:rPr>
          <w:rFonts w:asciiTheme="minorHAnsi" w:hAnsiTheme="minorHAnsi" w:cs="Times New Roman"/>
          <w:color w:val="auto"/>
          <w:sz w:val="24"/>
          <w:szCs w:val="24"/>
          <w:lang w:val="en-US"/>
        </w:rPr>
        <w:t xml:space="preserve"> Conformity between the various studies</w:t>
      </w:r>
      <w:bookmarkEnd w:id="9"/>
    </w:p>
    <w:p w:rsidR="00632776" w:rsidRPr="00781608" w:rsidRDefault="002250C7" w:rsidP="00E1177A">
      <w:pPr>
        <w:spacing w:line="360" w:lineRule="auto"/>
        <w:jc w:val="both"/>
        <w:rPr>
          <w:rFonts w:cs="Times New Roman"/>
          <w:b/>
          <w:sz w:val="24"/>
          <w:szCs w:val="24"/>
          <w:lang w:val="en-US"/>
        </w:rPr>
      </w:pPr>
      <w:r w:rsidRPr="00781608">
        <w:rPr>
          <w:rFonts w:cs="Times New Roman"/>
          <w:sz w:val="24"/>
          <w:szCs w:val="24"/>
          <w:lang w:val="en-US"/>
        </w:rPr>
        <w:t>Even though l</w:t>
      </w:r>
      <w:r w:rsidR="00632776" w:rsidRPr="00781608">
        <w:rPr>
          <w:rFonts w:cs="Times New Roman"/>
          <w:sz w:val="24"/>
          <w:szCs w:val="24"/>
          <w:lang w:val="en-US"/>
        </w:rPr>
        <w:t xml:space="preserve">ots of different studies have been done </w:t>
      </w:r>
      <w:r w:rsidR="006E3803" w:rsidRPr="00781608">
        <w:rPr>
          <w:rFonts w:cs="Times New Roman"/>
          <w:sz w:val="24"/>
          <w:szCs w:val="24"/>
          <w:lang w:val="en-US"/>
        </w:rPr>
        <w:t>about</w:t>
      </w:r>
      <w:r w:rsidR="00632776" w:rsidRPr="00781608">
        <w:rPr>
          <w:rFonts w:cs="Times New Roman"/>
          <w:sz w:val="24"/>
          <w:szCs w:val="24"/>
          <w:lang w:val="en-US"/>
        </w:rPr>
        <w:t xml:space="preserve"> the influence that rating changes have on the financial markets</w:t>
      </w:r>
      <w:r w:rsidRPr="00781608">
        <w:rPr>
          <w:rFonts w:cs="Times New Roman"/>
          <w:sz w:val="24"/>
          <w:szCs w:val="24"/>
          <w:lang w:val="en-US"/>
        </w:rPr>
        <w:t>,</w:t>
      </w:r>
      <w:r w:rsidR="00632776" w:rsidRPr="00781608">
        <w:rPr>
          <w:rFonts w:cs="Times New Roman"/>
          <w:sz w:val="24"/>
          <w:szCs w:val="24"/>
          <w:lang w:val="en-US"/>
        </w:rPr>
        <w:t xml:space="preserve"> </w:t>
      </w:r>
      <w:r w:rsidR="00C5283C" w:rsidRPr="00781608">
        <w:rPr>
          <w:rFonts w:cs="Times New Roman"/>
          <w:sz w:val="24"/>
          <w:szCs w:val="24"/>
          <w:lang w:val="en-US"/>
        </w:rPr>
        <w:t xml:space="preserve">they </w:t>
      </w:r>
      <w:r w:rsidR="0061666A" w:rsidRPr="00781608">
        <w:rPr>
          <w:rFonts w:cs="Times New Roman"/>
          <w:sz w:val="24"/>
          <w:szCs w:val="24"/>
          <w:lang w:val="en-US"/>
        </w:rPr>
        <w:t xml:space="preserve">are </w:t>
      </w:r>
      <w:r w:rsidR="00632776" w:rsidRPr="00781608">
        <w:rPr>
          <w:rFonts w:cs="Times New Roman"/>
          <w:sz w:val="24"/>
          <w:szCs w:val="24"/>
          <w:lang w:val="en-US"/>
        </w:rPr>
        <w:t xml:space="preserve">not always giving the same results. Weinstein (1978) and </w:t>
      </w:r>
      <w:r w:rsidR="00751F7D" w:rsidRPr="00781608">
        <w:rPr>
          <w:rFonts w:cs="Times New Roman"/>
          <w:sz w:val="24"/>
          <w:szCs w:val="24"/>
          <w:lang w:val="en-US"/>
        </w:rPr>
        <w:t>Bissoondoyal</w:t>
      </w:r>
      <w:r w:rsidR="00632776" w:rsidRPr="00781608">
        <w:rPr>
          <w:rFonts w:cs="Times New Roman"/>
          <w:sz w:val="24"/>
          <w:szCs w:val="24"/>
          <w:lang w:val="en-US"/>
        </w:rPr>
        <w:t xml:space="preserve"> (2004) </w:t>
      </w:r>
      <w:r w:rsidR="001F3F72" w:rsidRPr="00781608">
        <w:rPr>
          <w:rFonts w:cs="Times New Roman"/>
          <w:sz w:val="24"/>
          <w:szCs w:val="24"/>
          <w:lang w:val="en-US"/>
        </w:rPr>
        <w:t xml:space="preserve">are the only two studies on the impact of rating events to </w:t>
      </w:r>
      <w:r w:rsidR="00632776" w:rsidRPr="00781608">
        <w:rPr>
          <w:rFonts w:cs="Times New Roman"/>
          <w:sz w:val="24"/>
          <w:szCs w:val="24"/>
          <w:lang w:val="en-US"/>
        </w:rPr>
        <w:t xml:space="preserve">find no significant effect at </w:t>
      </w:r>
      <w:r w:rsidR="00B275C4" w:rsidRPr="00781608">
        <w:rPr>
          <w:rFonts w:cs="Times New Roman"/>
          <w:sz w:val="24"/>
          <w:szCs w:val="24"/>
          <w:lang w:val="en-US"/>
        </w:rPr>
        <w:t>all</w:t>
      </w:r>
      <w:r w:rsidR="00793364" w:rsidRPr="00781608">
        <w:rPr>
          <w:rFonts w:cs="Times New Roman"/>
          <w:sz w:val="24"/>
          <w:szCs w:val="24"/>
          <w:lang w:val="en-US"/>
        </w:rPr>
        <w:t>.</w:t>
      </w:r>
      <w:r w:rsidR="00B275C4" w:rsidRPr="00781608">
        <w:rPr>
          <w:rFonts w:cs="Times New Roman"/>
          <w:sz w:val="24"/>
          <w:szCs w:val="24"/>
          <w:lang w:val="en-US"/>
        </w:rPr>
        <w:t xml:space="preserve"> Katz (1974), Grier and Katz (1976), Cantor and</w:t>
      </w:r>
      <w:r w:rsidR="00632776" w:rsidRPr="00781608">
        <w:rPr>
          <w:rFonts w:cs="Times New Roman"/>
          <w:sz w:val="24"/>
          <w:szCs w:val="24"/>
          <w:lang w:val="en-US"/>
        </w:rPr>
        <w:t xml:space="preserve"> Packer (1996) and Micu et al. (2006) find significant symmetric results for </w:t>
      </w:r>
      <w:r w:rsidR="005A48D9" w:rsidRPr="00781608">
        <w:rPr>
          <w:rFonts w:cs="Times New Roman"/>
          <w:sz w:val="24"/>
          <w:szCs w:val="24"/>
          <w:lang w:val="en-US"/>
        </w:rPr>
        <w:t xml:space="preserve">upgrades and downgrades. </w:t>
      </w:r>
      <w:r w:rsidR="002D5693" w:rsidRPr="00781608">
        <w:rPr>
          <w:rFonts w:cs="Times New Roman"/>
          <w:sz w:val="24"/>
          <w:szCs w:val="24"/>
          <w:lang w:val="en-US"/>
        </w:rPr>
        <w:t>Their studies suggest that m</w:t>
      </w:r>
      <w:r w:rsidR="005A48D9" w:rsidRPr="00781608">
        <w:rPr>
          <w:rFonts w:cs="Times New Roman"/>
          <w:sz w:val="24"/>
          <w:szCs w:val="24"/>
          <w:lang w:val="en-US"/>
        </w:rPr>
        <w:t>ost of the effect is anticipated</w:t>
      </w:r>
      <w:r w:rsidR="00E55F94" w:rsidRPr="00781608">
        <w:rPr>
          <w:rStyle w:val="Voetnootmarkering"/>
          <w:rFonts w:cs="Times New Roman"/>
          <w:sz w:val="24"/>
          <w:szCs w:val="24"/>
        </w:rPr>
        <w:footnoteReference w:id="9"/>
      </w:r>
      <w:r w:rsidR="005A48D9" w:rsidRPr="00781608">
        <w:rPr>
          <w:rFonts w:cs="Times New Roman"/>
          <w:sz w:val="24"/>
          <w:szCs w:val="24"/>
          <w:lang w:val="en-US"/>
        </w:rPr>
        <w:t xml:space="preserve"> before the actual change, but in the aftermath there is still some measurable effect for companies as well as sovereigns. Their findings are in contrast to almost all other literature, </w:t>
      </w:r>
      <w:r w:rsidR="00B36FC5" w:rsidRPr="00781608">
        <w:rPr>
          <w:rFonts w:cs="Times New Roman"/>
          <w:sz w:val="24"/>
          <w:szCs w:val="24"/>
          <w:lang w:val="en-US"/>
        </w:rPr>
        <w:t>in which most</w:t>
      </w:r>
      <w:r w:rsidR="005A48D9" w:rsidRPr="00781608">
        <w:rPr>
          <w:rFonts w:cs="Times New Roman"/>
          <w:sz w:val="24"/>
          <w:szCs w:val="24"/>
          <w:lang w:val="en-US"/>
        </w:rPr>
        <w:t xml:space="preserve"> reach</w:t>
      </w:r>
      <w:r w:rsidR="0092311E" w:rsidRPr="00781608">
        <w:rPr>
          <w:rFonts w:cs="Times New Roman"/>
          <w:sz w:val="24"/>
          <w:szCs w:val="24"/>
          <w:lang w:val="en-US"/>
        </w:rPr>
        <w:t xml:space="preserve"> to</w:t>
      </w:r>
      <w:r w:rsidR="005A48D9" w:rsidRPr="00781608">
        <w:rPr>
          <w:rFonts w:cs="Times New Roman"/>
          <w:sz w:val="24"/>
          <w:szCs w:val="24"/>
          <w:lang w:val="en-US"/>
        </w:rPr>
        <w:t xml:space="preserve"> the conclusion that if there is a</w:t>
      </w:r>
      <w:r w:rsidR="005E6C41" w:rsidRPr="00781608">
        <w:rPr>
          <w:rFonts w:cs="Times New Roman"/>
          <w:sz w:val="24"/>
          <w:szCs w:val="24"/>
          <w:lang w:val="en-US"/>
        </w:rPr>
        <w:t>ny</w:t>
      </w:r>
      <w:r w:rsidR="005A48D9" w:rsidRPr="00781608">
        <w:rPr>
          <w:rFonts w:cs="Times New Roman"/>
          <w:sz w:val="24"/>
          <w:szCs w:val="24"/>
          <w:lang w:val="en-US"/>
        </w:rPr>
        <w:t xml:space="preserve"> reaction following a rating event, this reaction is only significant for downgrades. </w:t>
      </w:r>
      <w:r w:rsidR="00084FE8" w:rsidRPr="00781608">
        <w:rPr>
          <w:rFonts w:cs="Times New Roman"/>
          <w:sz w:val="24"/>
          <w:szCs w:val="24"/>
          <w:lang w:val="en-US"/>
        </w:rPr>
        <w:t>Companies show significantly strong reacti</w:t>
      </w:r>
      <w:r w:rsidR="002571ED" w:rsidRPr="00781608">
        <w:rPr>
          <w:rFonts w:cs="Times New Roman"/>
          <w:sz w:val="24"/>
          <w:szCs w:val="24"/>
          <w:lang w:val="en-US"/>
        </w:rPr>
        <w:t>ons in the anticipation (</w:t>
      </w:r>
      <w:r w:rsidR="007E0CCB" w:rsidRPr="00781608">
        <w:rPr>
          <w:rFonts w:cs="Times New Roman"/>
          <w:sz w:val="24"/>
          <w:szCs w:val="24"/>
          <w:lang w:val="en-US"/>
        </w:rPr>
        <w:t xml:space="preserve">Hull et al., 2004; </w:t>
      </w:r>
      <w:r w:rsidR="009979D4" w:rsidRPr="00781608">
        <w:rPr>
          <w:rFonts w:cs="Times New Roman"/>
          <w:sz w:val="24"/>
          <w:szCs w:val="24"/>
          <w:lang w:val="en-US"/>
        </w:rPr>
        <w:t xml:space="preserve">Norden and Weber, 2004; </w:t>
      </w:r>
      <w:r w:rsidR="002571ED" w:rsidRPr="00781608">
        <w:rPr>
          <w:rFonts w:cs="Times New Roman"/>
          <w:sz w:val="24"/>
          <w:szCs w:val="24"/>
          <w:lang w:val="en-US"/>
        </w:rPr>
        <w:t>Purda, 2007 and Norden, 2008</w:t>
      </w:r>
      <w:r w:rsidR="00084FE8" w:rsidRPr="00781608">
        <w:rPr>
          <w:rFonts w:cs="Times New Roman"/>
          <w:sz w:val="24"/>
          <w:szCs w:val="24"/>
          <w:lang w:val="en-US"/>
        </w:rPr>
        <w:t>)</w:t>
      </w:r>
      <w:r w:rsidR="00686F9A" w:rsidRPr="00781608">
        <w:rPr>
          <w:rFonts w:cs="Times New Roman"/>
          <w:sz w:val="24"/>
          <w:szCs w:val="24"/>
          <w:lang w:val="en-US"/>
        </w:rPr>
        <w:t xml:space="preserve"> of downgrades as well as in the </w:t>
      </w:r>
      <w:r w:rsidR="002571ED" w:rsidRPr="00781608">
        <w:rPr>
          <w:rFonts w:cs="Times New Roman"/>
          <w:sz w:val="24"/>
          <w:szCs w:val="24"/>
          <w:lang w:val="en-US"/>
        </w:rPr>
        <w:t>weeks that follow (Hand et al., 1992</w:t>
      </w:r>
      <w:r w:rsidR="00DC6BDB" w:rsidRPr="00781608">
        <w:rPr>
          <w:rFonts w:cs="Times New Roman"/>
          <w:sz w:val="24"/>
          <w:szCs w:val="24"/>
          <w:lang w:val="en-US"/>
        </w:rPr>
        <w:t>; Fama, 1998</w:t>
      </w:r>
      <w:r w:rsidR="00B275C4" w:rsidRPr="00781608">
        <w:rPr>
          <w:rFonts w:cs="Times New Roman"/>
          <w:sz w:val="24"/>
          <w:szCs w:val="24"/>
          <w:lang w:val="en-US"/>
        </w:rPr>
        <w:t xml:space="preserve"> and Dichev and</w:t>
      </w:r>
      <w:r w:rsidR="00686F9A" w:rsidRPr="00781608">
        <w:rPr>
          <w:rFonts w:cs="Times New Roman"/>
          <w:sz w:val="24"/>
          <w:szCs w:val="24"/>
          <w:lang w:val="en-US"/>
        </w:rPr>
        <w:t xml:space="preserve"> Piotroski</w:t>
      </w:r>
      <w:r w:rsidR="002571ED" w:rsidRPr="00781608">
        <w:rPr>
          <w:rFonts w:cs="Times New Roman"/>
          <w:sz w:val="24"/>
          <w:szCs w:val="24"/>
          <w:lang w:val="en-US"/>
        </w:rPr>
        <w:t>,</w:t>
      </w:r>
      <w:r w:rsidR="00686F9A" w:rsidRPr="00781608">
        <w:rPr>
          <w:rFonts w:cs="Times New Roman"/>
          <w:sz w:val="24"/>
          <w:szCs w:val="24"/>
          <w:lang w:val="en-US"/>
        </w:rPr>
        <w:t xml:space="preserve"> </w:t>
      </w:r>
      <w:r w:rsidR="002571ED" w:rsidRPr="00781608">
        <w:rPr>
          <w:rFonts w:cs="Times New Roman"/>
          <w:sz w:val="24"/>
          <w:szCs w:val="24"/>
          <w:lang w:val="en-US"/>
        </w:rPr>
        <w:t>2001</w:t>
      </w:r>
      <w:r w:rsidR="00686F9A" w:rsidRPr="00781608">
        <w:rPr>
          <w:rFonts w:cs="Times New Roman"/>
          <w:sz w:val="24"/>
          <w:szCs w:val="24"/>
          <w:lang w:val="en-US"/>
        </w:rPr>
        <w:t>). When looking at sovereigns, the conclusion is roughly the sam</w:t>
      </w:r>
      <w:r w:rsidR="00B275C4" w:rsidRPr="00781608">
        <w:rPr>
          <w:rFonts w:cs="Times New Roman"/>
          <w:sz w:val="24"/>
          <w:szCs w:val="24"/>
          <w:lang w:val="en-US"/>
        </w:rPr>
        <w:t>e. Larrain et al. (1997), Hill and</w:t>
      </w:r>
      <w:r w:rsidR="00686F9A" w:rsidRPr="00781608">
        <w:rPr>
          <w:rFonts w:cs="Times New Roman"/>
          <w:sz w:val="24"/>
          <w:szCs w:val="24"/>
          <w:lang w:val="en-US"/>
        </w:rPr>
        <w:t xml:space="preserve"> Faff (2010) find significant abnormal returns in the aftermath of a negative rating event, </w:t>
      </w:r>
      <w:r w:rsidR="006E3803" w:rsidRPr="00781608">
        <w:rPr>
          <w:rFonts w:cs="Times New Roman"/>
          <w:sz w:val="24"/>
          <w:szCs w:val="24"/>
          <w:lang w:val="en-US"/>
        </w:rPr>
        <w:t>Afonso et al. (2012) find significant reactions in CDS spreads and bond returns and Gande &amp; Parsley (2010) see significant downfall in capital flows following a downgrade. In their own evaluation of assessing rating changes,</w:t>
      </w:r>
      <w:r w:rsidR="00C8011B" w:rsidRPr="00781608">
        <w:rPr>
          <w:rFonts w:cs="Times New Roman"/>
          <w:sz w:val="24"/>
          <w:szCs w:val="24"/>
          <w:lang w:val="en-US"/>
        </w:rPr>
        <w:t xml:space="preserve"> even</w:t>
      </w:r>
      <w:r w:rsidR="006E3803" w:rsidRPr="00781608">
        <w:rPr>
          <w:rFonts w:cs="Times New Roman"/>
          <w:sz w:val="24"/>
          <w:szCs w:val="24"/>
          <w:lang w:val="en-US"/>
        </w:rPr>
        <w:t xml:space="preserve"> S&amp;P</w:t>
      </w:r>
      <w:r w:rsidR="00C8011B" w:rsidRPr="00781608">
        <w:rPr>
          <w:rFonts w:cs="Times New Roman"/>
          <w:sz w:val="24"/>
          <w:szCs w:val="24"/>
          <w:lang w:val="en-US"/>
        </w:rPr>
        <w:t xml:space="preserve"> (2012)</w:t>
      </w:r>
      <w:r w:rsidR="006E3803" w:rsidRPr="00781608">
        <w:rPr>
          <w:rFonts w:cs="Times New Roman"/>
          <w:sz w:val="24"/>
          <w:szCs w:val="24"/>
          <w:lang w:val="en-US"/>
        </w:rPr>
        <w:t xml:space="preserve"> reaches </w:t>
      </w:r>
      <w:r w:rsidR="0092311E" w:rsidRPr="00781608">
        <w:rPr>
          <w:rFonts w:cs="Times New Roman"/>
          <w:sz w:val="24"/>
          <w:szCs w:val="24"/>
          <w:lang w:val="en-US"/>
        </w:rPr>
        <w:t xml:space="preserve">to </w:t>
      </w:r>
      <w:r w:rsidR="006E3803" w:rsidRPr="00781608">
        <w:rPr>
          <w:rFonts w:cs="Times New Roman"/>
          <w:sz w:val="24"/>
          <w:szCs w:val="24"/>
          <w:lang w:val="en-US"/>
        </w:rPr>
        <w:t xml:space="preserve">the conclusion that negative information usually comes as a surprise, so that a significant reaction is indeed to be expected. </w:t>
      </w:r>
      <w:r w:rsidR="00C8011B" w:rsidRPr="00781608">
        <w:rPr>
          <w:rFonts w:cs="Times New Roman"/>
          <w:sz w:val="24"/>
          <w:szCs w:val="24"/>
          <w:lang w:val="en-US"/>
        </w:rPr>
        <w:t xml:space="preserve">Positive news leading to an upgrade is easily anticipated and causes no significant reaction in the aftermath. Downgrades do show </w:t>
      </w:r>
      <w:r w:rsidR="006D28F8" w:rsidRPr="00781608">
        <w:rPr>
          <w:rFonts w:cs="Times New Roman"/>
          <w:sz w:val="24"/>
          <w:szCs w:val="24"/>
          <w:lang w:val="en-US"/>
        </w:rPr>
        <w:t xml:space="preserve">strong </w:t>
      </w:r>
      <w:r w:rsidR="00C8011B" w:rsidRPr="00781608">
        <w:rPr>
          <w:rFonts w:cs="Times New Roman"/>
          <w:sz w:val="24"/>
          <w:szCs w:val="24"/>
          <w:lang w:val="en-US"/>
        </w:rPr>
        <w:t>signs of anticipation but given the results of the already mentioned literature, negative news is apparently n</w:t>
      </w:r>
      <w:r w:rsidR="002D5693" w:rsidRPr="00781608">
        <w:rPr>
          <w:rFonts w:cs="Times New Roman"/>
          <w:sz w:val="24"/>
          <w:szCs w:val="24"/>
          <w:lang w:val="en-US"/>
        </w:rPr>
        <w:t>ot already fully adjusted by the markets.</w:t>
      </w:r>
      <w:r w:rsidR="00C8011B" w:rsidRPr="00781608">
        <w:rPr>
          <w:rFonts w:cs="Times New Roman"/>
          <w:sz w:val="24"/>
          <w:szCs w:val="24"/>
          <w:lang w:val="en-US"/>
        </w:rPr>
        <w:t xml:space="preserve"> All this is in contrast with Ismailescu and Kazemi (2010) who are the only ones to find results suggesting that negative events are </w:t>
      </w:r>
      <w:r w:rsidR="002D5693" w:rsidRPr="00781608">
        <w:rPr>
          <w:rFonts w:cs="Times New Roman"/>
          <w:sz w:val="24"/>
          <w:szCs w:val="24"/>
          <w:lang w:val="en-US"/>
        </w:rPr>
        <w:t xml:space="preserve">fully </w:t>
      </w:r>
      <w:r w:rsidR="00C8011B" w:rsidRPr="00781608">
        <w:rPr>
          <w:rFonts w:cs="Times New Roman"/>
          <w:sz w:val="24"/>
          <w:szCs w:val="24"/>
          <w:lang w:val="en-US"/>
        </w:rPr>
        <w:t>anticipated by the markets</w:t>
      </w:r>
      <w:r w:rsidR="001A40B9" w:rsidRPr="00781608">
        <w:rPr>
          <w:rFonts w:cs="Times New Roman"/>
          <w:sz w:val="24"/>
          <w:szCs w:val="24"/>
          <w:lang w:val="en-US"/>
        </w:rPr>
        <w:t>,</w:t>
      </w:r>
      <w:r w:rsidR="00C8011B" w:rsidRPr="00781608">
        <w:rPr>
          <w:rFonts w:cs="Times New Roman"/>
          <w:sz w:val="24"/>
          <w:szCs w:val="24"/>
          <w:lang w:val="en-US"/>
        </w:rPr>
        <w:t xml:space="preserve"> </w:t>
      </w:r>
      <w:r w:rsidR="002D5693" w:rsidRPr="00781608">
        <w:rPr>
          <w:rFonts w:cs="Times New Roman"/>
          <w:sz w:val="24"/>
          <w:szCs w:val="24"/>
          <w:lang w:val="en-US"/>
        </w:rPr>
        <w:t>whereas</w:t>
      </w:r>
      <w:r w:rsidR="00C8011B" w:rsidRPr="00781608">
        <w:rPr>
          <w:rFonts w:cs="Times New Roman"/>
          <w:sz w:val="24"/>
          <w:szCs w:val="24"/>
          <w:lang w:val="en-US"/>
        </w:rPr>
        <w:t xml:space="preserve"> upgrades cause significant reaction in the CDS spreads.</w:t>
      </w:r>
      <w:r w:rsidR="002D5693" w:rsidRPr="00781608">
        <w:rPr>
          <w:rFonts w:cs="Times New Roman"/>
          <w:sz w:val="24"/>
          <w:szCs w:val="24"/>
          <w:lang w:val="en-US"/>
        </w:rPr>
        <w:t xml:space="preserve"> </w:t>
      </w:r>
      <w:r w:rsidR="00B275C4" w:rsidRPr="00781608">
        <w:rPr>
          <w:rFonts w:cs="Times New Roman"/>
          <w:sz w:val="24"/>
          <w:szCs w:val="24"/>
          <w:lang w:val="en-US"/>
        </w:rPr>
        <w:t>There are also asymmetric results when looking at investment-grade and speculative bonds. Hand et al. (1992)</w:t>
      </w:r>
      <w:r w:rsidR="007B5F31" w:rsidRPr="00781608">
        <w:rPr>
          <w:rFonts w:cs="Times New Roman"/>
          <w:sz w:val="24"/>
          <w:szCs w:val="24"/>
          <w:lang w:val="en-US"/>
        </w:rPr>
        <w:t>,</w:t>
      </w:r>
      <w:r w:rsidR="00B275C4" w:rsidRPr="00781608">
        <w:rPr>
          <w:rFonts w:cs="Times New Roman"/>
          <w:sz w:val="24"/>
          <w:szCs w:val="24"/>
          <w:lang w:val="en-US"/>
        </w:rPr>
        <w:t xml:space="preserve"> </w:t>
      </w:r>
      <w:r w:rsidR="007B5F31" w:rsidRPr="00781608">
        <w:rPr>
          <w:rFonts w:cs="Times New Roman"/>
          <w:sz w:val="24"/>
          <w:szCs w:val="24"/>
          <w:lang w:val="en-US"/>
        </w:rPr>
        <w:t xml:space="preserve">Goh and Ederington (1993) </w:t>
      </w:r>
      <w:r w:rsidR="00B275C4" w:rsidRPr="00781608">
        <w:rPr>
          <w:rFonts w:cs="Times New Roman"/>
          <w:sz w:val="24"/>
          <w:szCs w:val="24"/>
          <w:lang w:val="en-US"/>
        </w:rPr>
        <w:t xml:space="preserve">and Larrain et al. </w:t>
      </w:r>
      <w:r w:rsidR="00B275C4" w:rsidRPr="00781608">
        <w:rPr>
          <w:rFonts w:cs="Times New Roman"/>
          <w:sz w:val="24"/>
          <w:szCs w:val="24"/>
          <w:lang w:val="en-US"/>
        </w:rPr>
        <w:lastRenderedPageBreak/>
        <w:t xml:space="preserve">(1997) only get significant results for the </w:t>
      </w:r>
      <w:r w:rsidR="00D32F1D" w:rsidRPr="00781608">
        <w:rPr>
          <w:rFonts w:cs="Times New Roman"/>
          <w:sz w:val="24"/>
          <w:szCs w:val="24"/>
          <w:lang w:val="en-US"/>
        </w:rPr>
        <w:t xml:space="preserve">investment-grade bonds, which is the opposite of </w:t>
      </w:r>
      <w:r w:rsidR="00B275C4" w:rsidRPr="00781608">
        <w:rPr>
          <w:rFonts w:cs="Times New Roman"/>
          <w:sz w:val="24"/>
          <w:szCs w:val="24"/>
          <w:lang w:val="en-US"/>
        </w:rPr>
        <w:t>Cantor and Packer (1996)</w:t>
      </w:r>
      <w:r w:rsidR="00D32F1D" w:rsidRPr="00781608">
        <w:rPr>
          <w:rFonts w:cs="Times New Roman"/>
          <w:sz w:val="24"/>
          <w:szCs w:val="24"/>
          <w:lang w:val="en-US"/>
        </w:rPr>
        <w:t>. Dichev and Piotroski (2001) get more pronounced results for speculative grade</w:t>
      </w:r>
      <w:r w:rsidR="00C27153" w:rsidRPr="00781608">
        <w:rPr>
          <w:rFonts w:cs="Times New Roman"/>
          <w:sz w:val="24"/>
          <w:szCs w:val="24"/>
          <w:lang w:val="en-US"/>
        </w:rPr>
        <w:t>.</w:t>
      </w:r>
      <w:r w:rsidR="00B275C4" w:rsidRPr="00781608">
        <w:rPr>
          <w:rFonts w:cs="Times New Roman"/>
          <w:sz w:val="24"/>
          <w:szCs w:val="24"/>
          <w:lang w:val="en-US"/>
        </w:rPr>
        <w:t xml:space="preserve"> </w:t>
      </w:r>
    </w:p>
    <w:p w:rsidR="00EC5381" w:rsidRPr="00781608" w:rsidRDefault="00AE578B" w:rsidP="009E763E">
      <w:pPr>
        <w:pStyle w:val="Kop2"/>
        <w:spacing w:line="360" w:lineRule="auto"/>
        <w:rPr>
          <w:rFonts w:asciiTheme="minorHAnsi" w:hAnsiTheme="minorHAnsi" w:cs="Times New Roman"/>
          <w:color w:val="auto"/>
          <w:sz w:val="24"/>
          <w:szCs w:val="24"/>
          <w:lang w:val="en-US"/>
        </w:rPr>
      </w:pPr>
      <w:bookmarkStart w:id="10" w:name="_Toc359926551"/>
      <w:r w:rsidRPr="00781608">
        <w:rPr>
          <w:rFonts w:asciiTheme="minorHAnsi" w:hAnsiTheme="minorHAnsi" w:cs="Times New Roman"/>
          <w:color w:val="auto"/>
          <w:sz w:val="24"/>
          <w:szCs w:val="24"/>
          <w:lang w:val="en-US"/>
        </w:rPr>
        <w:t>2.8</w:t>
      </w:r>
      <w:r w:rsidR="00EC5381" w:rsidRPr="00781608">
        <w:rPr>
          <w:rFonts w:asciiTheme="minorHAnsi" w:hAnsiTheme="minorHAnsi" w:cs="Times New Roman"/>
          <w:color w:val="auto"/>
          <w:sz w:val="24"/>
          <w:szCs w:val="24"/>
          <w:lang w:val="en-US"/>
        </w:rPr>
        <w:t xml:space="preserve"> Contagion</w:t>
      </w:r>
      <w:bookmarkEnd w:id="10"/>
    </w:p>
    <w:p w:rsidR="001D6180" w:rsidRPr="00781608" w:rsidRDefault="00CD0B81" w:rsidP="001D6180">
      <w:pPr>
        <w:spacing w:line="360" w:lineRule="auto"/>
        <w:jc w:val="both"/>
        <w:rPr>
          <w:rFonts w:cs="Times New Roman"/>
          <w:sz w:val="24"/>
          <w:szCs w:val="24"/>
          <w:lang w:val="en-US"/>
        </w:rPr>
      </w:pPr>
      <w:r w:rsidRPr="00781608">
        <w:rPr>
          <w:rFonts w:cs="Times New Roman"/>
          <w:sz w:val="24"/>
          <w:szCs w:val="24"/>
          <w:lang w:val="en-US"/>
        </w:rPr>
        <w:t xml:space="preserve">Another important effect of rating events is </w:t>
      </w:r>
      <w:r w:rsidR="00F84724" w:rsidRPr="00781608">
        <w:rPr>
          <w:rFonts w:cs="Times New Roman"/>
          <w:sz w:val="24"/>
          <w:szCs w:val="24"/>
          <w:lang w:val="en-US"/>
        </w:rPr>
        <w:t>the spillover effect</w:t>
      </w:r>
      <w:r w:rsidR="00553239" w:rsidRPr="00781608">
        <w:rPr>
          <w:rFonts w:cs="Times New Roman"/>
          <w:sz w:val="24"/>
          <w:szCs w:val="24"/>
          <w:lang w:val="en-US"/>
        </w:rPr>
        <w:t xml:space="preserve"> or </w:t>
      </w:r>
      <w:r w:rsidRPr="00781608">
        <w:rPr>
          <w:rFonts w:cs="Times New Roman"/>
          <w:sz w:val="24"/>
          <w:szCs w:val="24"/>
          <w:lang w:val="en-US"/>
        </w:rPr>
        <w:t xml:space="preserve">contagion. Gande and Parsley (2005) reach </w:t>
      </w:r>
      <w:r w:rsidR="0048567B" w:rsidRPr="00781608">
        <w:rPr>
          <w:rFonts w:cs="Times New Roman"/>
          <w:sz w:val="24"/>
          <w:szCs w:val="24"/>
          <w:lang w:val="en-US"/>
        </w:rPr>
        <w:t xml:space="preserve">to </w:t>
      </w:r>
      <w:r w:rsidRPr="00781608">
        <w:rPr>
          <w:rFonts w:cs="Times New Roman"/>
          <w:sz w:val="24"/>
          <w:szCs w:val="24"/>
          <w:lang w:val="en-US"/>
        </w:rPr>
        <w:t xml:space="preserve">the conclusion that negative rating events have a significant explanatory effect on sovereign spreads in non-event countries. </w:t>
      </w:r>
      <w:r w:rsidR="00793364" w:rsidRPr="00781608">
        <w:rPr>
          <w:rFonts w:cs="Times New Roman"/>
          <w:sz w:val="24"/>
          <w:szCs w:val="24"/>
          <w:lang w:val="en-US"/>
        </w:rPr>
        <w:t>This is</w:t>
      </w:r>
      <w:r w:rsidR="008F3A19" w:rsidRPr="00781608">
        <w:rPr>
          <w:rFonts w:cs="Times New Roman"/>
          <w:sz w:val="24"/>
          <w:szCs w:val="24"/>
          <w:lang w:val="en-US"/>
        </w:rPr>
        <w:t xml:space="preserve"> in line with later literature (Ismailescu and Kazemi, 2010; Afons</w:t>
      </w:r>
      <w:r w:rsidR="005D62CA" w:rsidRPr="00781608">
        <w:rPr>
          <w:rFonts w:cs="Times New Roman"/>
          <w:sz w:val="24"/>
          <w:szCs w:val="24"/>
          <w:lang w:val="en-US"/>
        </w:rPr>
        <w:t>o</w:t>
      </w:r>
      <w:r w:rsidR="008F3A19" w:rsidRPr="00781608">
        <w:rPr>
          <w:rFonts w:cs="Times New Roman"/>
          <w:sz w:val="24"/>
          <w:szCs w:val="24"/>
          <w:lang w:val="en-US"/>
        </w:rPr>
        <w:t xml:space="preserve"> et al., 2012). </w:t>
      </w:r>
      <w:r w:rsidR="00741AFB" w:rsidRPr="00781608">
        <w:rPr>
          <w:rFonts w:cs="Times New Roman"/>
          <w:sz w:val="24"/>
          <w:szCs w:val="24"/>
          <w:lang w:val="en-US"/>
        </w:rPr>
        <w:t xml:space="preserve">Kaminsky and Schmukler (2002) and Ferreira and Gama (2007) find evidence for spillover effects being present in the region, countries with geographical similarities and emerging or ‘vulnerable’ economies. </w:t>
      </w:r>
      <w:r w:rsidR="003C6EC7" w:rsidRPr="00781608">
        <w:rPr>
          <w:rFonts w:cs="Times New Roman"/>
          <w:sz w:val="24"/>
          <w:szCs w:val="24"/>
          <w:lang w:val="en-US"/>
        </w:rPr>
        <w:t>Based on research done by Norden and Weber (2004) further literature does confirm the importance of paying attention to previous rating events, because after controlling for that, the spillover effect of the current rating event is reduced.</w:t>
      </w:r>
      <w:r w:rsidR="00553239" w:rsidRPr="00781608">
        <w:rPr>
          <w:rFonts w:cs="Times New Roman"/>
          <w:sz w:val="24"/>
          <w:szCs w:val="24"/>
          <w:lang w:val="en-US"/>
        </w:rPr>
        <w:t xml:space="preserve"> </w:t>
      </w:r>
      <w:r w:rsidR="002250C7" w:rsidRPr="00781608">
        <w:rPr>
          <w:rFonts w:cs="Times New Roman"/>
          <w:sz w:val="24"/>
          <w:szCs w:val="24"/>
          <w:lang w:val="en-US"/>
        </w:rPr>
        <w:t xml:space="preserve">To research whether this contagion is affecting results is a completely different study, but it must be kept in mind that </w:t>
      </w:r>
      <w:r w:rsidR="00FE574A" w:rsidRPr="00781608">
        <w:rPr>
          <w:rFonts w:cs="Times New Roman"/>
          <w:sz w:val="24"/>
          <w:szCs w:val="24"/>
          <w:lang w:val="en-US"/>
        </w:rPr>
        <w:t xml:space="preserve">significant spillover effects have been found </w:t>
      </w:r>
      <w:r w:rsidR="0048567B" w:rsidRPr="00781608">
        <w:rPr>
          <w:rFonts w:cs="Times New Roman"/>
          <w:sz w:val="24"/>
          <w:szCs w:val="24"/>
          <w:lang w:val="en-US"/>
        </w:rPr>
        <w:t xml:space="preserve">in earlier literature </w:t>
      </w:r>
      <w:r w:rsidR="00FE574A" w:rsidRPr="00781608">
        <w:rPr>
          <w:rFonts w:cs="Times New Roman"/>
          <w:sz w:val="24"/>
          <w:szCs w:val="24"/>
          <w:lang w:val="en-US"/>
        </w:rPr>
        <w:t>and some caution should be taken when interpreting results.</w:t>
      </w:r>
    </w:p>
    <w:p w:rsidR="002445C1" w:rsidRPr="00A16CD4" w:rsidRDefault="00764641" w:rsidP="00764641">
      <w:pPr>
        <w:pStyle w:val="Kop1"/>
        <w:spacing w:before="0" w:after="240" w:line="360" w:lineRule="auto"/>
        <w:rPr>
          <w:rFonts w:asciiTheme="minorHAnsi" w:hAnsiTheme="minorHAnsi" w:cs="Times New Roman"/>
          <w:bCs w:val="0"/>
          <w:i/>
          <w:color w:val="auto"/>
          <w:sz w:val="24"/>
          <w:szCs w:val="24"/>
          <w:lang w:val="en-US"/>
        </w:rPr>
      </w:pPr>
      <w:bookmarkStart w:id="11" w:name="_Toc359926552"/>
      <w:r>
        <w:rPr>
          <w:rFonts w:asciiTheme="minorHAnsi" w:hAnsiTheme="minorHAnsi" w:cs="Times New Roman"/>
          <w:bCs w:val="0"/>
          <w:color w:val="auto"/>
          <w:sz w:val="24"/>
          <w:szCs w:val="24"/>
          <w:lang w:val="en-US"/>
        </w:rPr>
        <w:br w:type="column"/>
      </w:r>
      <w:r w:rsidR="002F2AB7" w:rsidRPr="00A16CD4">
        <w:rPr>
          <w:rFonts w:asciiTheme="minorHAnsi" w:hAnsiTheme="minorHAnsi" w:cs="Times New Roman"/>
          <w:bCs w:val="0"/>
          <w:i/>
          <w:color w:val="auto"/>
          <w:sz w:val="24"/>
          <w:szCs w:val="24"/>
          <w:lang w:val="en-US"/>
        </w:rPr>
        <w:lastRenderedPageBreak/>
        <w:t>3.</w:t>
      </w:r>
      <w:r w:rsidR="002445C1" w:rsidRPr="00A16CD4">
        <w:rPr>
          <w:rFonts w:asciiTheme="minorHAnsi" w:hAnsiTheme="minorHAnsi" w:cs="Times New Roman"/>
          <w:bCs w:val="0"/>
          <w:i/>
          <w:color w:val="auto"/>
          <w:sz w:val="24"/>
          <w:szCs w:val="24"/>
          <w:lang w:val="en-US"/>
        </w:rPr>
        <w:t xml:space="preserve"> Hypotheses</w:t>
      </w:r>
      <w:bookmarkEnd w:id="11"/>
    </w:p>
    <w:p w:rsidR="002445C1" w:rsidRPr="00781608" w:rsidRDefault="00AD0F75" w:rsidP="002445C1">
      <w:pPr>
        <w:spacing w:line="360" w:lineRule="auto"/>
        <w:jc w:val="both"/>
        <w:rPr>
          <w:rFonts w:cs="Times New Roman"/>
          <w:bCs/>
          <w:sz w:val="24"/>
          <w:szCs w:val="24"/>
          <w:lang w:val="en-US"/>
        </w:rPr>
      </w:pPr>
      <w:r w:rsidRPr="00781608">
        <w:rPr>
          <w:rFonts w:cs="Times New Roman"/>
          <w:bCs/>
          <w:sz w:val="24"/>
          <w:szCs w:val="24"/>
          <w:lang w:val="en-US"/>
        </w:rPr>
        <w:t xml:space="preserve">Based on the above literature I believe that the influence of information availability </w:t>
      </w:r>
      <w:r w:rsidR="00B4385D" w:rsidRPr="00781608">
        <w:rPr>
          <w:rFonts w:cs="Times New Roman"/>
          <w:bCs/>
          <w:sz w:val="24"/>
          <w:szCs w:val="24"/>
          <w:lang w:val="en-US"/>
        </w:rPr>
        <w:t xml:space="preserve">on the impact of rating events </w:t>
      </w:r>
      <w:r w:rsidRPr="00781608">
        <w:rPr>
          <w:rFonts w:cs="Times New Roman"/>
          <w:bCs/>
          <w:sz w:val="24"/>
          <w:szCs w:val="24"/>
          <w:lang w:val="en-US"/>
        </w:rPr>
        <w:t>is a part that is not yet well-explored. To this end t</w:t>
      </w:r>
      <w:r w:rsidR="002445C1" w:rsidRPr="00781608">
        <w:rPr>
          <w:rFonts w:cs="Times New Roman"/>
          <w:bCs/>
          <w:sz w:val="24"/>
          <w:szCs w:val="24"/>
          <w:lang w:val="en-US"/>
        </w:rPr>
        <w:t xml:space="preserve">he main purpose of this study is to test whether the effect of credit rating events on sovereign bond yield </w:t>
      </w:r>
      <w:r w:rsidR="00265297" w:rsidRPr="00781608">
        <w:rPr>
          <w:rFonts w:cs="Times New Roman"/>
          <w:bCs/>
          <w:sz w:val="24"/>
          <w:szCs w:val="24"/>
          <w:lang w:val="en-US"/>
        </w:rPr>
        <w:t xml:space="preserve">speads </w:t>
      </w:r>
      <w:r w:rsidR="002445C1" w:rsidRPr="00781608">
        <w:rPr>
          <w:rFonts w:cs="Times New Roman"/>
          <w:bCs/>
          <w:sz w:val="24"/>
          <w:szCs w:val="24"/>
          <w:lang w:val="en-US"/>
        </w:rPr>
        <w:t xml:space="preserve">depends on the levels of information availability in each country. </w:t>
      </w:r>
      <w:r w:rsidRPr="00781608">
        <w:rPr>
          <w:rFonts w:cs="Times New Roman"/>
          <w:bCs/>
          <w:sz w:val="24"/>
          <w:szCs w:val="24"/>
          <w:lang w:val="en-US"/>
        </w:rPr>
        <w:t>Therefore</w:t>
      </w:r>
      <w:r w:rsidR="002445C1" w:rsidRPr="00781608">
        <w:rPr>
          <w:rFonts w:cs="Times New Roman"/>
          <w:bCs/>
          <w:sz w:val="24"/>
          <w:szCs w:val="24"/>
          <w:lang w:val="en-US"/>
        </w:rPr>
        <w:t>, I test if</w:t>
      </w:r>
      <w:r w:rsidR="00BD2D17" w:rsidRPr="00781608">
        <w:rPr>
          <w:rFonts w:cs="Times New Roman"/>
          <w:bCs/>
          <w:sz w:val="24"/>
          <w:szCs w:val="24"/>
          <w:lang w:val="en-US"/>
        </w:rPr>
        <w:t>,</w:t>
      </w:r>
      <w:r w:rsidR="002445C1" w:rsidRPr="00781608">
        <w:rPr>
          <w:rFonts w:cs="Times New Roman"/>
          <w:bCs/>
          <w:sz w:val="24"/>
          <w:szCs w:val="24"/>
          <w:lang w:val="en-US"/>
        </w:rPr>
        <w:t xml:space="preserve"> after controlling for non-transparency (corruption) and freedom of press, the effect of credit rating changes by the largest three CRAs on yield</w:t>
      </w:r>
      <w:r w:rsidR="00630CFF">
        <w:rPr>
          <w:rFonts w:cs="Times New Roman"/>
          <w:bCs/>
          <w:sz w:val="24"/>
          <w:szCs w:val="24"/>
          <w:lang w:val="en-US"/>
        </w:rPr>
        <w:t xml:space="preserve"> spreads</w:t>
      </w:r>
      <w:r w:rsidR="002445C1" w:rsidRPr="00781608">
        <w:rPr>
          <w:rFonts w:cs="Times New Roman"/>
          <w:bCs/>
          <w:sz w:val="24"/>
          <w:szCs w:val="24"/>
          <w:lang w:val="en-US"/>
        </w:rPr>
        <w:t xml:space="preserve"> of 1-, 5- and 10-year sovereign b</w:t>
      </w:r>
      <w:r w:rsidR="00BD2D17" w:rsidRPr="00781608">
        <w:rPr>
          <w:rFonts w:cs="Times New Roman"/>
          <w:bCs/>
          <w:sz w:val="24"/>
          <w:szCs w:val="24"/>
          <w:lang w:val="en-US"/>
        </w:rPr>
        <w:t>onds is no longer significant for</w:t>
      </w:r>
      <w:r w:rsidR="002445C1" w:rsidRPr="00781608">
        <w:rPr>
          <w:rFonts w:cs="Times New Roman"/>
          <w:bCs/>
          <w:sz w:val="24"/>
          <w:szCs w:val="24"/>
          <w:lang w:val="en-US"/>
        </w:rPr>
        <w:t xml:space="preserve"> explain</w:t>
      </w:r>
      <w:r w:rsidR="00BD2D17" w:rsidRPr="00781608">
        <w:rPr>
          <w:rFonts w:cs="Times New Roman"/>
          <w:bCs/>
          <w:sz w:val="24"/>
          <w:szCs w:val="24"/>
          <w:lang w:val="en-US"/>
        </w:rPr>
        <w:t>ing</w:t>
      </w:r>
      <w:r w:rsidR="002445C1" w:rsidRPr="00781608">
        <w:rPr>
          <w:rFonts w:cs="Times New Roman"/>
          <w:bCs/>
          <w:sz w:val="24"/>
          <w:szCs w:val="24"/>
          <w:lang w:val="en-US"/>
        </w:rPr>
        <w:t xml:space="preserve"> yield movements. Based on this, my first hypothesis is as follows:</w:t>
      </w:r>
    </w:p>
    <w:p w:rsidR="002445C1" w:rsidRPr="00781608" w:rsidRDefault="002445C1" w:rsidP="002445C1">
      <w:pPr>
        <w:spacing w:line="360" w:lineRule="auto"/>
        <w:jc w:val="both"/>
        <w:rPr>
          <w:rFonts w:cs="Times New Roman"/>
          <w:bCs/>
          <w:sz w:val="24"/>
          <w:szCs w:val="24"/>
          <w:lang w:val="en-US"/>
        </w:rPr>
      </w:pPr>
      <w:r w:rsidRPr="00781608">
        <w:rPr>
          <w:rFonts w:cs="Times New Roman"/>
          <w:bCs/>
          <w:sz w:val="24"/>
          <w:szCs w:val="24"/>
          <w:u w:val="single"/>
          <w:lang w:val="en-US"/>
        </w:rPr>
        <w:t>Hypothesis 1:</w:t>
      </w:r>
      <w:r w:rsidRPr="00781608">
        <w:rPr>
          <w:rFonts w:cs="Times New Roman"/>
          <w:bCs/>
          <w:sz w:val="24"/>
          <w:szCs w:val="24"/>
          <w:lang w:val="en-US"/>
        </w:rPr>
        <w:t xml:space="preserve"> After controlling for information availability, credit rating events have no sig</w:t>
      </w:r>
      <w:r w:rsidR="00630CFF">
        <w:rPr>
          <w:rFonts w:cs="Times New Roman"/>
          <w:bCs/>
          <w:sz w:val="24"/>
          <w:szCs w:val="24"/>
          <w:lang w:val="en-US"/>
        </w:rPr>
        <w:t>nificant impact on yield spreads</w:t>
      </w:r>
      <w:r w:rsidRPr="00781608">
        <w:rPr>
          <w:rFonts w:cs="Times New Roman"/>
          <w:bCs/>
          <w:sz w:val="24"/>
          <w:szCs w:val="24"/>
          <w:lang w:val="en-US"/>
        </w:rPr>
        <w:t>, namely</w:t>
      </w:r>
      <w:r w:rsidR="0074550A" w:rsidRPr="00781608">
        <w:rPr>
          <w:rFonts w:cs="Times New Roman"/>
          <w:bCs/>
          <w:sz w:val="24"/>
          <w:szCs w:val="24"/>
          <w:lang w:val="en-US"/>
        </w:rPr>
        <w:t>, the</w:t>
      </w:r>
      <w:r w:rsidRPr="00781608">
        <w:rPr>
          <w:rFonts w:cs="Times New Roman"/>
          <w:bCs/>
          <w:sz w:val="24"/>
          <w:szCs w:val="24"/>
          <w:lang w:val="en-US"/>
        </w:rPr>
        <w:t xml:space="preserve"> more transparent and free of censorship a country is, the more a rating event is anticipated and thus already incorporated by the markets.</w:t>
      </w:r>
    </w:p>
    <w:p w:rsidR="002445C1" w:rsidRPr="00781608" w:rsidRDefault="002445C1" w:rsidP="002445C1">
      <w:pPr>
        <w:spacing w:line="360" w:lineRule="auto"/>
        <w:jc w:val="both"/>
        <w:rPr>
          <w:rFonts w:cs="Times New Roman"/>
          <w:bCs/>
          <w:sz w:val="24"/>
          <w:szCs w:val="24"/>
          <w:lang w:val="en-US"/>
        </w:rPr>
      </w:pPr>
      <w:r w:rsidRPr="00781608">
        <w:rPr>
          <w:rFonts w:cs="Times New Roman"/>
          <w:bCs/>
          <w:sz w:val="24"/>
          <w:szCs w:val="24"/>
          <w:lang w:val="en-US"/>
        </w:rPr>
        <w:t xml:space="preserve">Next, I test on which bonds’ maturity the credit rating events have the largest impact, provided that any effect is found. By looking at short (1-year), mid-to-long (5-year) and long (10-year) horizons, a distinction can be made between the bonds to see on which maturity credit rating events have the most impact. </w:t>
      </w:r>
      <w:r w:rsidR="003111CF" w:rsidRPr="00781608">
        <w:rPr>
          <w:rFonts w:cs="Times New Roman"/>
          <w:bCs/>
          <w:sz w:val="24"/>
          <w:szCs w:val="24"/>
          <w:lang w:val="en-US"/>
        </w:rPr>
        <w:t>Following literature</w:t>
      </w:r>
      <w:r w:rsidR="003111CF" w:rsidRPr="00781608">
        <w:rPr>
          <w:rStyle w:val="Voetnootmarkering"/>
          <w:rFonts w:cs="Times New Roman"/>
          <w:bCs/>
          <w:sz w:val="24"/>
          <w:szCs w:val="24"/>
        </w:rPr>
        <w:footnoteReference w:id="10"/>
      </w:r>
      <w:r w:rsidR="003111CF" w:rsidRPr="00781608">
        <w:rPr>
          <w:rFonts w:cs="Times New Roman"/>
          <w:bCs/>
          <w:sz w:val="24"/>
          <w:szCs w:val="24"/>
          <w:lang w:val="en-US"/>
        </w:rPr>
        <w:t xml:space="preserve"> implying that t</w:t>
      </w:r>
      <w:r w:rsidRPr="00781608">
        <w:rPr>
          <w:rFonts w:cs="Times New Roman"/>
          <w:bCs/>
          <w:sz w:val="24"/>
          <w:szCs w:val="24"/>
          <w:lang w:val="en-US"/>
        </w:rPr>
        <w:t>he longer the bond-duration, the more volatile the bond price is to changing interest rates</w:t>
      </w:r>
      <w:r w:rsidR="003111CF" w:rsidRPr="00781608">
        <w:rPr>
          <w:rFonts w:cs="Times New Roman"/>
          <w:bCs/>
          <w:sz w:val="24"/>
          <w:szCs w:val="24"/>
          <w:lang w:val="en-US"/>
        </w:rPr>
        <w:t>, I expect that</w:t>
      </w:r>
      <w:r w:rsidRPr="00781608">
        <w:rPr>
          <w:rFonts w:cs="Times New Roman"/>
          <w:bCs/>
          <w:sz w:val="24"/>
          <w:szCs w:val="24"/>
          <w:lang w:val="en-US"/>
        </w:rPr>
        <w:t xml:space="preserve"> the longer the maturity</w:t>
      </w:r>
      <w:r w:rsidR="003111CF" w:rsidRPr="00781608">
        <w:rPr>
          <w:rFonts w:cs="Times New Roman"/>
          <w:bCs/>
          <w:sz w:val="24"/>
          <w:szCs w:val="24"/>
          <w:lang w:val="en-US"/>
        </w:rPr>
        <w:t xml:space="preserve"> is</w:t>
      </w:r>
      <w:r w:rsidRPr="00781608">
        <w:rPr>
          <w:rFonts w:cs="Times New Roman"/>
          <w:bCs/>
          <w:sz w:val="24"/>
          <w:szCs w:val="24"/>
          <w:lang w:val="en-US"/>
        </w:rPr>
        <w:t>, the more volatile the bond market is.</w:t>
      </w:r>
      <w:r w:rsidR="001A40B9" w:rsidRPr="00781608">
        <w:rPr>
          <w:rStyle w:val="Voetnootmarkering"/>
          <w:rFonts w:cs="Times New Roman"/>
          <w:bCs/>
          <w:sz w:val="24"/>
          <w:szCs w:val="24"/>
          <w:lang w:val="en-US"/>
        </w:rPr>
        <w:t xml:space="preserve"> </w:t>
      </w:r>
    </w:p>
    <w:p w:rsidR="002445C1" w:rsidRPr="00781608" w:rsidRDefault="002445C1" w:rsidP="002445C1">
      <w:pPr>
        <w:spacing w:line="360" w:lineRule="auto"/>
        <w:jc w:val="both"/>
        <w:rPr>
          <w:rFonts w:cs="Times New Roman"/>
          <w:bCs/>
          <w:sz w:val="24"/>
          <w:szCs w:val="24"/>
          <w:lang w:val="en-US"/>
        </w:rPr>
      </w:pPr>
      <w:r w:rsidRPr="00781608">
        <w:rPr>
          <w:rFonts w:cs="Times New Roman"/>
          <w:bCs/>
          <w:sz w:val="24"/>
          <w:szCs w:val="24"/>
          <w:u w:val="single"/>
          <w:lang w:val="en-US"/>
        </w:rPr>
        <w:t>Hypothesis 2:</w:t>
      </w:r>
      <w:r w:rsidRPr="00781608">
        <w:rPr>
          <w:rFonts w:cs="Times New Roman"/>
          <w:bCs/>
          <w:sz w:val="24"/>
          <w:szCs w:val="24"/>
          <w:lang w:val="en-US"/>
        </w:rPr>
        <w:t xml:space="preserve"> Impact is larger for long maturity sovereign bonds (i.e. 10-year)</w:t>
      </w:r>
    </w:p>
    <w:p w:rsidR="002445C1" w:rsidRPr="00781608" w:rsidRDefault="002445C1" w:rsidP="002445C1">
      <w:pPr>
        <w:spacing w:line="360" w:lineRule="auto"/>
        <w:jc w:val="both"/>
        <w:rPr>
          <w:rFonts w:cs="Times New Roman"/>
          <w:bCs/>
          <w:sz w:val="24"/>
          <w:szCs w:val="24"/>
          <w:lang w:val="en-US"/>
        </w:rPr>
      </w:pPr>
      <w:r w:rsidRPr="00781608">
        <w:rPr>
          <w:rFonts w:cs="Times New Roman"/>
          <w:bCs/>
          <w:sz w:val="24"/>
          <w:szCs w:val="24"/>
          <w:lang w:val="en-US"/>
        </w:rPr>
        <w:t>Following earlier research findings</w:t>
      </w:r>
      <w:r w:rsidR="001A40B9" w:rsidRPr="00781608">
        <w:rPr>
          <w:rFonts w:cs="Times New Roman"/>
          <w:bCs/>
          <w:sz w:val="24"/>
          <w:szCs w:val="24"/>
          <w:lang w:val="en-US"/>
        </w:rPr>
        <w:t xml:space="preserve"> </w:t>
      </w:r>
      <w:r w:rsidRPr="00781608">
        <w:rPr>
          <w:rFonts w:cs="Times New Roman"/>
          <w:bCs/>
          <w:sz w:val="24"/>
          <w:szCs w:val="24"/>
          <w:lang w:val="en-US"/>
        </w:rPr>
        <w:t>of asymmetric effects</w:t>
      </w:r>
      <w:r w:rsidR="001A40B9" w:rsidRPr="00781608">
        <w:rPr>
          <w:rFonts w:cs="Times New Roman"/>
          <w:bCs/>
          <w:sz w:val="24"/>
          <w:szCs w:val="24"/>
          <w:lang w:val="en-US"/>
        </w:rPr>
        <w:t>, discussed in the literature review,</w:t>
      </w:r>
      <w:r w:rsidRPr="00781608">
        <w:rPr>
          <w:rFonts w:cs="Times New Roman"/>
          <w:bCs/>
          <w:sz w:val="24"/>
          <w:szCs w:val="24"/>
          <w:lang w:val="en-US"/>
        </w:rPr>
        <w:t xml:space="preserve"> I expect that if any significant effect is found, negative credit rating events will cause more reaction tha</w:t>
      </w:r>
      <w:r w:rsidR="001A40B9" w:rsidRPr="00781608">
        <w:rPr>
          <w:rFonts w:cs="Times New Roman"/>
          <w:bCs/>
          <w:sz w:val="24"/>
          <w:szCs w:val="24"/>
          <w:lang w:val="en-US"/>
        </w:rPr>
        <w:t>n</w:t>
      </w:r>
      <w:r w:rsidRPr="00781608">
        <w:rPr>
          <w:rFonts w:cs="Times New Roman"/>
          <w:bCs/>
          <w:sz w:val="24"/>
          <w:szCs w:val="24"/>
          <w:lang w:val="en-US"/>
        </w:rPr>
        <w:t xml:space="preserve"> positive events.</w:t>
      </w:r>
    </w:p>
    <w:p w:rsidR="002445C1" w:rsidRPr="00781608" w:rsidRDefault="002445C1" w:rsidP="002445C1">
      <w:pPr>
        <w:spacing w:line="360" w:lineRule="auto"/>
        <w:jc w:val="both"/>
        <w:rPr>
          <w:rFonts w:cs="Times New Roman"/>
          <w:bCs/>
          <w:sz w:val="24"/>
          <w:szCs w:val="24"/>
          <w:lang w:val="en-US"/>
        </w:rPr>
      </w:pPr>
      <w:r w:rsidRPr="00781608">
        <w:rPr>
          <w:rFonts w:cs="Times New Roman"/>
          <w:bCs/>
          <w:sz w:val="24"/>
          <w:szCs w:val="24"/>
          <w:u w:val="single"/>
          <w:lang w:val="en-US"/>
        </w:rPr>
        <w:t>Hypothesis 3:</w:t>
      </w:r>
      <w:r w:rsidRPr="00781608">
        <w:rPr>
          <w:rFonts w:cs="Times New Roman"/>
          <w:bCs/>
          <w:sz w:val="24"/>
          <w:szCs w:val="24"/>
          <w:lang w:val="en-US"/>
        </w:rPr>
        <w:t xml:space="preserve"> If significant effects are found, </w:t>
      </w:r>
      <w:r w:rsidR="001A40B9" w:rsidRPr="00781608">
        <w:rPr>
          <w:rFonts w:cs="Times New Roman"/>
          <w:bCs/>
          <w:sz w:val="24"/>
          <w:szCs w:val="24"/>
          <w:lang w:val="en-US"/>
        </w:rPr>
        <w:t>suggesting</w:t>
      </w:r>
      <w:r w:rsidRPr="00781608">
        <w:rPr>
          <w:rFonts w:cs="Times New Roman"/>
          <w:bCs/>
          <w:sz w:val="24"/>
          <w:szCs w:val="24"/>
          <w:lang w:val="en-US"/>
        </w:rPr>
        <w:t xml:space="preserve"> inefficien</w:t>
      </w:r>
      <w:r w:rsidR="001A40B9" w:rsidRPr="00781608">
        <w:rPr>
          <w:rFonts w:cs="Times New Roman"/>
          <w:bCs/>
          <w:sz w:val="24"/>
          <w:szCs w:val="24"/>
          <w:lang w:val="en-US"/>
        </w:rPr>
        <w:t>t</w:t>
      </w:r>
      <w:r w:rsidRPr="00781608">
        <w:rPr>
          <w:rFonts w:cs="Times New Roman"/>
          <w:bCs/>
          <w:sz w:val="24"/>
          <w:szCs w:val="24"/>
          <w:lang w:val="en-US"/>
        </w:rPr>
        <w:t xml:space="preserve"> markets, the</w:t>
      </w:r>
      <w:r w:rsidR="001A40B9" w:rsidRPr="00781608">
        <w:rPr>
          <w:rFonts w:cs="Times New Roman"/>
          <w:bCs/>
          <w:sz w:val="24"/>
          <w:szCs w:val="24"/>
          <w:lang w:val="en-US"/>
        </w:rPr>
        <w:t xml:space="preserve"> results</w:t>
      </w:r>
      <w:r w:rsidRPr="00781608">
        <w:rPr>
          <w:rFonts w:cs="Times New Roman"/>
          <w:bCs/>
          <w:sz w:val="24"/>
          <w:szCs w:val="24"/>
          <w:lang w:val="en-US"/>
        </w:rPr>
        <w:t xml:space="preserve"> will be asymmetric, only possibly significant for negative credit rating events.</w:t>
      </w:r>
    </w:p>
    <w:p w:rsidR="002445C1" w:rsidRPr="00781608" w:rsidRDefault="002445C1" w:rsidP="00EF1C4F">
      <w:pPr>
        <w:spacing w:line="360" w:lineRule="auto"/>
        <w:jc w:val="both"/>
        <w:rPr>
          <w:rFonts w:cs="Times New Roman"/>
          <w:bCs/>
          <w:sz w:val="24"/>
          <w:szCs w:val="24"/>
          <w:lang w:val="en-US"/>
        </w:rPr>
      </w:pPr>
      <w:r w:rsidRPr="00781608">
        <w:rPr>
          <w:rFonts w:cs="Times New Roman"/>
          <w:bCs/>
          <w:sz w:val="24"/>
          <w:szCs w:val="24"/>
          <w:lang w:val="en-US"/>
        </w:rPr>
        <w:lastRenderedPageBreak/>
        <w:t xml:space="preserve">Finally, I test if the impact differs for different events such as changes in ratings, outlooks and </w:t>
      </w:r>
      <w:r w:rsidR="0074550A" w:rsidRPr="00781608">
        <w:rPr>
          <w:rFonts w:cs="Times New Roman"/>
          <w:bCs/>
          <w:sz w:val="24"/>
          <w:szCs w:val="24"/>
          <w:lang w:val="en-US"/>
        </w:rPr>
        <w:t>watchlist</w:t>
      </w:r>
      <w:r w:rsidRPr="00781608">
        <w:rPr>
          <w:rFonts w:cs="Times New Roman"/>
          <w:bCs/>
          <w:sz w:val="24"/>
          <w:szCs w:val="24"/>
          <w:lang w:val="en-US"/>
        </w:rPr>
        <w:t>. Also if</w:t>
      </w:r>
      <w:r w:rsidR="00BD2D17" w:rsidRPr="00781608">
        <w:rPr>
          <w:rFonts w:cs="Times New Roman"/>
          <w:bCs/>
          <w:sz w:val="24"/>
          <w:szCs w:val="24"/>
          <w:lang w:val="en-US"/>
        </w:rPr>
        <w:t>, d</w:t>
      </w:r>
      <w:r w:rsidRPr="00781608">
        <w:rPr>
          <w:rFonts w:cs="Times New Roman"/>
          <w:bCs/>
          <w:sz w:val="24"/>
          <w:szCs w:val="24"/>
          <w:lang w:val="en-US"/>
        </w:rPr>
        <w:t>epending on which of the three CRAs generated the event, different levels of impact occur. Judging from earlier studies I expect outlook changes and watchlist announcements to have a stronger effect than actual rating changes</w:t>
      </w:r>
      <w:r w:rsidR="00BD2D17" w:rsidRPr="00781608">
        <w:rPr>
          <w:rFonts w:cs="Times New Roman"/>
          <w:bCs/>
          <w:sz w:val="24"/>
          <w:szCs w:val="24"/>
          <w:lang w:val="en-US"/>
        </w:rPr>
        <w:t>.</w:t>
      </w:r>
    </w:p>
    <w:p w:rsidR="002F2AB7" w:rsidRPr="00A16CD4" w:rsidRDefault="00764641" w:rsidP="00781608">
      <w:pPr>
        <w:pStyle w:val="Kop1"/>
        <w:spacing w:line="360" w:lineRule="auto"/>
        <w:rPr>
          <w:rFonts w:asciiTheme="minorHAnsi" w:hAnsiTheme="minorHAnsi" w:cs="Times New Roman"/>
          <w:bCs w:val="0"/>
          <w:i/>
          <w:color w:val="auto"/>
          <w:sz w:val="24"/>
          <w:szCs w:val="24"/>
          <w:lang w:val="en-US"/>
        </w:rPr>
      </w:pPr>
      <w:bookmarkStart w:id="12" w:name="_Toc359926553"/>
      <w:r>
        <w:rPr>
          <w:rFonts w:asciiTheme="minorHAnsi" w:hAnsiTheme="minorHAnsi" w:cs="Times New Roman"/>
          <w:bCs w:val="0"/>
          <w:color w:val="auto"/>
          <w:sz w:val="24"/>
          <w:szCs w:val="24"/>
          <w:lang w:val="en-US"/>
        </w:rPr>
        <w:br w:type="column"/>
      </w:r>
      <w:r w:rsidR="002F2AB7" w:rsidRPr="00A16CD4">
        <w:rPr>
          <w:rFonts w:asciiTheme="minorHAnsi" w:hAnsiTheme="minorHAnsi" w:cs="Times New Roman"/>
          <w:bCs w:val="0"/>
          <w:i/>
          <w:color w:val="auto"/>
          <w:sz w:val="24"/>
          <w:szCs w:val="24"/>
          <w:lang w:val="en-US"/>
        </w:rPr>
        <w:lastRenderedPageBreak/>
        <w:t>4</w:t>
      </w:r>
      <w:r w:rsidR="00EE58A3" w:rsidRPr="00A16CD4">
        <w:rPr>
          <w:rFonts w:asciiTheme="minorHAnsi" w:hAnsiTheme="minorHAnsi" w:cs="Times New Roman"/>
          <w:bCs w:val="0"/>
          <w:i/>
          <w:color w:val="auto"/>
          <w:sz w:val="24"/>
          <w:szCs w:val="24"/>
          <w:lang w:val="en-US"/>
        </w:rPr>
        <w:t>. Methodology</w:t>
      </w:r>
      <w:bookmarkEnd w:id="12"/>
    </w:p>
    <w:p w:rsidR="00793364" w:rsidRPr="00781608" w:rsidRDefault="002F2AB7" w:rsidP="00781608">
      <w:pPr>
        <w:pStyle w:val="Kop2"/>
        <w:spacing w:line="360" w:lineRule="auto"/>
        <w:rPr>
          <w:rFonts w:asciiTheme="minorHAnsi" w:hAnsiTheme="minorHAnsi" w:cs="Times New Roman"/>
          <w:bCs w:val="0"/>
          <w:color w:val="auto"/>
          <w:sz w:val="24"/>
          <w:szCs w:val="24"/>
          <w:lang w:val="en-US"/>
        </w:rPr>
      </w:pPr>
      <w:bookmarkStart w:id="13" w:name="_Toc359926554"/>
      <w:r w:rsidRPr="00781608">
        <w:rPr>
          <w:rFonts w:asciiTheme="minorHAnsi" w:hAnsiTheme="minorHAnsi" w:cs="Times New Roman"/>
          <w:bCs w:val="0"/>
          <w:color w:val="auto"/>
          <w:sz w:val="24"/>
          <w:szCs w:val="24"/>
          <w:lang w:val="en-US"/>
        </w:rPr>
        <w:t>4.1</w:t>
      </w:r>
      <w:r w:rsidR="001958B0" w:rsidRPr="00781608">
        <w:rPr>
          <w:rFonts w:asciiTheme="minorHAnsi" w:hAnsiTheme="minorHAnsi" w:cs="Times New Roman"/>
          <w:bCs w:val="0"/>
          <w:color w:val="auto"/>
          <w:sz w:val="24"/>
          <w:szCs w:val="24"/>
          <w:lang w:val="en-US"/>
        </w:rPr>
        <w:t xml:space="preserve"> </w:t>
      </w:r>
      <w:r w:rsidR="00EE58A3" w:rsidRPr="00781608">
        <w:rPr>
          <w:rFonts w:asciiTheme="minorHAnsi" w:hAnsiTheme="minorHAnsi" w:cs="Times New Roman"/>
          <w:bCs w:val="0"/>
          <w:color w:val="auto"/>
          <w:sz w:val="24"/>
          <w:szCs w:val="24"/>
          <w:lang w:val="en-US"/>
        </w:rPr>
        <w:t>Data</w:t>
      </w:r>
      <w:bookmarkEnd w:id="13"/>
    </w:p>
    <w:p w:rsidR="00F15F35" w:rsidRPr="00781608" w:rsidRDefault="00DF152A" w:rsidP="00EF1C4F">
      <w:pPr>
        <w:spacing w:line="360" w:lineRule="auto"/>
        <w:jc w:val="both"/>
        <w:rPr>
          <w:rFonts w:cs="Times New Roman"/>
          <w:sz w:val="24"/>
          <w:szCs w:val="24"/>
          <w:lang w:val="en-US"/>
        </w:rPr>
      </w:pPr>
      <w:r w:rsidRPr="00781608">
        <w:rPr>
          <w:rFonts w:cs="Times New Roman"/>
          <w:bCs/>
          <w:sz w:val="24"/>
          <w:szCs w:val="24"/>
          <w:lang w:val="en-US"/>
        </w:rPr>
        <w:t>The data I use are al</w:t>
      </w:r>
      <w:r w:rsidR="00D15771">
        <w:rPr>
          <w:rFonts w:cs="Times New Roman"/>
          <w:bCs/>
          <w:sz w:val="24"/>
          <w:szCs w:val="24"/>
          <w:lang w:val="en-US"/>
        </w:rPr>
        <w:t>l on a monthly basis. The yield spreads</w:t>
      </w:r>
      <w:r w:rsidRPr="00781608">
        <w:rPr>
          <w:rFonts w:cs="Times New Roman"/>
          <w:bCs/>
          <w:sz w:val="24"/>
          <w:szCs w:val="24"/>
          <w:lang w:val="en-US"/>
        </w:rPr>
        <w:t xml:space="preserve"> and rating events were already in this time-span; the information variables </w:t>
      </w:r>
      <w:r w:rsidR="00EE1898" w:rsidRPr="00781608">
        <w:rPr>
          <w:rFonts w:cs="Times New Roman"/>
          <w:bCs/>
          <w:sz w:val="24"/>
          <w:szCs w:val="24"/>
          <w:lang w:val="en-US"/>
        </w:rPr>
        <w:t>are provided on yearly bas</w:t>
      </w:r>
      <w:r w:rsidR="00EE58A3" w:rsidRPr="00781608">
        <w:rPr>
          <w:rFonts w:cs="Times New Roman"/>
          <w:bCs/>
          <w:sz w:val="24"/>
          <w:szCs w:val="24"/>
          <w:lang w:val="en-US"/>
        </w:rPr>
        <w:t>i</w:t>
      </w:r>
      <w:r w:rsidR="00EE1898" w:rsidRPr="00781608">
        <w:rPr>
          <w:rFonts w:cs="Times New Roman"/>
          <w:bCs/>
          <w:sz w:val="24"/>
          <w:szCs w:val="24"/>
          <w:lang w:val="en-US"/>
        </w:rPr>
        <w:t>s so I adapted them.</w:t>
      </w:r>
      <w:r w:rsidRPr="00781608">
        <w:rPr>
          <w:rFonts w:cs="Times New Roman"/>
          <w:bCs/>
          <w:sz w:val="24"/>
          <w:szCs w:val="24"/>
          <w:lang w:val="en-US"/>
        </w:rPr>
        <w:t xml:space="preserve"> </w:t>
      </w:r>
      <w:r w:rsidR="00EE1898" w:rsidRPr="00781608">
        <w:rPr>
          <w:rFonts w:cs="Times New Roman"/>
          <w:bCs/>
          <w:sz w:val="24"/>
          <w:szCs w:val="24"/>
          <w:lang w:val="en-US"/>
        </w:rPr>
        <w:t>B</w:t>
      </w:r>
      <w:r w:rsidRPr="00781608">
        <w:rPr>
          <w:rFonts w:cs="Times New Roman"/>
          <w:bCs/>
          <w:sz w:val="24"/>
          <w:szCs w:val="24"/>
          <w:lang w:val="en-US"/>
        </w:rPr>
        <w:t xml:space="preserve">ecause of small differences between the years I felt comfortable setting them as monthly data </w:t>
      </w:r>
      <w:r w:rsidR="00EE1898" w:rsidRPr="00781608">
        <w:rPr>
          <w:rFonts w:cs="Times New Roman"/>
          <w:bCs/>
          <w:sz w:val="24"/>
          <w:szCs w:val="24"/>
          <w:lang w:val="en-US"/>
        </w:rPr>
        <w:t xml:space="preserve">by giving every month the same value as its yearly average. </w:t>
      </w:r>
      <w:r w:rsidR="00EC5AEA" w:rsidRPr="00781608">
        <w:rPr>
          <w:rFonts w:cs="Times New Roman"/>
          <w:sz w:val="24"/>
          <w:szCs w:val="24"/>
          <w:lang w:val="en-US"/>
        </w:rPr>
        <w:t>Ratings are given for a 3 to 5 year horizon and are also assigned an outl</w:t>
      </w:r>
      <w:r w:rsidR="001D76B4" w:rsidRPr="00781608">
        <w:rPr>
          <w:rFonts w:cs="Times New Roman"/>
          <w:sz w:val="24"/>
          <w:szCs w:val="24"/>
          <w:lang w:val="en-US"/>
        </w:rPr>
        <w:t>ook (positive, negative, stable</w:t>
      </w:r>
      <w:r w:rsidR="00EC5AEA" w:rsidRPr="00781608">
        <w:rPr>
          <w:rFonts w:cs="Times New Roman"/>
          <w:sz w:val="24"/>
          <w:szCs w:val="24"/>
          <w:lang w:val="en-US"/>
        </w:rPr>
        <w:t>) that indicates the expected trend for the next 1 to 3 years. If placed on CreditWatch (S&amp;P), Review (Moody’s) or Alert (Fitch), it means an almost certain change in the rating can be expected within a few months.</w:t>
      </w:r>
      <w:r w:rsidR="00432476" w:rsidRPr="00781608">
        <w:rPr>
          <w:rFonts w:cs="Times New Roman"/>
          <w:sz w:val="24"/>
          <w:szCs w:val="24"/>
          <w:lang w:val="en-US"/>
        </w:rPr>
        <w:t xml:space="preserve"> The CRAs already make a distinction between positive and negative watchlist placements.</w:t>
      </w:r>
      <w:r w:rsidR="00EC5AEA" w:rsidRPr="00781608">
        <w:rPr>
          <w:rFonts w:cs="Times New Roman"/>
          <w:sz w:val="24"/>
          <w:szCs w:val="24"/>
          <w:lang w:val="en-US"/>
        </w:rPr>
        <w:t xml:space="preserve"> If an announcement is made about a rating, whether it is an upgrade, downgrade, </w:t>
      </w:r>
      <w:r w:rsidR="001D76B4" w:rsidRPr="00781608">
        <w:rPr>
          <w:rFonts w:cs="Times New Roman"/>
          <w:sz w:val="24"/>
          <w:szCs w:val="24"/>
          <w:lang w:val="en-US"/>
        </w:rPr>
        <w:t xml:space="preserve">positive- or negative </w:t>
      </w:r>
      <w:r w:rsidR="00EC5AEA" w:rsidRPr="00781608">
        <w:rPr>
          <w:rFonts w:cs="Times New Roman"/>
          <w:sz w:val="24"/>
          <w:szCs w:val="24"/>
          <w:lang w:val="en-US"/>
        </w:rPr>
        <w:t xml:space="preserve">review or outlook change, it is called a rating event. CRAs use different methodologies when composing a rating. S&amp;P only considers the probability of occurrence of default, Moody’s the expected loss: a combination of the probability of default and the expected recovery rate. Fitch looks at the probability of default until the moment of default; after that they look at the expected recovery rate. The ratings of these three CRAs are thus not completely equal, but overall quite similar. </w:t>
      </w:r>
    </w:p>
    <w:p w:rsidR="00F73922" w:rsidRPr="00781608" w:rsidRDefault="00432476" w:rsidP="00F73922">
      <w:pPr>
        <w:spacing w:after="0" w:line="360" w:lineRule="auto"/>
        <w:jc w:val="both"/>
        <w:rPr>
          <w:rFonts w:cs="Times New Roman"/>
          <w:sz w:val="24"/>
          <w:szCs w:val="24"/>
          <w:lang w:val="en-US"/>
        </w:rPr>
      </w:pPr>
      <w:r w:rsidRPr="00781608">
        <w:rPr>
          <w:rFonts w:cs="Times New Roman"/>
          <w:sz w:val="24"/>
          <w:szCs w:val="24"/>
          <w:lang w:val="en-US"/>
        </w:rPr>
        <w:t>For clear understanding of</w:t>
      </w:r>
      <w:r w:rsidR="00F15F35" w:rsidRPr="00781608">
        <w:rPr>
          <w:rFonts w:cs="Times New Roman"/>
          <w:sz w:val="24"/>
          <w:szCs w:val="24"/>
          <w:lang w:val="en-US"/>
        </w:rPr>
        <w:t xml:space="preserve"> how ratings are composed I give a short overview of the process that is followed by S&amp;P for compiling a sovereign rating. </w:t>
      </w:r>
      <w:r w:rsidR="00EC5AEA" w:rsidRPr="00781608">
        <w:rPr>
          <w:rFonts w:cs="Times New Roman"/>
          <w:sz w:val="24"/>
          <w:szCs w:val="24"/>
          <w:lang w:val="en-US"/>
        </w:rPr>
        <w:t>S&amp;P just updated the criteria for rating sovereigns to obtain “an enhanced measure of a sovereign’s contingent liabilities related to the financial sector and articulate the special credit characteristics of sovereigns within a monetary union”.</w:t>
      </w:r>
      <w:r w:rsidR="00EC5AEA" w:rsidRPr="00781608">
        <w:rPr>
          <w:rStyle w:val="Voetnootmarkering"/>
          <w:rFonts w:cs="Times New Roman"/>
          <w:sz w:val="24"/>
          <w:szCs w:val="24"/>
        </w:rPr>
        <w:footnoteReference w:id="11"/>
      </w:r>
      <w:r w:rsidR="00EC5AEA" w:rsidRPr="00781608">
        <w:rPr>
          <w:rFonts w:cs="Times New Roman"/>
          <w:sz w:val="24"/>
          <w:szCs w:val="24"/>
          <w:lang w:val="en-US"/>
        </w:rPr>
        <w:t xml:space="preserve">  The criteria used by S&amp;P for its rating calculations consist of five key factors: political, economic, external, fiscal and monetary. All these five receive forward-looking scores ranging from 1 (strongest) to 6 (weakest). The combination of these scores gives a political and economic profile for the reviewed country and at the same time a monetary flexibility and performance profile. Via these two profiles an indicative rating is </w:t>
      </w:r>
      <w:r w:rsidR="00EC5AEA" w:rsidRPr="00781608">
        <w:rPr>
          <w:rFonts w:cs="Times New Roman"/>
          <w:sz w:val="24"/>
          <w:szCs w:val="24"/>
          <w:lang w:val="en-US"/>
        </w:rPr>
        <w:lastRenderedPageBreak/>
        <w:t xml:space="preserve">determined. The resulting score for a certain country is compared to others in the same group and then the foreign-currency rating (which is the rating </w:t>
      </w:r>
      <w:r w:rsidR="0074550A" w:rsidRPr="00781608">
        <w:rPr>
          <w:rFonts w:cs="Times New Roman"/>
          <w:sz w:val="24"/>
          <w:szCs w:val="24"/>
          <w:lang w:val="en-US"/>
        </w:rPr>
        <w:t>universally</w:t>
      </w:r>
      <w:r w:rsidR="00EC5AEA" w:rsidRPr="00781608">
        <w:rPr>
          <w:rFonts w:cs="Times New Roman"/>
          <w:sz w:val="24"/>
          <w:szCs w:val="24"/>
          <w:lang w:val="en-US"/>
        </w:rPr>
        <w:t xml:space="preserve"> measured with) of that country is set within one notch of the benchmark rating of its peers. The sovereign local-currency rating is determined by adding a maximum of two notches. This can be due to certain domestic governmental systems, but when for example the country is part of a monetary union, foreign- and local-currency ratings will be the same. The analysts first look at publically available information in order to define what additional information the issuer should provide. Then there is a meeting with representatives of the issuing country as well as representatives from the central bank and the private sector in order to get as much information as possible. After that, the analysts present their conclusions to the committee, consisting of 5 to 7 members including the analysts, and a final rating is established, leading to that possible one-notch difference with the benchmark. This final rating is S&amp;P’s assessment of the country’s overall ability to repay their obligations. Under normal circumstances countries are reviewed once every 2 years. In times of economic turmoil, rating decisions have to be made </w:t>
      </w:r>
      <w:r w:rsidR="00EC5AEA" w:rsidRPr="00781608">
        <w:rPr>
          <w:rFonts w:cs="Times New Roman"/>
          <w:i/>
          <w:sz w:val="24"/>
          <w:szCs w:val="24"/>
          <w:lang w:val="en-US"/>
        </w:rPr>
        <w:t>ad hoc</w:t>
      </w:r>
      <w:r w:rsidR="00EC5AEA" w:rsidRPr="00781608">
        <w:rPr>
          <w:rFonts w:cs="Times New Roman"/>
          <w:sz w:val="24"/>
          <w:szCs w:val="24"/>
          <w:lang w:val="en-US"/>
        </w:rPr>
        <w:t xml:space="preserve"> and are sometimes an </w:t>
      </w:r>
      <w:r w:rsidR="00EC5AEA" w:rsidRPr="00781608">
        <w:rPr>
          <w:rFonts w:cs="Times New Roman"/>
          <w:i/>
          <w:sz w:val="24"/>
          <w:szCs w:val="24"/>
          <w:lang w:val="en-US"/>
        </w:rPr>
        <w:t>ex post</w:t>
      </w:r>
      <w:r w:rsidR="00EC5AEA" w:rsidRPr="00781608">
        <w:rPr>
          <w:rFonts w:cs="Times New Roman"/>
          <w:sz w:val="24"/>
          <w:szCs w:val="24"/>
          <w:lang w:val="en-US"/>
        </w:rPr>
        <w:t xml:space="preserve"> reaction to media coverage (Bhatia, 2002; S&amp;P, 2011). The exact methodology used by Moody’s and Fitch is not publicly available but comparable to that used by S&amp;P.</w:t>
      </w:r>
      <w:r w:rsidR="00F15F35" w:rsidRPr="00781608">
        <w:rPr>
          <w:rFonts w:cs="Times New Roman"/>
          <w:sz w:val="24"/>
          <w:szCs w:val="24"/>
          <w:lang w:val="en-US"/>
        </w:rPr>
        <w:t xml:space="preserve"> </w:t>
      </w:r>
    </w:p>
    <w:p w:rsidR="00DF152A" w:rsidRPr="00781608" w:rsidRDefault="00DF152A" w:rsidP="00EE7977">
      <w:pPr>
        <w:spacing w:before="240" w:after="0" w:line="360" w:lineRule="auto"/>
        <w:jc w:val="both"/>
        <w:rPr>
          <w:rFonts w:cs="Times New Roman"/>
          <w:sz w:val="24"/>
          <w:szCs w:val="24"/>
          <w:lang w:val="en-US"/>
        </w:rPr>
      </w:pPr>
      <w:r w:rsidRPr="00781608">
        <w:rPr>
          <w:rFonts w:cs="Times New Roman"/>
          <w:bCs/>
          <w:sz w:val="24"/>
          <w:szCs w:val="24"/>
          <w:lang w:val="en-US"/>
        </w:rPr>
        <w:t xml:space="preserve">In order to get a clear view of the effects of the </w:t>
      </w:r>
      <w:r w:rsidR="00552CB7" w:rsidRPr="00781608">
        <w:rPr>
          <w:rFonts w:cs="Times New Roman"/>
          <w:bCs/>
          <w:sz w:val="24"/>
          <w:szCs w:val="24"/>
          <w:lang w:val="en-US"/>
        </w:rPr>
        <w:t>three largest</w:t>
      </w:r>
      <w:r w:rsidRPr="00781608">
        <w:rPr>
          <w:rFonts w:cs="Times New Roman"/>
          <w:bCs/>
          <w:sz w:val="24"/>
          <w:szCs w:val="24"/>
          <w:lang w:val="en-US"/>
        </w:rPr>
        <w:t xml:space="preserve"> CRAs and different types of rating events, I construct </w:t>
      </w:r>
      <w:r w:rsidR="00D32D57" w:rsidRPr="00781608">
        <w:rPr>
          <w:rFonts w:cs="Times New Roman"/>
          <w:bCs/>
          <w:sz w:val="24"/>
          <w:szCs w:val="24"/>
          <w:lang w:val="en-US"/>
        </w:rPr>
        <w:t>32 different dummies</w:t>
      </w:r>
      <w:r w:rsidRPr="00781608">
        <w:rPr>
          <w:rFonts w:cs="Times New Roman"/>
          <w:bCs/>
          <w:sz w:val="24"/>
          <w:szCs w:val="24"/>
          <w:lang w:val="en-US"/>
        </w:rPr>
        <w:t xml:space="preserve">. Fitch, Moody’s and S&amp;P are </w:t>
      </w:r>
      <w:r w:rsidR="0074550A" w:rsidRPr="00781608">
        <w:rPr>
          <w:rFonts w:cs="Times New Roman"/>
          <w:bCs/>
          <w:sz w:val="24"/>
          <w:szCs w:val="24"/>
          <w:lang w:val="en-US"/>
        </w:rPr>
        <w:t>separately</w:t>
      </w:r>
      <w:r w:rsidRPr="00781608">
        <w:rPr>
          <w:rFonts w:cs="Times New Roman"/>
          <w:bCs/>
          <w:sz w:val="24"/>
          <w:szCs w:val="24"/>
          <w:lang w:val="en-US"/>
        </w:rPr>
        <w:t xml:space="preserve"> tested as well as the three combined.</w:t>
      </w:r>
      <w:r w:rsidR="00D32D57" w:rsidRPr="00781608">
        <w:rPr>
          <w:rFonts w:cs="Times New Roman"/>
          <w:bCs/>
          <w:sz w:val="24"/>
          <w:szCs w:val="24"/>
          <w:lang w:val="en-US"/>
        </w:rPr>
        <w:t xml:space="preserve"> </w:t>
      </w:r>
      <w:r w:rsidRPr="00781608">
        <w:rPr>
          <w:rFonts w:cs="Times New Roman"/>
          <w:bCs/>
          <w:sz w:val="24"/>
          <w:szCs w:val="24"/>
          <w:lang w:val="en-US"/>
        </w:rPr>
        <w:t xml:space="preserve"> </w:t>
      </w:r>
      <w:r w:rsidR="00D32D57" w:rsidRPr="00781608">
        <w:rPr>
          <w:rFonts w:cs="Times New Roman"/>
          <w:bCs/>
          <w:sz w:val="24"/>
          <w:szCs w:val="24"/>
          <w:lang w:val="en-US"/>
        </w:rPr>
        <w:t xml:space="preserve">This makes a total of four. </w:t>
      </w:r>
      <w:r w:rsidRPr="00781608">
        <w:rPr>
          <w:rFonts w:cs="Times New Roman"/>
          <w:bCs/>
          <w:sz w:val="24"/>
          <w:szCs w:val="24"/>
          <w:lang w:val="en-US"/>
        </w:rPr>
        <w:t>I also make a distinction between the up- and downgrades, positive and negative outlook changes and positive and negative watchlist announcements. Also all positive rating events will be combined as well as all the negative events.</w:t>
      </w:r>
      <w:r w:rsidR="00D32D57" w:rsidRPr="00781608">
        <w:rPr>
          <w:rFonts w:cs="Times New Roman"/>
          <w:bCs/>
          <w:sz w:val="24"/>
          <w:szCs w:val="24"/>
          <w:lang w:val="en-US"/>
        </w:rPr>
        <w:t xml:space="preserve"> This makes a total of eight. So for each CRA as well as the 3 CRAs combined, eight different dummies are constructed.</w:t>
      </w:r>
      <w:r w:rsidRPr="00781608">
        <w:rPr>
          <w:rFonts w:cs="Times New Roman"/>
          <w:bCs/>
          <w:sz w:val="24"/>
          <w:szCs w:val="24"/>
          <w:lang w:val="en-US"/>
        </w:rPr>
        <w:t xml:space="preserve"> This dummy will take a value of 1 for the month that the rating event</w:t>
      </w:r>
      <w:r w:rsidR="002F2AB7" w:rsidRPr="00781608">
        <w:rPr>
          <w:rFonts w:cs="Times New Roman"/>
          <w:bCs/>
          <w:sz w:val="24"/>
          <w:szCs w:val="24"/>
          <w:lang w:val="en-US"/>
        </w:rPr>
        <w:t xml:space="preserve"> of the given CRA</w:t>
      </w:r>
      <w:r w:rsidRPr="00781608">
        <w:rPr>
          <w:rFonts w:cs="Times New Roman"/>
          <w:bCs/>
          <w:sz w:val="24"/>
          <w:szCs w:val="24"/>
          <w:lang w:val="en-US"/>
        </w:rPr>
        <w:t xml:space="preserve"> takes place</w:t>
      </w:r>
      <w:r w:rsidR="002F2AB7" w:rsidRPr="00781608">
        <w:rPr>
          <w:rFonts w:cs="Times New Roman"/>
          <w:bCs/>
          <w:sz w:val="24"/>
          <w:szCs w:val="24"/>
          <w:lang w:val="en-US"/>
        </w:rPr>
        <w:t>; the other CRAs are set to 0</w:t>
      </w:r>
      <w:r w:rsidRPr="00781608">
        <w:rPr>
          <w:rFonts w:cs="Times New Roman"/>
          <w:bCs/>
          <w:sz w:val="24"/>
          <w:szCs w:val="24"/>
          <w:lang w:val="en-US"/>
        </w:rPr>
        <w:t>.</w:t>
      </w:r>
      <w:r w:rsidR="002F2AB7" w:rsidRPr="00781608">
        <w:rPr>
          <w:rFonts w:cs="Times New Roman"/>
          <w:bCs/>
          <w:sz w:val="24"/>
          <w:szCs w:val="24"/>
          <w:lang w:val="en-US"/>
        </w:rPr>
        <w:t xml:space="preserve"> For the dummy where the CRAs are combined the dummy is set to 1 if a rating event - for any of the CRAs -  takes place, otherwise it is set to 0.</w:t>
      </w:r>
      <w:r w:rsidRPr="00781608">
        <w:rPr>
          <w:rFonts w:cs="Times New Roman"/>
          <w:bCs/>
          <w:sz w:val="24"/>
          <w:szCs w:val="24"/>
          <w:lang w:val="en-US"/>
        </w:rPr>
        <w:t xml:space="preserve"> As mentioned earlier, any significant impact disappears after 30 days maximum. Because of this, the dummy is set back to 0 for </w:t>
      </w:r>
      <w:r w:rsidRPr="00781608">
        <w:rPr>
          <w:rFonts w:cs="Times New Roman"/>
          <w:bCs/>
          <w:sz w:val="24"/>
          <w:szCs w:val="24"/>
          <w:lang w:val="en-US"/>
        </w:rPr>
        <w:lastRenderedPageBreak/>
        <w:t>the non-event months.</w:t>
      </w:r>
      <w:r w:rsidR="00BD0DA9" w:rsidRPr="00781608">
        <w:rPr>
          <w:rFonts w:cs="Times New Roman"/>
          <w:bCs/>
          <w:sz w:val="24"/>
          <w:szCs w:val="24"/>
          <w:lang w:val="en-US"/>
        </w:rPr>
        <w:t xml:space="preserve"> As ratings are constructed from publicly available data, the expected size is very small. The expected sign could be either positive or negative. Most likely it will be </w:t>
      </w:r>
      <w:r w:rsidR="00EE1898" w:rsidRPr="00781608">
        <w:rPr>
          <w:rFonts w:cs="Times New Roman"/>
          <w:bCs/>
          <w:sz w:val="24"/>
          <w:szCs w:val="24"/>
          <w:lang w:val="en-US"/>
        </w:rPr>
        <w:t>positive</w:t>
      </w:r>
      <w:r w:rsidR="00BD0DA9" w:rsidRPr="00781608">
        <w:rPr>
          <w:rFonts w:cs="Times New Roman"/>
          <w:bCs/>
          <w:sz w:val="24"/>
          <w:szCs w:val="24"/>
          <w:lang w:val="en-US"/>
        </w:rPr>
        <w:t xml:space="preserve"> for negative credit rating events </w:t>
      </w:r>
      <w:r w:rsidR="00EE1898" w:rsidRPr="00781608">
        <w:rPr>
          <w:rFonts w:cs="Times New Roman"/>
          <w:bCs/>
          <w:sz w:val="24"/>
          <w:szCs w:val="24"/>
          <w:lang w:val="en-US"/>
        </w:rPr>
        <w:t xml:space="preserve">as it is expected to increase the spread </w:t>
      </w:r>
      <w:r w:rsidR="00BD0DA9" w:rsidRPr="00781608">
        <w:rPr>
          <w:rFonts w:cs="Times New Roman"/>
          <w:bCs/>
          <w:sz w:val="24"/>
          <w:szCs w:val="24"/>
          <w:lang w:val="en-US"/>
        </w:rPr>
        <w:t xml:space="preserve">and </w:t>
      </w:r>
      <w:r w:rsidR="00EE1898" w:rsidRPr="00781608">
        <w:rPr>
          <w:rFonts w:cs="Times New Roman"/>
          <w:bCs/>
          <w:sz w:val="24"/>
          <w:szCs w:val="24"/>
          <w:lang w:val="en-US"/>
        </w:rPr>
        <w:t>negative</w:t>
      </w:r>
      <w:r w:rsidR="00BD0DA9" w:rsidRPr="00781608">
        <w:rPr>
          <w:rFonts w:cs="Times New Roman"/>
          <w:bCs/>
          <w:sz w:val="24"/>
          <w:szCs w:val="24"/>
          <w:lang w:val="en-US"/>
        </w:rPr>
        <w:t xml:space="preserve"> for positive rating events</w:t>
      </w:r>
      <w:r w:rsidR="00EE1898" w:rsidRPr="00781608">
        <w:rPr>
          <w:rFonts w:cs="Times New Roman"/>
          <w:bCs/>
          <w:sz w:val="24"/>
          <w:szCs w:val="24"/>
          <w:lang w:val="en-US"/>
        </w:rPr>
        <w:t xml:space="preserve"> decreasing the spread</w:t>
      </w:r>
      <w:r w:rsidR="00BD0DA9" w:rsidRPr="00781608">
        <w:rPr>
          <w:rFonts w:cs="Times New Roman"/>
          <w:bCs/>
          <w:sz w:val="24"/>
          <w:szCs w:val="24"/>
          <w:lang w:val="en-US"/>
        </w:rPr>
        <w:t xml:space="preserve"> (See Table </w:t>
      </w:r>
      <w:r w:rsidR="00742CD4" w:rsidRPr="00781608">
        <w:rPr>
          <w:rFonts w:cs="Times New Roman"/>
          <w:bCs/>
          <w:sz w:val="24"/>
          <w:szCs w:val="24"/>
          <w:lang w:val="en-US"/>
        </w:rPr>
        <w:t>4</w:t>
      </w:r>
      <w:r w:rsidR="00BD0DA9" w:rsidRPr="00781608">
        <w:rPr>
          <w:rFonts w:cs="Times New Roman"/>
          <w:bCs/>
          <w:sz w:val="24"/>
          <w:szCs w:val="24"/>
          <w:lang w:val="en-US"/>
        </w:rPr>
        <w:t>.1).</w:t>
      </w:r>
    </w:p>
    <w:p w:rsidR="00975737" w:rsidRDefault="003111CF" w:rsidP="00EE7977">
      <w:pPr>
        <w:spacing w:before="240" w:line="360" w:lineRule="auto"/>
        <w:jc w:val="both"/>
        <w:rPr>
          <w:rFonts w:cs="Times New Roman"/>
          <w:bCs/>
          <w:sz w:val="24"/>
          <w:szCs w:val="24"/>
          <w:lang w:val="en-US"/>
        </w:rPr>
      </w:pPr>
      <w:r w:rsidRPr="00781608">
        <w:rPr>
          <w:rFonts w:cs="Times New Roman"/>
          <w:bCs/>
          <w:sz w:val="24"/>
          <w:szCs w:val="24"/>
          <w:lang w:val="en-US"/>
        </w:rPr>
        <w:t>In contrast to Cantor and Packer (1996) and Gande and Parsley (2004) I only include t</w:t>
      </w:r>
      <w:r w:rsidR="00DF152A" w:rsidRPr="00781608">
        <w:rPr>
          <w:rFonts w:cs="Times New Roman"/>
          <w:bCs/>
          <w:sz w:val="24"/>
          <w:szCs w:val="24"/>
          <w:lang w:val="en-US"/>
        </w:rPr>
        <w:t xml:space="preserve">wo other explanatory variables </w:t>
      </w:r>
      <w:r w:rsidRPr="00781608">
        <w:rPr>
          <w:rFonts w:cs="Times New Roman"/>
          <w:bCs/>
          <w:sz w:val="24"/>
          <w:szCs w:val="24"/>
          <w:lang w:val="en-US"/>
        </w:rPr>
        <w:t xml:space="preserve">in my model. </w:t>
      </w:r>
      <w:r w:rsidR="00EE7977" w:rsidRPr="00781608">
        <w:rPr>
          <w:rFonts w:cs="Times New Roman"/>
          <w:bCs/>
          <w:sz w:val="24"/>
          <w:szCs w:val="24"/>
          <w:lang w:val="en-US"/>
        </w:rPr>
        <w:t xml:space="preserve">Rating events ought to already include all, or at least most, macro-variables that are of influence on sovereign spreads, which is explained above in the methodology used by S&amp;P to conduct ratings. </w:t>
      </w:r>
      <w:r w:rsidRPr="00781608">
        <w:rPr>
          <w:rFonts w:cs="Times New Roman"/>
          <w:bCs/>
          <w:sz w:val="24"/>
          <w:szCs w:val="24"/>
          <w:lang w:val="en-US"/>
        </w:rPr>
        <w:t>T</w:t>
      </w:r>
      <w:r w:rsidR="006F46B8" w:rsidRPr="00781608">
        <w:rPr>
          <w:rFonts w:cs="Times New Roman"/>
          <w:bCs/>
          <w:sz w:val="24"/>
          <w:szCs w:val="24"/>
          <w:lang w:val="en-US"/>
        </w:rPr>
        <w:t>he other</w:t>
      </w:r>
      <w:r w:rsidRPr="00781608">
        <w:rPr>
          <w:rFonts w:cs="Times New Roman"/>
          <w:bCs/>
          <w:sz w:val="24"/>
          <w:szCs w:val="24"/>
          <w:lang w:val="en-US"/>
        </w:rPr>
        <w:t xml:space="preserve"> </w:t>
      </w:r>
      <w:r w:rsidR="006F46B8" w:rsidRPr="00781608">
        <w:rPr>
          <w:rFonts w:cs="Times New Roman"/>
          <w:bCs/>
          <w:sz w:val="24"/>
          <w:szCs w:val="24"/>
          <w:lang w:val="en-US"/>
        </w:rPr>
        <w:t xml:space="preserve">variables I use </w:t>
      </w:r>
      <w:r w:rsidRPr="00781608">
        <w:rPr>
          <w:rFonts w:cs="Times New Roman"/>
          <w:bCs/>
          <w:sz w:val="24"/>
          <w:szCs w:val="24"/>
          <w:lang w:val="en-US"/>
        </w:rPr>
        <w:t xml:space="preserve">are included </w:t>
      </w:r>
      <w:r w:rsidR="00DF152A" w:rsidRPr="00781608">
        <w:rPr>
          <w:rFonts w:cs="Times New Roman"/>
          <w:bCs/>
          <w:sz w:val="24"/>
          <w:szCs w:val="24"/>
          <w:lang w:val="en-US"/>
        </w:rPr>
        <w:t xml:space="preserve">to control for </w:t>
      </w:r>
      <w:r w:rsidRPr="00781608">
        <w:rPr>
          <w:rFonts w:cs="Times New Roman"/>
          <w:bCs/>
          <w:sz w:val="24"/>
          <w:szCs w:val="24"/>
          <w:lang w:val="en-US"/>
        </w:rPr>
        <w:t xml:space="preserve">the </w:t>
      </w:r>
      <w:r w:rsidR="00DF152A" w:rsidRPr="00781608">
        <w:rPr>
          <w:rFonts w:cs="Times New Roman"/>
          <w:bCs/>
          <w:sz w:val="24"/>
          <w:szCs w:val="24"/>
          <w:lang w:val="en-US"/>
        </w:rPr>
        <w:t xml:space="preserve">information availability of a country. </w:t>
      </w:r>
      <w:r w:rsidRPr="00781608">
        <w:rPr>
          <w:rFonts w:cs="Times New Roman"/>
          <w:bCs/>
          <w:sz w:val="24"/>
          <w:szCs w:val="24"/>
          <w:lang w:val="en-US"/>
        </w:rPr>
        <w:t xml:space="preserve">I do this </w:t>
      </w:r>
      <w:r w:rsidR="006F46B8" w:rsidRPr="00781608">
        <w:rPr>
          <w:rFonts w:cs="Times New Roman"/>
          <w:bCs/>
          <w:sz w:val="24"/>
          <w:szCs w:val="24"/>
          <w:lang w:val="en-US"/>
        </w:rPr>
        <w:t xml:space="preserve">not </w:t>
      </w:r>
      <w:r w:rsidRPr="00781608">
        <w:rPr>
          <w:rFonts w:cs="Times New Roman"/>
          <w:bCs/>
          <w:sz w:val="24"/>
          <w:szCs w:val="24"/>
          <w:lang w:val="en-US"/>
        </w:rPr>
        <w:t>because I try to explain the dependent variable but because I want to test if the effect of rating events on the dependent variable changes after including</w:t>
      </w:r>
      <w:r w:rsidR="00D32D57" w:rsidRPr="00781608">
        <w:rPr>
          <w:rFonts w:cs="Times New Roman"/>
          <w:bCs/>
          <w:sz w:val="24"/>
          <w:szCs w:val="24"/>
          <w:lang w:val="en-US"/>
        </w:rPr>
        <w:t xml:space="preserve"> these variables</w:t>
      </w:r>
      <w:r w:rsidR="006F46B8" w:rsidRPr="00781608">
        <w:rPr>
          <w:rFonts w:cs="Times New Roman"/>
          <w:bCs/>
          <w:sz w:val="24"/>
          <w:szCs w:val="24"/>
          <w:lang w:val="en-US"/>
        </w:rPr>
        <w:t xml:space="preserve">. According to Grossman and Stiglitz (1980) and Fama (1991), the EMH states that “security prices fully reflect all available information and a precondition is that </w:t>
      </w:r>
      <w:r w:rsidR="004C550D" w:rsidRPr="00781608">
        <w:rPr>
          <w:rFonts w:cs="Times New Roman"/>
          <w:bCs/>
          <w:sz w:val="24"/>
          <w:szCs w:val="24"/>
          <w:lang w:val="en-US"/>
        </w:rPr>
        <w:t xml:space="preserve">information and trading costs, the cost of getting prices to reflect information, are always 0.” Thus, if information is freely accessable, the EMH should hold. If however information is not freely available, it no longer holds. </w:t>
      </w:r>
    </w:p>
    <w:p w:rsidR="00975737" w:rsidRDefault="004C550D" w:rsidP="00EE7977">
      <w:pPr>
        <w:spacing w:before="240" w:line="360" w:lineRule="auto"/>
        <w:jc w:val="both"/>
        <w:rPr>
          <w:rFonts w:cs="Times New Roman"/>
          <w:bCs/>
          <w:sz w:val="24"/>
          <w:szCs w:val="24"/>
          <w:lang w:val="en-US"/>
        </w:rPr>
      </w:pPr>
      <w:r w:rsidRPr="00781608">
        <w:rPr>
          <w:rFonts w:cs="Times New Roman"/>
          <w:bCs/>
          <w:sz w:val="24"/>
          <w:szCs w:val="24"/>
          <w:lang w:val="en-US"/>
        </w:rPr>
        <w:t>In my thesis I use two explanatory variables that cover the problem of information availability.</w:t>
      </w:r>
      <w:r w:rsidR="000B1193" w:rsidRPr="00781608">
        <w:rPr>
          <w:rStyle w:val="Voetnootmarkering"/>
          <w:rFonts w:cs="Times New Roman"/>
          <w:bCs/>
          <w:sz w:val="24"/>
          <w:szCs w:val="24"/>
          <w:lang w:val="en-US"/>
        </w:rPr>
        <w:footnoteReference w:id="12"/>
      </w:r>
      <w:r w:rsidR="003111CF" w:rsidRPr="00781608">
        <w:rPr>
          <w:rFonts w:cs="Times New Roman"/>
          <w:bCs/>
          <w:sz w:val="24"/>
          <w:szCs w:val="24"/>
          <w:lang w:val="en-US"/>
        </w:rPr>
        <w:t xml:space="preserve"> </w:t>
      </w:r>
      <w:r w:rsidR="00DF152A" w:rsidRPr="00781608">
        <w:rPr>
          <w:rFonts w:cs="Times New Roman"/>
          <w:bCs/>
          <w:sz w:val="24"/>
          <w:szCs w:val="24"/>
          <w:lang w:val="en-US"/>
        </w:rPr>
        <w:t xml:space="preserve">The first is transparency, gathered from the Corruption Perceptions Index by Transparency International. </w:t>
      </w:r>
      <w:r w:rsidR="00C16B46" w:rsidRPr="00781608">
        <w:rPr>
          <w:rFonts w:cs="Times New Roman"/>
          <w:bCs/>
          <w:sz w:val="24"/>
          <w:szCs w:val="24"/>
          <w:lang w:val="en-US"/>
        </w:rPr>
        <w:t xml:space="preserve">Here they focus on resisting and reducing corruption by developing and promoting </w:t>
      </w:r>
      <w:r w:rsidR="0074550A" w:rsidRPr="00781608">
        <w:rPr>
          <w:rFonts w:cs="Times New Roman"/>
          <w:bCs/>
          <w:sz w:val="24"/>
          <w:szCs w:val="24"/>
          <w:lang w:val="en-US"/>
        </w:rPr>
        <w:t>practical</w:t>
      </w:r>
      <w:r w:rsidR="00C16B46" w:rsidRPr="00781608">
        <w:rPr>
          <w:rFonts w:cs="Times New Roman"/>
          <w:bCs/>
          <w:sz w:val="24"/>
          <w:szCs w:val="24"/>
          <w:lang w:val="en-US"/>
        </w:rPr>
        <w:t xml:space="preserve"> tools which can be used in the fight against that corruption. Assessing absolute levels of corruption is impossible because of lack of hard empirical data. The Index is therefore, as stated in the name, based on how corrupted a country’s private sector is perceived to be. It is a combination of several </w:t>
      </w:r>
      <w:r w:rsidR="00552CB7" w:rsidRPr="00781608">
        <w:rPr>
          <w:rFonts w:cs="Times New Roman"/>
          <w:bCs/>
          <w:sz w:val="24"/>
          <w:szCs w:val="24"/>
          <w:lang w:val="en-US"/>
        </w:rPr>
        <w:t xml:space="preserve">yearly </w:t>
      </w:r>
      <w:r w:rsidR="00C16B46" w:rsidRPr="00781608">
        <w:rPr>
          <w:rFonts w:cs="Times New Roman"/>
          <w:bCs/>
          <w:sz w:val="24"/>
          <w:szCs w:val="24"/>
          <w:lang w:val="en-US"/>
        </w:rPr>
        <w:t xml:space="preserve">surveys performed by </w:t>
      </w:r>
      <w:r w:rsidR="00742CD4" w:rsidRPr="00781608">
        <w:rPr>
          <w:rFonts w:cs="Times New Roman"/>
          <w:bCs/>
          <w:sz w:val="24"/>
          <w:szCs w:val="24"/>
          <w:lang w:val="en-US"/>
        </w:rPr>
        <w:t>different</w:t>
      </w:r>
      <w:r w:rsidR="00C16B46" w:rsidRPr="00781608">
        <w:rPr>
          <w:rFonts w:cs="Times New Roman"/>
          <w:bCs/>
          <w:sz w:val="24"/>
          <w:szCs w:val="24"/>
          <w:lang w:val="en-US"/>
        </w:rPr>
        <w:t xml:space="preserve"> institutions. The scoring of the countries mean</w:t>
      </w:r>
      <w:r w:rsidR="00D32D57" w:rsidRPr="00781608">
        <w:rPr>
          <w:rFonts w:cs="Times New Roman"/>
          <w:bCs/>
          <w:sz w:val="24"/>
          <w:szCs w:val="24"/>
          <w:lang w:val="en-US"/>
        </w:rPr>
        <w:t>s</w:t>
      </w:r>
      <w:r w:rsidR="00C16B46" w:rsidRPr="00781608">
        <w:rPr>
          <w:rFonts w:cs="Times New Roman"/>
          <w:bCs/>
          <w:sz w:val="24"/>
          <w:szCs w:val="24"/>
          <w:lang w:val="en-US"/>
        </w:rPr>
        <w:t xml:space="preserve"> that h</w:t>
      </w:r>
      <w:r w:rsidR="00DF152A" w:rsidRPr="00781608">
        <w:rPr>
          <w:rFonts w:cs="Times New Roman"/>
          <w:bCs/>
          <w:sz w:val="24"/>
          <w:szCs w:val="24"/>
          <w:lang w:val="en-US"/>
        </w:rPr>
        <w:t xml:space="preserve">igher values indicate less perceived </w:t>
      </w:r>
      <w:r w:rsidR="00C16B46" w:rsidRPr="00781608">
        <w:rPr>
          <w:rFonts w:cs="Times New Roman"/>
          <w:bCs/>
          <w:sz w:val="24"/>
          <w:szCs w:val="24"/>
          <w:lang w:val="en-US"/>
        </w:rPr>
        <w:t>corruption in the public sector, whereas low-scoring countries are perceived to experience a lot of corruption.</w:t>
      </w:r>
      <w:r w:rsidR="00DF152A" w:rsidRPr="00781608">
        <w:rPr>
          <w:rFonts w:cs="Times New Roman"/>
          <w:bCs/>
          <w:sz w:val="24"/>
          <w:szCs w:val="24"/>
          <w:lang w:val="en-US"/>
        </w:rPr>
        <w:t xml:space="preserve"> The second variable is the Freedom of Press Index</w:t>
      </w:r>
      <w:r w:rsidR="00BB43C0" w:rsidRPr="00781608">
        <w:rPr>
          <w:rFonts w:cs="Times New Roman"/>
          <w:bCs/>
          <w:sz w:val="24"/>
          <w:szCs w:val="24"/>
          <w:lang w:val="en-US"/>
        </w:rPr>
        <w:t>,</w:t>
      </w:r>
      <w:r w:rsidR="00DF152A" w:rsidRPr="00781608">
        <w:rPr>
          <w:rFonts w:cs="Times New Roman"/>
          <w:bCs/>
          <w:sz w:val="24"/>
          <w:szCs w:val="24"/>
          <w:lang w:val="en-US"/>
        </w:rPr>
        <w:t xml:space="preserve"> published by Reporters without Borders</w:t>
      </w:r>
      <w:r w:rsidR="00BB43C0" w:rsidRPr="00781608">
        <w:rPr>
          <w:rFonts w:cs="Times New Roman"/>
          <w:bCs/>
          <w:sz w:val="24"/>
          <w:szCs w:val="24"/>
          <w:lang w:val="en-US"/>
        </w:rPr>
        <w:t xml:space="preserve"> and</w:t>
      </w:r>
      <w:r w:rsidR="00DF152A" w:rsidRPr="00781608">
        <w:rPr>
          <w:rFonts w:cs="Times New Roman"/>
          <w:bCs/>
          <w:sz w:val="24"/>
          <w:szCs w:val="24"/>
          <w:lang w:val="en-US"/>
        </w:rPr>
        <w:t xml:space="preserve"> </w:t>
      </w:r>
      <w:r w:rsidR="00C16B46" w:rsidRPr="00781608">
        <w:rPr>
          <w:rFonts w:cs="Times New Roman"/>
          <w:bCs/>
          <w:sz w:val="24"/>
          <w:szCs w:val="24"/>
          <w:lang w:val="en-US"/>
        </w:rPr>
        <w:t xml:space="preserve">based on </w:t>
      </w:r>
      <w:r w:rsidR="005B1036" w:rsidRPr="00781608">
        <w:rPr>
          <w:rFonts w:cs="Times New Roman"/>
          <w:bCs/>
          <w:sz w:val="24"/>
          <w:szCs w:val="24"/>
          <w:lang w:val="en-US"/>
        </w:rPr>
        <w:t xml:space="preserve">a </w:t>
      </w:r>
      <w:r w:rsidR="00552CB7" w:rsidRPr="00781608">
        <w:rPr>
          <w:rFonts w:cs="Times New Roman"/>
          <w:bCs/>
          <w:sz w:val="24"/>
          <w:szCs w:val="24"/>
          <w:lang w:val="en-US"/>
        </w:rPr>
        <w:t xml:space="preserve">yearly </w:t>
      </w:r>
      <w:r w:rsidR="0074550A" w:rsidRPr="00781608">
        <w:rPr>
          <w:rFonts w:cs="Times New Roman"/>
          <w:bCs/>
          <w:sz w:val="24"/>
          <w:szCs w:val="24"/>
          <w:lang w:val="en-US"/>
        </w:rPr>
        <w:t>questionnaire</w:t>
      </w:r>
      <w:r w:rsidR="005B1036" w:rsidRPr="00781608">
        <w:rPr>
          <w:rFonts w:cs="Times New Roman"/>
          <w:bCs/>
          <w:sz w:val="24"/>
          <w:szCs w:val="24"/>
          <w:lang w:val="en-US"/>
        </w:rPr>
        <w:t xml:space="preserve"> send to worldwide </w:t>
      </w:r>
      <w:r w:rsidR="005B1036" w:rsidRPr="00781608">
        <w:rPr>
          <w:rFonts w:cs="Times New Roman"/>
          <w:bCs/>
          <w:sz w:val="24"/>
          <w:szCs w:val="24"/>
          <w:lang w:val="en-US"/>
        </w:rPr>
        <w:lastRenderedPageBreak/>
        <w:t xml:space="preserve">journalists, jurists, researchers and human-right watchers </w:t>
      </w:r>
      <w:r w:rsidR="00DF152A" w:rsidRPr="00781608">
        <w:rPr>
          <w:rFonts w:cs="Times New Roman"/>
          <w:bCs/>
          <w:sz w:val="24"/>
          <w:szCs w:val="24"/>
          <w:lang w:val="en-US"/>
        </w:rPr>
        <w:t xml:space="preserve">on the levels of censorship, </w:t>
      </w:r>
      <w:r w:rsidR="005B1036" w:rsidRPr="00781608">
        <w:rPr>
          <w:rFonts w:cs="Times New Roman"/>
          <w:bCs/>
          <w:sz w:val="24"/>
          <w:szCs w:val="24"/>
          <w:lang w:val="en-US"/>
        </w:rPr>
        <w:t xml:space="preserve">independence of public media, </w:t>
      </w:r>
      <w:r w:rsidR="00DF152A" w:rsidRPr="00781608">
        <w:rPr>
          <w:rFonts w:cs="Times New Roman"/>
          <w:bCs/>
          <w:sz w:val="24"/>
          <w:szCs w:val="24"/>
          <w:lang w:val="en-US"/>
        </w:rPr>
        <w:t>press l</w:t>
      </w:r>
      <w:r w:rsidR="005B1036" w:rsidRPr="00781608">
        <w:rPr>
          <w:rFonts w:cs="Times New Roman"/>
          <w:bCs/>
          <w:sz w:val="24"/>
          <w:szCs w:val="24"/>
          <w:lang w:val="en-US"/>
        </w:rPr>
        <w:t>egislation, safety of reporters, transparency and the efforts made by the authorities to respect, allow and enhance freedom of press</w:t>
      </w:r>
      <w:r w:rsidR="00DF152A" w:rsidRPr="00781608">
        <w:rPr>
          <w:rFonts w:cs="Times New Roman"/>
          <w:bCs/>
          <w:sz w:val="24"/>
          <w:szCs w:val="24"/>
          <w:lang w:val="en-US"/>
        </w:rPr>
        <w:t xml:space="preserve">. </w:t>
      </w:r>
      <w:r w:rsidR="005B1036" w:rsidRPr="00781608">
        <w:rPr>
          <w:rFonts w:cs="Times New Roman"/>
          <w:bCs/>
          <w:sz w:val="24"/>
          <w:szCs w:val="24"/>
          <w:lang w:val="en-US"/>
        </w:rPr>
        <w:t>It is no</w:t>
      </w:r>
      <w:r w:rsidR="00BB43C0" w:rsidRPr="00781608">
        <w:rPr>
          <w:rFonts w:cs="Times New Roman"/>
          <w:bCs/>
          <w:sz w:val="24"/>
          <w:szCs w:val="24"/>
          <w:lang w:val="en-US"/>
        </w:rPr>
        <w:t>t</w:t>
      </w:r>
      <w:r w:rsidR="005B1036" w:rsidRPr="00781608">
        <w:rPr>
          <w:rFonts w:cs="Times New Roman"/>
          <w:bCs/>
          <w:sz w:val="24"/>
          <w:szCs w:val="24"/>
          <w:lang w:val="en-US"/>
        </w:rPr>
        <w:t xml:space="preserve"> </w:t>
      </w:r>
      <w:r w:rsidR="00BB43C0" w:rsidRPr="00781608">
        <w:rPr>
          <w:rFonts w:cs="Times New Roman"/>
          <w:bCs/>
          <w:sz w:val="24"/>
          <w:szCs w:val="24"/>
          <w:lang w:val="en-US"/>
        </w:rPr>
        <w:t xml:space="preserve">an </w:t>
      </w:r>
      <w:r w:rsidR="005B1036" w:rsidRPr="00781608">
        <w:rPr>
          <w:rFonts w:cs="Times New Roman"/>
          <w:bCs/>
          <w:sz w:val="24"/>
          <w:szCs w:val="24"/>
          <w:lang w:val="en-US"/>
        </w:rPr>
        <w:t>index on the quality of journalism or the abidance of human rights in general. Based on the data collected from the survey, Reporters without Border construct a scoring card for the countries where</w:t>
      </w:r>
      <w:r w:rsidR="00DF152A" w:rsidRPr="00781608">
        <w:rPr>
          <w:rFonts w:cs="Times New Roman"/>
          <w:bCs/>
          <w:sz w:val="24"/>
          <w:szCs w:val="24"/>
          <w:lang w:val="en-US"/>
        </w:rPr>
        <w:t xml:space="preserve"> high values indicate low scores on freedom of press. Together, these two variables should give an accurate input for the levels of information availability. </w:t>
      </w:r>
      <w:r w:rsidR="00BD0DA9" w:rsidRPr="00781608">
        <w:rPr>
          <w:rFonts w:cs="Times New Roman"/>
          <w:bCs/>
          <w:sz w:val="24"/>
          <w:szCs w:val="24"/>
          <w:lang w:val="en-US"/>
        </w:rPr>
        <w:t>The Transparency Index</w:t>
      </w:r>
      <w:r w:rsidR="00EE1898" w:rsidRPr="00781608">
        <w:rPr>
          <w:rFonts w:cs="Times New Roman"/>
          <w:bCs/>
          <w:sz w:val="24"/>
          <w:szCs w:val="24"/>
          <w:lang w:val="en-US"/>
        </w:rPr>
        <w:t xml:space="preserve"> is expected to have a </w:t>
      </w:r>
      <w:r w:rsidR="00BB43C0" w:rsidRPr="00781608">
        <w:rPr>
          <w:rFonts w:cs="Times New Roman"/>
          <w:bCs/>
          <w:sz w:val="24"/>
          <w:szCs w:val="24"/>
          <w:lang w:val="en-US"/>
        </w:rPr>
        <w:t>negative</w:t>
      </w:r>
      <w:r w:rsidR="00EE1898" w:rsidRPr="00781608">
        <w:rPr>
          <w:rFonts w:cs="Times New Roman"/>
          <w:bCs/>
          <w:sz w:val="24"/>
          <w:szCs w:val="24"/>
          <w:lang w:val="en-US"/>
        </w:rPr>
        <w:t xml:space="preserve"> sign as </w:t>
      </w:r>
      <w:r w:rsidR="00BB43C0" w:rsidRPr="00781608">
        <w:rPr>
          <w:rFonts w:cs="Times New Roman"/>
          <w:bCs/>
          <w:sz w:val="24"/>
          <w:szCs w:val="24"/>
          <w:lang w:val="en-US"/>
        </w:rPr>
        <w:t>higher</w:t>
      </w:r>
      <w:r w:rsidR="00EE1898" w:rsidRPr="00781608">
        <w:rPr>
          <w:rFonts w:cs="Times New Roman"/>
          <w:bCs/>
          <w:sz w:val="24"/>
          <w:szCs w:val="24"/>
          <w:lang w:val="en-US"/>
        </w:rPr>
        <w:t xml:space="preserve"> values</w:t>
      </w:r>
      <w:r w:rsidR="00BB43C0" w:rsidRPr="00781608">
        <w:rPr>
          <w:rFonts w:cs="Times New Roman"/>
          <w:bCs/>
          <w:sz w:val="24"/>
          <w:szCs w:val="24"/>
          <w:lang w:val="en-US"/>
        </w:rPr>
        <w:t xml:space="preserve"> mean more transparency.</w:t>
      </w:r>
      <w:r w:rsidR="00BD0DA9" w:rsidRPr="00781608">
        <w:rPr>
          <w:rFonts w:cs="Times New Roman"/>
          <w:bCs/>
          <w:sz w:val="24"/>
          <w:szCs w:val="24"/>
          <w:lang w:val="en-US"/>
        </w:rPr>
        <w:t xml:space="preserve"> </w:t>
      </w:r>
      <w:r w:rsidR="00BB43C0" w:rsidRPr="00781608">
        <w:rPr>
          <w:rFonts w:cs="Times New Roman"/>
          <w:bCs/>
          <w:sz w:val="24"/>
          <w:szCs w:val="24"/>
          <w:lang w:val="en-US"/>
        </w:rPr>
        <w:t>T</w:t>
      </w:r>
      <w:r w:rsidR="00BD0DA9" w:rsidRPr="00781608">
        <w:rPr>
          <w:rFonts w:cs="Times New Roman"/>
          <w:bCs/>
          <w:sz w:val="24"/>
          <w:szCs w:val="24"/>
          <w:lang w:val="en-US"/>
        </w:rPr>
        <w:t xml:space="preserve">he Freedom of Press Index </w:t>
      </w:r>
      <w:r w:rsidR="00BB43C0" w:rsidRPr="00781608">
        <w:rPr>
          <w:rFonts w:cs="Times New Roman"/>
          <w:bCs/>
          <w:sz w:val="24"/>
          <w:szCs w:val="24"/>
          <w:lang w:val="en-US"/>
        </w:rPr>
        <w:t xml:space="preserve">is </w:t>
      </w:r>
      <w:r w:rsidR="00BD0DA9" w:rsidRPr="00781608">
        <w:rPr>
          <w:rFonts w:cs="Times New Roman"/>
          <w:bCs/>
          <w:sz w:val="24"/>
          <w:szCs w:val="24"/>
          <w:lang w:val="en-US"/>
        </w:rPr>
        <w:t xml:space="preserve">expected to have a positive sign </w:t>
      </w:r>
      <w:r w:rsidR="00BB43C0" w:rsidRPr="00781608">
        <w:rPr>
          <w:rFonts w:cs="Times New Roman"/>
          <w:bCs/>
          <w:sz w:val="24"/>
          <w:szCs w:val="24"/>
          <w:lang w:val="en-US"/>
        </w:rPr>
        <w:t>as higher values mean less freedom of press. Both variables are expected to have</w:t>
      </w:r>
      <w:r w:rsidR="00BD0DA9" w:rsidRPr="00781608">
        <w:rPr>
          <w:rFonts w:cs="Times New Roman"/>
          <w:bCs/>
          <w:sz w:val="24"/>
          <w:szCs w:val="24"/>
          <w:lang w:val="en-US"/>
        </w:rPr>
        <w:t xml:space="preserve"> a reasonable size (See Table </w:t>
      </w:r>
      <w:r w:rsidR="00742CD4" w:rsidRPr="00781608">
        <w:rPr>
          <w:rFonts w:cs="Times New Roman"/>
          <w:bCs/>
          <w:sz w:val="24"/>
          <w:szCs w:val="24"/>
          <w:lang w:val="en-US"/>
        </w:rPr>
        <w:t>4</w:t>
      </w:r>
      <w:r w:rsidR="00BD0DA9" w:rsidRPr="00781608">
        <w:rPr>
          <w:rFonts w:cs="Times New Roman"/>
          <w:bCs/>
          <w:sz w:val="24"/>
          <w:szCs w:val="24"/>
          <w:lang w:val="en-US"/>
        </w:rPr>
        <w:t>.1</w:t>
      </w:r>
      <w:r w:rsidR="00D15771">
        <w:rPr>
          <w:rFonts w:cs="Times New Roman"/>
          <w:bCs/>
          <w:sz w:val="24"/>
          <w:szCs w:val="24"/>
          <w:lang w:val="en-US"/>
        </w:rPr>
        <w:t>.</w:t>
      </w:r>
      <w:r w:rsidR="00BD0DA9" w:rsidRPr="00781608">
        <w:rPr>
          <w:rFonts w:cs="Times New Roman"/>
          <w:bCs/>
          <w:sz w:val="24"/>
          <w:szCs w:val="24"/>
          <w:lang w:val="en-US"/>
        </w:rPr>
        <w:t>)</w:t>
      </w:r>
      <w:r w:rsidR="00BB43C0" w:rsidRPr="00781608">
        <w:rPr>
          <w:rFonts w:cs="Times New Roman"/>
          <w:bCs/>
          <w:sz w:val="24"/>
          <w:szCs w:val="24"/>
          <w:lang w:val="en-US"/>
        </w:rPr>
        <w:t xml:space="preserve"> </w:t>
      </w:r>
    </w:p>
    <w:p w:rsidR="00F73922" w:rsidRDefault="00BB43C0" w:rsidP="00EE7977">
      <w:pPr>
        <w:spacing w:before="240" w:line="360" w:lineRule="auto"/>
        <w:jc w:val="both"/>
        <w:rPr>
          <w:rFonts w:cs="Times New Roman"/>
          <w:bCs/>
          <w:sz w:val="24"/>
          <w:szCs w:val="24"/>
          <w:lang w:val="en-US"/>
        </w:rPr>
      </w:pPr>
      <w:r w:rsidRPr="00781608">
        <w:rPr>
          <w:rFonts w:cs="Times New Roman"/>
          <w:bCs/>
          <w:sz w:val="24"/>
          <w:szCs w:val="24"/>
          <w:lang w:val="en-US"/>
        </w:rPr>
        <w:t xml:space="preserve">Lastly, I include a dummy for the recent financial crisis, starting in September 2008 with Lehman Brothers filing for bankruptcy. Before September 2008 the dummy is set to 0 for each month, after that, the dummy is equal to 1. This way there is insight in the effects of this crisis on the impact of </w:t>
      </w:r>
      <w:r w:rsidR="00D15771">
        <w:rPr>
          <w:rFonts w:cs="Times New Roman"/>
          <w:bCs/>
          <w:sz w:val="24"/>
          <w:szCs w:val="24"/>
          <w:lang w:val="en-US"/>
        </w:rPr>
        <w:t>rating events on sovereign spread</w:t>
      </w:r>
      <w:r w:rsidRPr="00781608">
        <w:rPr>
          <w:rFonts w:cs="Times New Roman"/>
          <w:bCs/>
          <w:sz w:val="24"/>
          <w:szCs w:val="24"/>
          <w:lang w:val="en-US"/>
        </w:rPr>
        <w:t xml:space="preserve">s. The dummy for the crisis is expected to have a positive sign, because markets are expected to react with increased risk aversion in times of crises. As seen in earlier research by Radelet et al. (1998) and Bhatia (2002), crises tend to have quite some influence and I therefore expect a large impact (See Table </w:t>
      </w:r>
      <w:r w:rsidR="00742CD4" w:rsidRPr="00781608">
        <w:rPr>
          <w:rFonts w:cs="Times New Roman"/>
          <w:bCs/>
          <w:sz w:val="24"/>
          <w:szCs w:val="24"/>
          <w:lang w:val="en-US"/>
        </w:rPr>
        <w:t>4</w:t>
      </w:r>
      <w:r w:rsidRPr="00781608">
        <w:rPr>
          <w:rFonts w:cs="Times New Roman"/>
          <w:bCs/>
          <w:sz w:val="24"/>
          <w:szCs w:val="24"/>
          <w:lang w:val="en-US"/>
        </w:rPr>
        <w:t>.1).</w:t>
      </w:r>
    </w:p>
    <w:p w:rsidR="00975737" w:rsidRPr="00781608" w:rsidRDefault="00975737" w:rsidP="00EE7977">
      <w:pPr>
        <w:spacing w:before="240" w:line="360" w:lineRule="auto"/>
        <w:jc w:val="both"/>
        <w:rPr>
          <w:rFonts w:cs="Times New Roman"/>
          <w:bCs/>
          <w:sz w:val="24"/>
          <w:szCs w:val="24"/>
          <w:lang w:val="en-US"/>
        </w:rPr>
      </w:pPr>
    </w:p>
    <w:p w:rsidR="001D6180" w:rsidRPr="00781608" w:rsidRDefault="001D6180" w:rsidP="001D6180">
      <w:pPr>
        <w:spacing w:after="0" w:line="360" w:lineRule="auto"/>
        <w:jc w:val="both"/>
        <w:rPr>
          <w:rFonts w:cs="Times New Roman"/>
          <w:bCs/>
          <w:sz w:val="24"/>
          <w:szCs w:val="24"/>
          <w:lang w:val="en-US"/>
        </w:rPr>
      </w:pPr>
      <w:r w:rsidRPr="00781608">
        <w:rPr>
          <w:rFonts w:cs="Times New Roman"/>
          <w:bCs/>
          <w:sz w:val="24"/>
          <w:szCs w:val="24"/>
          <w:lang w:val="en-US"/>
        </w:rPr>
        <w:t xml:space="preserve">TABLE </w:t>
      </w:r>
      <w:r w:rsidR="00742CD4" w:rsidRPr="00781608">
        <w:rPr>
          <w:rFonts w:cs="Times New Roman"/>
          <w:bCs/>
          <w:sz w:val="24"/>
          <w:szCs w:val="24"/>
          <w:lang w:val="en-US"/>
        </w:rPr>
        <w:t>4</w:t>
      </w:r>
      <w:r w:rsidRPr="00781608">
        <w:rPr>
          <w:rFonts w:cs="Times New Roman"/>
          <w:bCs/>
          <w:sz w:val="24"/>
          <w:szCs w:val="24"/>
          <w:lang w:val="en-US"/>
        </w:rPr>
        <w:t>.1</w:t>
      </w:r>
    </w:p>
    <w:tbl>
      <w:tblPr>
        <w:tblStyle w:val="Lichtearcering1"/>
        <w:tblW w:w="0" w:type="auto"/>
        <w:tblLook w:val="04A0" w:firstRow="1" w:lastRow="0" w:firstColumn="1" w:lastColumn="0" w:noHBand="0" w:noVBand="1"/>
      </w:tblPr>
      <w:tblGrid>
        <w:gridCol w:w="4503"/>
        <w:gridCol w:w="1984"/>
        <w:gridCol w:w="2029"/>
      </w:tblGrid>
      <w:tr w:rsidR="001D6180" w:rsidRPr="00781608" w:rsidTr="00936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D6180" w:rsidRPr="00781608" w:rsidRDefault="001D6180" w:rsidP="00936D1B">
            <w:pPr>
              <w:spacing w:line="360" w:lineRule="auto"/>
              <w:jc w:val="both"/>
              <w:rPr>
                <w:rFonts w:cs="Times New Roman"/>
                <w:bCs w:val="0"/>
                <w:color w:val="auto"/>
                <w:sz w:val="22"/>
                <w:szCs w:val="22"/>
              </w:rPr>
            </w:pPr>
            <w:r w:rsidRPr="00781608">
              <w:rPr>
                <w:rFonts w:cs="Times New Roman"/>
                <w:bCs w:val="0"/>
                <w:color w:val="auto"/>
                <w:sz w:val="22"/>
                <w:szCs w:val="22"/>
              </w:rPr>
              <w:t>Variable</w:t>
            </w:r>
          </w:p>
        </w:tc>
        <w:tc>
          <w:tcPr>
            <w:tcW w:w="1984" w:type="dxa"/>
          </w:tcPr>
          <w:p w:rsidR="001D6180" w:rsidRPr="00781608" w:rsidRDefault="001D6180" w:rsidP="00936D1B">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Expected sign</w:t>
            </w:r>
          </w:p>
        </w:tc>
        <w:tc>
          <w:tcPr>
            <w:tcW w:w="2029" w:type="dxa"/>
          </w:tcPr>
          <w:p w:rsidR="001D6180" w:rsidRPr="00781608" w:rsidRDefault="001D6180" w:rsidP="00936D1B">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Expected size</w:t>
            </w:r>
          </w:p>
        </w:tc>
      </w:tr>
      <w:tr w:rsidR="001D6180" w:rsidRPr="00781608" w:rsidTr="00936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D6180" w:rsidRPr="00781608" w:rsidRDefault="001D6180" w:rsidP="00936D1B">
            <w:pPr>
              <w:spacing w:line="360" w:lineRule="auto"/>
              <w:jc w:val="both"/>
              <w:rPr>
                <w:rFonts w:cs="Times New Roman"/>
                <w:b w:val="0"/>
                <w:bCs w:val="0"/>
                <w:color w:val="auto"/>
                <w:sz w:val="22"/>
                <w:szCs w:val="22"/>
              </w:rPr>
            </w:pPr>
            <w:r w:rsidRPr="00781608">
              <w:rPr>
                <w:rFonts w:cs="Times New Roman"/>
                <w:b w:val="0"/>
                <w:bCs w:val="0"/>
                <w:color w:val="auto"/>
                <w:sz w:val="22"/>
                <w:szCs w:val="22"/>
              </w:rPr>
              <w:t>Positive rating events</w:t>
            </w:r>
          </w:p>
        </w:tc>
        <w:tc>
          <w:tcPr>
            <w:tcW w:w="1984" w:type="dxa"/>
          </w:tcPr>
          <w:p w:rsidR="001D6180" w:rsidRPr="00781608" w:rsidRDefault="00EE1898" w:rsidP="00936D1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2029" w:type="dxa"/>
          </w:tcPr>
          <w:p w:rsidR="001D6180" w:rsidRPr="00781608" w:rsidRDefault="001D6180" w:rsidP="00936D1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r>
      <w:tr w:rsidR="001D6180" w:rsidRPr="00781608" w:rsidTr="00936D1B">
        <w:tc>
          <w:tcPr>
            <w:cnfStyle w:val="001000000000" w:firstRow="0" w:lastRow="0" w:firstColumn="1" w:lastColumn="0" w:oddVBand="0" w:evenVBand="0" w:oddHBand="0" w:evenHBand="0" w:firstRowFirstColumn="0" w:firstRowLastColumn="0" w:lastRowFirstColumn="0" w:lastRowLastColumn="0"/>
            <w:tcW w:w="4503" w:type="dxa"/>
          </w:tcPr>
          <w:p w:rsidR="001D6180" w:rsidRPr="00781608" w:rsidRDefault="001D6180" w:rsidP="00936D1B">
            <w:pPr>
              <w:spacing w:line="360" w:lineRule="auto"/>
              <w:jc w:val="both"/>
              <w:rPr>
                <w:rFonts w:cs="Times New Roman"/>
                <w:b w:val="0"/>
                <w:bCs w:val="0"/>
                <w:color w:val="auto"/>
                <w:sz w:val="22"/>
                <w:szCs w:val="22"/>
              </w:rPr>
            </w:pPr>
            <w:r w:rsidRPr="00781608">
              <w:rPr>
                <w:rFonts w:cs="Times New Roman"/>
                <w:b w:val="0"/>
                <w:bCs w:val="0"/>
                <w:color w:val="auto"/>
                <w:sz w:val="22"/>
                <w:szCs w:val="22"/>
              </w:rPr>
              <w:t>Negative rating events</w:t>
            </w:r>
          </w:p>
        </w:tc>
        <w:tc>
          <w:tcPr>
            <w:tcW w:w="1984" w:type="dxa"/>
          </w:tcPr>
          <w:p w:rsidR="001D6180" w:rsidRPr="00781608" w:rsidRDefault="00EE1898" w:rsidP="00936D1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2029" w:type="dxa"/>
          </w:tcPr>
          <w:p w:rsidR="001D6180" w:rsidRPr="00781608" w:rsidRDefault="001D6180" w:rsidP="00936D1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r>
      <w:tr w:rsidR="001D6180" w:rsidRPr="00781608" w:rsidTr="00936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D6180" w:rsidRPr="00781608" w:rsidRDefault="001D6180" w:rsidP="00936D1B">
            <w:pPr>
              <w:spacing w:line="360" w:lineRule="auto"/>
              <w:jc w:val="both"/>
              <w:rPr>
                <w:rFonts w:cs="Times New Roman"/>
                <w:b w:val="0"/>
                <w:bCs w:val="0"/>
                <w:color w:val="auto"/>
                <w:sz w:val="22"/>
                <w:szCs w:val="22"/>
              </w:rPr>
            </w:pPr>
            <w:r w:rsidRPr="00781608">
              <w:rPr>
                <w:rFonts w:cs="Times New Roman"/>
                <w:b w:val="0"/>
                <w:bCs w:val="0"/>
                <w:color w:val="auto"/>
                <w:sz w:val="22"/>
                <w:szCs w:val="22"/>
              </w:rPr>
              <w:t>Transparency Index</w:t>
            </w:r>
          </w:p>
        </w:tc>
        <w:tc>
          <w:tcPr>
            <w:tcW w:w="1984" w:type="dxa"/>
          </w:tcPr>
          <w:p w:rsidR="001D6180" w:rsidRPr="00781608" w:rsidRDefault="00BB43C0" w:rsidP="00936D1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2029" w:type="dxa"/>
          </w:tcPr>
          <w:p w:rsidR="001D6180" w:rsidRPr="00781608" w:rsidRDefault="001D6180" w:rsidP="00936D1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Medium</w:t>
            </w:r>
          </w:p>
        </w:tc>
      </w:tr>
      <w:tr w:rsidR="001D6180" w:rsidRPr="00781608" w:rsidTr="00936D1B">
        <w:tc>
          <w:tcPr>
            <w:cnfStyle w:val="001000000000" w:firstRow="0" w:lastRow="0" w:firstColumn="1" w:lastColumn="0" w:oddVBand="0" w:evenVBand="0" w:oddHBand="0" w:evenHBand="0" w:firstRowFirstColumn="0" w:firstRowLastColumn="0" w:lastRowFirstColumn="0" w:lastRowLastColumn="0"/>
            <w:tcW w:w="4503" w:type="dxa"/>
          </w:tcPr>
          <w:p w:rsidR="001D6180" w:rsidRPr="00781608" w:rsidRDefault="001D6180" w:rsidP="00936D1B">
            <w:pPr>
              <w:spacing w:line="360" w:lineRule="auto"/>
              <w:jc w:val="both"/>
              <w:rPr>
                <w:rFonts w:cs="Times New Roman"/>
                <w:b w:val="0"/>
                <w:bCs w:val="0"/>
                <w:color w:val="auto"/>
                <w:sz w:val="22"/>
                <w:szCs w:val="22"/>
              </w:rPr>
            </w:pPr>
            <w:r w:rsidRPr="00781608">
              <w:rPr>
                <w:rFonts w:cs="Times New Roman"/>
                <w:b w:val="0"/>
                <w:bCs w:val="0"/>
                <w:color w:val="auto"/>
                <w:sz w:val="22"/>
                <w:szCs w:val="22"/>
              </w:rPr>
              <w:t>Freedom of Press Index</w:t>
            </w:r>
          </w:p>
        </w:tc>
        <w:tc>
          <w:tcPr>
            <w:tcW w:w="1984" w:type="dxa"/>
          </w:tcPr>
          <w:p w:rsidR="001D6180" w:rsidRPr="00781608" w:rsidRDefault="001D6180" w:rsidP="00936D1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2029" w:type="dxa"/>
          </w:tcPr>
          <w:p w:rsidR="001D6180" w:rsidRPr="00781608" w:rsidRDefault="001D6180" w:rsidP="00936D1B">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Medium</w:t>
            </w:r>
          </w:p>
        </w:tc>
      </w:tr>
      <w:tr w:rsidR="001D6180" w:rsidRPr="00781608" w:rsidTr="00936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D6180" w:rsidRPr="00781608" w:rsidRDefault="001D6180" w:rsidP="00936D1B">
            <w:pPr>
              <w:spacing w:line="360" w:lineRule="auto"/>
              <w:jc w:val="both"/>
              <w:rPr>
                <w:rFonts w:cs="Times New Roman"/>
                <w:b w:val="0"/>
                <w:bCs w:val="0"/>
                <w:color w:val="auto"/>
                <w:sz w:val="22"/>
                <w:szCs w:val="22"/>
              </w:rPr>
            </w:pPr>
            <w:r w:rsidRPr="00781608">
              <w:rPr>
                <w:rFonts w:cs="Times New Roman"/>
                <w:b w:val="0"/>
                <w:bCs w:val="0"/>
                <w:color w:val="auto"/>
                <w:sz w:val="22"/>
                <w:szCs w:val="22"/>
              </w:rPr>
              <w:t>Crisis Dummy</w:t>
            </w:r>
          </w:p>
        </w:tc>
        <w:tc>
          <w:tcPr>
            <w:tcW w:w="1984" w:type="dxa"/>
          </w:tcPr>
          <w:p w:rsidR="001D6180" w:rsidRPr="00781608" w:rsidRDefault="001D6180" w:rsidP="00936D1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2029" w:type="dxa"/>
          </w:tcPr>
          <w:p w:rsidR="001D6180" w:rsidRPr="00781608" w:rsidRDefault="001D6180" w:rsidP="00936D1B">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Large</w:t>
            </w:r>
          </w:p>
        </w:tc>
      </w:tr>
    </w:tbl>
    <w:p w:rsidR="00975737" w:rsidRDefault="00975737" w:rsidP="00781608">
      <w:pPr>
        <w:pStyle w:val="Kop2"/>
        <w:spacing w:line="360" w:lineRule="auto"/>
        <w:rPr>
          <w:rFonts w:asciiTheme="minorHAnsi" w:hAnsiTheme="minorHAnsi" w:cs="Times New Roman"/>
          <w:bCs w:val="0"/>
          <w:color w:val="auto"/>
          <w:sz w:val="24"/>
          <w:szCs w:val="24"/>
          <w:lang w:val="en-US"/>
        </w:rPr>
      </w:pPr>
      <w:bookmarkStart w:id="14" w:name="_Toc359926555"/>
    </w:p>
    <w:p w:rsidR="00975737" w:rsidRPr="00975737" w:rsidRDefault="00975737" w:rsidP="00975737">
      <w:pPr>
        <w:rPr>
          <w:lang w:val="en-US"/>
        </w:rPr>
      </w:pPr>
    </w:p>
    <w:p w:rsidR="00F73922" w:rsidRPr="00781608" w:rsidRDefault="002F2AB7" w:rsidP="00975737">
      <w:pPr>
        <w:pStyle w:val="Kop2"/>
        <w:spacing w:before="0" w:line="360" w:lineRule="auto"/>
        <w:rPr>
          <w:rFonts w:asciiTheme="minorHAnsi" w:hAnsiTheme="minorHAnsi" w:cs="Times New Roman"/>
          <w:bCs w:val="0"/>
          <w:color w:val="auto"/>
          <w:sz w:val="24"/>
          <w:szCs w:val="24"/>
          <w:lang w:val="en-US"/>
        </w:rPr>
      </w:pPr>
      <w:r w:rsidRPr="00781608">
        <w:rPr>
          <w:rFonts w:asciiTheme="minorHAnsi" w:hAnsiTheme="minorHAnsi" w:cs="Times New Roman"/>
          <w:bCs w:val="0"/>
          <w:color w:val="auto"/>
          <w:sz w:val="24"/>
          <w:szCs w:val="24"/>
          <w:lang w:val="en-US"/>
        </w:rPr>
        <w:lastRenderedPageBreak/>
        <w:t>4.2</w:t>
      </w:r>
      <w:r w:rsidR="00F73922" w:rsidRPr="00781608">
        <w:rPr>
          <w:rFonts w:asciiTheme="minorHAnsi" w:hAnsiTheme="minorHAnsi" w:cs="Times New Roman"/>
          <w:bCs w:val="0"/>
          <w:color w:val="auto"/>
          <w:sz w:val="24"/>
          <w:szCs w:val="24"/>
          <w:lang w:val="en-US"/>
        </w:rPr>
        <w:t xml:space="preserve"> Description</w:t>
      </w:r>
      <w:r w:rsidR="0015437E" w:rsidRPr="00781608">
        <w:rPr>
          <w:rFonts w:asciiTheme="minorHAnsi" w:hAnsiTheme="minorHAnsi" w:cs="Times New Roman"/>
          <w:bCs w:val="0"/>
          <w:color w:val="auto"/>
          <w:sz w:val="24"/>
          <w:szCs w:val="24"/>
          <w:lang w:val="en-US"/>
        </w:rPr>
        <w:t xml:space="preserve"> of the data</w:t>
      </w:r>
      <w:bookmarkEnd w:id="14"/>
    </w:p>
    <w:p w:rsidR="00BA5DD8" w:rsidRPr="00781608" w:rsidRDefault="00F73922" w:rsidP="00793364">
      <w:pPr>
        <w:spacing w:line="360" w:lineRule="auto"/>
        <w:jc w:val="both"/>
        <w:rPr>
          <w:rFonts w:cs="Times New Roman"/>
          <w:bCs/>
          <w:sz w:val="24"/>
          <w:szCs w:val="24"/>
          <w:lang w:val="en-US"/>
        </w:rPr>
      </w:pPr>
      <w:r w:rsidRPr="00781608">
        <w:rPr>
          <w:rFonts w:cs="Times New Roman"/>
          <w:bCs/>
          <w:sz w:val="24"/>
          <w:szCs w:val="24"/>
          <w:lang w:val="en-US"/>
        </w:rPr>
        <w:t xml:space="preserve">In this study I use of a panel data set </w:t>
      </w:r>
      <w:r w:rsidR="001D6180" w:rsidRPr="00781608">
        <w:rPr>
          <w:rFonts w:cs="Times New Roman"/>
          <w:bCs/>
          <w:sz w:val="24"/>
          <w:szCs w:val="24"/>
          <w:lang w:val="en-US"/>
        </w:rPr>
        <w:t>of</w:t>
      </w:r>
      <w:r w:rsidRPr="00781608">
        <w:rPr>
          <w:rFonts w:cs="Times New Roman"/>
          <w:bCs/>
          <w:sz w:val="24"/>
          <w:szCs w:val="24"/>
          <w:lang w:val="en-US"/>
        </w:rPr>
        <w:t xml:space="preserve"> 34 countries </w:t>
      </w:r>
      <w:r w:rsidR="002D33D5" w:rsidRPr="00781608">
        <w:rPr>
          <w:rFonts w:cs="Times New Roman"/>
          <w:bCs/>
          <w:sz w:val="24"/>
          <w:szCs w:val="24"/>
          <w:lang w:val="en-US"/>
        </w:rPr>
        <w:t>for month</w:t>
      </w:r>
      <w:r w:rsidR="000E2513" w:rsidRPr="00781608">
        <w:rPr>
          <w:rFonts w:cs="Times New Roman"/>
          <w:bCs/>
          <w:sz w:val="24"/>
          <w:szCs w:val="24"/>
          <w:lang w:val="en-US"/>
        </w:rPr>
        <w:t>ly data</w:t>
      </w:r>
      <w:r w:rsidR="002D33D5" w:rsidRPr="00781608">
        <w:rPr>
          <w:rFonts w:cs="Times New Roman"/>
          <w:bCs/>
          <w:sz w:val="24"/>
          <w:szCs w:val="24"/>
          <w:lang w:val="en-US"/>
        </w:rPr>
        <w:t xml:space="preserve"> </w:t>
      </w:r>
      <w:r w:rsidRPr="00781608">
        <w:rPr>
          <w:rFonts w:cs="Times New Roman"/>
          <w:bCs/>
          <w:sz w:val="24"/>
          <w:szCs w:val="24"/>
          <w:lang w:val="en-US"/>
        </w:rPr>
        <w:t>between the years 2002 and 2012</w:t>
      </w:r>
      <w:r w:rsidR="001D6180" w:rsidRPr="00781608">
        <w:rPr>
          <w:rFonts w:cs="Times New Roman"/>
          <w:bCs/>
          <w:sz w:val="24"/>
          <w:szCs w:val="24"/>
          <w:lang w:val="en-US"/>
        </w:rPr>
        <w:t xml:space="preserve">. </w:t>
      </w:r>
      <w:r w:rsidR="00BA5DD8" w:rsidRPr="00781608">
        <w:rPr>
          <w:rFonts w:cs="Times New Roman"/>
          <w:bCs/>
          <w:sz w:val="24"/>
          <w:szCs w:val="24"/>
          <w:lang w:val="en-US"/>
        </w:rPr>
        <w:t xml:space="preserve">The dependent variable is </w:t>
      </w:r>
      <w:r w:rsidRPr="00781608">
        <w:rPr>
          <w:rFonts w:cs="Times New Roman"/>
          <w:bCs/>
          <w:sz w:val="24"/>
          <w:szCs w:val="24"/>
          <w:lang w:val="en-US"/>
        </w:rPr>
        <w:t>estimate</w:t>
      </w:r>
      <w:r w:rsidR="00BA5DD8" w:rsidRPr="00781608">
        <w:rPr>
          <w:rFonts w:cs="Times New Roman"/>
          <w:bCs/>
          <w:sz w:val="24"/>
          <w:szCs w:val="24"/>
          <w:lang w:val="en-US"/>
        </w:rPr>
        <w:t>d</w:t>
      </w:r>
      <w:r w:rsidRPr="00781608">
        <w:rPr>
          <w:rFonts w:cs="Times New Roman"/>
          <w:bCs/>
          <w:sz w:val="24"/>
          <w:szCs w:val="24"/>
          <w:lang w:val="en-US"/>
        </w:rPr>
        <w:t xml:space="preserve"> </w:t>
      </w:r>
      <w:r w:rsidR="00BA5DD8" w:rsidRPr="00781608">
        <w:rPr>
          <w:rFonts w:cs="Times New Roman"/>
          <w:bCs/>
          <w:sz w:val="24"/>
          <w:szCs w:val="24"/>
          <w:lang w:val="en-US"/>
        </w:rPr>
        <w:t xml:space="preserve">for </w:t>
      </w:r>
      <w:r w:rsidR="000E2513" w:rsidRPr="00781608">
        <w:rPr>
          <w:rFonts w:cs="Times New Roman"/>
          <w:bCs/>
          <w:sz w:val="24"/>
          <w:szCs w:val="24"/>
          <w:lang w:val="en-US"/>
        </w:rPr>
        <w:t>spreads</w:t>
      </w:r>
      <w:r w:rsidRPr="00781608">
        <w:rPr>
          <w:rFonts w:cs="Times New Roman"/>
          <w:bCs/>
          <w:sz w:val="24"/>
          <w:szCs w:val="24"/>
          <w:lang w:val="en-US"/>
        </w:rPr>
        <w:t xml:space="preserve"> of 1-, 5- and 10-year </w:t>
      </w:r>
      <w:r w:rsidR="00BA5DD8" w:rsidRPr="00781608">
        <w:rPr>
          <w:rFonts w:cs="Times New Roman"/>
          <w:bCs/>
          <w:sz w:val="24"/>
          <w:szCs w:val="24"/>
          <w:lang w:val="en-US"/>
        </w:rPr>
        <w:t xml:space="preserve">maturity </w:t>
      </w:r>
      <w:r w:rsidRPr="00781608">
        <w:rPr>
          <w:rFonts w:cs="Times New Roman"/>
          <w:bCs/>
          <w:sz w:val="24"/>
          <w:szCs w:val="24"/>
          <w:lang w:val="en-US"/>
        </w:rPr>
        <w:t xml:space="preserve">sovereign bonds, using Germany as benchmark, on a set of explanatory variables. The sample of countries (see Appendix A) </w:t>
      </w:r>
      <w:r w:rsidR="000E2513" w:rsidRPr="00781608">
        <w:rPr>
          <w:rFonts w:cs="Times New Roman"/>
          <w:bCs/>
          <w:sz w:val="24"/>
          <w:szCs w:val="24"/>
          <w:lang w:val="en-US"/>
        </w:rPr>
        <w:t xml:space="preserve">is largely heterogeneous since it </w:t>
      </w:r>
      <w:r w:rsidRPr="00781608">
        <w:rPr>
          <w:rFonts w:cs="Times New Roman"/>
          <w:bCs/>
          <w:sz w:val="24"/>
          <w:szCs w:val="24"/>
          <w:lang w:val="en-US"/>
        </w:rPr>
        <w:t xml:space="preserve">contains a large variation in the geographical, political and economic dimensions. </w:t>
      </w:r>
      <w:r w:rsidR="0015437E" w:rsidRPr="00781608">
        <w:rPr>
          <w:rFonts w:cs="Times New Roman"/>
          <w:bCs/>
          <w:sz w:val="24"/>
          <w:szCs w:val="24"/>
          <w:lang w:val="en-US"/>
        </w:rPr>
        <w:t>The number of observations per regression is near 4000. The amount of rating events differs among the CRAs. Fitch has 243 positive- and 247 negative rating events. Moody’s 125 positive and 66 negative and S&amp;P 91 positive and 92 negative rating events. The transparency variable ranges with values between 0 and 10, where 0 means no transparency and 10 is complete transparency. The Freedom of Press variable has scores starting from 0, meaning complete freedom of press, going up to 124 for Vietnam, indicating low levels of freedom of press.</w:t>
      </w:r>
    </w:p>
    <w:p w:rsidR="00793364" w:rsidRPr="00A16CD4" w:rsidRDefault="00764641" w:rsidP="00781608">
      <w:pPr>
        <w:pStyle w:val="Kop1"/>
        <w:spacing w:line="360" w:lineRule="auto"/>
        <w:rPr>
          <w:rFonts w:asciiTheme="minorHAnsi" w:hAnsiTheme="minorHAnsi" w:cs="Times New Roman"/>
          <w:bCs w:val="0"/>
          <w:i/>
          <w:color w:val="auto"/>
          <w:sz w:val="24"/>
          <w:szCs w:val="24"/>
          <w:lang w:val="en-US"/>
        </w:rPr>
      </w:pPr>
      <w:bookmarkStart w:id="15" w:name="_Toc359926556"/>
      <w:r>
        <w:rPr>
          <w:rFonts w:asciiTheme="minorHAnsi" w:hAnsiTheme="minorHAnsi" w:cs="Times New Roman"/>
          <w:bCs w:val="0"/>
          <w:color w:val="auto"/>
          <w:sz w:val="24"/>
          <w:szCs w:val="24"/>
          <w:lang w:val="en-US"/>
        </w:rPr>
        <w:br w:type="column"/>
      </w:r>
      <w:r w:rsidR="00742CD4" w:rsidRPr="00A16CD4">
        <w:rPr>
          <w:rFonts w:asciiTheme="minorHAnsi" w:hAnsiTheme="minorHAnsi" w:cs="Times New Roman"/>
          <w:bCs w:val="0"/>
          <w:i/>
          <w:color w:val="auto"/>
          <w:sz w:val="24"/>
          <w:szCs w:val="24"/>
          <w:lang w:val="en-US"/>
        </w:rPr>
        <w:lastRenderedPageBreak/>
        <w:t>5</w:t>
      </w:r>
      <w:r w:rsidR="00793364" w:rsidRPr="00A16CD4">
        <w:rPr>
          <w:rFonts w:asciiTheme="minorHAnsi" w:hAnsiTheme="minorHAnsi" w:cs="Times New Roman"/>
          <w:bCs w:val="0"/>
          <w:i/>
          <w:color w:val="auto"/>
          <w:sz w:val="24"/>
          <w:szCs w:val="24"/>
          <w:lang w:val="en-US"/>
        </w:rPr>
        <w:t>. Empirical model</w:t>
      </w:r>
      <w:bookmarkEnd w:id="15"/>
    </w:p>
    <w:p w:rsidR="00793364" w:rsidRPr="00781608" w:rsidRDefault="00793364" w:rsidP="00781608">
      <w:pPr>
        <w:spacing w:before="240" w:line="360" w:lineRule="auto"/>
        <w:jc w:val="both"/>
        <w:rPr>
          <w:rFonts w:cs="Times New Roman"/>
          <w:bCs/>
          <w:sz w:val="24"/>
          <w:szCs w:val="24"/>
          <w:lang w:val="en-US"/>
        </w:rPr>
      </w:pPr>
      <w:r w:rsidRPr="00781608">
        <w:rPr>
          <w:rFonts w:cs="Times New Roman"/>
          <w:bCs/>
          <w:sz w:val="24"/>
          <w:szCs w:val="24"/>
          <w:lang w:val="en-US"/>
        </w:rPr>
        <w:t xml:space="preserve">To test the effect of information availability </w:t>
      </w:r>
      <w:r w:rsidR="00AD0F75" w:rsidRPr="00781608">
        <w:rPr>
          <w:rFonts w:cs="Times New Roman"/>
          <w:bCs/>
          <w:sz w:val="24"/>
          <w:szCs w:val="24"/>
          <w:lang w:val="en-US"/>
        </w:rPr>
        <w:t xml:space="preserve">on </w:t>
      </w:r>
      <w:r w:rsidR="000E2513" w:rsidRPr="00781608">
        <w:rPr>
          <w:rFonts w:cs="Times New Roman"/>
          <w:bCs/>
          <w:sz w:val="24"/>
          <w:szCs w:val="24"/>
          <w:lang w:val="en-US"/>
        </w:rPr>
        <w:t>spreads</w:t>
      </w:r>
      <w:r w:rsidR="00AD0F75" w:rsidRPr="00781608">
        <w:rPr>
          <w:rFonts w:cs="Times New Roman"/>
          <w:bCs/>
          <w:sz w:val="24"/>
          <w:szCs w:val="24"/>
          <w:lang w:val="en-US"/>
        </w:rPr>
        <w:t xml:space="preserve"> </w:t>
      </w:r>
      <w:r w:rsidRPr="00781608">
        <w:rPr>
          <w:rFonts w:cs="Times New Roman"/>
          <w:bCs/>
          <w:sz w:val="24"/>
          <w:szCs w:val="24"/>
          <w:lang w:val="en-US"/>
        </w:rPr>
        <w:t xml:space="preserve">I </w:t>
      </w:r>
      <w:r w:rsidR="00AD0F75" w:rsidRPr="00781608">
        <w:rPr>
          <w:rFonts w:cs="Times New Roman"/>
          <w:bCs/>
          <w:sz w:val="24"/>
          <w:szCs w:val="24"/>
          <w:lang w:val="en-US"/>
        </w:rPr>
        <w:t>use</w:t>
      </w:r>
      <w:r w:rsidRPr="00781608">
        <w:rPr>
          <w:rFonts w:cs="Times New Roman"/>
          <w:bCs/>
          <w:sz w:val="24"/>
          <w:szCs w:val="24"/>
          <w:lang w:val="en-US"/>
        </w:rPr>
        <w:t xml:space="preserve"> three</w:t>
      </w:r>
      <w:r w:rsidR="00AD0F75" w:rsidRPr="00781608">
        <w:rPr>
          <w:rFonts w:cs="Times New Roman"/>
          <w:bCs/>
          <w:sz w:val="24"/>
          <w:szCs w:val="24"/>
          <w:lang w:val="en-US"/>
        </w:rPr>
        <w:t xml:space="preserve"> different </w:t>
      </w:r>
      <w:r w:rsidRPr="00781608">
        <w:rPr>
          <w:rFonts w:cs="Times New Roman"/>
          <w:bCs/>
          <w:sz w:val="24"/>
          <w:szCs w:val="24"/>
          <w:lang w:val="en-US"/>
        </w:rPr>
        <w:t xml:space="preserve">models. The first contains a constant and </w:t>
      </w:r>
      <w:r w:rsidR="00AD0F75" w:rsidRPr="00781608">
        <w:rPr>
          <w:rFonts w:cs="Times New Roman"/>
          <w:bCs/>
          <w:sz w:val="24"/>
          <w:szCs w:val="24"/>
          <w:lang w:val="en-US"/>
        </w:rPr>
        <w:t>the rating event</w:t>
      </w:r>
      <w:r w:rsidRPr="00781608">
        <w:rPr>
          <w:rFonts w:cs="Times New Roman"/>
          <w:bCs/>
          <w:sz w:val="24"/>
          <w:szCs w:val="24"/>
          <w:lang w:val="en-US"/>
        </w:rPr>
        <w:t xml:space="preserve"> dummy</w:t>
      </w:r>
      <w:r w:rsidR="001958B0" w:rsidRPr="00781608">
        <w:rPr>
          <w:rFonts w:cs="Times New Roman"/>
          <w:bCs/>
          <w:sz w:val="24"/>
          <w:szCs w:val="24"/>
          <w:lang w:val="en-US"/>
        </w:rPr>
        <w:t>.</w:t>
      </w:r>
      <w:r w:rsidR="002D33D5" w:rsidRPr="00781608">
        <w:rPr>
          <w:rFonts w:cs="Times New Roman"/>
          <w:bCs/>
          <w:sz w:val="24"/>
          <w:szCs w:val="24"/>
          <w:lang w:val="en-US"/>
        </w:rPr>
        <w:t xml:space="preserve"> </w:t>
      </w:r>
      <w:r w:rsidRPr="00781608">
        <w:rPr>
          <w:rFonts w:cs="Times New Roman"/>
          <w:bCs/>
          <w:sz w:val="24"/>
          <w:szCs w:val="24"/>
          <w:lang w:val="en-US"/>
        </w:rPr>
        <w:t>The second also includes the explanatory variables of transparency and freedom of press and the third model includes a dummy for the crisis as well.</w:t>
      </w:r>
      <w:r w:rsidR="002D33D5" w:rsidRPr="00781608">
        <w:rPr>
          <w:rFonts w:cs="Times New Roman"/>
          <w:bCs/>
          <w:sz w:val="24"/>
          <w:szCs w:val="24"/>
          <w:lang w:val="en-US"/>
        </w:rPr>
        <w:t xml:space="preserve"> I choose to work with three different models to get a clear view of the impact of rating events and of what happens to that impact if I account for information availability. Furthermore I also </w:t>
      </w:r>
      <w:r w:rsidR="000E2513" w:rsidRPr="00781608">
        <w:rPr>
          <w:rFonts w:cs="Times New Roman"/>
          <w:bCs/>
          <w:sz w:val="24"/>
          <w:szCs w:val="24"/>
          <w:lang w:val="en-US"/>
        </w:rPr>
        <w:t xml:space="preserve">test </w:t>
      </w:r>
      <w:r w:rsidR="002D33D5" w:rsidRPr="00781608">
        <w:rPr>
          <w:rFonts w:cs="Times New Roman"/>
          <w:bCs/>
          <w:sz w:val="24"/>
          <w:szCs w:val="24"/>
          <w:lang w:val="en-US"/>
        </w:rPr>
        <w:t>if a crisis</w:t>
      </w:r>
      <w:r w:rsidR="000E2513" w:rsidRPr="00781608">
        <w:rPr>
          <w:rFonts w:cs="Times New Roman"/>
          <w:bCs/>
          <w:sz w:val="24"/>
          <w:szCs w:val="24"/>
          <w:lang w:val="en-US"/>
        </w:rPr>
        <w:t xml:space="preserve"> is of</w:t>
      </w:r>
      <w:r w:rsidR="002D33D5" w:rsidRPr="00781608">
        <w:rPr>
          <w:rFonts w:cs="Times New Roman"/>
          <w:bCs/>
          <w:sz w:val="24"/>
          <w:szCs w:val="24"/>
          <w:lang w:val="en-US"/>
        </w:rPr>
        <w:t xml:space="preserve"> influence</w:t>
      </w:r>
      <w:r w:rsidR="000E2513" w:rsidRPr="00781608">
        <w:rPr>
          <w:rFonts w:cs="Times New Roman"/>
          <w:bCs/>
          <w:sz w:val="24"/>
          <w:szCs w:val="24"/>
          <w:lang w:val="en-US"/>
        </w:rPr>
        <w:t xml:space="preserve"> on spreads</w:t>
      </w:r>
      <w:r w:rsidR="002D33D5" w:rsidRPr="00781608">
        <w:rPr>
          <w:rFonts w:cs="Times New Roman"/>
          <w:bCs/>
          <w:sz w:val="24"/>
          <w:szCs w:val="24"/>
          <w:lang w:val="en-US"/>
        </w:rPr>
        <w:t>.</w:t>
      </w:r>
      <w:r w:rsidRPr="00781608">
        <w:rPr>
          <w:rFonts w:cs="Times New Roman"/>
          <w:bCs/>
          <w:sz w:val="24"/>
          <w:szCs w:val="24"/>
          <w:lang w:val="en-US"/>
        </w:rPr>
        <w:t xml:space="preserve"> </w:t>
      </w:r>
    </w:p>
    <w:p w:rsidR="00793364" w:rsidRPr="00781608" w:rsidRDefault="00793364" w:rsidP="00910889">
      <w:pPr>
        <w:spacing w:after="0" w:line="360" w:lineRule="auto"/>
        <w:jc w:val="both"/>
        <w:rPr>
          <w:rFonts w:cs="Times New Roman"/>
          <w:bCs/>
          <w:sz w:val="24"/>
          <w:szCs w:val="24"/>
        </w:rPr>
      </w:pPr>
      <w:r w:rsidRPr="00781608">
        <w:rPr>
          <w:rFonts w:cs="Times New Roman"/>
          <w:bCs/>
          <w:sz w:val="24"/>
          <w:szCs w:val="24"/>
        </w:rPr>
        <w:t>Model 1</w:t>
      </w:r>
    </w:p>
    <w:p w:rsidR="00793364" w:rsidRPr="00781608" w:rsidRDefault="00793364" w:rsidP="00793364">
      <w:pPr>
        <w:spacing w:line="360" w:lineRule="auto"/>
        <w:jc w:val="both"/>
        <w:rPr>
          <w:rFonts w:cs="Times New Roman"/>
          <w:sz w:val="24"/>
          <w:szCs w:val="24"/>
        </w:rPr>
      </w:pPr>
      <w:r w:rsidRPr="00781608">
        <w:rPr>
          <w:rFonts w:cs="Times New Roman"/>
          <w:sz w:val="24"/>
          <w:szCs w:val="24"/>
        </w:rPr>
        <w:t>Y</w:t>
      </w:r>
      <w:r w:rsidRPr="00781608">
        <w:rPr>
          <w:rFonts w:cs="Times New Roman"/>
          <w:sz w:val="24"/>
          <w:szCs w:val="24"/>
          <w:vertAlign w:val="subscript"/>
        </w:rPr>
        <w:t>it</w:t>
      </w:r>
      <w:r w:rsidRPr="00781608">
        <w:rPr>
          <w:rFonts w:cs="Times New Roman"/>
          <w:sz w:val="24"/>
          <w:szCs w:val="24"/>
        </w:rPr>
        <w:t xml:space="preserve">    = </w:t>
      </w:r>
      <w:r w:rsidRPr="00781608">
        <w:rPr>
          <w:rFonts w:cs="Times New Roman"/>
          <w:sz w:val="24"/>
          <w:szCs w:val="24"/>
          <w:lang w:val="en-US"/>
        </w:rPr>
        <w:t>α</w:t>
      </w:r>
      <w:r w:rsidRPr="00781608">
        <w:rPr>
          <w:rFonts w:cs="Times New Roman"/>
          <w:sz w:val="24"/>
          <w:szCs w:val="24"/>
          <w:vertAlign w:val="subscript"/>
        </w:rPr>
        <w:t>i</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1</w:t>
      </w:r>
      <w:r w:rsidRPr="00781608">
        <w:rPr>
          <w:rFonts w:cs="Times New Roman"/>
          <w:sz w:val="24"/>
          <w:szCs w:val="24"/>
        </w:rPr>
        <w:t>D</w:t>
      </w:r>
      <w:r w:rsidRPr="00781608">
        <w:rPr>
          <w:rFonts w:cs="Times New Roman"/>
          <w:sz w:val="24"/>
          <w:szCs w:val="24"/>
          <w:vertAlign w:val="subscript"/>
        </w:rPr>
        <w:t xml:space="preserve">1ijkt </w:t>
      </w:r>
      <w:r w:rsidRPr="00781608">
        <w:rPr>
          <w:rFonts w:cs="Times New Roman"/>
          <w:sz w:val="24"/>
          <w:szCs w:val="24"/>
        </w:rPr>
        <w:t xml:space="preserve">+ </w:t>
      </w:r>
      <w:r w:rsidRPr="00781608">
        <w:rPr>
          <w:rFonts w:cs="Times New Roman"/>
          <w:sz w:val="24"/>
          <w:szCs w:val="24"/>
          <w:lang w:val="en-US"/>
        </w:rPr>
        <w:t>ε</w:t>
      </w:r>
      <w:r w:rsidRPr="00781608">
        <w:rPr>
          <w:rFonts w:cs="Times New Roman"/>
          <w:sz w:val="24"/>
          <w:szCs w:val="24"/>
          <w:vertAlign w:val="subscript"/>
        </w:rPr>
        <w:t>it</w:t>
      </w:r>
    </w:p>
    <w:p w:rsidR="00793364" w:rsidRPr="00781608" w:rsidRDefault="00793364" w:rsidP="00910889">
      <w:pPr>
        <w:spacing w:after="0" w:line="360" w:lineRule="auto"/>
        <w:jc w:val="both"/>
        <w:rPr>
          <w:rFonts w:cs="Times New Roman"/>
          <w:sz w:val="24"/>
          <w:szCs w:val="24"/>
        </w:rPr>
      </w:pPr>
      <w:r w:rsidRPr="00781608">
        <w:rPr>
          <w:rFonts w:cs="Times New Roman"/>
          <w:sz w:val="24"/>
          <w:szCs w:val="24"/>
        </w:rPr>
        <w:t>Model 2</w:t>
      </w:r>
    </w:p>
    <w:p w:rsidR="00793364" w:rsidRPr="00781608" w:rsidRDefault="00793364" w:rsidP="00793364">
      <w:pPr>
        <w:spacing w:line="360" w:lineRule="auto"/>
        <w:jc w:val="both"/>
        <w:rPr>
          <w:rFonts w:cs="Times New Roman"/>
          <w:sz w:val="24"/>
          <w:szCs w:val="24"/>
        </w:rPr>
      </w:pPr>
      <w:r w:rsidRPr="00781608">
        <w:rPr>
          <w:rFonts w:cs="Times New Roman"/>
          <w:sz w:val="24"/>
          <w:szCs w:val="24"/>
        </w:rPr>
        <w:t>Y</w:t>
      </w:r>
      <w:r w:rsidRPr="00781608">
        <w:rPr>
          <w:rFonts w:cs="Times New Roman"/>
          <w:sz w:val="24"/>
          <w:szCs w:val="24"/>
          <w:vertAlign w:val="subscript"/>
        </w:rPr>
        <w:t>it</w:t>
      </w:r>
      <w:r w:rsidRPr="00781608">
        <w:rPr>
          <w:rFonts w:cs="Times New Roman"/>
          <w:sz w:val="24"/>
          <w:szCs w:val="24"/>
        </w:rPr>
        <w:t xml:space="preserve">    = </w:t>
      </w:r>
      <w:r w:rsidRPr="00781608">
        <w:rPr>
          <w:rFonts w:cs="Times New Roman"/>
          <w:sz w:val="24"/>
          <w:szCs w:val="24"/>
          <w:lang w:val="en-US"/>
        </w:rPr>
        <w:t>α</w:t>
      </w:r>
      <w:r w:rsidRPr="00781608">
        <w:rPr>
          <w:rFonts w:cs="Times New Roman"/>
          <w:sz w:val="24"/>
          <w:szCs w:val="24"/>
          <w:vertAlign w:val="subscript"/>
        </w:rPr>
        <w:t>i</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1</w:t>
      </w:r>
      <w:r w:rsidRPr="00781608">
        <w:rPr>
          <w:rFonts w:cs="Times New Roman"/>
          <w:sz w:val="24"/>
          <w:szCs w:val="24"/>
        </w:rPr>
        <w:t>D</w:t>
      </w:r>
      <w:r w:rsidRPr="00781608">
        <w:rPr>
          <w:rFonts w:cs="Times New Roman"/>
          <w:sz w:val="24"/>
          <w:szCs w:val="24"/>
          <w:vertAlign w:val="subscript"/>
        </w:rPr>
        <w:t>ijkt</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2</w:t>
      </w:r>
      <w:r w:rsidRPr="00781608">
        <w:rPr>
          <w:rFonts w:cs="Times New Roman"/>
          <w:sz w:val="24"/>
          <w:szCs w:val="24"/>
        </w:rPr>
        <w:t>X</w:t>
      </w:r>
      <w:r w:rsidRPr="00781608">
        <w:rPr>
          <w:rFonts w:cs="Times New Roman"/>
          <w:sz w:val="24"/>
          <w:szCs w:val="24"/>
          <w:vertAlign w:val="subscript"/>
        </w:rPr>
        <w:t>1t</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3</w:t>
      </w:r>
      <w:r w:rsidRPr="00781608">
        <w:rPr>
          <w:rFonts w:cs="Times New Roman"/>
          <w:sz w:val="24"/>
          <w:szCs w:val="24"/>
        </w:rPr>
        <w:t>X</w:t>
      </w:r>
      <w:r w:rsidRPr="00781608">
        <w:rPr>
          <w:rFonts w:cs="Times New Roman"/>
          <w:sz w:val="24"/>
          <w:szCs w:val="24"/>
          <w:vertAlign w:val="subscript"/>
        </w:rPr>
        <w:t>2t</w:t>
      </w:r>
      <w:r w:rsidRPr="00781608">
        <w:rPr>
          <w:rFonts w:cs="Times New Roman"/>
          <w:sz w:val="24"/>
          <w:szCs w:val="24"/>
        </w:rPr>
        <w:t xml:space="preserve"> + </w:t>
      </w:r>
      <w:r w:rsidRPr="00781608">
        <w:rPr>
          <w:rFonts w:cs="Times New Roman"/>
          <w:sz w:val="24"/>
          <w:szCs w:val="24"/>
          <w:lang w:val="en-US"/>
        </w:rPr>
        <w:t>ε</w:t>
      </w:r>
      <w:r w:rsidRPr="00781608">
        <w:rPr>
          <w:rFonts w:cs="Times New Roman"/>
          <w:sz w:val="24"/>
          <w:szCs w:val="24"/>
          <w:vertAlign w:val="subscript"/>
        </w:rPr>
        <w:t>it</w:t>
      </w:r>
      <w:r w:rsidRPr="00781608">
        <w:rPr>
          <w:rFonts w:cs="Times New Roman"/>
          <w:sz w:val="24"/>
          <w:szCs w:val="24"/>
        </w:rPr>
        <w:t xml:space="preserve"> </w:t>
      </w:r>
    </w:p>
    <w:p w:rsidR="00793364" w:rsidRPr="00781608" w:rsidRDefault="00793364" w:rsidP="00910889">
      <w:pPr>
        <w:spacing w:after="0" w:line="360" w:lineRule="auto"/>
        <w:jc w:val="both"/>
        <w:rPr>
          <w:rFonts w:cs="Times New Roman"/>
          <w:sz w:val="24"/>
          <w:szCs w:val="24"/>
        </w:rPr>
      </w:pPr>
      <w:r w:rsidRPr="00781608">
        <w:rPr>
          <w:rFonts w:cs="Times New Roman"/>
          <w:sz w:val="24"/>
          <w:szCs w:val="24"/>
        </w:rPr>
        <w:t>Model 3</w:t>
      </w:r>
    </w:p>
    <w:p w:rsidR="00793364" w:rsidRPr="00781608" w:rsidRDefault="00793364" w:rsidP="00910889">
      <w:pPr>
        <w:spacing w:line="360" w:lineRule="auto"/>
        <w:jc w:val="both"/>
        <w:rPr>
          <w:rFonts w:cs="Times New Roman"/>
          <w:sz w:val="24"/>
          <w:szCs w:val="24"/>
        </w:rPr>
      </w:pPr>
      <w:r w:rsidRPr="00781608">
        <w:rPr>
          <w:rFonts w:cs="Times New Roman"/>
          <w:sz w:val="24"/>
          <w:szCs w:val="24"/>
        </w:rPr>
        <w:t>Y</w:t>
      </w:r>
      <w:r w:rsidRPr="00781608">
        <w:rPr>
          <w:rFonts w:cs="Times New Roman"/>
          <w:sz w:val="24"/>
          <w:szCs w:val="24"/>
          <w:vertAlign w:val="subscript"/>
        </w:rPr>
        <w:t>it</w:t>
      </w:r>
      <w:r w:rsidRPr="00781608">
        <w:rPr>
          <w:rFonts w:cs="Times New Roman"/>
          <w:sz w:val="24"/>
          <w:szCs w:val="24"/>
        </w:rPr>
        <w:t xml:space="preserve">    = </w:t>
      </w:r>
      <w:r w:rsidRPr="00781608">
        <w:rPr>
          <w:rFonts w:cs="Times New Roman"/>
          <w:sz w:val="24"/>
          <w:szCs w:val="24"/>
          <w:lang w:val="en-US"/>
        </w:rPr>
        <w:t>α</w:t>
      </w:r>
      <w:r w:rsidRPr="00781608">
        <w:rPr>
          <w:rFonts w:cs="Times New Roman"/>
          <w:sz w:val="24"/>
          <w:szCs w:val="24"/>
          <w:vertAlign w:val="subscript"/>
        </w:rPr>
        <w:t>i</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1</w:t>
      </w:r>
      <w:r w:rsidRPr="00781608">
        <w:rPr>
          <w:rFonts w:cs="Times New Roman"/>
          <w:sz w:val="24"/>
          <w:szCs w:val="24"/>
        </w:rPr>
        <w:t>D</w:t>
      </w:r>
      <w:r w:rsidRPr="00781608">
        <w:rPr>
          <w:rFonts w:cs="Times New Roman"/>
          <w:sz w:val="24"/>
          <w:szCs w:val="24"/>
          <w:vertAlign w:val="subscript"/>
        </w:rPr>
        <w:t>ijkt</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2</w:t>
      </w:r>
      <w:r w:rsidRPr="00781608">
        <w:rPr>
          <w:rFonts w:cs="Times New Roman"/>
          <w:sz w:val="24"/>
          <w:szCs w:val="24"/>
        </w:rPr>
        <w:t>X</w:t>
      </w:r>
      <w:r w:rsidRPr="00781608">
        <w:rPr>
          <w:rFonts w:cs="Times New Roman"/>
          <w:sz w:val="24"/>
          <w:szCs w:val="24"/>
          <w:vertAlign w:val="subscript"/>
        </w:rPr>
        <w:t>1t</w:t>
      </w:r>
      <w:r w:rsidRPr="00781608">
        <w:rPr>
          <w:rFonts w:cs="Times New Roman"/>
          <w:sz w:val="24"/>
          <w:szCs w:val="24"/>
        </w:rPr>
        <w:t xml:space="preserve"> + </w:t>
      </w:r>
      <w:r w:rsidRPr="00781608">
        <w:rPr>
          <w:rFonts w:cs="Times New Roman"/>
          <w:sz w:val="24"/>
          <w:szCs w:val="24"/>
          <w:lang w:val="en-US"/>
        </w:rPr>
        <w:t>β</w:t>
      </w:r>
      <w:r w:rsidRPr="00781608">
        <w:rPr>
          <w:rFonts w:cs="Times New Roman"/>
          <w:sz w:val="24"/>
          <w:szCs w:val="24"/>
          <w:vertAlign w:val="subscript"/>
        </w:rPr>
        <w:t>3</w:t>
      </w:r>
      <w:r w:rsidRPr="00781608">
        <w:rPr>
          <w:rFonts w:cs="Times New Roman"/>
          <w:sz w:val="24"/>
          <w:szCs w:val="24"/>
        </w:rPr>
        <w:t>X</w:t>
      </w:r>
      <w:r w:rsidRPr="00781608">
        <w:rPr>
          <w:rFonts w:cs="Times New Roman"/>
          <w:sz w:val="24"/>
          <w:szCs w:val="24"/>
          <w:vertAlign w:val="subscript"/>
        </w:rPr>
        <w:t>2t</w:t>
      </w:r>
      <w:r w:rsidRPr="00781608">
        <w:rPr>
          <w:rFonts w:cs="Times New Roman"/>
          <w:sz w:val="24"/>
          <w:szCs w:val="24"/>
        </w:rPr>
        <w:t xml:space="preserve"> + </w:t>
      </w:r>
      <w:r w:rsidR="00BA5DD8" w:rsidRPr="00781608">
        <w:rPr>
          <w:rFonts w:cs="Times New Roman"/>
          <w:sz w:val="24"/>
          <w:szCs w:val="24"/>
          <w:lang w:val="en-US"/>
        </w:rPr>
        <w:t>β</w:t>
      </w:r>
      <w:r w:rsidR="00BA5DD8" w:rsidRPr="00781608">
        <w:rPr>
          <w:rFonts w:cs="Times New Roman"/>
          <w:sz w:val="24"/>
          <w:szCs w:val="24"/>
          <w:vertAlign w:val="subscript"/>
        </w:rPr>
        <w:t>4</w:t>
      </w:r>
      <w:r w:rsidR="00BA5DD8" w:rsidRPr="00781608">
        <w:rPr>
          <w:rFonts w:cs="Times New Roman"/>
          <w:sz w:val="24"/>
          <w:szCs w:val="24"/>
        </w:rPr>
        <w:t>D</w:t>
      </w:r>
      <w:r w:rsidRPr="00781608">
        <w:rPr>
          <w:rFonts w:cs="Times New Roman"/>
          <w:sz w:val="24"/>
          <w:szCs w:val="24"/>
          <w:vertAlign w:val="subscript"/>
        </w:rPr>
        <w:t>2</w:t>
      </w:r>
      <w:r w:rsidR="00BA5DD8" w:rsidRPr="00781608">
        <w:rPr>
          <w:rFonts w:cs="Times New Roman"/>
          <w:sz w:val="24"/>
          <w:szCs w:val="24"/>
          <w:vertAlign w:val="subscript"/>
        </w:rPr>
        <w:t>t</w:t>
      </w:r>
      <w:r w:rsidRPr="00781608">
        <w:rPr>
          <w:rFonts w:cs="Times New Roman"/>
          <w:sz w:val="24"/>
          <w:szCs w:val="24"/>
        </w:rPr>
        <w:t xml:space="preserve"> + </w:t>
      </w:r>
      <w:r w:rsidRPr="00781608">
        <w:rPr>
          <w:rFonts w:cs="Times New Roman"/>
          <w:sz w:val="24"/>
          <w:szCs w:val="24"/>
          <w:lang w:val="en-US"/>
        </w:rPr>
        <w:t>ε</w:t>
      </w:r>
      <w:r w:rsidRPr="00781608">
        <w:rPr>
          <w:rFonts w:cs="Times New Roman"/>
          <w:sz w:val="24"/>
          <w:szCs w:val="24"/>
          <w:vertAlign w:val="subscript"/>
        </w:rPr>
        <w:t>it</w:t>
      </w:r>
      <w:r w:rsidRPr="00781608">
        <w:rPr>
          <w:rFonts w:cs="Times New Roman"/>
          <w:sz w:val="24"/>
          <w:szCs w:val="24"/>
        </w:rPr>
        <w:t xml:space="preserve"> </w:t>
      </w:r>
    </w:p>
    <w:p w:rsidR="00793364" w:rsidRPr="00781608" w:rsidRDefault="00793364" w:rsidP="00910889">
      <w:pPr>
        <w:spacing w:after="0" w:line="360" w:lineRule="auto"/>
        <w:jc w:val="both"/>
        <w:rPr>
          <w:rFonts w:cs="Times New Roman"/>
          <w:sz w:val="24"/>
          <w:szCs w:val="24"/>
          <w:lang w:val="en-US"/>
        </w:rPr>
      </w:pPr>
      <w:r w:rsidRPr="00781608">
        <w:rPr>
          <w:rFonts w:cs="Times New Roman"/>
          <w:sz w:val="24"/>
          <w:szCs w:val="24"/>
          <w:lang w:val="en-US"/>
        </w:rPr>
        <w:t>Y</w:t>
      </w:r>
      <w:r w:rsidRPr="00781608">
        <w:rPr>
          <w:rFonts w:cs="Times New Roman"/>
          <w:sz w:val="24"/>
          <w:szCs w:val="24"/>
          <w:vertAlign w:val="subscript"/>
          <w:lang w:val="en-US"/>
        </w:rPr>
        <w:t>it</w:t>
      </w:r>
      <w:r w:rsidRPr="00781608">
        <w:rPr>
          <w:rFonts w:cs="Times New Roman"/>
          <w:sz w:val="24"/>
          <w:szCs w:val="24"/>
          <w:lang w:val="en-US"/>
        </w:rPr>
        <w:t xml:space="preserve">   </w:t>
      </w:r>
      <w:r w:rsidR="00BA5DD8" w:rsidRPr="00781608">
        <w:rPr>
          <w:rFonts w:cs="Times New Roman"/>
          <w:sz w:val="24"/>
          <w:szCs w:val="24"/>
          <w:lang w:val="en-US"/>
        </w:rPr>
        <w:tab/>
      </w:r>
      <w:r w:rsidRPr="00781608">
        <w:rPr>
          <w:rFonts w:cs="Times New Roman"/>
          <w:sz w:val="24"/>
          <w:szCs w:val="24"/>
          <w:lang w:val="en-US"/>
        </w:rPr>
        <w:t xml:space="preserve">= Sovereign </w:t>
      </w:r>
      <w:r w:rsidR="00BA5DD8" w:rsidRPr="00781608">
        <w:rPr>
          <w:rFonts w:cs="Times New Roman"/>
          <w:sz w:val="24"/>
          <w:szCs w:val="24"/>
          <w:lang w:val="en-US"/>
        </w:rPr>
        <w:t xml:space="preserve">bond </w:t>
      </w:r>
      <w:r w:rsidR="000E2513" w:rsidRPr="00781608">
        <w:rPr>
          <w:rFonts w:cs="Times New Roman"/>
          <w:sz w:val="24"/>
          <w:szCs w:val="24"/>
          <w:lang w:val="en-US"/>
        </w:rPr>
        <w:t>spreads</w:t>
      </w:r>
      <w:r w:rsidRPr="00781608">
        <w:rPr>
          <w:rFonts w:cs="Times New Roman"/>
          <w:sz w:val="24"/>
          <w:szCs w:val="24"/>
          <w:lang w:val="en-US"/>
        </w:rPr>
        <w:t xml:space="preserve"> </w:t>
      </w:r>
    </w:p>
    <w:p w:rsidR="00793364" w:rsidRPr="00781608" w:rsidRDefault="00793364" w:rsidP="00910889">
      <w:pPr>
        <w:spacing w:after="0" w:line="360" w:lineRule="auto"/>
        <w:jc w:val="both"/>
        <w:rPr>
          <w:rFonts w:cs="Times New Roman"/>
          <w:sz w:val="24"/>
          <w:szCs w:val="24"/>
          <w:lang w:val="en-US"/>
        </w:rPr>
      </w:pPr>
      <w:r w:rsidRPr="00781608">
        <w:rPr>
          <w:rFonts w:cs="Times New Roman"/>
          <w:sz w:val="24"/>
          <w:szCs w:val="24"/>
          <w:lang w:val="en-US"/>
        </w:rPr>
        <w:t>α</w:t>
      </w:r>
      <w:r w:rsidRPr="00781608">
        <w:rPr>
          <w:rFonts w:cs="Times New Roman"/>
          <w:sz w:val="24"/>
          <w:szCs w:val="24"/>
          <w:vertAlign w:val="subscript"/>
          <w:lang w:val="en-US"/>
        </w:rPr>
        <w:t>i</w:t>
      </w:r>
      <w:r w:rsidRPr="00781608">
        <w:rPr>
          <w:rFonts w:cs="Times New Roman"/>
          <w:sz w:val="24"/>
          <w:szCs w:val="24"/>
          <w:lang w:val="en-US"/>
        </w:rPr>
        <w:t xml:space="preserve">     </w:t>
      </w:r>
      <w:r w:rsidR="00BA5DD8" w:rsidRPr="00781608">
        <w:rPr>
          <w:rFonts w:cs="Times New Roman"/>
          <w:sz w:val="24"/>
          <w:szCs w:val="24"/>
          <w:lang w:val="en-US"/>
        </w:rPr>
        <w:tab/>
      </w:r>
      <w:r w:rsidRPr="00781608">
        <w:rPr>
          <w:rFonts w:cs="Times New Roman"/>
          <w:sz w:val="24"/>
          <w:szCs w:val="24"/>
          <w:lang w:val="en-US"/>
        </w:rPr>
        <w:t>= Country</w:t>
      </w:r>
      <w:r w:rsidR="00BA5DD8" w:rsidRPr="00781608">
        <w:rPr>
          <w:rFonts w:cs="Times New Roman"/>
          <w:sz w:val="24"/>
          <w:szCs w:val="24"/>
          <w:lang w:val="en-US"/>
        </w:rPr>
        <w:t>-specific fixed effect</w:t>
      </w:r>
    </w:p>
    <w:p w:rsidR="00793364" w:rsidRPr="00781608" w:rsidRDefault="00793364" w:rsidP="00910889">
      <w:pPr>
        <w:spacing w:after="0" w:line="360" w:lineRule="auto"/>
        <w:jc w:val="both"/>
        <w:rPr>
          <w:rFonts w:cs="Times New Roman"/>
          <w:sz w:val="24"/>
          <w:szCs w:val="24"/>
          <w:lang w:val="en-US"/>
        </w:rPr>
      </w:pPr>
      <w:r w:rsidRPr="00781608">
        <w:rPr>
          <w:rFonts w:cs="Times New Roman"/>
          <w:sz w:val="24"/>
          <w:szCs w:val="24"/>
          <w:lang w:val="en-US"/>
        </w:rPr>
        <w:t>D</w:t>
      </w:r>
      <w:r w:rsidRPr="00781608">
        <w:rPr>
          <w:rFonts w:cs="Times New Roman"/>
          <w:sz w:val="24"/>
          <w:szCs w:val="24"/>
          <w:vertAlign w:val="subscript"/>
          <w:lang w:val="en-US"/>
        </w:rPr>
        <w:t>1ijk</w:t>
      </w:r>
      <w:r w:rsidR="00BA5DD8" w:rsidRPr="00781608">
        <w:rPr>
          <w:rFonts w:cs="Times New Roman"/>
          <w:sz w:val="24"/>
          <w:szCs w:val="24"/>
          <w:vertAlign w:val="subscript"/>
          <w:lang w:val="en-US"/>
        </w:rPr>
        <w:t xml:space="preserve"> </w:t>
      </w:r>
      <w:r w:rsidRPr="00781608">
        <w:rPr>
          <w:rFonts w:cs="Times New Roman"/>
          <w:sz w:val="24"/>
          <w:szCs w:val="24"/>
          <w:lang w:val="en-US"/>
        </w:rPr>
        <w:t xml:space="preserve"> </w:t>
      </w:r>
      <w:r w:rsidR="00BA5DD8" w:rsidRPr="00781608">
        <w:rPr>
          <w:rFonts w:cs="Times New Roman"/>
          <w:sz w:val="24"/>
          <w:szCs w:val="24"/>
          <w:lang w:val="en-US"/>
        </w:rPr>
        <w:t xml:space="preserve"> </w:t>
      </w:r>
      <w:r w:rsidR="00BA5DD8" w:rsidRPr="00781608">
        <w:rPr>
          <w:rFonts w:cs="Times New Roman"/>
          <w:sz w:val="24"/>
          <w:szCs w:val="24"/>
          <w:lang w:val="en-US"/>
        </w:rPr>
        <w:tab/>
      </w:r>
      <w:r w:rsidRPr="00781608">
        <w:rPr>
          <w:rFonts w:cs="Times New Roman"/>
          <w:sz w:val="24"/>
          <w:szCs w:val="24"/>
          <w:lang w:val="en-US"/>
        </w:rPr>
        <w:t xml:space="preserve">= </w:t>
      </w:r>
      <w:r w:rsidR="00BA5DD8" w:rsidRPr="00781608">
        <w:rPr>
          <w:rFonts w:cs="Times New Roman"/>
          <w:sz w:val="24"/>
          <w:szCs w:val="24"/>
          <w:lang w:val="en-US"/>
        </w:rPr>
        <w:t>Rating event Dummy</w:t>
      </w:r>
    </w:p>
    <w:p w:rsidR="00793364" w:rsidRPr="00781608" w:rsidRDefault="00793364" w:rsidP="00910889">
      <w:pPr>
        <w:spacing w:after="0" w:line="360" w:lineRule="auto"/>
        <w:jc w:val="both"/>
        <w:rPr>
          <w:rFonts w:cs="Times New Roman"/>
          <w:bCs/>
          <w:sz w:val="24"/>
          <w:szCs w:val="24"/>
          <w:lang w:val="en-US"/>
        </w:rPr>
      </w:pPr>
      <w:r w:rsidRPr="00781608">
        <w:rPr>
          <w:rFonts w:cs="Times New Roman"/>
          <w:bCs/>
          <w:sz w:val="24"/>
          <w:szCs w:val="24"/>
          <w:lang w:val="en-US"/>
        </w:rPr>
        <w:t>X</w:t>
      </w:r>
      <w:r w:rsidRPr="00781608">
        <w:rPr>
          <w:rFonts w:cs="Times New Roman"/>
          <w:bCs/>
          <w:sz w:val="24"/>
          <w:szCs w:val="24"/>
          <w:vertAlign w:val="subscript"/>
          <w:lang w:val="en-US"/>
        </w:rPr>
        <w:t>1</w:t>
      </w:r>
      <w:r w:rsidRPr="00781608">
        <w:rPr>
          <w:rFonts w:cs="Times New Roman"/>
          <w:bCs/>
          <w:sz w:val="24"/>
          <w:szCs w:val="24"/>
          <w:lang w:val="en-US"/>
        </w:rPr>
        <w:t xml:space="preserve">     </w:t>
      </w:r>
      <w:r w:rsidR="00BA5DD8" w:rsidRPr="00781608">
        <w:rPr>
          <w:rFonts w:cs="Times New Roman"/>
          <w:bCs/>
          <w:sz w:val="24"/>
          <w:szCs w:val="24"/>
          <w:lang w:val="en-US"/>
        </w:rPr>
        <w:t xml:space="preserve"> </w:t>
      </w:r>
      <w:r w:rsidR="00BA5DD8" w:rsidRPr="00781608">
        <w:rPr>
          <w:rFonts w:cs="Times New Roman"/>
          <w:bCs/>
          <w:sz w:val="24"/>
          <w:szCs w:val="24"/>
          <w:lang w:val="en-US"/>
        </w:rPr>
        <w:tab/>
      </w:r>
      <w:r w:rsidRPr="00781608">
        <w:rPr>
          <w:rFonts w:cs="Times New Roman"/>
          <w:bCs/>
          <w:sz w:val="24"/>
          <w:szCs w:val="24"/>
          <w:lang w:val="en-US"/>
        </w:rPr>
        <w:t>= Transparency Index</w:t>
      </w:r>
    </w:p>
    <w:p w:rsidR="00793364" w:rsidRPr="00781608" w:rsidRDefault="00793364" w:rsidP="00910889">
      <w:pPr>
        <w:spacing w:after="0" w:line="360" w:lineRule="auto"/>
        <w:jc w:val="both"/>
        <w:rPr>
          <w:rFonts w:cs="Times New Roman"/>
          <w:bCs/>
          <w:sz w:val="24"/>
          <w:szCs w:val="24"/>
          <w:lang w:val="en-US"/>
        </w:rPr>
      </w:pPr>
      <w:r w:rsidRPr="00781608">
        <w:rPr>
          <w:rFonts w:cs="Times New Roman"/>
          <w:bCs/>
          <w:sz w:val="24"/>
          <w:szCs w:val="24"/>
          <w:lang w:val="en-US"/>
        </w:rPr>
        <w:t>X</w:t>
      </w:r>
      <w:r w:rsidRPr="00781608">
        <w:rPr>
          <w:rFonts w:cs="Times New Roman"/>
          <w:bCs/>
          <w:sz w:val="24"/>
          <w:szCs w:val="24"/>
          <w:vertAlign w:val="subscript"/>
          <w:lang w:val="en-US"/>
        </w:rPr>
        <w:t>2</w:t>
      </w:r>
      <w:r w:rsidRPr="00781608">
        <w:rPr>
          <w:rFonts w:cs="Times New Roman"/>
          <w:bCs/>
          <w:sz w:val="24"/>
          <w:szCs w:val="24"/>
          <w:lang w:val="en-US"/>
        </w:rPr>
        <w:t xml:space="preserve">     </w:t>
      </w:r>
      <w:r w:rsidR="00BA5DD8" w:rsidRPr="00781608">
        <w:rPr>
          <w:rFonts w:cs="Times New Roman"/>
          <w:bCs/>
          <w:sz w:val="24"/>
          <w:szCs w:val="24"/>
          <w:lang w:val="en-US"/>
        </w:rPr>
        <w:tab/>
      </w:r>
      <w:r w:rsidRPr="00781608">
        <w:rPr>
          <w:rFonts w:cs="Times New Roman"/>
          <w:bCs/>
          <w:sz w:val="24"/>
          <w:szCs w:val="24"/>
          <w:lang w:val="en-US"/>
        </w:rPr>
        <w:t>= Freedom of Press Index</w:t>
      </w:r>
    </w:p>
    <w:p w:rsidR="00793364" w:rsidRPr="00781608" w:rsidRDefault="00793364" w:rsidP="00910889">
      <w:pPr>
        <w:spacing w:after="0" w:line="360" w:lineRule="auto"/>
        <w:jc w:val="both"/>
        <w:rPr>
          <w:rFonts w:cs="Times New Roman"/>
          <w:bCs/>
          <w:sz w:val="24"/>
          <w:szCs w:val="24"/>
          <w:lang w:val="en-US"/>
        </w:rPr>
      </w:pPr>
      <w:r w:rsidRPr="00781608">
        <w:rPr>
          <w:rFonts w:cs="Times New Roman"/>
          <w:bCs/>
          <w:sz w:val="24"/>
          <w:szCs w:val="24"/>
          <w:lang w:val="en-US"/>
        </w:rPr>
        <w:t>D</w:t>
      </w:r>
      <w:r w:rsidRPr="00781608">
        <w:rPr>
          <w:rFonts w:cs="Times New Roman"/>
          <w:bCs/>
          <w:sz w:val="24"/>
          <w:szCs w:val="24"/>
          <w:vertAlign w:val="subscript"/>
          <w:lang w:val="en-US"/>
        </w:rPr>
        <w:t>2</w:t>
      </w:r>
      <w:r w:rsidRPr="00781608">
        <w:rPr>
          <w:rFonts w:cs="Times New Roman"/>
          <w:bCs/>
          <w:sz w:val="24"/>
          <w:szCs w:val="24"/>
          <w:lang w:val="en-US"/>
        </w:rPr>
        <w:t xml:space="preserve">    </w:t>
      </w:r>
      <w:r w:rsidR="001D6180" w:rsidRPr="00781608">
        <w:rPr>
          <w:rFonts w:cs="Times New Roman"/>
          <w:bCs/>
          <w:sz w:val="24"/>
          <w:szCs w:val="24"/>
          <w:lang w:val="en-US"/>
        </w:rPr>
        <w:t xml:space="preserve"> </w:t>
      </w:r>
      <w:r w:rsidR="00BA5DD8" w:rsidRPr="00781608">
        <w:rPr>
          <w:rFonts w:cs="Times New Roman"/>
          <w:bCs/>
          <w:sz w:val="24"/>
          <w:szCs w:val="24"/>
          <w:lang w:val="en-US"/>
        </w:rPr>
        <w:tab/>
      </w:r>
      <w:r w:rsidRPr="00781608">
        <w:rPr>
          <w:rFonts w:cs="Times New Roman"/>
          <w:bCs/>
          <w:sz w:val="24"/>
          <w:szCs w:val="24"/>
          <w:lang w:val="en-US"/>
        </w:rPr>
        <w:t xml:space="preserve">= </w:t>
      </w:r>
      <w:r w:rsidR="001D6180" w:rsidRPr="00781608">
        <w:rPr>
          <w:rFonts w:cs="Times New Roman"/>
          <w:bCs/>
          <w:sz w:val="24"/>
          <w:szCs w:val="24"/>
          <w:lang w:val="en-US"/>
        </w:rPr>
        <w:t>Crisis Dummy</w:t>
      </w:r>
    </w:p>
    <w:p w:rsidR="00793364" w:rsidRPr="00781608" w:rsidRDefault="00793364" w:rsidP="00910889">
      <w:pPr>
        <w:spacing w:after="0" w:line="360" w:lineRule="auto"/>
        <w:jc w:val="both"/>
        <w:rPr>
          <w:rFonts w:cs="Times New Roman"/>
          <w:bCs/>
          <w:sz w:val="24"/>
          <w:szCs w:val="24"/>
          <w:lang w:val="en-US"/>
        </w:rPr>
      </w:pPr>
      <w:r w:rsidRPr="00781608">
        <w:rPr>
          <w:rFonts w:cs="Times New Roman"/>
          <w:bCs/>
          <w:sz w:val="24"/>
          <w:szCs w:val="24"/>
          <w:lang w:val="en-US"/>
        </w:rPr>
        <w:t xml:space="preserve">i        </w:t>
      </w:r>
      <w:r w:rsidR="00BA5DD8" w:rsidRPr="00781608">
        <w:rPr>
          <w:rFonts w:cs="Times New Roman"/>
          <w:bCs/>
          <w:sz w:val="24"/>
          <w:szCs w:val="24"/>
          <w:lang w:val="en-US"/>
        </w:rPr>
        <w:tab/>
      </w:r>
      <w:r w:rsidRPr="00781608">
        <w:rPr>
          <w:rFonts w:cs="Times New Roman"/>
          <w:bCs/>
          <w:sz w:val="24"/>
          <w:szCs w:val="24"/>
          <w:lang w:val="en-US"/>
        </w:rPr>
        <w:t>= Country</w:t>
      </w:r>
      <w:r w:rsidR="001D6180" w:rsidRPr="00781608">
        <w:rPr>
          <w:rFonts w:cs="Times New Roman"/>
          <w:bCs/>
          <w:sz w:val="24"/>
          <w:szCs w:val="24"/>
          <w:lang w:val="en-US"/>
        </w:rPr>
        <w:t xml:space="preserve"> index</w:t>
      </w:r>
    </w:p>
    <w:p w:rsidR="00793364" w:rsidRPr="00781608" w:rsidRDefault="00793364" w:rsidP="00910889">
      <w:pPr>
        <w:spacing w:after="0" w:line="360" w:lineRule="auto"/>
        <w:jc w:val="both"/>
        <w:rPr>
          <w:rFonts w:cs="Times New Roman"/>
          <w:bCs/>
          <w:sz w:val="24"/>
          <w:szCs w:val="24"/>
          <w:lang w:val="en-US"/>
        </w:rPr>
      </w:pPr>
      <w:r w:rsidRPr="00781608">
        <w:rPr>
          <w:rFonts w:cs="Times New Roman"/>
          <w:bCs/>
          <w:sz w:val="24"/>
          <w:szCs w:val="24"/>
          <w:lang w:val="en-US"/>
        </w:rPr>
        <w:t xml:space="preserve">j        </w:t>
      </w:r>
      <w:r w:rsidR="00BA5DD8" w:rsidRPr="00781608">
        <w:rPr>
          <w:rFonts w:cs="Times New Roman"/>
          <w:bCs/>
          <w:sz w:val="24"/>
          <w:szCs w:val="24"/>
          <w:lang w:val="en-US"/>
        </w:rPr>
        <w:tab/>
      </w:r>
      <w:r w:rsidRPr="00781608">
        <w:rPr>
          <w:rFonts w:cs="Times New Roman"/>
          <w:bCs/>
          <w:sz w:val="24"/>
          <w:szCs w:val="24"/>
          <w:lang w:val="en-US"/>
        </w:rPr>
        <w:t xml:space="preserve">= Credit rating agency </w:t>
      </w:r>
      <w:r w:rsidR="001D6180" w:rsidRPr="00781608">
        <w:rPr>
          <w:rFonts w:cs="Times New Roman"/>
          <w:bCs/>
          <w:sz w:val="24"/>
          <w:szCs w:val="24"/>
          <w:lang w:val="en-US"/>
        </w:rPr>
        <w:t>index</w:t>
      </w:r>
    </w:p>
    <w:p w:rsidR="00793364" w:rsidRPr="00781608" w:rsidRDefault="00793364" w:rsidP="00910889">
      <w:pPr>
        <w:spacing w:after="0" w:line="360" w:lineRule="auto"/>
        <w:jc w:val="both"/>
        <w:rPr>
          <w:rFonts w:cs="Times New Roman"/>
          <w:bCs/>
          <w:sz w:val="24"/>
          <w:szCs w:val="24"/>
          <w:lang w:val="en-US"/>
        </w:rPr>
      </w:pPr>
      <w:r w:rsidRPr="00781608">
        <w:rPr>
          <w:rFonts w:cs="Times New Roman"/>
          <w:bCs/>
          <w:sz w:val="24"/>
          <w:szCs w:val="24"/>
          <w:lang w:val="en-US"/>
        </w:rPr>
        <w:t xml:space="preserve">k       </w:t>
      </w:r>
      <w:r w:rsidR="00BA5DD8" w:rsidRPr="00781608">
        <w:rPr>
          <w:rFonts w:cs="Times New Roman"/>
          <w:bCs/>
          <w:sz w:val="24"/>
          <w:szCs w:val="24"/>
          <w:lang w:val="en-US"/>
        </w:rPr>
        <w:tab/>
      </w:r>
      <w:r w:rsidRPr="00781608">
        <w:rPr>
          <w:rFonts w:cs="Times New Roman"/>
          <w:bCs/>
          <w:sz w:val="24"/>
          <w:szCs w:val="24"/>
          <w:lang w:val="en-US"/>
        </w:rPr>
        <w:t xml:space="preserve">= Credit rating event </w:t>
      </w:r>
      <w:r w:rsidR="001D6180" w:rsidRPr="00781608">
        <w:rPr>
          <w:rFonts w:cs="Times New Roman"/>
          <w:bCs/>
          <w:sz w:val="24"/>
          <w:szCs w:val="24"/>
          <w:lang w:val="en-US"/>
        </w:rPr>
        <w:t>index</w:t>
      </w:r>
    </w:p>
    <w:p w:rsidR="00331BCE" w:rsidRPr="00781608" w:rsidRDefault="00793364" w:rsidP="00793364">
      <w:pPr>
        <w:spacing w:line="360" w:lineRule="auto"/>
        <w:jc w:val="both"/>
        <w:rPr>
          <w:rFonts w:cs="Times New Roman"/>
          <w:bCs/>
          <w:sz w:val="24"/>
          <w:szCs w:val="24"/>
          <w:lang w:val="en-US"/>
        </w:rPr>
      </w:pPr>
      <w:r w:rsidRPr="00781608">
        <w:rPr>
          <w:rFonts w:cs="Times New Roman"/>
          <w:bCs/>
          <w:sz w:val="24"/>
          <w:szCs w:val="24"/>
          <w:lang w:val="en-US"/>
        </w:rPr>
        <w:t xml:space="preserve">t       </w:t>
      </w:r>
      <w:r w:rsidR="00BA5DD8" w:rsidRPr="00781608">
        <w:rPr>
          <w:rFonts w:cs="Times New Roman"/>
          <w:bCs/>
          <w:sz w:val="24"/>
          <w:szCs w:val="24"/>
          <w:lang w:val="en-US"/>
        </w:rPr>
        <w:tab/>
      </w:r>
      <w:r w:rsidRPr="00781608">
        <w:rPr>
          <w:rFonts w:cs="Times New Roman"/>
          <w:bCs/>
          <w:sz w:val="24"/>
          <w:szCs w:val="24"/>
          <w:lang w:val="en-US"/>
        </w:rPr>
        <w:t xml:space="preserve">= </w:t>
      </w:r>
      <w:r w:rsidR="001D6180" w:rsidRPr="00781608">
        <w:rPr>
          <w:rFonts w:cs="Times New Roman"/>
          <w:bCs/>
          <w:sz w:val="24"/>
          <w:szCs w:val="24"/>
          <w:lang w:val="en-US"/>
        </w:rPr>
        <w:t>Time index</w:t>
      </w:r>
    </w:p>
    <w:p w:rsidR="00793364" w:rsidRPr="00781608" w:rsidRDefault="00793364" w:rsidP="00793364">
      <w:pPr>
        <w:spacing w:line="360" w:lineRule="auto"/>
        <w:jc w:val="both"/>
        <w:rPr>
          <w:rFonts w:cs="Times New Roman"/>
          <w:bCs/>
          <w:sz w:val="24"/>
          <w:szCs w:val="24"/>
          <w:lang w:val="en-US"/>
        </w:rPr>
      </w:pPr>
      <w:r w:rsidRPr="00781608">
        <w:rPr>
          <w:rFonts w:cs="Times New Roman"/>
          <w:bCs/>
          <w:sz w:val="24"/>
          <w:szCs w:val="24"/>
          <w:lang w:val="en-US"/>
        </w:rPr>
        <w:t>When estimating the models I include cross-section fixed effects because of the use of countries</w:t>
      </w:r>
      <w:r w:rsidR="00276C23" w:rsidRPr="00781608">
        <w:rPr>
          <w:rFonts w:cs="Times New Roman"/>
          <w:bCs/>
          <w:sz w:val="24"/>
          <w:szCs w:val="24"/>
          <w:lang w:val="en-US"/>
        </w:rPr>
        <w:t>, who all have there own unobserved differences</w:t>
      </w:r>
      <w:r w:rsidRPr="00781608">
        <w:rPr>
          <w:rFonts w:cs="Times New Roman"/>
          <w:bCs/>
          <w:sz w:val="24"/>
          <w:szCs w:val="24"/>
          <w:lang w:val="en-US"/>
        </w:rPr>
        <w:t>.</w:t>
      </w:r>
      <w:r w:rsidR="00276C23" w:rsidRPr="00781608">
        <w:rPr>
          <w:rFonts w:cs="Times New Roman"/>
          <w:bCs/>
          <w:sz w:val="24"/>
          <w:szCs w:val="24"/>
          <w:lang w:val="en-US"/>
        </w:rPr>
        <w:t xml:space="preserve"> The fixed effects model explains to what extent the individual countries differ from the average.</w:t>
      </w:r>
      <w:r w:rsidRPr="00781608">
        <w:rPr>
          <w:rFonts w:cs="Times New Roman"/>
          <w:bCs/>
          <w:sz w:val="24"/>
          <w:szCs w:val="24"/>
          <w:lang w:val="en-US"/>
        </w:rPr>
        <w:t xml:space="preserve"> To </w:t>
      </w:r>
      <w:r w:rsidRPr="00781608">
        <w:rPr>
          <w:rFonts w:cs="Times New Roman"/>
          <w:bCs/>
          <w:sz w:val="24"/>
          <w:szCs w:val="24"/>
          <w:lang w:val="en-US"/>
        </w:rPr>
        <w:lastRenderedPageBreak/>
        <w:t xml:space="preserve">account for heteroskedasticity and auto-correlation I include White period standard errors &amp; covariance. </w:t>
      </w:r>
    </w:p>
    <w:p w:rsidR="00D15771" w:rsidRDefault="002950BC" w:rsidP="00793364">
      <w:pPr>
        <w:spacing w:line="360" w:lineRule="auto"/>
        <w:jc w:val="both"/>
        <w:rPr>
          <w:rFonts w:cs="Times New Roman"/>
          <w:bCs/>
          <w:sz w:val="24"/>
          <w:szCs w:val="24"/>
          <w:lang w:val="en-US"/>
        </w:rPr>
      </w:pPr>
      <w:r w:rsidRPr="00781608">
        <w:rPr>
          <w:rFonts w:cs="Times New Roman"/>
          <w:bCs/>
          <w:sz w:val="24"/>
          <w:szCs w:val="24"/>
          <w:lang w:val="en-US"/>
        </w:rPr>
        <w:t>These models are used to show that the impact of rating events are no longer significant when controlling for information availability.</w:t>
      </w:r>
      <w:r w:rsidR="0015437E" w:rsidRPr="00781608">
        <w:rPr>
          <w:rFonts w:cs="Times New Roman"/>
          <w:bCs/>
          <w:sz w:val="24"/>
          <w:szCs w:val="24"/>
          <w:lang w:val="en-US"/>
        </w:rPr>
        <w:t xml:space="preserve"> </w:t>
      </w:r>
      <w:r w:rsidR="00466E2D" w:rsidRPr="00781608">
        <w:rPr>
          <w:rFonts w:cs="Times New Roman"/>
          <w:bCs/>
          <w:sz w:val="24"/>
          <w:szCs w:val="24"/>
          <w:lang w:val="en-US"/>
        </w:rPr>
        <w:t xml:space="preserve">The models are not constructed to better explain the dependent variable, which is the sovereign spread, but to look at differences in impact of rating events. </w:t>
      </w:r>
      <w:r w:rsidR="00E6614F" w:rsidRPr="00781608">
        <w:rPr>
          <w:rFonts w:cs="Times New Roman"/>
          <w:bCs/>
          <w:sz w:val="24"/>
          <w:szCs w:val="24"/>
          <w:lang w:val="en-US"/>
        </w:rPr>
        <w:t xml:space="preserve">Because of the Efficient Market Hypothesis </w:t>
      </w:r>
      <w:r w:rsidR="005573CF" w:rsidRPr="00781608">
        <w:rPr>
          <w:rFonts w:cs="Times New Roman"/>
          <w:bCs/>
          <w:sz w:val="24"/>
          <w:szCs w:val="24"/>
          <w:lang w:val="en-US"/>
        </w:rPr>
        <w:t>(EMH)</w:t>
      </w:r>
      <w:r w:rsidR="00742CD4" w:rsidRPr="00781608">
        <w:rPr>
          <w:rStyle w:val="Voetnootmarkering"/>
          <w:rFonts w:cs="Times New Roman"/>
          <w:bCs/>
          <w:sz w:val="24"/>
          <w:szCs w:val="24"/>
          <w:lang w:val="en-US"/>
        </w:rPr>
        <w:footnoteReference w:id="13"/>
      </w:r>
      <w:r w:rsidR="005573CF" w:rsidRPr="00781608">
        <w:rPr>
          <w:rFonts w:cs="Times New Roman"/>
          <w:bCs/>
          <w:sz w:val="24"/>
          <w:szCs w:val="24"/>
          <w:lang w:val="en-US"/>
        </w:rPr>
        <w:t xml:space="preserve"> </w:t>
      </w:r>
      <w:r w:rsidR="00E6614F" w:rsidRPr="00781608">
        <w:rPr>
          <w:rFonts w:cs="Times New Roman"/>
          <w:bCs/>
          <w:sz w:val="24"/>
          <w:szCs w:val="24"/>
          <w:lang w:val="en-US"/>
        </w:rPr>
        <w:t>I expect these models to contain enough explanatory variables. As stated earlier in this research</w:t>
      </w:r>
      <w:r w:rsidR="005573CF" w:rsidRPr="00781608">
        <w:rPr>
          <w:rStyle w:val="Voetnootmarkering"/>
          <w:rFonts w:cs="Times New Roman"/>
          <w:bCs/>
          <w:sz w:val="24"/>
          <w:szCs w:val="24"/>
          <w:lang w:val="en-US"/>
        </w:rPr>
        <w:footnoteReference w:id="14"/>
      </w:r>
      <w:r w:rsidR="00E6614F" w:rsidRPr="00781608">
        <w:rPr>
          <w:rFonts w:cs="Times New Roman"/>
          <w:bCs/>
          <w:sz w:val="24"/>
          <w:szCs w:val="24"/>
          <w:lang w:val="en-US"/>
        </w:rPr>
        <w:t>, ratings are constructed of publicly available information</w:t>
      </w:r>
      <w:r w:rsidR="005573CF" w:rsidRPr="00781608">
        <w:rPr>
          <w:rFonts w:cs="Times New Roman"/>
          <w:bCs/>
          <w:sz w:val="24"/>
          <w:szCs w:val="24"/>
          <w:lang w:val="en-US"/>
        </w:rPr>
        <w:t xml:space="preserve"> on economically and politically important issues</w:t>
      </w:r>
      <w:r w:rsidR="00E6614F" w:rsidRPr="00781608">
        <w:rPr>
          <w:rFonts w:cs="Times New Roman"/>
          <w:bCs/>
          <w:sz w:val="24"/>
          <w:szCs w:val="24"/>
          <w:lang w:val="en-US"/>
        </w:rPr>
        <w:t xml:space="preserve">. Because this information is processed by CRAs it takes some time before the rating or the rating event takes place. That way, the rating event is lagged and </w:t>
      </w:r>
      <w:r w:rsidR="00466E2D" w:rsidRPr="00781608">
        <w:rPr>
          <w:rFonts w:cs="Times New Roman"/>
          <w:bCs/>
          <w:sz w:val="24"/>
          <w:szCs w:val="24"/>
          <w:lang w:val="en-US"/>
        </w:rPr>
        <w:t xml:space="preserve">should </w:t>
      </w:r>
      <w:r w:rsidR="00E6614F" w:rsidRPr="00781608">
        <w:rPr>
          <w:rFonts w:cs="Times New Roman"/>
          <w:bCs/>
          <w:sz w:val="24"/>
          <w:szCs w:val="24"/>
          <w:lang w:val="en-US"/>
        </w:rPr>
        <w:t>therefore contain no new information</w:t>
      </w:r>
      <w:r w:rsidR="004C550D" w:rsidRPr="00781608">
        <w:rPr>
          <w:rFonts w:cs="Times New Roman"/>
          <w:bCs/>
          <w:sz w:val="24"/>
          <w:szCs w:val="24"/>
          <w:lang w:val="en-US"/>
        </w:rPr>
        <w:t>.</w:t>
      </w:r>
      <w:r w:rsidR="00EE58A3" w:rsidRPr="00781608">
        <w:rPr>
          <w:rFonts w:cs="Times New Roman"/>
          <w:bCs/>
          <w:sz w:val="24"/>
          <w:szCs w:val="24"/>
          <w:lang w:val="en-US"/>
        </w:rPr>
        <w:t xml:space="preserve"> </w:t>
      </w:r>
      <w:r w:rsidR="00E6614F" w:rsidRPr="00781608">
        <w:rPr>
          <w:rFonts w:cs="Times New Roman"/>
          <w:bCs/>
          <w:sz w:val="24"/>
          <w:szCs w:val="24"/>
          <w:lang w:val="en-US"/>
        </w:rPr>
        <w:t xml:space="preserve">The current bond markets </w:t>
      </w:r>
      <w:r w:rsidR="00466E2D" w:rsidRPr="00781608">
        <w:rPr>
          <w:rFonts w:cs="Times New Roman"/>
          <w:bCs/>
          <w:sz w:val="24"/>
          <w:szCs w:val="24"/>
          <w:lang w:val="en-US"/>
        </w:rPr>
        <w:t xml:space="preserve">should be </w:t>
      </w:r>
      <w:r w:rsidR="00E6614F" w:rsidRPr="00781608">
        <w:rPr>
          <w:rFonts w:cs="Times New Roman"/>
          <w:bCs/>
          <w:sz w:val="24"/>
          <w:szCs w:val="24"/>
          <w:lang w:val="en-US"/>
        </w:rPr>
        <w:t xml:space="preserve">able to </w:t>
      </w:r>
      <w:r w:rsidR="00466E2D" w:rsidRPr="00781608">
        <w:rPr>
          <w:rFonts w:cs="Times New Roman"/>
          <w:bCs/>
          <w:sz w:val="24"/>
          <w:szCs w:val="24"/>
          <w:lang w:val="en-US"/>
        </w:rPr>
        <w:t xml:space="preserve">have </w:t>
      </w:r>
      <w:r w:rsidR="00E6614F" w:rsidRPr="00781608">
        <w:rPr>
          <w:rFonts w:cs="Times New Roman"/>
          <w:bCs/>
          <w:sz w:val="24"/>
          <w:szCs w:val="24"/>
          <w:lang w:val="en-US"/>
        </w:rPr>
        <w:t xml:space="preserve">access </w:t>
      </w:r>
      <w:r w:rsidR="00466E2D" w:rsidRPr="00781608">
        <w:rPr>
          <w:rFonts w:cs="Times New Roman"/>
          <w:bCs/>
          <w:sz w:val="24"/>
          <w:szCs w:val="24"/>
          <w:lang w:val="en-US"/>
        </w:rPr>
        <w:t xml:space="preserve">to </w:t>
      </w:r>
      <w:r w:rsidR="005573CF" w:rsidRPr="00781608">
        <w:rPr>
          <w:rFonts w:cs="Times New Roman"/>
          <w:bCs/>
          <w:sz w:val="24"/>
          <w:szCs w:val="24"/>
          <w:lang w:val="en-US"/>
        </w:rPr>
        <w:t>that same</w:t>
      </w:r>
      <w:r w:rsidR="00E6614F" w:rsidRPr="00781608">
        <w:rPr>
          <w:rFonts w:cs="Times New Roman"/>
          <w:bCs/>
          <w:sz w:val="24"/>
          <w:szCs w:val="24"/>
          <w:lang w:val="en-US"/>
        </w:rPr>
        <w:t xml:space="preserve"> information needed to evaluate a country. Because of this, rating events should not have any impact on bond markets. As a result, accounting for transparency and freedom of press as the only possible obstacles for information availability should be enough to </w:t>
      </w:r>
      <w:r w:rsidRPr="00781608">
        <w:rPr>
          <w:rFonts w:cs="Times New Roman"/>
          <w:bCs/>
          <w:sz w:val="24"/>
          <w:szCs w:val="24"/>
          <w:lang w:val="en-US"/>
        </w:rPr>
        <w:t>diminish the effect of rating events</w:t>
      </w:r>
      <w:r w:rsidR="005573CF" w:rsidRPr="00781608">
        <w:rPr>
          <w:rFonts w:cs="Times New Roman"/>
          <w:bCs/>
          <w:sz w:val="24"/>
          <w:szCs w:val="24"/>
          <w:lang w:val="en-US"/>
        </w:rPr>
        <w:t xml:space="preserve">. The model thus does not need to perfectly explain </w:t>
      </w:r>
      <w:r w:rsidR="00276C23" w:rsidRPr="00781608">
        <w:rPr>
          <w:rFonts w:cs="Times New Roman"/>
          <w:bCs/>
          <w:sz w:val="24"/>
          <w:szCs w:val="24"/>
          <w:lang w:val="en-US"/>
        </w:rPr>
        <w:t>spreads movem</w:t>
      </w:r>
      <w:r w:rsidR="005573CF" w:rsidRPr="00781608">
        <w:rPr>
          <w:rFonts w:cs="Times New Roman"/>
          <w:bCs/>
          <w:sz w:val="24"/>
          <w:szCs w:val="24"/>
          <w:lang w:val="en-US"/>
        </w:rPr>
        <w:t>ents; it is constructed to diminish or rule out completely the impact of rating events</w:t>
      </w:r>
      <w:r w:rsidR="00E7324B" w:rsidRPr="00781608">
        <w:rPr>
          <w:rFonts w:cs="Times New Roman"/>
          <w:bCs/>
          <w:sz w:val="24"/>
          <w:szCs w:val="24"/>
          <w:lang w:val="en-US"/>
        </w:rPr>
        <w:t xml:space="preserve"> following the EMH.</w:t>
      </w:r>
      <w:r w:rsidR="005573CF" w:rsidRPr="00781608">
        <w:rPr>
          <w:rFonts w:cs="Times New Roman"/>
          <w:bCs/>
          <w:sz w:val="24"/>
          <w:szCs w:val="24"/>
          <w:lang w:val="en-US"/>
        </w:rPr>
        <w:t xml:space="preserve"> </w:t>
      </w:r>
    </w:p>
    <w:p w:rsidR="005573CF" w:rsidRPr="00781608" w:rsidRDefault="00D15771" w:rsidP="00793364">
      <w:pPr>
        <w:spacing w:line="360" w:lineRule="auto"/>
        <w:jc w:val="both"/>
        <w:rPr>
          <w:rFonts w:cs="Times New Roman"/>
          <w:bCs/>
          <w:sz w:val="24"/>
          <w:szCs w:val="24"/>
          <w:lang w:val="en-US"/>
        </w:rPr>
      </w:pPr>
      <w:r>
        <w:rPr>
          <w:rFonts w:cs="Times New Roman"/>
          <w:bCs/>
          <w:sz w:val="24"/>
          <w:szCs w:val="24"/>
          <w:lang w:val="en-US"/>
        </w:rPr>
        <w:t xml:space="preserve">Also, because of the fact that ratings are constructed from macro-economic factors, the variable for rating events should contain enough imput to not have a problem with omitted variables. </w:t>
      </w:r>
      <w:r w:rsidR="00630CFF">
        <w:rPr>
          <w:rFonts w:cs="Times New Roman"/>
          <w:bCs/>
          <w:sz w:val="24"/>
          <w:szCs w:val="24"/>
          <w:lang w:val="en-US"/>
        </w:rPr>
        <w:t xml:space="preserve">There is also the case of possible simultineity as rating events could affect yield spreads and yield spreads affect rating events. </w:t>
      </w:r>
      <w:r w:rsidR="00746A83" w:rsidRPr="00781608">
        <w:rPr>
          <w:rFonts w:cs="Times New Roman"/>
          <w:bCs/>
          <w:sz w:val="24"/>
          <w:szCs w:val="24"/>
          <w:lang w:val="en-US"/>
        </w:rPr>
        <w:t>If the theory I have explained above about the EMH hold</w:t>
      </w:r>
      <w:r w:rsidR="00630CFF">
        <w:rPr>
          <w:rFonts w:cs="Times New Roman"/>
          <w:bCs/>
          <w:sz w:val="24"/>
          <w:szCs w:val="24"/>
          <w:lang w:val="en-US"/>
        </w:rPr>
        <w:t>s</w:t>
      </w:r>
      <w:r w:rsidR="00746A83" w:rsidRPr="00781608">
        <w:rPr>
          <w:rFonts w:cs="Times New Roman"/>
          <w:bCs/>
          <w:sz w:val="24"/>
          <w:szCs w:val="24"/>
          <w:lang w:val="en-US"/>
        </w:rPr>
        <w:t xml:space="preserve">, </w:t>
      </w:r>
      <w:r w:rsidR="00014CF4" w:rsidRPr="00781608">
        <w:rPr>
          <w:rFonts w:cs="Times New Roman"/>
          <w:bCs/>
          <w:sz w:val="24"/>
          <w:szCs w:val="24"/>
          <w:lang w:val="en-US"/>
        </w:rPr>
        <w:t>the</w:t>
      </w:r>
      <w:r>
        <w:rPr>
          <w:rFonts w:cs="Times New Roman"/>
          <w:bCs/>
          <w:sz w:val="24"/>
          <w:szCs w:val="24"/>
          <w:lang w:val="en-US"/>
        </w:rPr>
        <w:t xml:space="preserve"> effect of ratings on yield spreads</w:t>
      </w:r>
      <w:r w:rsidR="00746A83" w:rsidRPr="00781608">
        <w:rPr>
          <w:rFonts w:cs="Times New Roman"/>
          <w:bCs/>
          <w:sz w:val="24"/>
          <w:szCs w:val="24"/>
          <w:lang w:val="en-US"/>
        </w:rPr>
        <w:t xml:space="preserve"> should disappears.</w:t>
      </w:r>
      <w:r w:rsidR="00630CFF">
        <w:rPr>
          <w:rFonts w:cs="Times New Roman"/>
          <w:bCs/>
          <w:sz w:val="24"/>
          <w:szCs w:val="24"/>
          <w:lang w:val="en-US"/>
        </w:rPr>
        <w:t xml:space="preserve"> Ratings and yield spreads are both dependent on the same macro-economic factors and if my theory is correct in that rating events are lagged it is to be expected that the ratings are therefore also depending on old yield spreads.</w:t>
      </w:r>
    </w:p>
    <w:p w:rsidR="00793364" w:rsidRPr="00A16CD4" w:rsidRDefault="00764641" w:rsidP="00781608">
      <w:pPr>
        <w:pStyle w:val="Kop1"/>
        <w:spacing w:line="360" w:lineRule="auto"/>
        <w:rPr>
          <w:rFonts w:asciiTheme="minorHAnsi" w:hAnsiTheme="minorHAnsi" w:cs="Times New Roman"/>
          <w:bCs w:val="0"/>
          <w:i/>
          <w:color w:val="auto"/>
          <w:sz w:val="24"/>
          <w:szCs w:val="24"/>
          <w:lang w:val="en-US"/>
        </w:rPr>
      </w:pPr>
      <w:bookmarkStart w:id="16" w:name="_Toc359926557"/>
      <w:r>
        <w:rPr>
          <w:rFonts w:asciiTheme="minorHAnsi" w:hAnsiTheme="minorHAnsi" w:cs="Times New Roman"/>
          <w:bCs w:val="0"/>
          <w:color w:val="auto"/>
          <w:sz w:val="24"/>
          <w:szCs w:val="24"/>
          <w:lang w:val="en-US"/>
        </w:rPr>
        <w:br w:type="column"/>
      </w:r>
      <w:r w:rsidR="00742CD4" w:rsidRPr="00A16CD4">
        <w:rPr>
          <w:rFonts w:asciiTheme="minorHAnsi" w:hAnsiTheme="minorHAnsi" w:cs="Times New Roman"/>
          <w:bCs w:val="0"/>
          <w:i/>
          <w:color w:val="auto"/>
          <w:sz w:val="24"/>
          <w:szCs w:val="24"/>
          <w:lang w:val="en-US"/>
        </w:rPr>
        <w:lastRenderedPageBreak/>
        <w:t>6</w:t>
      </w:r>
      <w:r w:rsidR="00793364" w:rsidRPr="00A16CD4">
        <w:rPr>
          <w:rFonts w:asciiTheme="minorHAnsi" w:hAnsiTheme="minorHAnsi" w:cs="Times New Roman"/>
          <w:bCs w:val="0"/>
          <w:i/>
          <w:color w:val="auto"/>
          <w:sz w:val="24"/>
          <w:szCs w:val="24"/>
          <w:lang w:val="en-US"/>
        </w:rPr>
        <w:t>. Results</w:t>
      </w:r>
      <w:bookmarkEnd w:id="16"/>
    </w:p>
    <w:p w:rsidR="00793364" w:rsidRPr="00781608" w:rsidRDefault="00742CD4" w:rsidP="00781608">
      <w:pPr>
        <w:pStyle w:val="Kop2"/>
        <w:spacing w:line="360" w:lineRule="auto"/>
        <w:rPr>
          <w:rFonts w:asciiTheme="minorHAnsi" w:hAnsiTheme="minorHAnsi" w:cs="Times New Roman"/>
          <w:bCs w:val="0"/>
          <w:color w:val="auto"/>
          <w:sz w:val="24"/>
          <w:szCs w:val="24"/>
          <w:lang w:val="en-US"/>
        </w:rPr>
      </w:pPr>
      <w:bookmarkStart w:id="17" w:name="_Toc359926558"/>
      <w:r w:rsidRPr="00781608">
        <w:rPr>
          <w:rFonts w:asciiTheme="minorHAnsi" w:hAnsiTheme="minorHAnsi" w:cs="Times New Roman"/>
          <w:bCs w:val="0"/>
          <w:color w:val="auto"/>
          <w:sz w:val="24"/>
          <w:szCs w:val="24"/>
          <w:lang w:val="en-US"/>
        </w:rPr>
        <w:t>6</w:t>
      </w:r>
      <w:r w:rsidR="00793364" w:rsidRPr="00781608">
        <w:rPr>
          <w:rFonts w:asciiTheme="minorHAnsi" w:hAnsiTheme="minorHAnsi" w:cs="Times New Roman"/>
          <w:bCs w:val="0"/>
          <w:color w:val="auto"/>
          <w:sz w:val="24"/>
          <w:szCs w:val="24"/>
          <w:lang w:val="en-US"/>
        </w:rPr>
        <w:t>.1 Description of the results</w:t>
      </w:r>
      <w:bookmarkEnd w:id="17"/>
    </w:p>
    <w:p w:rsidR="00927E7A" w:rsidRPr="00781608" w:rsidRDefault="00793364" w:rsidP="00927E7A">
      <w:pPr>
        <w:spacing w:after="0" w:line="360" w:lineRule="auto"/>
        <w:jc w:val="both"/>
        <w:rPr>
          <w:rFonts w:cs="Times New Roman"/>
          <w:bCs/>
          <w:sz w:val="24"/>
          <w:szCs w:val="24"/>
          <w:lang w:val="en-US"/>
        </w:rPr>
      </w:pPr>
      <w:r w:rsidRPr="00781608">
        <w:rPr>
          <w:rFonts w:cs="Times New Roman"/>
          <w:bCs/>
          <w:sz w:val="24"/>
          <w:szCs w:val="24"/>
          <w:lang w:val="en-US"/>
        </w:rPr>
        <w:t xml:space="preserve">In this section a </w:t>
      </w:r>
      <w:r w:rsidR="00E23DD8" w:rsidRPr="00781608">
        <w:rPr>
          <w:rFonts w:cs="Times New Roman"/>
          <w:bCs/>
          <w:sz w:val="24"/>
          <w:szCs w:val="24"/>
          <w:lang w:val="en-US"/>
        </w:rPr>
        <w:t>description</w:t>
      </w:r>
      <w:r w:rsidRPr="00781608">
        <w:rPr>
          <w:rFonts w:cs="Times New Roman"/>
          <w:bCs/>
          <w:sz w:val="24"/>
          <w:szCs w:val="24"/>
          <w:lang w:val="en-US"/>
        </w:rPr>
        <w:t xml:space="preserve"> of the </w:t>
      </w:r>
      <w:r w:rsidR="00E23DD8" w:rsidRPr="00781608">
        <w:rPr>
          <w:rFonts w:cs="Times New Roman"/>
          <w:bCs/>
          <w:sz w:val="24"/>
          <w:szCs w:val="24"/>
          <w:lang w:val="en-US"/>
        </w:rPr>
        <w:t>results from the empirical models</w:t>
      </w:r>
      <w:r w:rsidR="00927E7A" w:rsidRPr="00781608">
        <w:rPr>
          <w:rFonts w:cs="Times New Roman"/>
          <w:bCs/>
          <w:sz w:val="24"/>
          <w:szCs w:val="24"/>
          <w:lang w:val="en-US"/>
        </w:rPr>
        <w:t xml:space="preserve"> is given</w:t>
      </w:r>
      <w:r w:rsidR="002C0535" w:rsidRPr="00781608">
        <w:rPr>
          <w:rFonts w:cs="Times New Roman"/>
          <w:bCs/>
          <w:sz w:val="24"/>
          <w:szCs w:val="24"/>
          <w:lang w:val="en-US"/>
        </w:rPr>
        <w:t xml:space="preserve"> for all positive- and all negative rating events combined</w:t>
      </w:r>
      <w:r w:rsidR="00927E7A" w:rsidRPr="00781608">
        <w:rPr>
          <w:rFonts w:cs="Times New Roman"/>
          <w:bCs/>
          <w:sz w:val="24"/>
          <w:szCs w:val="24"/>
          <w:lang w:val="en-US"/>
        </w:rPr>
        <w:t>.</w:t>
      </w:r>
      <w:r w:rsidRPr="00781608">
        <w:rPr>
          <w:rFonts w:cs="Times New Roman"/>
          <w:bCs/>
          <w:sz w:val="24"/>
          <w:szCs w:val="24"/>
          <w:lang w:val="en-US"/>
        </w:rPr>
        <w:t xml:space="preserve"> More specified results </w:t>
      </w:r>
      <w:r w:rsidR="002C0535" w:rsidRPr="00781608">
        <w:rPr>
          <w:rFonts w:cs="Times New Roman"/>
          <w:bCs/>
          <w:sz w:val="24"/>
          <w:szCs w:val="24"/>
          <w:lang w:val="en-US"/>
        </w:rPr>
        <w:t xml:space="preserve">on all different types of rating events </w:t>
      </w:r>
      <w:r w:rsidRPr="00781608">
        <w:rPr>
          <w:rFonts w:cs="Times New Roman"/>
          <w:bCs/>
          <w:sz w:val="24"/>
          <w:szCs w:val="24"/>
          <w:lang w:val="en-US"/>
        </w:rPr>
        <w:t>can be</w:t>
      </w:r>
      <w:r w:rsidR="0047763D" w:rsidRPr="00781608">
        <w:rPr>
          <w:rFonts w:cs="Times New Roman"/>
          <w:bCs/>
          <w:sz w:val="24"/>
          <w:szCs w:val="24"/>
          <w:lang w:val="en-US"/>
        </w:rPr>
        <w:t xml:space="preserve"> found in Appendix B</w:t>
      </w:r>
      <w:r w:rsidRPr="00781608">
        <w:rPr>
          <w:rFonts w:cs="Times New Roman"/>
          <w:bCs/>
          <w:sz w:val="24"/>
          <w:szCs w:val="24"/>
          <w:lang w:val="en-US"/>
        </w:rPr>
        <w:t>.</w:t>
      </w:r>
      <w:r w:rsidR="00E23DD8" w:rsidRPr="00781608">
        <w:rPr>
          <w:rFonts w:cs="Times New Roman"/>
          <w:bCs/>
          <w:sz w:val="24"/>
          <w:szCs w:val="24"/>
          <w:lang w:val="en-US"/>
        </w:rPr>
        <w:t xml:space="preserve"> The analysis of the results </w:t>
      </w:r>
      <w:r w:rsidR="00927E7A" w:rsidRPr="00781608">
        <w:rPr>
          <w:rFonts w:cs="Times New Roman"/>
          <w:bCs/>
          <w:sz w:val="24"/>
          <w:szCs w:val="24"/>
          <w:lang w:val="en-US"/>
        </w:rPr>
        <w:t>and the testing of the hypotheses are</w:t>
      </w:r>
      <w:r w:rsidR="00742CD4" w:rsidRPr="00781608">
        <w:rPr>
          <w:rFonts w:cs="Times New Roman"/>
          <w:bCs/>
          <w:sz w:val="24"/>
          <w:szCs w:val="24"/>
          <w:lang w:val="en-US"/>
        </w:rPr>
        <w:t xml:space="preserve"> given section 6</w:t>
      </w:r>
      <w:r w:rsidR="00E23DD8" w:rsidRPr="00781608">
        <w:rPr>
          <w:rFonts w:cs="Times New Roman"/>
          <w:bCs/>
          <w:sz w:val="24"/>
          <w:szCs w:val="24"/>
          <w:lang w:val="en-US"/>
        </w:rPr>
        <w:t>.2</w:t>
      </w:r>
    </w:p>
    <w:p w:rsidR="00793364" w:rsidRPr="00781608" w:rsidRDefault="00793364" w:rsidP="001E4A30">
      <w:pPr>
        <w:spacing w:line="360" w:lineRule="auto"/>
        <w:jc w:val="both"/>
        <w:rPr>
          <w:rFonts w:cs="Times New Roman"/>
          <w:bCs/>
          <w:sz w:val="24"/>
          <w:szCs w:val="24"/>
          <w:lang w:val="en-US"/>
        </w:rPr>
      </w:pPr>
      <w:r w:rsidRPr="00781608">
        <w:rPr>
          <w:rFonts w:cs="Times New Roman"/>
          <w:bCs/>
          <w:sz w:val="24"/>
          <w:szCs w:val="24"/>
          <w:lang w:val="en-US"/>
        </w:rPr>
        <w:t xml:space="preserve">When looking at the 1-year bond </w:t>
      </w:r>
      <w:r w:rsidR="004141CD" w:rsidRPr="00781608">
        <w:rPr>
          <w:rFonts w:cs="Times New Roman"/>
          <w:bCs/>
          <w:sz w:val="24"/>
          <w:szCs w:val="24"/>
          <w:lang w:val="en-US"/>
        </w:rPr>
        <w:t>spreads</w:t>
      </w:r>
      <w:r w:rsidR="00742CD4" w:rsidRPr="00781608">
        <w:rPr>
          <w:rFonts w:cs="Times New Roman"/>
          <w:bCs/>
          <w:sz w:val="24"/>
          <w:szCs w:val="24"/>
          <w:lang w:val="en-US"/>
        </w:rPr>
        <w:t xml:space="preserve"> (Table 6</w:t>
      </w:r>
      <w:r w:rsidRPr="00781608">
        <w:rPr>
          <w:rFonts w:cs="Times New Roman"/>
          <w:bCs/>
          <w:sz w:val="24"/>
          <w:szCs w:val="24"/>
          <w:lang w:val="en-US"/>
        </w:rPr>
        <w:t>.1), results show that the coefficients for negative and positive rating events are insignificant</w:t>
      </w:r>
      <w:r w:rsidR="008D0A42" w:rsidRPr="00781608">
        <w:rPr>
          <w:rFonts w:cs="Times New Roman"/>
          <w:bCs/>
          <w:sz w:val="24"/>
          <w:szCs w:val="24"/>
          <w:lang w:val="en-US"/>
        </w:rPr>
        <w:t xml:space="preserve"> in all models</w:t>
      </w:r>
      <w:r w:rsidRPr="00781608">
        <w:rPr>
          <w:rFonts w:cs="Times New Roman"/>
          <w:bCs/>
          <w:sz w:val="24"/>
          <w:szCs w:val="24"/>
          <w:lang w:val="en-US"/>
        </w:rPr>
        <w:t xml:space="preserve">. </w:t>
      </w:r>
    </w:p>
    <w:p w:rsidR="001E4A30" w:rsidRPr="00781608" w:rsidRDefault="001E4A30" w:rsidP="001E4A30">
      <w:pPr>
        <w:spacing w:after="0" w:line="360" w:lineRule="auto"/>
        <w:jc w:val="both"/>
        <w:rPr>
          <w:rFonts w:cs="Times New Roman"/>
          <w:bCs/>
          <w:sz w:val="24"/>
          <w:szCs w:val="24"/>
          <w:lang w:val="en-US"/>
        </w:rPr>
      </w:pPr>
      <w:r w:rsidRPr="00781608">
        <w:rPr>
          <w:rFonts w:cs="Times New Roman"/>
          <w:bCs/>
          <w:sz w:val="24"/>
          <w:szCs w:val="24"/>
          <w:lang w:val="en-US"/>
        </w:rPr>
        <w:t xml:space="preserve">TABLE </w:t>
      </w:r>
      <w:r w:rsidR="00742CD4" w:rsidRPr="00781608">
        <w:rPr>
          <w:rFonts w:cs="Times New Roman"/>
          <w:bCs/>
          <w:sz w:val="24"/>
          <w:szCs w:val="24"/>
          <w:lang w:val="en-US"/>
        </w:rPr>
        <w:t>6</w:t>
      </w:r>
      <w:r w:rsidRPr="00781608">
        <w:rPr>
          <w:rFonts w:cs="Times New Roman"/>
          <w:bCs/>
          <w:sz w:val="24"/>
          <w:szCs w:val="24"/>
          <w:lang w:val="en-US"/>
        </w:rPr>
        <w:t>.1</w:t>
      </w:r>
      <w:r w:rsidR="00746A83" w:rsidRPr="00781608">
        <w:rPr>
          <w:rFonts w:cs="Times New Roman"/>
          <w:bCs/>
          <w:sz w:val="24"/>
          <w:szCs w:val="24"/>
          <w:lang w:val="en-US"/>
        </w:rPr>
        <w:t>: Sovereign 1-year yield spreads</w:t>
      </w:r>
    </w:p>
    <w:tbl>
      <w:tblPr>
        <w:tblStyle w:val="Lichtearcering1"/>
        <w:tblW w:w="0" w:type="auto"/>
        <w:tblLayout w:type="fixed"/>
        <w:tblLook w:val="04A0" w:firstRow="1" w:lastRow="0" w:firstColumn="1" w:lastColumn="0" w:noHBand="0" w:noVBand="1"/>
      </w:tblPr>
      <w:tblGrid>
        <w:gridCol w:w="1668"/>
        <w:gridCol w:w="708"/>
        <w:gridCol w:w="1985"/>
        <w:gridCol w:w="1843"/>
        <w:gridCol w:w="2126"/>
      </w:tblGrid>
      <w:tr w:rsidR="0047306D" w:rsidRPr="00781608" w:rsidTr="00922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7306D" w:rsidRPr="00781608" w:rsidRDefault="0047306D" w:rsidP="005E2CD5">
            <w:pPr>
              <w:jc w:val="both"/>
              <w:rPr>
                <w:rFonts w:cs="Times New Roman"/>
                <w:bCs w:val="0"/>
                <w:color w:val="auto"/>
                <w:sz w:val="22"/>
                <w:szCs w:val="22"/>
              </w:rPr>
            </w:pPr>
            <w:r w:rsidRPr="00781608">
              <w:rPr>
                <w:rFonts w:cs="Times New Roman"/>
                <w:bCs w:val="0"/>
                <w:color w:val="auto"/>
                <w:sz w:val="22"/>
                <w:szCs w:val="22"/>
              </w:rPr>
              <w:t>Variable</w:t>
            </w:r>
          </w:p>
        </w:tc>
        <w:tc>
          <w:tcPr>
            <w:tcW w:w="708" w:type="dxa"/>
          </w:tcPr>
          <w:p w:rsidR="0047306D" w:rsidRPr="00781608" w:rsidRDefault="0047306D" w:rsidP="005E2CD5">
            <w:pPr>
              <w:jc w:val="both"/>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CRA</w:t>
            </w:r>
          </w:p>
        </w:tc>
        <w:tc>
          <w:tcPr>
            <w:tcW w:w="1985" w:type="dxa"/>
          </w:tcPr>
          <w:p w:rsidR="0047306D" w:rsidRPr="00781608" w:rsidRDefault="0047306D"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c>
          <w:tcPr>
            <w:tcW w:w="1843" w:type="dxa"/>
          </w:tcPr>
          <w:p w:rsidR="0047306D" w:rsidRPr="00781608" w:rsidRDefault="0047306D"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c>
          <w:tcPr>
            <w:tcW w:w="2126" w:type="dxa"/>
          </w:tcPr>
          <w:p w:rsidR="0047306D" w:rsidRPr="00781608" w:rsidRDefault="0047306D"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r>
      <w:tr w:rsidR="0047306D"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4" w:space="0" w:color="auto"/>
            </w:tcBorders>
          </w:tcPr>
          <w:p w:rsidR="0047306D" w:rsidRPr="00781608" w:rsidRDefault="0047306D" w:rsidP="005E2CD5">
            <w:pPr>
              <w:jc w:val="both"/>
              <w:rPr>
                <w:rFonts w:cs="Times New Roman"/>
                <w:b w:val="0"/>
                <w:bCs w:val="0"/>
                <w:color w:val="auto"/>
                <w:sz w:val="22"/>
                <w:szCs w:val="22"/>
              </w:rPr>
            </w:pPr>
          </w:p>
        </w:tc>
        <w:tc>
          <w:tcPr>
            <w:tcW w:w="708" w:type="dxa"/>
            <w:tcBorders>
              <w:top w:val="single" w:sz="8" w:space="0" w:color="000000" w:themeColor="text1"/>
              <w:bottom w:val="single" w:sz="4" w:space="0" w:color="auto"/>
            </w:tcBorders>
          </w:tcPr>
          <w:p w:rsidR="0047306D" w:rsidRPr="00781608" w:rsidRDefault="0047306D"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p>
        </w:tc>
        <w:tc>
          <w:tcPr>
            <w:tcW w:w="1985" w:type="dxa"/>
            <w:tcBorders>
              <w:top w:val="single" w:sz="8" w:space="0" w:color="000000" w:themeColor="text1"/>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1</w:t>
            </w:r>
          </w:p>
        </w:tc>
        <w:tc>
          <w:tcPr>
            <w:tcW w:w="1843" w:type="dxa"/>
            <w:tcBorders>
              <w:top w:val="single" w:sz="8" w:space="0" w:color="000000" w:themeColor="text1"/>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2</w:t>
            </w:r>
          </w:p>
        </w:tc>
        <w:tc>
          <w:tcPr>
            <w:tcW w:w="2126" w:type="dxa"/>
            <w:tcBorders>
              <w:top w:val="single" w:sz="8" w:space="0" w:color="000000" w:themeColor="text1"/>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3</w:t>
            </w:r>
          </w:p>
        </w:tc>
      </w:tr>
      <w:tr w:rsidR="0047306D"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47306D" w:rsidRPr="00781608" w:rsidRDefault="0047306D" w:rsidP="00922667">
            <w:pPr>
              <w:jc w:val="both"/>
              <w:rPr>
                <w:rFonts w:cs="Times New Roman"/>
                <w:b w:val="0"/>
                <w:bCs w:val="0"/>
                <w:color w:val="auto"/>
                <w:sz w:val="22"/>
                <w:szCs w:val="22"/>
              </w:rPr>
            </w:pPr>
            <w:r w:rsidRPr="00781608">
              <w:rPr>
                <w:rFonts w:cs="Times New Roman"/>
                <w:b w:val="0"/>
                <w:bCs w:val="0"/>
                <w:color w:val="auto"/>
                <w:sz w:val="22"/>
                <w:szCs w:val="22"/>
              </w:rPr>
              <w:t>P</w:t>
            </w:r>
            <w:r w:rsidR="00922667" w:rsidRPr="00781608">
              <w:rPr>
                <w:rFonts w:cs="Times New Roman"/>
                <w:b w:val="0"/>
                <w:bCs w:val="0"/>
                <w:color w:val="auto"/>
                <w:sz w:val="22"/>
                <w:szCs w:val="22"/>
              </w:rPr>
              <w:t>ositive</w:t>
            </w:r>
            <w:r w:rsidRPr="00781608">
              <w:rPr>
                <w:rFonts w:cs="Times New Roman"/>
                <w:b w:val="0"/>
                <w:bCs w:val="0"/>
                <w:color w:val="auto"/>
                <w:sz w:val="22"/>
                <w:szCs w:val="22"/>
              </w:rPr>
              <w:t xml:space="preserve"> </w:t>
            </w:r>
            <w:r w:rsidR="00922667" w:rsidRPr="00781608">
              <w:rPr>
                <w:rFonts w:cs="Times New Roman"/>
                <w:b w:val="0"/>
                <w:bCs w:val="0"/>
                <w:color w:val="auto"/>
                <w:sz w:val="22"/>
                <w:szCs w:val="22"/>
              </w:rPr>
              <w:t>r</w:t>
            </w:r>
            <w:r w:rsidRPr="00781608">
              <w:rPr>
                <w:rFonts w:cs="Times New Roman"/>
                <w:b w:val="0"/>
                <w:bCs w:val="0"/>
                <w:color w:val="auto"/>
                <w:sz w:val="22"/>
                <w:szCs w:val="22"/>
              </w:rPr>
              <w:t>ating event</w:t>
            </w:r>
          </w:p>
        </w:tc>
        <w:tc>
          <w:tcPr>
            <w:tcW w:w="708" w:type="dxa"/>
            <w:tcBorders>
              <w:top w:val="single" w:sz="4" w:space="0" w:color="auto"/>
            </w:tcBorders>
          </w:tcPr>
          <w:p w:rsidR="0047306D" w:rsidRPr="00781608" w:rsidRDefault="0047306D"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F</w:t>
            </w:r>
          </w:p>
        </w:tc>
        <w:tc>
          <w:tcPr>
            <w:tcW w:w="1985"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3.902</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(0.982)</w:t>
            </w:r>
          </w:p>
        </w:tc>
        <w:tc>
          <w:tcPr>
            <w:tcW w:w="1843"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4.215</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(1.011)</w:t>
            </w:r>
          </w:p>
        </w:tc>
        <w:tc>
          <w:tcPr>
            <w:tcW w:w="2126"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0.077</w:t>
            </w:r>
          </w:p>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(0.409)</w:t>
            </w:r>
          </w:p>
        </w:tc>
      </w:tr>
      <w:tr w:rsidR="0047306D"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7306D" w:rsidRPr="00781608" w:rsidRDefault="0047306D" w:rsidP="005E2CD5">
            <w:pPr>
              <w:jc w:val="both"/>
              <w:rPr>
                <w:rFonts w:cs="Times New Roman"/>
                <w:b w:val="0"/>
                <w:bCs w:val="0"/>
                <w:color w:val="auto"/>
                <w:sz w:val="22"/>
                <w:szCs w:val="22"/>
              </w:rPr>
            </w:pPr>
          </w:p>
        </w:tc>
        <w:tc>
          <w:tcPr>
            <w:tcW w:w="708" w:type="dxa"/>
          </w:tcPr>
          <w:p w:rsidR="0047306D" w:rsidRPr="00781608" w:rsidRDefault="0047306D"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w:t>
            </w:r>
          </w:p>
        </w:tc>
        <w:tc>
          <w:tcPr>
            <w:tcW w:w="1985" w:type="dxa"/>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-0.555</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(-1.386)</w:t>
            </w:r>
          </w:p>
        </w:tc>
        <w:tc>
          <w:tcPr>
            <w:tcW w:w="1843" w:type="dxa"/>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0.065</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(0.179)</w:t>
            </w:r>
          </w:p>
        </w:tc>
        <w:tc>
          <w:tcPr>
            <w:tcW w:w="2126" w:type="dxa"/>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0.119</w:t>
            </w:r>
          </w:p>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(0.416)</w:t>
            </w:r>
          </w:p>
        </w:tc>
      </w:tr>
      <w:tr w:rsidR="0047306D"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47306D" w:rsidRPr="00781608" w:rsidRDefault="0047306D" w:rsidP="005E2CD5">
            <w:pPr>
              <w:jc w:val="both"/>
              <w:rPr>
                <w:rFonts w:cs="Times New Roman"/>
                <w:b w:val="0"/>
                <w:bCs w:val="0"/>
                <w:color w:val="auto"/>
                <w:sz w:val="22"/>
                <w:szCs w:val="22"/>
              </w:rPr>
            </w:pPr>
          </w:p>
        </w:tc>
        <w:tc>
          <w:tcPr>
            <w:tcW w:w="708" w:type="dxa"/>
            <w:tcBorders>
              <w:bottom w:val="nil"/>
            </w:tcBorders>
          </w:tcPr>
          <w:p w:rsidR="0047306D" w:rsidRPr="00781608" w:rsidRDefault="0047306D"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SP</w:t>
            </w:r>
          </w:p>
        </w:tc>
        <w:tc>
          <w:tcPr>
            <w:tcW w:w="1985" w:type="dxa"/>
            <w:tcBorders>
              <w:bottom w:val="nil"/>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-0.296</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(-0.503)</w:t>
            </w:r>
          </w:p>
        </w:tc>
        <w:tc>
          <w:tcPr>
            <w:tcW w:w="1843" w:type="dxa"/>
            <w:tcBorders>
              <w:bottom w:val="nil"/>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-0.352</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(-0.487)</w:t>
            </w:r>
          </w:p>
        </w:tc>
        <w:tc>
          <w:tcPr>
            <w:tcW w:w="2126" w:type="dxa"/>
            <w:tcBorders>
              <w:bottom w:val="nil"/>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0.118</w:t>
            </w:r>
          </w:p>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(0.209)</w:t>
            </w:r>
          </w:p>
        </w:tc>
      </w:tr>
      <w:tr w:rsidR="0047306D"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tcPr>
          <w:p w:rsidR="0047306D" w:rsidRPr="00781608" w:rsidRDefault="0047306D" w:rsidP="005E2CD5">
            <w:pPr>
              <w:jc w:val="both"/>
              <w:rPr>
                <w:rFonts w:cs="Times New Roman"/>
                <w:b w:val="0"/>
                <w:bCs w:val="0"/>
                <w:color w:val="auto"/>
                <w:sz w:val="22"/>
                <w:szCs w:val="22"/>
              </w:rPr>
            </w:pPr>
          </w:p>
        </w:tc>
        <w:tc>
          <w:tcPr>
            <w:tcW w:w="708" w:type="dxa"/>
            <w:tcBorders>
              <w:top w:val="nil"/>
              <w:bottom w:val="single" w:sz="4" w:space="0" w:color="auto"/>
            </w:tcBorders>
          </w:tcPr>
          <w:p w:rsidR="0047306D" w:rsidRPr="00781608" w:rsidRDefault="0047306D"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1985" w:type="dxa"/>
            <w:tcBorders>
              <w:top w:val="nil"/>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1.197</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w:t>
            </w:r>
            <w:r w:rsidR="006A69C4" w:rsidRPr="00781608">
              <w:rPr>
                <w:rFonts w:cs="Times New Roman"/>
                <w:color w:val="auto"/>
                <w:sz w:val="20"/>
                <w:szCs w:val="20"/>
              </w:rPr>
              <w:t>0.855)</w:t>
            </w:r>
          </w:p>
        </w:tc>
        <w:tc>
          <w:tcPr>
            <w:tcW w:w="1843" w:type="dxa"/>
            <w:tcBorders>
              <w:top w:val="nil"/>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1.565</w:t>
            </w:r>
          </w:p>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(0.983)</w:t>
            </w:r>
          </w:p>
        </w:tc>
        <w:tc>
          <w:tcPr>
            <w:tcW w:w="2126" w:type="dxa"/>
            <w:tcBorders>
              <w:top w:val="nil"/>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0.061</w:t>
            </w:r>
          </w:p>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(0.235)</w:t>
            </w:r>
          </w:p>
        </w:tc>
      </w:tr>
      <w:tr w:rsidR="0047306D"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47306D" w:rsidRPr="00781608" w:rsidRDefault="0047306D" w:rsidP="00922667">
            <w:pPr>
              <w:jc w:val="both"/>
              <w:rPr>
                <w:rFonts w:cs="Times New Roman"/>
                <w:b w:val="0"/>
                <w:bCs w:val="0"/>
                <w:color w:val="auto"/>
                <w:sz w:val="22"/>
                <w:szCs w:val="22"/>
              </w:rPr>
            </w:pPr>
            <w:r w:rsidRPr="00781608">
              <w:rPr>
                <w:rFonts w:cs="Times New Roman"/>
                <w:b w:val="0"/>
                <w:bCs w:val="0"/>
                <w:color w:val="auto"/>
                <w:sz w:val="22"/>
                <w:szCs w:val="22"/>
              </w:rPr>
              <w:t>N</w:t>
            </w:r>
            <w:r w:rsidR="00922667" w:rsidRPr="00781608">
              <w:rPr>
                <w:rFonts w:cs="Times New Roman"/>
                <w:b w:val="0"/>
                <w:bCs w:val="0"/>
                <w:color w:val="auto"/>
                <w:sz w:val="22"/>
                <w:szCs w:val="22"/>
              </w:rPr>
              <w:t>egative</w:t>
            </w:r>
            <w:r w:rsidRPr="00781608">
              <w:rPr>
                <w:rFonts w:cs="Times New Roman"/>
                <w:b w:val="0"/>
                <w:bCs w:val="0"/>
                <w:color w:val="auto"/>
                <w:sz w:val="22"/>
                <w:szCs w:val="22"/>
              </w:rPr>
              <w:t xml:space="preserve"> </w:t>
            </w:r>
            <w:r w:rsidR="00922667" w:rsidRPr="00781608">
              <w:rPr>
                <w:rFonts w:cs="Times New Roman"/>
                <w:b w:val="0"/>
                <w:bCs w:val="0"/>
                <w:color w:val="auto"/>
                <w:sz w:val="22"/>
                <w:szCs w:val="22"/>
              </w:rPr>
              <w:t>r</w:t>
            </w:r>
            <w:r w:rsidRPr="00781608">
              <w:rPr>
                <w:rFonts w:cs="Times New Roman"/>
                <w:b w:val="0"/>
                <w:bCs w:val="0"/>
                <w:color w:val="auto"/>
                <w:sz w:val="22"/>
                <w:szCs w:val="22"/>
              </w:rPr>
              <w:t>ating event</w:t>
            </w:r>
          </w:p>
        </w:tc>
        <w:tc>
          <w:tcPr>
            <w:tcW w:w="708" w:type="dxa"/>
            <w:tcBorders>
              <w:top w:val="single" w:sz="4" w:space="0" w:color="auto"/>
            </w:tcBorders>
          </w:tcPr>
          <w:p w:rsidR="0047306D" w:rsidRPr="00781608" w:rsidRDefault="0047306D"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F</w:t>
            </w:r>
          </w:p>
        </w:tc>
        <w:tc>
          <w:tcPr>
            <w:tcW w:w="1985"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7.511</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(1.479)</w:t>
            </w:r>
          </w:p>
        </w:tc>
        <w:tc>
          <w:tcPr>
            <w:tcW w:w="1843"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7.058</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(1.537)</w:t>
            </w:r>
          </w:p>
        </w:tc>
        <w:tc>
          <w:tcPr>
            <w:tcW w:w="2126"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1.037***</w:t>
            </w:r>
          </w:p>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(3.949)</w:t>
            </w:r>
          </w:p>
        </w:tc>
      </w:tr>
      <w:tr w:rsidR="0047306D"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47306D" w:rsidRPr="00781608" w:rsidRDefault="0047306D" w:rsidP="005E2CD5">
            <w:pPr>
              <w:jc w:val="both"/>
              <w:rPr>
                <w:rFonts w:cs="Times New Roman"/>
                <w:b w:val="0"/>
                <w:bCs w:val="0"/>
                <w:color w:val="auto"/>
                <w:sz w:val="22"/>
                <w:szCs w:val="22"/>
              </w:rPr>
            </w:pPr>
          </w:p>
        </w:tc>
        <w:tc>
          <w:tcPr>
            <w:tcW w:w="708" w:type="dxa"/>
          </w:tcPr>
          <w:p w:rsidR="0047306D" w:rsidRPr="00781608" w:rsidRDefault="0047306D"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w:t>
            </w:r>
          </w:p>
        </w:tc>
        <w:tc>
          <w:tcPr>
            <w:tcW w:w="1985" w:type="dxa"/>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0.862***</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(3.077)</w:t>
            </w:r>
          </w:p>
        </w:tc>
        <w:tc>
          <w:tcPr>
            <w:tcW w:w="1843" w:type="dxa"/>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0.267</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(0.368)</w:t>
            </w:r>
          </w:p>
        </w:tc>
        <w:tc>
          <w:tcPr>
            <w:tcW w:w="2126" w:type="dxa"/>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0.234</w:t>
            </w:r>
          </w:p>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(0.724)</w:t>
            </w:r>
          </w:p>
        </w:tc>
      </w:tr>
      <w:tr w:rsidR="0047306D"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47306D" w:rsidRPr="00781608" w:rsidRDefault="0047306D" w:rsidP="005E2CD5">
            <w:pPr>
              <w:jc w:val="both"/>
              <w:rPr>
                <w:rFonts w:cs="Times New Roman"/>
                <w:b w:val="0"/>
                <w:bCs w:val="0"/>
                <w:color w:val="auto"/>
                <w:sz w:val="22"/>
                <w:szCs w:val="22"/>
              </w:rPr>
            </w:pPr>
          </w:p>
        </w:tc>
        <w:tc>
          <w:tcPr>
            <w:tcW w:w="708" w:type="dxa"/>
            <w:tcBorders>
              <w:bottom w:val="nil"/>
            </w:tcBorders>
          </w:tcPr>
          <w:p w:rsidR="0047306D" w:rsidRPr="00781608" w:rsidRDefault="0047306D"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SP</w:t>
            </w:r>
          </w:p>
        </w:tc>
        <w:tc>
          <w:tcPr>
            <w:tcW w:w="1985" w:type="dxa"/>
            <w:tcBorders>
              <w:bottom w:val="nil"/>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4.005</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(1.571)</w:t>
            </w:r>
          </w:p>
        </w:tc>
        <w:tc>
          <w:tcPr>
            <w:tcW w:w="1843" w:type="dxa"/>
            <w:tcBorders>
              <w:bottom w:val="nil"/>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3.178</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(1.699)</w:t>
            </w:r>
          </w:p>
        </w:tc>
        <w:tc>
          <w:tcPr>
            <w:tcW w:w="2126" w:type="dxa"/>
            <w:tcBorders>
              <w:bottom w:val="nil"/>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0.474</w:t>
            </w:r>
          </w:p>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(1.369)</w:t>
            </w:r>
          </w:p>
        </w:tc>
      </w:tr>
      <w:tr w:rsidR="0047306D"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tcPr>
          <w:p w:rsidR="0047306D" w:rsidRPr="00781608" w:rsidRDefault="0047306D" w:rsidP="005E2CD5">
            <w:pPr>
              <w:jc w:val="both"/>
              <w:rPr>
                <w:rFonts w:cs="Times New Roman"/>
                <w:b w:val="0"/>
                <w:bCs w:val="0"/>
                <w:color w:val="auto"/>
                <w:sz w:val="22"/>
                <w:szCs w:val="22"/>
              </w:rPr>
            </w:pPr>
          </w:p>
        </w:tc>
        <w:tc>
          <w:tcPr>
            <w:tcW w:w="708" w:type="dxa"/>
            <w:tcBorders>
              <w:top w:val="nil"/>
              <w:bottom w:val="single" w:sz="4" w:space="0" w:color="auto"/>
            </w:tcBorders>
          </w:tcPr>
          <w:p w:rsidR="0047306D" w:rsidRPr="00781608" w:rsidRDefault="0047306D"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1985" w:type="dxa"/>
            <w:tcBorders>
              <w:top w:val="nil"/>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3.923</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(1.495)</w:t>
            </w:r>
          </w:p>
        </w:tc>
        <w:tc>
          <w:tcPr>
            <w:tcW w:w="1843" w:type="dxa"/>
            <w:tcBorders>
              <w:top w:val="nil"/>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3.434</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(1.595)</w:t>
            </w:r>
          </w:p>
        </w:tc>
        <w:tc>
          <w:tcPr>
            <w:tcW w:w="2126" w:type="dxa"/>
            <w:tcBorders>
              <w:top w:val="nil"/>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0.476</w:t>
            </w:r>
          </w:p>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(1.413)</w:t>
            </w:r>
          </w:p>
        </w:tc>
      </w:tr>
      <w:tr w:rsidR="0047306D"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47306D" w:rsidRPr="00781608" w:rsidRDefault="0047306D" w:rsidP="005E2CD5">
            <w:pPr>
              <w:jc w:val="both"/>
              <w:rPr>
                <w:rFonts w:cs="Times New Roman"/>
                <w:b w:val="0"/>
                <w:bCs w:val="0"/>
                <w:color w:val="auto"/>
                <w:sz w:val="22"/>
                <w:szCs w:val="22"/>
              </w:rPr>
            </w:pPr>
            <w:r w:rsidRPr="00781608">
              <w:rPr>
                <w:rFonts w:cs="Times New Roman"/>
                <w:b w:val="0"/>
                <w:bCs w:val="0"/>
                <w:color w:val="auto"/>
                <w:sz w:val="22"/>
                <w:szCs w:val="22"/>
              </w:rPr>
              <w:t>Transparency</w:t>
            </w:r>
          </w:p>
        </w:tc>
        <w:tc>
          <w:tcPr>
            <w:tcW w:w="708" w:type="dxa"/>
            <w:tcBorders>
              <w:top w:val="single" w:sz="4" w:space="0" w:color="auto"/>
              <w:bottom w:val="single" w:sz="4" w:space="0" w:color="auto"/>
            </w:tcBorders>
          </w:tcPr>
          <w:p w:rsidR="0047306D" w:rsidRPr="00781608" w:rsidRDefault="0047306D"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1985" w:type="dxa"/>
            <w:tcBorders>
              <w:top w:val="single" w:sz="4" w:space="0" w:color="auto"/>
              <w:bottom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843" w:type="dxa"/>
            <w:tcBorders>
              <w:top w:val="single" w:sz="4" w:space="0" w:color="auto"/>
              <w:bottom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0.911</w:t>
            </w:r>
          </w:p>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(-0.889)</w:t>
            </w:r>
          </w:p>
        </w:tc>
        <w:tc>
          <w:tcPr>
            <w:tcW w:w="2126" w:type="dxa"/>
            <w:tcBorders>
              <w:top w:val="single" w:sz="4" w:space="0" w:color="auto"/>
              <w:bottom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0.042</w:t>
            </w:r>
          </w:p>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(0.332)</w:t>
            </w:r>
          </w:p>
        </w:tc>
      </w:tr>
      <w:tr w:rsidR="0047306D"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47306D" w:rsidRPr="00781608" w:rsidRDefault="0047306D" w:rsidP="005E2CD5">
            <w:pPr>
              <w:jc w:val="both"/>
              <w:rPr>
                <w:rFonts w:cs="Times New Roman"/>
                <w:b w:val="0"/>
                <w:bCs w:val="0"/>
                <w:color w:val="auto"/>
                <w:sz w:val="22"/>
                <w:szCs w:val="22"/>
              </w:rPr>
            </w:pPr>
            <w:r w:rsidRPr="00781608">
              <w:rPr>
                <w:rFonts w:cs="Times New Roman"/>
                <w:b w:val="0"/>
                <w:bCs w:val="0"/>
                <w:color w:val="auto"/>
                <w:sz w:val="22"/>
                <w:szCs w:val="22"/>
              </w:rPr>
              <w:t>Press</w:t>
            </w:r>
          </w:p>
        </w:tc>
        <w:tc>
          <w:tcPr>
            <w:tcW w:w="708" w:type="dxa"/>
            <w:tcBorders>
              <w:top w:val="single" w:sz="4" w:space="0" w:color="auto"/>
              <w:bottom w:val="single" w:sz="4" w:space="0" w:color="auto"/>
            </w:tcBorders>
          </w:tcPr>
          <w:p w:rsidR="0047306D" w:rsidRPr="00781608" w:rsidRDefault="0047306D"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1985" w:type="dxa"/>
            <w:tcBorders>
              <w:top w:val="single" w:sz="4" w:space="0" w:color="auto"/>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c>
          <w:tcPr>
            <w:tcW w:w="1843" w:type="dxa"/>
            <w:tcBorders>
              <w:top w:val="single" w:sz="4" w:space="0" w:color="auto"/>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0.136</w:t>
            </w:r>
          </w:p>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(1.518)</w:t>
            </w:r>
          </w:p>
        </w:tc>
        <w:tc>
          <w:tcPr>
            <w:tcW w:w="2126" w:type="dxa"/>
            <w:tcBorders>
              <w:top w:val="single" w:sz="4" w:space="0" w:color="auto"/>
              <w:bottom w:val="single" w:sz="4" w:space="0" w:color="auto"/>
            </w:tcBorders>
          </w:tcPr>
          <w:p w:rsidR="0047306D" w:rsidRPr="00781608" w:rsidRDefault="0047306D"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0.020</w:t>
            </w:r>
          </w:p>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(0.887)</w:t>
            </w:r>
          </w:p>
        </w:tc>
      </w:tr>
      <w:tr w:rsidR="0047306D"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47306D" w:rsidRPr="00781608" w:rsidRDefault="0047306D" w:rsidP="005E2CD5">
            <w:pPr>
              <w:jc w:val="both"/>
              <w:rPr>
                <w:rFonts w:cs="Times New Roman"/>
                <w:b w:val="0"/>
                <w:bCs w:val="0"/>
                <w:color w:val="auto"/>
                <w:sz w:val="22"/>
                <w:szCs w:val="22"/>
              </w:rPr>
            </w:pPr>
            <w:r w:rsidRPr="00781608">
              <w:rPr>
                <w:rFonts w:cs="Times New Roman"/>
                <w:b w:val="0"/>
                <w:bCs w:val="0"/>
                <w:color w:val="auto"/>
                <w:sz w:val="22"/>
                <w:szCs w:val="22"/>
              </w:rPr>
              <w:t>Crisis</w:t>
            </w:r>
          </w:p>
        </w:tc>
        <w:tc>
          <w:tcPr>
            <w:tcW w:w="708" w:type="dxa"/>
            <w:tcBorders>
              <w:top w:val="single" w:sz="4" w:space="0" w:color="auto"/>
            </w:tcBorders>
          </w:tcPr>
          <w:p w:rsidR="0047306D" w:rsidRPr="00781608" w:rsidRDefault="0047306D"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1985"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843"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2126" w:type="dxa"/>
            <w:tcBorders>
              <w:top w:val="single" w:sz="4" w:space="0" w:color="auto"/>
            </w:tcBorders>
          </w:tcPr>
          <w:p w:rsidR="0047306D" w:rsidRPr="00781608" w:rsidRDefault="0047306D"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1.295***</w:t>
            </w:r>
          </w:p>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(2.702)</w:t>
            </w:r>
          </w:p>
        </w:tc>
      </w:tr>
    </w:tbl>
    <w:p w:rsidR="00793364" w:rsidRPr="00781608" w:rsidRDefault="00793364" w:rsidP="00793364">
      <w:pPr>
        <w:jc w:val="both"/>
        <w:rPr>
          <w:rFonts w:cs="Times New Roman"/>
          <w:sz w:val="18"/>
          <w:szCs w:val="18"/>
          <w:lang w:val="en-US"/>
        </w:rPr>
      </w:pPr>
      <w:r w:rsidRPr="00781608">
        <w:rPr>
          <w:rFonts w:cs="Times New Roman"/>
          <w:sz w:val="18"/>
          <w:szCs w:val="18"/>
          <w:lang w:val="en-US"/>
        </w:rPr>
        <w:t xml:space="preserve">Note: </w:t>
      </w:r>
      <w:r w:rsidR="00927E7A" w:rsidRPr="00781608">
        <w:rPr>
          <w:rFonts w:cs="Times New Roman"/>
          <w:sz w:val="18"/>
          <w:szCs w:val="18"/>
          <w:lang w:val="en-US"/>
        </w:rPr>
        <w:t>The numbers in brackets represent the t-statistics</w:t>
      </w:r>
      <w:r w:rsidR="00922667" w:rsidRPr="00781608">
        <w:rPr>
          <w:rFonts w:cs="Times New Roman"/>
          <w:sz w:val="18"/>
          <w:szCs w:val="18"/>
          <w:lang w:val="en-US"/>
        </w:rPr>
        <w:t xml:space="preserve">. </w:t>
      </w:r>
      <w:r w:rsidRPr="00781608">
        <w:rPr>
          <w:rFonts w:cs="Times New Roman"/>
          <w:sz w:val="18"/>
          <w:szCs w:val="18"/>
          <w:lang w:val="en-US"/>
        </w:rPr>
        <w:t>Here totals are given for upgrades (downgra</w:t>
      </w:r>
      <w:r w:rsidR="000732A3" w:rsidRPr="00781608">
        <w:rPr>
          <w:rFonts w:cs="Times New Roman"/>
          <w:sz w:val="18"/>
          <w:szCs w:val="18"/>
          <w:lang w:val="en-US"/>
        </w:rPr>
        <w:t>des), outlook changes and watch</w:t>
      </w:r>
      <w:r w:rsidRPr="00781608">
        <w:rPr>
          <w:rFonts w:cs="Times New Roman"/>
          <w:sz w:val="18"/>
          <w:szCs w:val="18"/>
          <w:lang w:val="en-US"/>
        </w:rPr>
        <w:t xml:space="preserve">list announcements combined for sovereign 1-year </w:t>
      </w:r>
      <w:r w:rsidR="00630CFF">
        <w:rPr>
          <w:rFonts w:cs="Times New Roman"/>
          <w:sz w:val="18"/>
          <w:szCs w:val="18"/>
          <w:lang w:val="en-US"/>
        </w:rPr>
        <w:t>spread</w:t>
      </w:r>
      <w:r w:rsidRPr="00781608">
        <w:rPr>
          <w:rFonts w:cs="Times New Roman"/>
          <w:sz w:val="18"/>
          <w:szCs w:val="18"/>
          <w:lang w:val="en-US"/>
        </w:rPr>
        <w:t xml:space="preserve">s. ***,**,* means significance at </w:t>
      </w:r>
      <w:r w:rsidRPr="00781608">
        <w:rPr>
          <w:rFonts w:cs="Times New Roman"/>
          <w:sz w:val="18"/>
          <w:szCs w:val="18"/>
        </w:rPr>
        <w:sym w:font="Symbol" w:char="F061"/>
      </w:r>
      <w:r w:rsidRPr="00781608">
        <w:rPr>
          <w:rFonts w:cs="Times New Roman"/>
          <w:sz w:val="18"/>
          <w:szCs w:val="18"/>
          <w:lang w:val="en-US"/>
        </w:rPr>
        <w:t xml:space="preserve"> = 1%, 5%, 10% respectively.</w:t>
      </w:r>
      <w:r w:rsidR="00A852DF" w:rsidRPr="00781608">
        <w:rPr>
          <w:rFonts w:cs="Times New Roman"/>
          <w:sz w:val="18"/>
          <w:szCs w:val="18"/>
          <w:lang w:val="en-US"/>
        </w:rPr>
        <w:t xml:space="preserve"> </w:t>
      </w:r>
    </w:p>
    <w:p w:rsidR="00010DC9" w:rsidRPr="00781608" w:rsidRDefault="00010DC9" w:rsidP="00793364">
      <w:pPr>
        <w:spacing w:line="360" w:lineRule="auto"/>
        <w:jc w:val="both"/>
        <w:rPr>
          <w:rFonts w:cs="Times New Roman"/>
          <w:bCs/>
          <w:sz w:val="24"/>
          <w:szCs w:val="24"/>
          <w:lang w:val="en-US"/>
        </w:rPr>
      </w:pPr>
      <w:r w:rsidRPr="00781608">
        <w:rPr>
          <w:rFonts w:cs="Times New Roman"/>
          <w:bCs/>
          <w:sz w:val="24"/>
          <w:szCs w:val="24"/>
          <w:lang w:val="en-US"/>
        </w:rPr>
        <w:t>When looking solely at the effect of rating events, Moody’s shows significant effect for negative rating events. By controlling for Information availability this impact disappears,</w:t>
      </w:r>
      <w:r w:rsidR="004141CD" w:rsidRPr="00781608">
        <w:rPr>
          <w:rFonts w:cs="Times New Roman"/>
          <w:bCs/>
          <w:sz w:val="24"/>
          <w:szCs w:val="24"/>
          <w:lang w:val="en-US"/>
        </w:rPr>
        <w:t xml:space="preserve"> even</w:t>
      </w:r>
      <w:r w:rsidRPr="00781608">
        <w:rPr>
          <w:rFonts w:cs="Times New Roman"/>
          <w:bCs/>
          <w:sz w:val="24"/>
          <w:szCs w:val="24"/>
          <w:lang w:val="en-US"/>
        </w:rPr>
        <w:t xml:space="preserve"> </w:t>
      </w:r>
      <w:r w:rsidR="004141CD" w:rsidRPr="00781608">
        <w:rPr>
          <w:rFonts w:cs="Times New Roman"/>
          <w:bCs/>
          <w:sz w:val="24"/>
          <w:szCs w:val="24"/>
          <w:lang w:val="en-US"/>
        </w:rPr>
        <w:t xml:space="preserve">though </w:t>
      </w:r>
      <w:r w:rsidRPr="00781608">
        <w:rPr>
          <w:rFonts w:cs="Times New Roman"/>
          <w:bCs/>
          <w:sz w:val="24"/>
          <w:szCs w:val="24"/>
          <w:lang w:val="en-US"/>
        </w:rPr>
        <w:t xml:space="preserve">both variables are insignificant. If I then control for the crisis in the third model, Fitch shows significant results for negative rating events. </w:t>
      </w:r>
      <w:r w:rsidRPr="00781608">
        <w:rPr>
          <w:rFonts w:cs="Times New Roman"/>
          <w:bCs/>
          <w:sz w:val="24"/>
          <w:szCs w:val="24"/>
          <w:lang w:val="en-US"/>
        </w:rPr>
        <w:lastRenderedPageBreak/>
        <w:t>The dummy crisis is also highly significant. All other variables and dummies do not significantly differ from 0.</w:t>
      </w:r>
      <w:r w:rsidR="00A852DF" w:rsidRPr="00781608">
        <w:rPr>
          <w:rFonts w:cs="Times New Roman"/>
          <w:bCs/>
          <w:sz w:val="24"/>
          <w:szCs w:val="24"/>
          <w:lang w:val="en-US"/>
        </w:rPr>
        <w:t xml:space="preserve"> </w:t>
      </w:r>
    </w:p>
    <w:p w:rsidR="00793364" w:rsidRPr="00781608" w:rsidRDefault="00793364" w:rsidP="00793364">
      <w:pPr>
        <w:spacing w:line="360" w:lineRule="auto"/>
        <w:jc w:val="both"/>
        <w:rPr>
          <w:rFonts w:cs="Times New Roman"/>
          <w:bCs/>
          <w:sz w:val="24"/>
          <w:szCs w:val="24"/>
          <w:lang w:val="en-US"/>
        </w:rPr>
      </w:pPr>
      <w:r w:rsidRPr="00781608">
        <w:rPr>
          <w:rFonts w:cs="Times New Roman"/>
          <w:bCs/>
          <w:sz w:val="24"/>
          <w:szCs w:val="24"/>
          <w:lang w:val="en-US"/>
        </w:rPr>
        <w:t xml:space="preserve">When looking at the 5-year bond </w:t>
      </w:r>
      <w:r w:rsidR="004141CD" w:rsidRPr="00781608">
        <w:rPr>
          <w:rFonts w:cs="Times New Roman"/>
          <w:bCs/>
          <w:sz w:val="24"/>
          <w:szCs w:val="24"/>
          <w:lang w:val="en-US"/>
        </w:rPr>
        <w:t>spreads</w:t>
      </w:r>
      <w:r w:rsidRPr="00781608">
        <w:rPr>
          <w:rFonts w:cs="Times New Roman"/>
          <w:bCs/>
          <w:sz w:val="24"/>
          <w:szCs w:val="24"/>
          <w:lang w:val="en-US"/>
        </w:rPr>
        <w:t xml:space="preserve"> (Table </w:t>
      </w:r>
      <w:r w:rsidR="00742CD4" w:rsidRPr="00781608">
        <w:rPr>
          <w:rFonts w:cs="Times New Roman"/>
          <w:bCs/>
          <w:sz w:val="24"/>
          <w:szCs w:val="24"/>
          <w:lang w:val="en-US"/>
        </w:rPr>
        <w:t>6</w:t>
      </w:r>
      <w:r w:rsidRPr="00781608">
        <w:rPr>
          <w:rFonts w:cs="Times New Roman"/>
          <w:bCs/>
          <w:sz w:val="24"/>
          <w:szCs w:val="24"/>
          <w:lang w:val="en-US"/>
        </w:rPr>
        <w:t>.2)</w:t>
      </w:r>
      <w:r w:rsidR="004141CD" w:rsidRPr="00781608">
        <w:rPr>
          <w:rFonts w:cs="Times New Roman"/>
          <w:bCs/>
          <w:sz w:val="24"/>
          <w:szCs w:val="24"/>
          <w:lang w:val="en-US"/>
        </w:rPr>
        <w:t>, which is the maturity CRAs give their ratings for,</w:t>
      </w:r>
      <w:r w:rsidRPr="00781608">
        <w:rPr>
          <w:rFonts w:cs="Times New Roman"/>
          <w:bCs/>
          <w:sz w:val="24"/>
          <w:szCs w:val="24"/>
          <w:lang w:val="en-US"/>
        </w:rPr>
        <w:t xml:space="preserve"> in Model 1 it shows that all negative rating events have significant positive results at a </w:t>
      </w:r>
      <w:r w:rsidR="002C7277" w:rsidRPr="00781608">
        <w:rPr>
          <w:rFonts w:cs="Times New Roman"/>
          <w:bCs/>
          <w:sz w:val="24"/>
          <w:szCs w:val="24"/>
          <w:lang w:val="en-US"/>
        </w:rPr>
        <w:t>1%</w:t>
      </w:r>
      <w:r w:rsidRPr="00781608">
        <w:rPr>
          <w:rFonts w:cs="Times New Roman"/>
          <w:bCs/>
          <w:sz w:val="24"/>
          <w:szCs w:val="24"/>
          <w:lang w:val="en-US"/>
        </w:rPr>
        <w:t xml:space="preserve"> level. Positive rating events have, with the exception of Fitch, no significant impact. By controlling for information availability in Model 2, the impact of rating events remain</w:t>
      </w:r>
      <w:r w:rsidR="002C7277" w:rsidRPr="00781608">
        <w:rPr>
          <w:rFonts w:cs="Times New Roman"/>
          <w:bCs/>
          <w:sz w:val="24"/>
          <w:szCs w:val="24"/>
          <w:lang w:val="en-US"/>
        </w:rPr>
        <w:t>s</w:t>
      </w:r>
      <w:r w:rsidRPr="00781608">
        <w:rPr>
          <w:rFonts w:cs="Times New Roman"/>
          <w:bCs/>
          <w:sz w:val="24"/>
          <w:szCs w:val="24"/>
          <w:lang w:val="en-US"/>
        </w:rPr>
        <w:t xml:space="preserve"> significantly positive, although the size decreases. After including the crisis dummy in Model 3 there is a further decline in the size of the impact, even though the negative rating coefficients remain significant. </w:t>
      </w:r>
    </w:p>
    <w:p w:rsidR="00793364" w:rsidRPr="00781608" w:rsidRDefault="00746A83" w:rsidP="00910889">
      <w:pPr>
        <w:spacing w:after="0" w:line="360" w:lineRule="auto"/>
        <w:jc w:val="both"/>
        <w:rPr>
          <w:rFonts w:cs="Times New Roman"/>
          <w:bCs/>
          <w:sz w:val="24"/>
          <w:szCs w:val="24"/>
          <w:lang w:val="en-US"/>
        </w:rPr>
      </w:pPr>
      <w:r w:rsidRPr="00781608">
        <w:rPr>
          <w:rFonts w:cs="Times New Roman"/>
          <w:bCs/>
          <w:sz w:val="24"/>
          <w:szCs w:val="24"/>
          <w:lang w:val="en-US"/>
        </w:rPr>
        <w:t xml:space="preserve">TABLE </w:t>
      </w:r>
      <w:r w:rsidR="00742CD4" w:rsidRPr="00781608">
        <w:rPr>
          <w:rFonts w:cs="Times New Roman"/>
          <w:bCs/>
          <w:sz w:val="24"/>
          <w:szCs w:val="24"/>
          <w:lang w:val="en-US"/>
        </w:rPr>
        <w:t>6</w:t>
      </w:r>
      <w:r w:rsidRPr="00781608">
        <w:rPr>
          <w:rFonts w:cs="Times New Roman"/>
          <w:bCs/>
          <w:sz w:val="24"/>
          <w:szCs w:val="24"/>
          <w:lang w:val="en-US"/>
        </w:rPr>
        <w:t>.2: Sovereign 5-year yield spreads</w:t>
      </w:r>
    </w:p>
    <w:tbl>
      <w:tblPr>
        <w:tblStyle w:val="Lichtearcering1"/>
        <w:tblW w:w="0" w:type="auto"/>
        <w:tblLayout w:type="fixed"/>
        <w:tblLook w:val="04A0" w:firstRow="1" w:lastRow="0" w:firstColumn="1" w:lastColumn="0" w:noHBand="0" w:noVBand="1"/>
      </w:tblPr>
      <w:tblGrid>
        <w:gridCol w:w="1668"/>
        <w:gridCol w:w="708"/>
        <w:gridCol w:w="2127"/>
        <w:gridCol w:w="1984"/>
        <w:gridCol w:w="1985"/>
      </w:tblGrid>
      <w:tr w:rsidR="006A69C4" w:rsidRPr="00781608" w:rsidTr="00922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69C4" w:rsidRPr="00781608" w:rsidRDefault="006A69C4" w:rsidP="005E2CD5">
            <w:pPr>
              <w:jc w:val="both"/>
              <w:rPr>
                <w:rFonts w:cs="Times New Roman"/>
                <w:bCs w:val="0"/>
                <w:color w:val="auto"/>
                <w:sz w:val="22"/>
                <w:szCs w:val="22"/>
              </w:rPr>
            </w:pPr>
            <w:r w:rsidRPr="00781608">
              <w:rPr>
                <w:rFonts w:cs="Times New Roman"/>
                <w:bCs w:val="0"/>
                <w:color w:val="auto"/>
                <w:sz w:val="22"/>
                <w:szCs w:val="22"/>
              </w:rPr>
              <w:t>Variable</w:t>
            </w:r>
          </w:p>
        </w:tc>
        <w:tc>
          <w:tcPr>
            <w:tcW w:w="708" w:type="dxa"/>
          </w:tcPr>
          <w:p w:rsidR="006A69C4" w:rsidRPr="00781608" w:rsidRDefault="006A69C4" w:rsidP="005E2CD5">
            <w:pPr>
              <w:jc w:val="both"/>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CRA</w:t>
            </w:r>
          </w:p>
        </w:tc>
        <w:tc>
          <w:tcPr>
            <w:tcW w:w="2127" w:type="dxa"/>
          </w:tcPr>
          <w:p w:rsidR="006A69C4" w:rsidRPr="00781608" w:rsidRDefault="006A69C4"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c>
          <w:tcPr>
            <w:tcW w:w="1984" w:type="dxa"/>
          </w:tcPr>
          <w:p w:rsidR="006A69C4" w:rsidRPr="00781608" w:rsidRDefault="006A69C4"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c>
          <w:tcPr>
            <w:tcW w:w="1985" w:type="dxa"/>
          </w:tcPr>
          <w:p w:rsidR="006A69C4" w:rsidRPr="00781608" w:rsidRDefault="006A69C4"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4" w:space="0" w:color="auto"/>
            </w:tcBorders>
          </w:tcPr>
          <w:p w:rsidR="006A69C4" w:rsidRPr="00781608" w:rsidRDefault="006A69C4" w:rsidP="005E2CD5">
            <w:pPr>
              <w:jc w:val="both"/>
              <w:rPr>
                <w:rFonts w:cs="Times New Roman"/>
                <w:b w:val="0"/>
                <w:bCs w:val="0"/>
                <w:color w:val="auto"/>
                <w:sz w:val="22"/>
                <w:szCs w:val="22"/>
              </w:rPr>
            </w:pPr>
          </w:p>
        </w:tc>
        <w:tc>
          <w:tcPr>
            <w:tcW w:w="708" w:type="dxa"/>
            <w:tcBorders>
              <w:top w:val="single" w:sz="8" w:space="0" w:color="000000" w:themeColor="text1"/>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p>
        </w:tc>
        <w:tc>
          <w:tcPr>
            <w:tcW w:w="2127" w:type="dxa"/>
            <w:tcBorders>
              <w:top w:val="single" w:sz="8" w:space="0" w:color="000000" w:themeColor="text1"/>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1</w:t>
            </w:r>
          </w:p>
        </w:tc>
        <w:tc>
          <w:tcPr>
            <w:tcW w:w="1984" w:type="dxa"/>
            <w:tcBorders>
              <w:top w:val="single" w:sz="8" w:space="0" w:color="000000" w:themeColor="text1"/>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2</w:t>
            </w:r>
          </w:p>
        </w:tc>
        <w:tc>
          <w:tcPr>
            <w:tcW w:w="1985" w:type="dxa"/>
            <w:tcBorders>
              <w:top w:val="single" w:sz="8" w:space="0" w:color="000000" w:themeColor="text1"/>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3</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6A69C4" w:rsidRPr="00781608" w:rsidRDefault="006A69C4" w:rsidP="00922667">
            <w:pPr>
              <w:jc w:val="both"/>
              <w:rPr>
                <w:rFonts w:cs="Times New Roman"/>
                <w:b w:val="0"/>
                <w:bCs w:val="0"/>
                <w:color w:val="auto"/>
                <w:sz w:val="22"/>
                <w:szCs w:val="22"/>
              </w:rPr>
            </w:pPr>
            <w:r w:rsidRPr="00781608">
              <w:rPr>
                <w:rFonts w:cs="Times New Roman"/>
                <w:b w:val="0"/>
                <w:bCs w:val="0"/>
                <w:color w:val="auto"/>
                <w:sz w:val="22"/>
                <w:szCs w:val="22"/>
              </w:rPr>
              <w:t>P</w:t>
            </w:r>
            <w:r w:rsidR="00922667" w:rsidRPr="00781608">
              <w:rPr>
                <w:rFonts w:cs="Times New Roman"/>
                <w:b w:val="0"/>
                <w:bCs w:val="0"/>
                <w:color w:val="auto"/>
                <w:sz w:val="22"/>
                <w:szCs w:val="22"/>
              </w:rPr>
              <w:t>ositive</w:t>
            </w:r>
            <w:r w:rsidRPr="00781608">
              <w:rPr>
                <w:rFonts w:cs="Times New Roman"/>
                <w:b w:val="0"/>
                <w:bCs w:val="0"/>
                <w:color w:val="auto"/>
                <w:sz w:val="22"/>
                <w:szCs w:val="22"/>
              </w:rPr>
              <w:t xml:space="preserve"> </w:t>
            </w:r>
            <w:r w:rsidR="00922667" w:rsidRPr="00781608">
              <w:rPr>
                <w:rFonts w:cs="Times New Roman"/>
                <w:b w:val="0"/>
                <w:bCs w:val="0"/>
                <w:color w:val="auto"/>
                <w:sz w:val="22"/>
                <w:szCs w:val="22"/>
              </w:rPr>
              <w:t>r</w:t>
            </w:r>
            <w:r w:rsidRPr="00781608">
              <w:rPr>
                <w:rFonts w:cs="Times New Roman"/>
                <w:b w:val="0"/>
                <w:bCs w:val="0"/>
                <w:color w:val="auto"/>
                <w:sz w:val="22"/>
                <w:szCs w:val="22"/>
              </w:rPr>
              <w:t>ating event</w:t>
            </w:r>
          </w:p>
        </w:tc>
        <w:tc>
          <w:tcPr>
            <w:tcW w:w="708" w:type="dxa"/>
            <w:tcBorders>
              <w:top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F</w:t>
            </w:r>
          </w:p>
        </w:tc>
        <w:tc>
          <w:tcPr>
            <w:tcW w:w="2127"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-0.322*</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(-2.155)</w:t>
            </w:r>
          </w:p>
        </w:tc>
        <w:tc>
          <w:tcPr>
            <w:tcW w:w="1984"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-0.242</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(-1.488)</w:t>
            </w:r>
          </w:p>
        </w:tc>
        <w:tc>
          <w:tcPr>
            <w:tcW w:w="1985"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-0.098</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(-0.656)</w:t>
            </w:r>
          </w:p>
        </w:tc>
      </w:tr>
      <w:tr w:rsidR="006A69C4" w:rsidRPr="00781608" w:rsidTr="005E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69C4" w:rsidRPr="00781608" w:rsidRDefault="006A69C4" w:rsidP="005E2CD5">
            <w:pPr>
              <w:jc w:val="both"/>
              <w:rPr>
                <w:rFonts w:cs="Times New Roman"/>
                <w:b w:val="0"/>
                <w:bCs w:val="0"/>
                <w:color w:val="auto"/>
                <w:sz w:val="22"/>
                <w:szCs w:val="22"/>
              </w:rPr>
            </w:pPr>
          </w:p>
        </w:tc>
        <w:tc>
          <w:tcPr>
            <w:tcW w:w="708" w:type="dxa"/>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w:t>
            </w:r>
          </w:p>
        </w:tc>
        <w:tc>
          <w:tcPr>
            <w:tcW w:w="2127"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-0.296</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bCs/>
                <w:color w:val="auto"/>
                <w:sz w:val="20"/>
                <w:szCs w:val="20"/>
              </w:rPr>
              <w:t>(-1.427)</w:t>
            </w:r>
          </w:p>
        </w:tc>
        <w:tc>
          <w:tcPr>
            <w:tcW w:w="1984"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0.001</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(0.003)</w:t>
            </w:r>
          </w:p>
        </w:tc>
        <w:tc>
          <w:tcPr>
            <w:tcW w:w="1985"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0.097</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(0.366)</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6A69C4" w:rsidRPr="00781608" w:rsidRDefault="006A69C4" w:rsidP="005E2CD5">
            <w:pPr>
              <w:jc w:val="both"/>
              <w:rPr>
                <w:rFonts w:cs="Times New Roman"/>
                <w:b w:val="0"/>
                <w:bCs w:val="0"/>
                <w:color w:val="auto"/>
                <w:sz w:val="22"/>
                <w:szCs w:val="22"/>
              </w:rPr>
            </w:pPr>
          </w:p>
        </w:tc>
        <w:tc>
          <w:tcPr>
            <w:tcW w:w="708" w:type="dxa"/>
            <w:tcBorders>
              <w:bottom w:val="nil"/>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SP</w:t>
            </w:r>
          </w:p>
        </w:tc>
        <w:tc>
          <w:tcPr>
            <w:tcW w:w="2127"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-0.026</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bCs/>
                <w:color w:val="auto"/>
                <w:sz w:val="20"/>
                <w:szCs w:val="20"/>
              </w:rPr>
              <w:t>(-0.104)</w:t>
            </w:r>
          </w:p>
        </w:tc>
        <w:tc>
          <w:tcPr>
            <w:tcW w:w="1984"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-0.049</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(-0.179)</w:t>
            </w:r>
          </w:p>
        </w:tc>
        <w:tc>
          <w:tcPr>
            <w:tcW w:w="1985"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0.041</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(0.147)</w:t>
            </w: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tcPr>
          <w:p w:rsidR="006A69C4" w:rsidRPr="00781608" w:rsidRDefault="006A69C4" w:rsidP="005E2CD5">
            <w:pPr>
              <w:jc w:val="both"/>
              <w:rPr>
                <w:rFonts w:cs="Times New Roman"/>
                <w:b w:val="0"/>
                <w:bCs w:val="0"/>
                <w:color w:val="auto"/>
                <w:sz w:val="22"/>
                <w:szCs w:val="22"/>
              </w:rPr>
            </w:pPr>
          </w:p>
        </w:tc>
        <w:tc>
          <w:tcPr>
            <w:tcW w:w="708" w:type="dxa"/>
            <w:tcBorders>
              <w:top w:val="nil"/>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-0.187</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bCs/>
                <w:color w:val="auto"/>
                <w:sz w:val="20"/>
                <w:szCs w:val="20"/>
              </w:rPr>
              <w:t>(-1.286)</w:t>
            </w:r>
          </w:p>
        </w:tc>
        <w:tc>
          <w:tcPr>
            <w:tcW w:w="1984"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-0.072</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(-0.390)</w:t>
            </w:r>
          </w:p>
        </w:tc>
        <w:tc>
          <w:tcPr>
            <w:tcW w:w="1985"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0.039</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(0.196)</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6A69C4" w:rsidRPr="00781608" w:rsidRDefault="006A69C4" w:rsidP="00922667">
            <w:pPr>
              <w:jc w:val="both"/>
              <w:rPr>
                <w:rFonts w:cs="Times New Roman"/>
                <w:b w:val="0"/>
                <w:bCs w:val="0"/>
                <w:color w:val="auto"/>
                <w:sz w:val="22"/>
                <w:szCs w:val="22"/>
              </w:rPr>
            </w:pPr>
            <w:r w:rsidRPr="00781608">
              <w:rPr>
                <w:rFonts w:cs="Times New Roman"/>
                <w:b w:val="0"/>
                <w:bCs w:val="0"/>
                <w:color w:val="auto"/>
                <w:sz w:val="22"/>
                <w:szCs w:val="22"/>
              </w:rPr>
              <w:t>N</w:t>
            </w:r>
            <w:r w:rsidR="00922667" w:rsidRPr="00781608">
              <w:rPr>
                <w:rFonts w:cs="Times New Roman"/>
                <w:b w:val="0"/>
                <w:bCs w:val="0"/>
                <w:color w:val="auto"/>
                <w:sz w:val="22"/>
                <w:szCs w:val="22"/>
              </w:rPr>
              <w:t>egative</w:t>
            </w:r>
            <w:r w:rsidRPr="00781608">
              <w:rPr>
                <w:rFonts w:cs="Times New Roman"/>
                <w:b w:val="0"/>
                <w:bCs w:val="0"/>
                <w:color w:val="auto"/>
                <w:sz w:val="22"/>
                <w:szCs w:val="22"/>
              </w:rPr>
              <w:t xml:space="preserve"> </w:t>
            </w:r>
            <w:r w:rsidR="00922667" w:rsidRPr="00781608">
              <w:rPr>
                <w:rFonts w:cs="Times New Roman"/>
                <w:b w:val="0"/>
                <w:bCs w:val="0"/>
                <w:color w:val="auto"/>
                <w:sz w:val="22"/>
                <w:szCs w:val="22"/>
              </w:rPr>
              <w:t>r</w:t>
            </w:r>
            <w:r w:rsidRPr="00781608">
              <w:rPr>
                <w:rFonts w:cs="Times New Roman"/>
                <w:b w:val="0"/>
                <w:bCs w:val="0"/>
                <w:color w:val="auto"/>
                <w:sz w:val="22"/>
                <w:szCs w:val="22"/>
              </w:rPr>
              <w:t>ating event</w:t>
            </w:r>
          </w:p>
        </w:tc>
        <w:tc>
          <w:tcPr>
            <w:tcW w:w="708" w:type="dxa"/>
            <w:tcBorders>
              <w:top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F</w:t>
            </w:r>
          </w:p>
        </w:tc>
        <w:tc>
          <w:tcPr>
            <w:tcW w:w="2127"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1.570***</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(5.966)</w:t>
            </w:r>
          </w:p>
        </w:tc>
        <w:tc>
          <w:tcPr>
            <w:tcW w:w="1984"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1.517***</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(6.319)</w:t>
            </w:r>
          </w:p>
        </w:tc>
        <w:tc>
          <w:tcPr>
            <w:tcW w:w="1985"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1.225***</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(6.130)</w:t>
            </w:r>
          </w:p>
        </w:tc>
      </w:tr>
      <w:tr w:rsidR="006A69C4" w:rsidRPr="00781608" w:rsidTr="005E2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69C4" w:rsidRPr="00781608" w:rsidRDefault="006A69C4" w:rsidP="005E2CD5">
            <w:pPr>
              <w:jc w:val="both"/>
              <w:rPr>
                <w:rFonts w:cs="Times New Roman"/>
                <w:b w:val="0"/>
                <w:bCs w:val="0"/>
                <w:color w:val="auto"/>
                <w:sz w:val="22"/>
                <w:szCs w:val="22"/>
              </w:rPr>
            </w:pPr>
          </w:p>
        </w:tc>
        <w:tc>
          <w:tcPr>
            <w:tcW w:w="708" w:type="dxa"/>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w:t>
            </w:r>
          </w:p>
        </w:tc>
        <w:tc>
          <w:tcPr>
            <w:tcW w:w="2127"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1.428***</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(3.975)</w:t>
            </w:r>
          </w:p>
        </w:tc>
        <w:tc>
          <w:tcPr>
            <w:tcW w:w="1984"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1.330***</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(3.724)</w:t>
            </w:r>
          </w:p>
        </w:tc>
        <w:tc>
          <w:tcPr>
            <w:tcW w:w="1985"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1.003***</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(3.070)</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6A69C4" w:rsidRPr="00781608" w:rsidRDefault="006A69C4" w:rsidP="005E2CD5">
            <w:pPr>
              <w:jc w:val="both"/>
              <w:rPr>
                <w:rFonts w:cs="Times New Roman"/>
                <w:b w:val="0"/>
                <w:bCs w:val="0"/>
                <w:color w:val="auto"/>
                <w:sz w:val="22"/>
                <w:szCs w:val="22"/>
              </w:rPr>
            </w:pPr>
          </w:p>
        </w:tc>
        <w:tc>
          <w:tcPr>
            <w:tcW w:w="708" w:type="dxa"/>
            <w:tcBorders>
              <w:bottom w:val="nil"/>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SP</w:t>
            </w:r>
          </w:p>
        </w:tc>
        <w:tc>
          <w:tcPr>
            <w:tcW w:w="2127"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1.500***</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(3.980)</w:t>
            </w:r>
          </w:p>
        </w:tc>
        <w:tc>
          <w:tcPr>
            <w:tcW w:w="1984"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1.249***</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(3.447)</w:t>
            </w:r>
          </w:p>
        </w:tc>
        <w:tc>
          <w:tcPr>
            <w:tcW w:w="1985"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0.964***</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(3.146)</w:t>
            </w: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tcPr>
          <w:p w:rsidR="006A69C4" w:rsidRPr="00781608" w:rsidRDefault="006A69C4" w:rsidP="005E2CD5">
            <w:pPr>
              <w:jc w:val="both"/>
              <w:rPr>
                <w:rFonts w:cs="Times New Roman"/>
                <w:b w:val="0"/>
                <w:bCs w:val="0"/>
                <w:color w:val="auto"/>
                <w:sz w:val="22"/>
                <w:szCs w:val="22"/>
              </w:rPr>
            </w:pPr>
          </w:p>
        </w:tc>
        <w:tc>
          <w:tcPr>
            <w:tcW w:w="708" w:type="dxa"/>
            <w:tcBorders>
              <w:top w:val="nil"/>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1.289***</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(3.759)</w:t>
            </w:r>
          </w:p>
        </w:tc>
        <w:tc>
          <w:tcPr>
            <w:tcW w:w="1984"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1.196***</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(3.715)</w:t>
            </w:r>
          </w:p>
        </w:tc>
        <w:tc>
          <w:tcPr>
            <w:tcW w:w="1985"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0.916***</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(3.418)</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6A69C4" w:rsidRPr="00781608" w:rsidRDefault="006A69C4" w:rsidP="005E2CD5">
            <w:pPr>
              <w:jc w:val="both"/>
              <w:rPr>
                <w:rFonts w:cs="Times New Roman"/>
                <w:b w:val="0"/>
                <w:bCs w:val="0"/>
                <w:color w:val="auto"/>
                <w:sz w:val="22"/>
                <w:szCs w:val="22"/>
              </w:rPr>
            </w:pPr>
            <w:r w:rsidRPr="00781608">
              <w:rPr>
                <w:rFonts w:cs="Times New Roman"/>
                <w:b w:val="0"/>
                <w:bCs w:val="0"/>
                <w:color w:val="auto"/>
                <w:sz w:val="22"/>
                <w:szCs w:val="22"/>
              </w:rPr>
              <w:t>Transparency</w:t>
            </w:r>
          </w:p>
        </w:tc>
        <w:tc>
          <w:tcPr>
            <w:tcW w:w="708" w:type="dxa"/>
            <w:tcBorders>
              <w:top w:val="single" w:sz="4" w:space="0" w:color="auto"/>
              <w:bottom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single" w:sz="4" w:space="0" w:color="auto"/>
              <w:bottom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984" w:type="dxa"/>
            <w:tcBorders>
              <w:top w:val="single" w:sz="4" w:space="0" w:color="auto"/>
              <w:bottom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-0.009</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(-0.068)</w:t>
            </w:r>
          </w:p>
        </w:tc>
        <w:tc>
          <w:tcPr>
            <w:tcW w:w="1985" w:type="dxa"/>
            <w:tcBorders>
              <w:top w:val="single" w:sz="4" w:space="0" w:color="auto"/>
              <w:bottom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0.013</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(.162)</w:t>
            </w: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6A69C4" w:rsidRPr="00781608" w:rsidRDefault="006A69C4" w:rsidP="005E2CD5">
            <w:pPr>
              <w:jc w:val="both"/>
              <w:rPr>
                <w:rFonts w:cs="Times New Roman"/>
                <w:b w:val="0"/>
                <w:bCs w:val="0"/>
                <w:color w:val="auto"/>
                <w:sz w:val="22"/>
                <w:szCs w:val="22"/>
              </w:rPr>
            </w:pPr>
            <w:r w:rsidRPr="00781608">
              <w:rPr>
                <w:rFonts w:cs="Times New Roman"/>
                <w:b w:val="0"/>
                <w:bCs w:val="0"/>
                <w:color w:val="auto"/>
                <w:sz w:val="22"/>
                <w:szCs w:val="22"/>
              </w:rPr>
              <w:t>Press</w:t>
            </w:r>
          </w:p>
        </w:tc>
        <w:tc>
          <w:tcPr>
            <w:tcW w:w="708" w:type="dxa"/>
            <w:tcBorders>
              <w:top w:val="single" w:sz="4" w:space="0" w:color="auto"/>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single" w:sz="4" w:space="0" w:color="auto"/>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c>
          <w:tcPr>
            <w:tcW w:w="1984" w:type="dxa"/>
            <w:tcBorders>
              <w:top w:val="single" w:sz="4" w:space="0" w:color="auto"/>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0.055**</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(2.131)</w:t>
            </w:r>
          </w:p>
        </w:tc>
        <w:tc>
          <w:tcPr>
            <w:tcW w:w="1985" w:type="dxa"/>
            <w:tcBorders>
              <w:top w:val="single" w:sz="4" w:space="0" w:color="auto"/>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0.039*</w:t>
            </w:r>
          </w:p>
          <w:p w:rsidR="00445CC1" w:rsidRPr="00781608" w:rsidRDefault="00445CC1"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(1.671)</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6A69C4" w:rsidRPr="00781608" w:rsidRDefault="006A69C4" w:rsidP="005E2CD5">
            <w:pPr>
              <w:jc w:val="both"/>
              <w:rPr>
                <w:rFonts w:cs="Times New Roman"/>
                <w:b w:val="0"/>
                <w:bCs w:val="0"/>
                <w:color w:val="auto"/>
                <w:sz w:val="22"/>
                <w:szCs w:val="22"/>
              </w:rPr>
            </w:pPr>
            <w:r w:rsidRPr="00781608">
              <w:rPr>
                <w:rFonts w:cs="Times New Roman"/>
                <w:b w:val="0"/>
                <w:bCs w:val="0"/>
                <w:color w:val="auto"/>
                <w:sz w:val="22"/>
                <w:szCs w:val="22"/>
              </w:rPr>
              <w:t>Crisis</w:t>
            </w:r>
          </w:p>
        </w:tc>
        <w:tc>
          <w:tcPr>
            <w:tcW w:w="708" w:type="dxa"/>
            <w:tcBorders>
              <w:top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984"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985"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0.815***</w:t>
            </w:r>
          </w:p>
          <w:p w:rsidR="00445CC1" w:rsidRPr="00781608" w:rsidRDefault="00445CC1"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(2.770)</w:t>
            </w:r>
          </w:p>
        </w:tc>
      </w:tr>
    </w:tbl>
    <w:p w:rsidR="009F0F85" w:rsidRPr="00781608" w:rsidRDefault="00793364" w:rsidP="005D7587">
      <w:pPr>
        <w:spacing w:line="240" w:lineRule="auto"/>
        <w:jc w:val="both"/>
        <w:rPr>
          <w:rFonts w:cs="Times New Roman"/>
          <w:bCs/>
          <w:sz w:val="24"/>
          <w:szCs w:val="24"/>
          <w:lang w:val="en-US"/>
        </w:rPr>
      </w:pPr>
      <w:r w:rsidRPr="00781608">
        <w:rPr>
          <w:rFonts w:cs="Times New Roman"/>
          <w:sz w:val="18"/>
          <w:szCs w:val="18"/>
          <w:lang w:val="en-US"/>
        </w:rPr>
        <w:t xml:space="preserve">Note: </w:t>
      </w:r>
      <w:r w:rsidR="00927E7A" w:rsidRPr="00781608">
        <w:rPr>
          <w:rFonts w:cs="Times New Roman"/>
          <w:sz w:val="18"/>
          <w:szCs w:val="18"/>
          <w:lang w:val="en-US"/>
        </w:rPr>
        <w:t>The numbers in brackets represent the t-statistics.</w:t>
      </w:r>
      <w:r w:rsidRPr="00781608">
        <w:rPr>
          <w:rFonts w:cs="Times New Roman"/>
          <w:sz w:val="18"/>
          <w:szCs w:val="18"/>
          <w:lang w:val="en-US"/>
        </w:rPr>
        <w:t xml:space="preserve"> Here totals are given for upgrades (downgra</w:t>
      </w:r>
      <w:r w:rsidR="000732A3" w:rsidRPr="00781608">
        <w:rPr>
          <w:rFonts w:cs="Times New Roman"/>
          <w:sz w:val="18"/>
          <w:szCs w:val="18"/>
          <w:lang w:val="en-US"/>
        </w:rPr>
        <w:t>des), outlook changes and watch</w:t>
      </w:r>
      <w:r w:rsidRPr="00781608">
        <w:rPr>
          <w:rFonts w:cs="Times New Roman"/>
          <w:sz w:val="18"/>
          <w:szCs w:val="18"/>
          <w:lang w:val="en-US"/>
        </w:rPr>
        <w:t xml:space="preserve">list announcements combined for sovereign 5-year </w:t>
      </w:r>
      <w:r w:rsidR="00630CFF">
        <w:rPr>
          <w:rFonts w:cs="Times New Roman"/>
          <w:sz w:val="18"/>
          <w:szCs w:val="18"/>
          <w:lang w:val="en-US"/>
        </w:rPr>
        <w:t>spreads</w:t>
      </w:r>
      <w:r w:rsidRPr="00781608">
        <w:rPr>
          <w:rFonts w:cs="Times New Roman"/>
          <w:sz w:val="18"/>
          <w:szCs w:val="18"/>
          <w:lang w:val="en-US"/>
        </w:rPr>
        <w:t xml:space="preserve">. ***,**,* means significance at </w:t>
      </w:r>
      <w:r w:rsidRPr="00781608">
        <w:rPr>
          <w:rFonts w:cs="Times New Roman"/>
          <w:sz w:val="18"/>
          <w:szCs w:val="18"/>
        </w:rPr>
        <w:sym w:font="Symbol" w:char="F061"/>
      </w:r>
      <w:r w:rsidRPr="00781608">
        <w:rPr>
          <w:rFonts w:cs="Times New Roman"/>
          <w:sz w:val="18"/>
          <w:szCs w:val="18"/>
          <w:lang w:val="en-US"/>
        </w:rPr>
        <w:t xml:space="preserve"> = 1%, 5%, 10% respectively.</w:t>
      </w:r>
      <w:r w:rsidR="009F0F85" w:rsidRPr="00781608">
        <w:rPr>
          <w:rFonts w:cs="Times New Roman"/>
          <w:bCs/>
          <w:sz w:val="24"/>
          <w:szCs w:val="24"/>
          <w:lang w:val="en-US"/>
        </w:rPr>
        <w:t xml:space="preserve"> </w:t>
      </w:r>
    </w:p>
    <w:p w:rsidR="00AE088F" w:rsidRPr="00781608" w:rsidRDefault="00AE088F" w:rsidP="00927E7A">
      <w:pPr>
        <w:spacing w:line="360" w:lineRule="auto"/>
        <w:jc w:val="both"/>
        <w:rPr>
          <w:rFonts w:cs="Times New Roman"/>
          <w:bCs/>
          <w:sz w:val="24"/>
          <w:szCs w:val="24"/>
          <w:lang w:val="en-US"/>
        </w:rPr>
      </w:pPr>
      <w:r w:rsidRPr="00781608">
        <w:rPr>
          <w:rFonts w:cs="Times New Roman"/>
          <w:bCs/>
          <w:sz w:val="24"/>
          <w:szCs w:val="24"/>
          <w:lang w:val="en-US"/>
        </w:rPr>
        <w:t xml:space="preserve">The transparency variable is insignificant but the coefficient for freedom of press is significant at a </w:t>
      </w:r>
      <w:r w:rsidR="002C7277" w:rsidRPr="00781608">
        <w:rPr>
          <w:rFonts w:cs="Times New Roman"/>
          <w:bCs/>
          <w:sz w:val="24"/>
          <w:szCs w:val="24"/>
          <w:lang w:val="en-US"/>
        </w:rPr>
        <w:t>10%</w:t>
      </w:r>
      <w:r w:rsidRPr="00781608">
        <w:rPr>
          <w:rFonts w:cs="Times New Roman"/>
          <w:bCs/>
          <w:sz w:val="24"/>
          <w:szCs w:val="24"/>
          <w:lang w:val="en-US"/>
        </w:rPr>
        <w:t xml:space="preserve"> level. Again, the crisis dummy is highly significant at </w:t>
      </w:r>
      <w:r w:rsidR="002C7277" w:rsidRPr="00781608">
        <w:rPr>
          <w:rFonts w:cs="Times New Roman"/>
          <w:bCs/>
          <w:sz w:val="24"/>
          <w:szCs w:val="24"/>
          <w:lang w:val="en-US"/>
        </w:rPr>
        <w:t>a 1</w:t>
      </w:r>
      <w:r w:rsidRPr="00781608">
        <w:rPr>
          <w:rFonts w:cs="Times New Roman"/>
          <w:bCs/>
          <w:sz w:val="24"/>
          <w:szCs w:val="24"/>
          <w:lang w:val="en-US"/>
        </w:rPr>
        <w:t>%</w:t>
      </w:r>
      <w:r w:rsidR="002C7277" w:rsidRPr="00781608">
        <w:rPr>
          <w:rFonts w:cs="Times New Roman"/>
          <w:bCs/>
          <w:sz w:val="24"/>
          <w:szCs w:val="24"/>
          <w:lang w:val="en-US"/>
        </w:rPr>
        <w:t xml:space="preserve"> level</w:t>
      </w:r>
      <w:r w:rsidRPr="00781608">
        <w:rPr>
          <w:rFonts w:cs="Times New Roman"/>
          <w:bCs/>
          <w:sz w:val="24"/>
          <w:szCs w:val="24"/>
          <w:lang w:val="en-US"/>
        </w:rPr>
        <w:t>. Positive rating events remain insignificant.</w:t>
      </w:r>
    </w:p>
    <w:p w:rsidR="00927E7A" w:rsidRPr="00781608" w:rsidRDefault="00927E7A" w:rsidP="00927E7A">
      <w:pPr>
        <w:spacing w:line="360" w:lineRule="auto"/>
        <w:jc w:val="both"/>
        <w:rPr>
          <w:rFonts w:cs="Times New Roman"/>
          <w:bCs/>
          <w:sz w:val="24"/>
          <w:szCs w:val="24"/>
          <w:lang w:val="en-US"/>
        </w:rPr>
      </w:pPr>
      <w:r w:rsidRPr="00781608">
        <w:rPr>
          <w:rFonts w:cs="Times New Roman"/>
          <w:bCs/>
          <w:sz w:val="24"/>
          <w:szCs w:val="24"/>
          <w:lang w:val="en-US"/>
        </w:rPr>
        <w:lastRenderedPageBreak/>
        <w:t xml:space="preserve">For the 10-year </w:t>
      </w:r>
      <w:r w:rsidR="004141CD" w:rsidRPr="00781608">
        <w:rPr>
          <w:rFonts w:cs="Times New Roman"/>
          <w:bCs/>
          <w:sz w:val="24"/>
          <w:szCs w:val="24"/>
          <w:lang w:val="en-US"/>
        </w:rPr>
        <w:t>spreads</w:t>
      </w:r>
      <w:r w:rsidRPr="00781608">
        <w:rPr>
          <w:rFonts w:cs="Times New Roman"/>
          <w:bCs/>
          <w:sz w:val="24"/>
          <w:szCs w:val="24"/>
          <w:lang w:val="en-US"/>
        </w:rPr>
        <w:t xml:space="preserve"> (Table </w:t>
      </w:r>
      <w:r w:rsidR="00742CD4" w:rsidRPr="00781608">
        <w:rPr>
          <w:rFonts w:cs="Times New Roman"/>
          <w:bCs/>
          <w:sz w:val="24"/>
          <w:szCs w:val="24"/>
          <w:lang w:val="en-US"/>
        </w:rPr>
        <w:t>6</w:t>
      </w:r>
      <w:r w:rsidRPr="00781608">
        <w:rPr>
          <w:rFonts w:cs="Times New Roman"/>
          <w:bCs/>
          <w:sz w:val="24"/>
          <w:szCs w:val="24"/>
          <w:lang w:val="en-US"/>
        </w:rPr>
        <w:t xml:space="preserve">.3), results show an initial significance for negative rating events by Moody’s and S&amp;P in Model 1. This effect disappears after controlling for information availability and by including a crisis dummy. In Model 3 only the dummy for the crisis is significant at a </w:t>
      </w:r>
      <w:r w:rsidR="002C7277" w:rsidRPr="00781608">
        <w:rPr>
          <w:rFonts w:cs="Times New Roman"/>
          <w:bCs/>
          <w:sz w:val="24"/>
          <w:szCs w:val="24"/>
          <w:lang w:val="en-US"/>
        </w:rPr>
        <w:t>1%</w:t>
      </w:r>
      <w:r w:rsidRPr="00781608">
        <w:rPr>
          <w:rFonts w:cs="Times New Roman"/>
          <w:bCs/>
          <w:sz w:val="24"/>
          <w:szCs w:val="24"/>
          <w:lang w:val="en-US"/>
        </w:rPr>
        <w:t xml:space="preserve"> level. All other variables and dummies become and/or remain insignificant. </w:t>
      </w:r>
    </w:p>
    <w:p w:rsidR="009F0F85" w:rsidRPr="00781608" w:rsidRDefault="00746A83" w:rsidP="009F0F85">
      <w:pPr>
        <w:spacing w:after="0" w:line="360" w:lineRule="auto"/>
        <w:jc w:val="both"/>
        <w:rPr>
          <w:rFonts w:cs="Times New Roman"/>
          <w:bCs/>
          <w:sz w:val="24"/>
          <w:szCs w:val="24"/>
          <w:lang w:val="en-US"/>
        </w:rPr>
      </w:pPr>
      <w:r w:rsidRPr="00781608">
        <w:rPr>
          <w:rFonts w:cs="Times New Roman"/>
          <w:bCs/>
          <w:sz w:val="24"/>
          <w:szCs w:val="24"/>
          <w:lang w:val="en-US"/>
        </w:rPr>
        <w:t xml:space="preserve">TABLE </w:t>
      </w:r>
      <w:r w:rsidR="00742CD4" w:rsidRPr="00781608">
        <w:rPr>
          <w:rFonts w:cs="Times New Roman"/>
          <w:bCs/>
          <w:sz w:val="24"/>
          <w:szCs w:val="24"/>
          <w:lang w:val="en-US"/>
        </w:rPr>
        <w:t>6</w:t>
      </w:r>
      <w:r w:rsidRPr="00781608">
        <w:rPr>
          <w:rFonts w:cs="Times New Roman"/>
          <w:bCs/>
          <w:sz w:val="24"/>
          <w:szCs w:val="24"/>
          <w:lang w:val="en-US"/>
        </w:rPr>
        <w:t>.3: Sovereign 10-year yield spreads</w:t>
      </w:r>
    </w:p>
    <w:tbl>
      <w:tblPr>
        <w:tblStyle w:val="Lichtearcering1"/>
        <w:tblpPr w:leftFromText="141" w:rightFromText="141" w:vertAnchor="text" w:horzAnchor="margin" w:tblpY="32"/>
        <w:tblW w:w="0" w:type="auto"/>
        <w:tblLayout w:type="fixed"/>
        <w:tblLook w:val="04A0" w:firstRow="1" w:lastRow="0" w:firstColumn="1" w:lastColumn="0" w:noHBand="0" w:noVBand="1"/>
      </w:tblPr>
      <w:tblGrid>
        <w:gridCol w:w="1668"/>
        <w:gridCol w:w="708"/>
        <w:gridCol w:w="2127"/>
        <w:gridCol w:w="1984"/>
        <w:gridCol w:w="1985"/>
      </w:tblGrid>
      <w:tr w:rsidR="006A69C4" w:rsidRPr="00781608" w:rsidTr="00922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69C4" w:rsidRPr="00781608" w:rsidRDefault="006A69C4" w:rsidP="005E2CD5">
            <w:pPr>
              <w:jc w:val="both"/>
              <w:rPr>
                <w:rFonts w:cs="Times New Roman"/>
                <w:bCs w:val="0"/>
                <w:color w:val="auto"/>
                <w:sz w:val="22"/>
                <w:szCs w:val="22"/>
              </w:rPr>
            </w:pPr>
            <w:r w:rsidRPr="00781608">
              <w:rPr>
                <w:rFonts w:cs="Times New Roman"/>
                <w:bCs w:val="0"/>
                <w:color w:val="auto"/>
                <w:sz w:val="22"/>
                <w:szCs w:val="22"/>
              </w:rPr>
              <w:t>Variable</w:t>
            </w:r>
          </w:p>
        </w:tc>
        <w:tc>
          <w:tcPr>
            <w:tcW w:w="708" w:type="dxa"/>
          </w:tcPr>
          <w:p w:rsidR="006A69C4" w:rsidRPr="00781608" w:rsidRDefault="006A69C4" w:rsidP="005E2CD5">
            <w:pPr>
              <w:jc w:val="both"/>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CRA</w:t>
            </w:r>
          </w:p>
        </w:tc>
        <w:tc>
          <w:tcPr>
            <w:tcW w:w="2127" w:type="dxa"/>
          </w:tcPr>
          <w:p w:rsidR="006A69C4" w:rsidRPr="00781608" w:rsidRDefault="006A69C4"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c>
          <w:tcPr>
            <w:tcW w:w="1984" w:type="dxa"/>
          </w:tcPr>
          <w:p w:rsidR="006A69C4" w:rsidRPr="00781608" w:rsidRDefault="006A69C4"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c>
          <w:tcPr>
            <w:tcW w:w="1985" w:type="dxa"/>
          </w:tcPr>
          <w:p w:rsidR="006A69C4" w:rsidRPr="00781608" w:rsidRDefault="006A69C4" w:rsidP="005E2CD5">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4" w:space="0" w:color="auto"/>
            </w:tcBorders>
          </w:tcPr>
          <w:p w:rsidR="006A69C4" w:rsidRPr="00781608" w:rsidRDefault="006A69C4" w:rsidP="005E2CD5">
            <w:pPr>
              <w:jc w:val="both"/>
              <w:rPr>
                <w:rFonts w:cs="Times New Roman"/>
                <w:b w:val="0"/>
                <w:bCs w:val="0"/>
                <w:color w:val="auto"/>
                <w:sz w:val="22"/>
                <w:szCs w:val="22"/>
              </w:rPr>
            </w:pPr>
          </w:p>
        </w:tc>
        <w:tc>
          <w:tcPr>
            <w:tcW w:w="708" w:type="dxa"/>
            <w:tcBorders>
              <w:top w:val="single" w:sz="8" w:space="0" w:color="000000" w:themeColor="text1"/>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p>
        </w:tc>
        <w:tc>
          <w:tcPr>
            <w:tcW w:w="2127" w:type="dxa"/>
            <w:tcBorders>
              <w:top w:val="single" w:sz="8" w:space="0" w:color="000000" w:themeColor="text1"/>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1</w:t>
            </w:r>
          </w:p>
        </w:tc>
        <w:tc>
          <w:tcPr>
            <w:tcW w:w="1984" w:type="dxa"/>
            <w:tcBorders>
              <w:top w:val="single" w:sz="8" w:space="0" w:color="000000" w:themeColor="text1"/>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2</w:t>
            </w:r>
          </w:p>
        </w:tc>
        <w:tc>
          <w:tcPr>
            <w:tcW w:w="1985" w:type="dxa"/>
            <w:tcBorders>
              <w:top w:val="single" w:sz="8" w:space="0" w:color="000000" w:themeColor="text1"/>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rPr>
            </w:pPr>
            <w:r w:rsidRPr="00781608">
              <w:rPr>
                <w:rFonts w:cs="Times New Roman"/>
                <w:bCs/>
                <w:color w:val="auto"/>
                <w:sz w:val="22"/>
                <w:szCs w:val="22"/>
              </w:rPr>
              <w:t>Model 3</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6A69C4" w:rsidRPr="00781608" w:rsidRDefault="006A69C4" w:rsidP="00922667">
            <w:pPr>
              <w:jc w:val="both"/>
              <w:rPr>
                <w:rFonts w:cs="Times New Roman"/>
                <w:b w:val="0"/>
                <w:bCs w:val="0"/>
                <w:color w:val="auto"/>
                <w:sz w:val="22"/>
                <w:szCs w:val="22"/>
              </w:rPr>
            </w:pPr>
            <w:r w:rsidRPr="00781608">
              <w:rPr>
                <w:rFonts w:cs="Times New Roman"/>
                <w:b w:val="0"/>
                <w:bCs w:val="0"/>
                <w:color w:val="auto"/>
                <w:sz w:val="22"/>
                <w:szCs w:val="22"/>
              </w:rPr>
              <w:t>P</w:t>
            </w:r>
            <w:r w:rsidR="00922667" w:rsidRPr="00781608">
              <w:rPr>
                <w:rFonts w:cs="Times New Roman"/>
                <w:b w:val="0"/>
                <w:bCs w:val="0"/>
                <w:color w:val="auto"/>
                <w:sz w:val="22"/>
                <w:szCs w:val="22"/>
              </w:rPr>
              <w:t>ositive</w:t>
            </w:r>
            <w:r w:rsidRPr="00781608">
              <w:rPr>
                <w:rFonts w:cs="Times New Roman"/>
                <w:b w:val="0"/>
                <w:bCs w:val="0"/>
                <w:color w:val="auto"/>
                <w:sz w:val="22"/>
                <w:szCs w:val="22"/>
              </w:rPr>
              <w:t xml:space="preserve"> </w:t>
            </w:r>
            <w:r w:rsidR="00922667" w:rsidRPr="00781608">
              <w:rPr>
                <w:rFonts w:cs="Times New Roman"/>
                <w:b w:val="0"/>
                <w:bCs w:val="0"/>
                <w:color w:val="auto"/>
                <w:sz w:val="22"/>
                <w:szCs w:val="22"/>
              </w:rPr>
              <w:t>r</w:t>
            </w:r>
            <w:r w:rsidRPr="00781608">
              <w:rPr>
                <w:rFonts w:cs="Times New Roman"/>
                <w:b w:val="0"/>
                <w:bCs w:val="0"/>
                <w:color w:val="auto"/>
                <w:sz w:val="22"/>
                <w:szCs w:val="22"/>
              </w:rPr>
              <w:t>ating event</w:t>
            </w:r>
          </w:p>
        </w:tc>
        <w:tc>
          <w:tcPr>
            <w:tcW w:w="708" w:type="dxa"/>
            <w:tcBorders>
              <w:top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F</w:t>
            </w:r>
          </w:p>
        </w:tc>
        <w:tc>
          <w:tcPr>
            <w:tcW w:w="2127"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-0.231</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bCs/>
                <w:color w:val="auto"/>
                <w:sz w:val="20"/>
                <w:szCs w:val="20"/>
              </w:rPr>
              <w:t>(-0.518)</w:t>
            </w:r>
          </w:p>
        </w:tc>
        <w:tc>
          <w:tcPr>
            <w:tcW w:w="1984"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0.014</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(0.032)</w:t>
            </w:r>
          </w:p>
        </w:tc>
        <w:tc>
          <w:tcPr>
            <w:tcW w:w="1985"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-0.178</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(-0.743)</w:t>
            </w:r>
          </w:p>
        </w:tc>
      </w:tr>
      <w:tr w:rsidR="006A69C4" w:rsidRPr="00781608" w:rsidTr="00F4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69C4" w:rsidRPr="00781608" w:rsidRDefault="006A69C4" w:rsidP="005E2CD5">
            <w:pPr>
              <w:jc w:val="both"/>
              <w:rPr>
                <w:rFonts w:cs="Times New Roman"/>
                <w:b w:val="0"/>
                <w:bCs w:val="0"/>
                <w:color w:val="auto"/>
                <w:sz w:val="22"/>
                <w:szCs w:val="22"/>
              </w:rPr>
            </w:pPr>
          </w:p>
        </w:tc>
        <w:tc>
          <w:tcPr>
            <w:tcW w:w="708" w:type="dxa"/>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w:t>
            </w:r>
          </w:p>
        </w:tc>
        <w:tc>
          <w:tcPr>
            <w:tcW w:w="2127"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-0.664</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(-1.821)</w:t>
            </w:r>
          </w:p>
        </w:tc>
        <w:tc>
          <w:tcPr>
            <w:tcW w:w="1984"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0.153</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(0.324)</w:t>
            </w:r>
          </w:p>
        </w:tc>
        <w:tc>
          <w:tcPr>
            <w:tcW w:w="1985"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0.250</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(0.546)</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6A69C4" w:rsidRPr="00781608" w:rsidRDefault="006A69C4" w:rsidP="005E2CD5">
            <w:pPr>
              <w:jc w:val="both"/>
              <w:rPr>
                <w:rFonts w:cs="Times New Roman"/>
                <w:b w:val="0"/>
                <w:bCs w:val="0"/>
                <w:color w:val="auto"/>
                <w:sz w:val="22"/>
                <w:szCs w:val="22"/>
              </w:rPr>
            </w:pPr>
          </w:p>
        </w:tc>
        <w:tc>
          <w:tcPr>
            <w:tcW w:w="708" w:type="dxa"/>
            <w:tcBorders>
              <w:bottom w:val="nil"/>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SP</w:t>
            </w:r>
          </w:p>
        </w:tc>
        <w:tc>
          <w:tcPr>
            <w:tcW w:w="2127"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-0.418</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(-0.577)</w:t>
            </w:r>
          </w:p>
        </w:tc>
        <w:tc>
          <w:tcPr>
            <w:tcW w:w="1984"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-0.519</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(-0.715)</w:t>
            </w:r>
          </w:p>
        </w:tc>
        <w:tc>
          <w:tcPr>
            <w:tcW w:w="1985"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-0.644</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(-1.001)</w:t>
            </w: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tcPr>
          <w:p w:rsidR="006A69C4" w:rsidRPr="00781608" w:rsidRDefault="006A69C4" w:rsidP="005E2CD5">
            <w:pPr>
              <w:jc w:val="both"/>
              <w:rPr>
                <w:rFonts w:cs="Times New Roman"/>
                <w:b w:val="0"/>
                <w:bCs w:val="0"/>
                <w:color w:val="auto"/>
                <w:sz w:val="22"/>
                <w:szCs w:val="22"/>
              </w:rPr>
            </w:pPr>
          </w:p>
        </w:tc>
        <w:tc>
          <w:tcPr>
            <w:tcW w:w="708" w:type="dxa"/>
            <w:tcBorders>
              <w:top w:val="nil"/>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-0.445</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(-0.975)</w:t>
            </w:r>
          </w:p>
        </w:tc>
        <w:tc>
          <w:tcPr>
            <w:tcW w:w="1984"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-0.445</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(-0.355)</w:t>
            </w:r>
          </w:p>
        </w:tc>
        <w:tc>
          <w:tcPr>
            <w:tcW w:w="1985"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-0.215</w:t>
            </w:r>
          </w:p>
          <w:p w:rsidR="00F42D12" w:rsidRPr="00781608" w:rsidRDefault="00F42D12"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bCs/>
                <w:color w:val="auto"/>
                <w:sz w:val="20"/>
                <w:szCs w:val="20"/>
              </w:rPr>
              <w:t>(-0.650)</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6A69C4" w:rsidRPr="00781608" w:rsidRDefault="006A69C4" w:rsidP="00922667">
            <w:pPr>
              <w:jc w:val="both"/>
              <w:rPr>
                <w:rFonts w:cs="Times New Roman"/>
                <w:b w:val="0"/>
                <w:bCs w:val="0"/>
                <w:color w:val="auto"/>
                <w:sz w:val="22"/>
                <w:szCs w:val="22"/>
              </w:rPr>
            </w:pPr>
            <w:r w:rsidRPr="00781608">
              <w:rPr>
                <w:rFonts w:cs="Times New Roman"/>
                <w:b w:val="0"/>
                <w:bCs w:val="0"/>
                <w:color w:val="auto"/>
                <w:sz w:val="22"/>
                <w:szCs w:val="22"/>
              </w:rPr>
              <w:t>N</w:t>
            </w:r>
            <w:r w:rsidR="00922667" w:rsidRPr="00781608">
              <w:rPr>
                <w:rFonts w:cs="Times New Roman"/>
                <w:b w:val="0"/>
                <w:bCs w:val="0"/>
                <w:color w:val="auto"/>
                <w:sz w:val="22"/>
                <w:szCs w:val="22"/>
              </w:rPr>
              <w:t>egative</w:t>
            </w:r>
            <w:r w:rsidRPr="00781608">
              <w:rPr>
                <w:rFonts w:cs="Times New Roman"/>
                <w:b w:val="0"/>
                <w:bCs w:val="0"/>
                <w:color w:val="auto"/>
                <w:sz w:val="22"/>
                <w:szCs w:val="22"/>
              </w:rPr>
              <w:t xml:space="preserve"> </w:t>
            </w:r>
            <w:r w:rsidR="00922667" w:rsidRPr="00781608">
              <w:rPr>
                <w:rFonts w:cs="Times New Roman"/>
                <w:b w:val="0"/>
                <w:bCs w:val="0"/>
                <w:color w:val="auto"/>
                <w:sz w:val="22"/>
                <w:szCs w:val="22"/>
              </w:rPr>
              <w:t>r</w:t>
            </w:r>
            <w:r w:rsidRPr="00781608">
              <w:rPr>
                <w:rFonts w:cs="Times New Roman"/>
                <w:b w:val="0"/>
                <w:bCs w:val="0"/>
                <w:color w:val="auto"/>
                <w:sz w:val="22"/>
                <w:szCs w:val="22"/>
              </w:rPr>
              <w:t>ating event</w:t>
            </w:r>
          </w:p>
        </w:tc>
        <w:tc>
          <w:tcPr>
            <w:tcW w:w="708" w:type="dxa"/>
            <w:tcBorders>
              <w:top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F</w:t>
            </w:r>
          </w:p>
        </w:tc>
        <w:tc>
          <w:tcPr>
            <w:tcW w:w="2127"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1.542</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(1.326)</w:t>
            </w:r>
          </w:p>
        </w:tc>
        <w:tc>
          <w:tcPr>
            <w:tcW w:w="1984"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1.090</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(0.878)</w:t>
            </w:r>
          </w:p>
        </w:tc>
        <w:tc>
          <w:tcPr>
            <w:tcW w:w="1985"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-0.121</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(-0.113)</w:t>
            </w:r>
          </w:p>
        </w:tc>
      </w:tr>
      <w:tr w:rsidR="006A69C4" w:rsidRPr="00781608" w:rsidTr="00F42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6A69C4" w:rsidRPr="00781608" w:rsidRDefault="006A69C4" w:rsidP="005E2CD5">
            <w:pPr>
              <w:jc w:val="both"/>
              <w:rPr>
                <w:rFonts w:cs="Times New Roman"/>
                <w:b w:val="0"/>
                <w:bCs w:val="0"/>
                <w:color w:val="auto"/>
                <w:sz w:val="22"/>
                <w:szCs w:val="22"/>
              </w:rPr>
            </w:pPr>
          </w:p>
        </w:tc>
        <w:tc>
          <w:tcPr>
            <w:tcW w:w="708" w:type="dxa"/>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w:t>
            </w:r>
          </w:p>
        </w:tc>
        <w:tc>
          <w:tcPr>
            <w:tcW w:w="2127"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1.512***</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(4.420)</w:t>
            </w:r>
          </w:p>
        </w:tc>
        <w:tc>
          <w:tcPr>
            <w:tcW w:w="1984"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0.964</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(1.892)</w:t>
            </w:r>
          </w:p>
        </w:tc>
        <w:tc>
          <w:tcPr>
            <w:tcW w:w="1985" w:type="dxa"/>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0.619</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(0.619)</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6A69C4" w:rsidRPr="00781608" w:rsidRDefault="006A69C4" w:rsidP="005E2CD5">
            <w:pPr>
              <w:jc w:val="both"/>
              <w:rPr>
                <w:rFonts w:cs="Times New Roman"/>
                <w:b w:val="0"/>
                <w:bCs w:val="0"/>
                <w:color w:val="auto"/>
                <w:sz w:val="22"/>
                <w:szCs w:val="22"/>
              </w:rPr>
            </w:pPr>
          </w:p>
        </w:tc>
        <w:tc>
          <w:tcPr>
            <w:tcW w:w="708" w:type="dxa"/>
            <w:tcBorders>
              <w:bottom w:val="nil"/>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SP</w:t>
            </w:r>
          </w:p>
        </w:tc>
        <w:tc>
          <w:tcPr>
            <w:tcW w:w="2127"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1.584**</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(2.304)</w:t>
            </w:r>
          </w:p>
        </w:tc>
        <w:tc>
          <w:tcPr>
            <w:tcW w:w="1984"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0.654</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(0.677)</w:t>
            </w:r>
          </w:p>
        </w:tc>
        <w:tc>
          <w:tcPr>
            <w:tcW w:w="1985" w:type="dxa"/>
            <w:tcBorders>
              <w:bottom w:val="nil"/>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-0.090</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(-0.104)</w:t>
            </w: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tcPr>
          <w:p w:rsidR="006A69C4" w:rsidRPr="00781608" w:rsidRDefault="006A69C4" w:rsidP="005E2CD5">
            <w:pPr>
              <w:jc w:val="both"/>
              <w:rPr>
                <w:rFonts w:cs="Times New Roman"/>
                <w:b w:val="0"/>
                <w:bCs w:val="0"/>
                <w:color w:val="auto"/>
                <w:sz w:val="22"/>
                <w:szCs w:val="22"/>
              </w:rPr>
            </w:pPr>
          </w:p>
        </w:tc>
        <w:tc>
          <w:tcPr>
            <w:tcW w:w="708" w:type="dxa"/>
            <w:tcBorders>
              <w:top w:val="nil"/>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1.119</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(1.551)</w:t>
            </w:r>
          </w:p>
        </w:tc>
        <w:tc>
          <w:tcPr>
            <w:tcW w:w="1984"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0.595</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(0.635)</w:t>
            </w:r>
          </w:p>
        </w:tc>
        <w:tc>
          <w:tcPr>
            <w:tcW w:w="1985" w:type="dxa"/>
            <w:tcBorders>
              <w:top w:val="nil"/>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-0.160</w:t>
            </w:r>
          </w:p>
          <w:p w:rsidR="00F42D12" w:rsidRPr="00781608" w:rsidRDefault="00F42D12"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(-.0183)</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6A69C4" w:rsidRPr="00781608" w:rsidRDefault="006A69C4" w:rsidP="005E2CD5">
            <w:pPr>
              <w:jc w:val="both"/>
              <w:rPr>
                <w:rFonts w:cs="Times New Roman"/>
                <w:b w:val="0"/>
                <w:bCs w:val="0"/>
                <w:color w:val="auto"/>
                <w:sz w:val="22"/>
                <w:szCs w:val="22"/>
              </w:rPr>
            </w:pPr>
            <w:r w:rsidRPr="00781608">
              <w:rPr>
                <w:rFonts w:cs="Times New Roman"/>
                <w:b w:val="0"/>
                <w:bCs w:val="0"/>
                <w:color w:val="auto"/>
                <w:sz w:val="22"/>
                <w:szCs w:val="22"/>
              </w:rPr>
              <w:t>Transparency</w:t>
            </w:r>
          </w:p>
        </w:tc>
        <w:tc>
          <w:tcPr>
            <w:tcW w:w="708" w:type="dxa"/>
            <w:tcBorders>
              <w:top w:val="single" w:sz="4" w:space="0" w:color="auto"/>
              <w:bottom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single" w:sz="4" w:space="0" w:color="auto"/>
              <w:bottom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984" w:type="dxa"/>
            <w:tcBorders>
              <w:top w:val="single" w:sz="4" w:space="0" w:color="auto"/>
              <w:bottom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-0.345</w:t>
            </w:r>
          </w:p>
          <w:p w:rsidR="005E2CD5" w:rsidRPr="00781608" w:rsidRDefault="005E2CD5"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(-1.012)</w:t>
            </w:r>
          </w:p>
        </w:tc>
        <w:tc>
          <w:tcPr>
            <w:tcW w:w="1985" w:type="dxa"/>
            <w:tcBorders>
              <w:top w:val="single" w:sz="4" w:space="0" w:color="auto"/>
              <w:bottom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-0.141</w:t>
            </w:r>
          </w:p>
          <w:p w:rsidR="00F42D12" w:rsidRPr="00781608" w:rsidRDefault="00F42D12"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(-0.671)</w:t>
            </w:r>
          </w:p>
        </w:tc>
      </w:tr>
      <w:tr w:rsidR="006A69C4" w:rsidRPr="00781608" w:rsidTr="00922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rsidR="006A69C4" w:rsidRPr="00781608" w:rsidRDefault="006A69C4" w:rsidP="005E2CD5">
            <w:pPr>
              <w:jc w:val="both"/>
              <w:rPr>
                <w:rFonts w:cs="Times New Roman"/>
                <w:b w:val="0"/>
                <w:bCs w:val="0"/>
                <w:color w:val="auto"/>
                <w:sz w:val="22"/>
                <w:szCs w:val="22"/>
              </w:rPr>
            </w:pPr>
            <w:r w:rsidRPr="00781608">
              <w:rPr>
                <w:rFonts w:cs="Times New Roman"/>
                <w:b w:val="0"/>
                <w:bCs w:val="0"/>
                <w:color w:val="auto"/>
                <w:sz w:val="22"/>
                <w:szCs w:val="22"/>
              </w:rPr>
              <w:t>Press</w:t>
            </w:r>
          </w:p>
        </w:tc>
        <w:tc>
          <w:tcPr>
            <w:tcW w:w="708" w:type="dxa"/>
            <w:tcBorders>
              <w:top w:val="single" w:sz="4" w:space="0" w:color="auto"/>
              <w:bottom w:val="single" w:sz="4" w:space="0" w:color="auto"/>
            </w:tcBorders>
          </w:tcPr>
          <w:p w:rsidR="006A69C4" w:rsidRPr="00781608" w:rsidRDefault="006A69C4" w:rsidP="005E2CD5">
            <w:pPr>
              <w:jc w:val="both"/>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single" w:sz="4" w:space="0" w:color="auto"/>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p>
        </w:tc>
        <w:tc>
          <w:tcPr>
            <w:tcW w:w="1984" w:type="dxa"/>
            <w:tcBorders>
              <w:top w:val="single" w:sz="4" w:space="0" w:color="auto"/>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0.166</w:t>
            </w:r>
          </w:p>
          <w:p w:rsidR="005E2CD5" w:rsidRPr="00781608" w:rsidRDefault="005E2CD5"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(1.355)</w:t>
            </w:r>
          </w:p>
        </w:tc>
        <w:tc>
          <w:tcPr>
            <w:tcW w:w="1985" w:type="dxa"/>
            <w:tcBorders>
              <w:top w:val="single" w:sz="4" w:space="0" w:color="auto"/>
              <w:bottom w:val="single" w:sz="4" w:space="0" w:color="auto"/>
            </w:tcBorders>
          </w:tcPr>
          <w:p w:rsidR="006A69C4" w:rsidRPr="00781608" w:rsidRDefault="006A69C4" w:rsidP="005E2CD5">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20"/>
                <w:szCs w:val="20"/>
              </w:rPr>
            </w:pPr>
            <w:r w:rsidRPr="00781608">
              <w:rPr>
                <w:rFonts w:cs="Times New Roman"/>
                <w:color w:val="auto"/>
                <w:sz w:val="20"/>
                <w:szCs w:val="20"/>
              </w:rPr>
              <w:t>0.120</w:t>
            </w:r>
          </w:p>
          <w:p w:rsidR="00F42D12" w:rsidRPr="00781608" w:rsidRDefault="00F42D12" w:rsidP="005E2CD5">
            <w:pPr>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(0.956)</w:t>
            </w:r>
          </w:p>
        </w:tc>
      </w:tr>
      <w:tr w:rsidR="006A69C4" w:rsidRPr="00781608" w:rsidTr="00922667">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tcPr>
          <w:p w:rsidR="006A69C4" w:rsidRPr="00781608" w:rsidRDefault="006A69C4" w:rsidP="005E2CD5">
            <w:pPr>
              <w:jc w:val="both"/>
              <w:rPr>
                <w:rFonts w:cs="Times New Roman"/>
                <w:b w:val="0"/>
                <w:bCs w:val="0"/>
                <w:color w:val="auto"/>
                <w:sz w:val="22"/>
                <w:szCs w:val="22"/>
              </w:rPr>
            </w:pPr>
            <w:r w:rsidRPr="00781608">
              <w:rPr>
                <w:rFonts w:cs="Times New Roman"/>
                <w:b w:val="0"/>
                <w:bCs w:val="0"/>
                <w:color w:val="auto"/>
                <w:sz w:val="22"/>
                <w:szCs w:val="22"/>
              </w:rPr>
              <w:t>Crisis</w:t>
            </w:r>
          </w:p>
        </w:tc>
        <w:tc>
          <w:tcPr>
            <w:tcW w:w="708" w:type="dxa"/>
            <w:tcBorders>
              <w:top w:val="single" w:sz="4" w:space="0" w:color="auto"/>
            </w:tcBorders>
          </w:tcPr>
          <w:p w:rsidR="006A69C4" w:rsidRPr="00781608" w:rsidRDefault="006A69C4" w:rsidP="005E2CD5">
            <w:pPr>
              <w:jc w:val="both"/>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All</w:t>
            </w:r>
          </w:p>
        </w:tc>
        <w:tc>
          <w:tcPr>
            <w:tcW w:w="2127"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984"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p>
        </w:tc>
        <w:tc>
          <w:tcPr>
            <w:tcW w:w="1985" w:type="dxa"/>
            <w:tcBorders>
              <w:top w:val="single" w:sz="4" w:space="0" w:color="auto"/>
            </w:tcBorders>
          </w:tcPr>
          <w:p w:rsidR="006A69C4" w:rsidRPr="00781608" w:rsidRDefault="006A69C4" w:rsidP="005E2CD5">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20"/>
                <w:szCs w:val="20"/>
              </w:rPr>
            </w:pPr>
            <w:r w:rsidRPr="00781608">
              <w:rPr>
                <w:rFonts w:cs="Times New Roman"/>
                <w:color w:val="auto"/>
                <w:sz w:val="20"/>
                <w:szCs w:val="20"/>
              </w:rPr>
              <w:t>1.052**</w:t>
            </w:r>
          </w:p>
          <w:p w:rsidR="00F42D12" w:rsidRPr="00781608" w:rsidRDefault="00F42D12" w:rsidP="005E2CD5">
            <w:pPr>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0"/>
                <w:szCs w:val="20"/>
              </w:rPr>
            </w:pPr>
            <w:r w:rsidRPr="00781608">
              <w:rPr>
                <w:rFonts w:cs="Times New Roman"/>
                <w:color w:val="auto"/>
                <w:sz w:val="20"/>
                <w:szCs w:val="20"/>
              </w:rPr>
              <w:t>(1.958)</w:t>
            </w:r>
          </w:p>
        </w:tc>
      </w:tr>
    </w:tbl>
    <w:p w:rsidR="009F0F85" w:rsidRPr="00781608" w:rsidRDefault="009F0F85" w:rsidP="005D7587">
      <w:pPr>
        <w:spacing w:line="240" w:lineRule="auto"/>
        <w:jc w:val="both"/>
        <w:rPr>
          <w:rFonts w:cs="Times New Roman"/>
          <w:bCs/>
          <w:sz w:val="24"/>
          <w:szCs w:val="24"/>
          <w:lang w:val="en-US"/>
        </w:rPr>
      </w:pPr>
      <w:r w:rsidRPr="00781608">
        <w:rPr>
          <w:rFonts w:cs="Times New Roman"/>
          <w:sz w:val="18"/>
          <w:szCs w:val="18"/>
          <w:lang w:val="en-US"/>
        </w:rPr>
        <w:t xml:space="preserve">Note: </w:t>
      </w:r>
      <w:r w:rsidR="00927E7A" w:rsidRPr="00781608">
        <w:rPr>
          <w:rFonts w:cs="Times New Roman"/>
          <w:sz w:val="18"/>
          <w:szCs w:val="18"/>
          <w:lang w:val="en-US"/>
        </w:rPr>
        <w:t xml:space="preserve">The numbers in brackets represent the t-statistics. </w:t>
      </w:r>
      <w:r w:rsidRPr="00781608">
        <w:rPr>
          <w:rFonts w:cs="Times New Roman"/>
          <w:sz w:val="18"/>
          <w:szCs w:val="18"/>
          <w:lang w:val="en-US"/>
        </w:rPr>
        <w:t>Here totals are given for upgrades (downgrades), outlook changes and watchlist announcements combined for sovereign 10-year</w:t>
      </w:r>
      <w:r w:rsidR="00630CFF">
        <w:rPr>
          <w:rFonts w:cs="Times New Roman"/>
          <w:sz w:val="18"/>
          <w:szCs w:val="18"/>
          <w:lang w:val="en-US"/>
        </w:rPr>
        <w:t xml:space="preserve"> spreads</w:t>
      </w:r>
      <w:r w:rsidRPr="00781608">
        <w:rPr>
          <w:rFonts w:cs="Times New Roman"/>
          <w:sz w:val="18"/>
          <w:szCs w:val="18"/>
          <w:lang w:val="en-US"/>
        </w:rPr>
        <w:t xml:space="preserve">. ***,**,* means significance at </w:t>
      </w:r>
      <w:r w:rsidRPr="00781608">
        <w:rPr>
          <w:rFonts w:cs="Times New Roman"/>
          <w:sz w:val="18"/>
          <w:szCs w:val="18"/>
        </w:rPr>
        <w:sym w:font="Symbol" w:char="F061"/>
      </w:r>
      <w:r w:rsidRPr="00781608">
        <w:rPr>
          <w:rFonts w:cs="Times New Roman"/>
          <w:sz w:val="18"/>
          <w:szCs w:val="18"/>
          <w:lang w:val="en-US"/>
        </w:rPr>
        <w:t xml:space="preserve"> = 1%, 5%, 10% respectively.</w:t>
      </w:r>
    </w:p>
    <w:p w:rsidR="00764641" w:rsidRDefault="00764641" w:rsidP="00781608">
      <w:pPr>
        <w:pStyle w:val="Kop2"/>
        <w:spacing w:line="360" w:lineRule="auto"/>
        <w:rPr>
          <w:rFonts w:asciiTheme="minorHAnsi" w:hAnsiTheme="minorHAnsi" w:cs="Times New Roman"/>
          <w:bCs w:val="0"/>
          <w:color w:val="auto"/>
          <w:sz w:val="24"/>
          <w:szCs w:val="24"/>
          <w:lang w:val="en-US"/>
        </w:rPr>
      </w:pPr>
      <w:bookmarkStart w:id="18" w:name="_Toc359926559"/>
    </w:p>
    <w:p w:rsidR="00793364" w:rsidRPr="00781608" w:rsidRDefault="00742CD4" w:rsidP="00781608">
      <w:pPr>
        <w:pStyle w:val="Kop2"/>
        <w:spacing w:line="360" w:lineRule="auto"/>
        <w:rPr>
          <w:rFonts w:asciiTheme="minorHAnsi" w:hAnsiTheme="minorHAnsi" w:cs="Times New Roman"/>
          <w:bCs w:val="0"/>
          <w:color w:val="auto"/>
          <w:sz w:val="24"/>
          <w:szCs w:val="24"/>
          <w:lang w:val="en-US"/>
        </w:rPr>
      </w:pPr>
      <w:r w:rsidRPr="00781608">
        <w:rPr>
          <w:rFonts w:asciiTheme="minorHAnsi" w:hAnsiTheme="minorHAnsi" w:cs="Times New Roman"/>
          <w:bCs w:val="0"/>
          <w:color w:val="auto"/>
          <w:sz w:val="24"/>
          <w:szCs w:val="24"/>
          <w:lang w:val="en-US"/>
        </w:rPr>
        <w:t>6</w:t>
      </w:r>
      <w:r w:rsidR="00793364" w:rsidRPr="00781608">
        <w:rPr>
          <w:rFonts w:asciiTheme="minorHAnsi" w:hAnsiTheme="minorHAnsi" w:cs="Times New Roman"/>
          <w:bCs w:val="0"/>
          <w:color w:val="auto"/>
          <w:sz w:val="24"/>
          <w:szCs w:val="24"/>
          <w:lang w:val="en-US"/>
        </w:rPr>
        <w:t>.2 Analysis of the results</w:t>
      </w:r>
      <w:bookmarkEnd w:id="18"/>
    </w:p>
    <w:p w:rsidR="00927E7A" w:rsidRPr="00781608" w:rsidRDefault="00927E7A" w:rsidP="005D7587">
      <w:pPr>
        <w:spacing w:line="360" w:lineRule="auto"/>
        <w:jc w:val="both"/>
        <w:rPr>
          <w:rFonts w:cs="Times New Roman"/>
          <w:bCs/>
          <w:sz w:val="24"/>
          <w:szCs w:val="24"/>
          <w:lang w:val="en-US"/>
        </w:rPr>
      </w:pPr>
      <w:r w:rsidRPr="00781608">
        <w:rPr>
          <w:rFonts w:cs="Times New Roman"/>
          <w:bCs/>
          <w:sz w:val="24"/>
          <w:szCs w:val="24"/>
          <w:lang w:val="en-US"/>
        </w:rPr>
        <w:t xml:space="preserve">Testing for hypothesis 1 shows that rating impact becomes insignificant for 1- and 10-year maturity </w:t>
      </w:r>
      <w:r w:rsidR="004141CD" w:rsidRPr="00781608">
        <w:rPr>
          <w:rFonts w:cs="Times New Roman"/>
          <w:bCs/>
          <w:sz w:val="24"/>
          <w:szCs w:val="24"/>
          <w:lang w:val="en-US"/>
        </w:rPr>
        <w:t>spreads</w:t>
      </w:r>
      <w:r w:rsidRPr="00781608">
        <w:rPr>
          <w:rFonts w:cs="Times New Roman"/>
          <w:bCs/>
          <w:sz w:val="24"/>
          <w:szCs w:val="24"/>
          <w:lang w:val="en-US"/>
        </w:rPr>
        <w:t xml:space="preserve"> when accounting for information availability and the crisis. For the 5-year maturity </w:t>
      </w:r>
      <w:r w:rsidR="004141CD" w:rsidRPr="00781608">
        <w:rPr>
          <w:rFonts w:cs="Times New Roman"/>
          <w:bCs/>
          <w:sz w:val="24"/>
          <w:szCs w:val="24"/>
          <w:lang w:val="en-US"/>
        </w:rPr>
        <w:t>spreads</w:t>
      </w:r>
      <w:r w:rsidRPr="00781608">
        <w:rPr>
          <w:rFonts w:cs="Times New Roman"/>
          <w:bCs/>
          <w:sz w:val="24"/>
          <w:szCs w:val="24"/>
          <w:lang w:val="en-US"/>
        </w:rPr>
        <w:t xml:space="preserve"> negative rating events still have significant impact although the size of the impact lessens by accounting for information availability and the crisis</w:t>
      </w:r>
      <w:r w:rsidR="00AE088F" w:rsidRPr="00781608">
        <w:rPr>
          <w:rFonts w:cs="Times New Roman"/>
          <w:bCs/>
          <w:sz w:val="24"/>
          <w:szCs w:val="24"/>
          <w:lang w:val="en-US"/>
        </w:rPr>
        <w:t xml:space="preserve"> </w:t>
      </w:r>
      <w:r w:rsidR="00EE58A3" w:rsidRPr="00781608">
        <w:rPr>
          <w:rFonts w:cs="Times New Roman"/>
          <w:bCs/>
          <w:sz w:val="24"/>
          <w:szCs w:val="24"/>
          <w:lang w:val="en-US"/>
        </w:rPr>
        <w:t xml:space="preserve">Thus, </w:t>
      </w:r>
      <w:r w:rsidRPr="00781608">
        <w:rPr>
          <w:rFonts w:cs="Times New Roman"/>
          <w:bCs/>
          <w:sz w:val="24"/>
          <w:szCs w:val="24"/>
          <w:lang w:val="en-US"/>
        </w:rPr>
        <w:t>H1 partly holds.</w:t>
      </w:r>
    </w:p>
    <w:p w:rsidR="00927E7A" w:rsidRPr="00781608" w:rsidRDefault="00927E7A" w:rsidP="00A16CD4">
      <w:pPr>
        <w:spacing w:after="0" w:line="360" w:lineRule="auto"/>
        <w:jc w:val="both"/>
        <w:rPr>
          <w:rFonts w:cs="Times New Roman"/>
          <w:bCs/>
          <w:sz w:val="24"/>
          <w:szCs w:val="24"/>
          <w:lang w:val="en-US"/>
        </w:rPr>
      </w:pPr>
      <w:r w:rsidRPr="00781608">
        <w:rPr>
          <w:rFonts w:cs="Times New Roman"/>
          <w:bCs/>
          <w:sz w:val="24"/>
          <w:szCs w:val="24"/>
          <w:lang w:val="en-US"/>
        </w:rPr>
        <w:lastRenderedPageBreak/>
        <w:t xml:space="preserve">Testing H2 shows that rating events only have significant impact for 5-year maturity </w:t>
      </w:r>
      <w:r w:rsidR="004141CD" w:rsidRPr="00781608">
        <w:rPr>
          <w:rFonts w:cs="Times New Roman"/>
          <w:bCs/>
          <w:sz w:val="24"/>
          <w:szCs w:val="24"/>
          <w:lang w:val="en-US"/>
        </w:rPr>
        <w:t>spreads</w:t>
      </w:r>
      <w:r w:rsidRPr="00781608">
        <w:rPr>
          <w:rFonts w:cs="Times New Roman"/>
          <w:bCs/>
          <w:sz w:val="24"/>
          <w:szCs w:val="24"/>
          <w:lang w:val="en-US"/>
        </w:rPr>
        <w:t xml:space="preserve">. 1-year and 10-year </w:t>
      </w:r>
      <w:r w:rsidR="004141CD" w:rsidRPr="00781608">
        <w:rPr>
          <w:rFonts w:cs="Times New Roman"/>
          <w:bCs/>
          <w:sz w:val="24"/>
          <w:szCs w:val="24"/>
          <w:lang w:val="en-US"/>
        </w:rPr>
        <w:t>spreads</w:t>
      </w:r>
      <w:r w:rsidRPr="00781608">
        <w:rPr>
          <w:rFonts w:cs="Times New Roman"/>
          <w:bCs/>
          <w:sz w:val="24"/>
          <w:szCs w:val="24"/>
          <w:lang w:val="en-US"/>
        </w:rPr>
        <w:t xml:space="preserve"> show no significant impact of rating events. </w:t>
      </w:r>
      <w:r w:rsidR="00B4385D" w:rsidRPr="00781608">
        <w:rPr>
          <w:rFonts w:cs="Times New Roman"/>
          <w:bCs/>
          <w:sz w:val="24"/>
          <w:szCs w:val="24"/>
          <w:lang w:val="en-US"/>
        </w:rPr>
        <w:t>Impact does not become larger when maturity is longer; t</w:t>
      </w:r>
      <w:r w:rsidRPr="00781608">
        <w:rPr>
          <w:rFonts w:cs="Times New Roman"/>
          <w:bCs/>
          <w:sz w:val="24"/>
          <w:szCs w:val="24"/>
          <w:lang w:val="en-US"/>
        </w:rPr>
        <w:t>herefore, H2 is rejected.</w:t>
      </w:r>
      <w:r w:rsidR="00FD761E" w:rsidRPr="00781608">
        <w:rPr>
          <w:rFonts w:cs="Times New Roman"/>
          <w:bCs/>
          <w:sz w:val="24"/>
          <w:szCs w:val="24"/>
          <w:lang w:val="en-US"/>
        </w:rPr>
        <w:t xml:space="preserve"> Given the fact that CRAs construct their ratings for the 5-year horizon and not for 1- and 10-year maturities, this result is not extremely surprising. </w:t>
      </w:r>
      <w:r w:rsidR="0047763D" w:rsidRPr="00781608">
        <w:rPr>
          <w:rFonts w:cs="Times New Roman"/>
          <w:bCs/>
          <w:sz w:val="24"/>
          <w:szCs w:val="24"/>
          <w:lang w:val="en-US"/>
        </w:rPr>
        <w:t xml:space="preserve"> </w:t>
      </w:r>
    </w:p>
    <w:p w:rsidR="00927E7A" w:rsidRPr="00781608" w:rsidRDefault="00927E7A" w:rsidP="00AE088F">
      <w:pPr>
        <w:spacing w:line="360" w:lineRule="auto"/>
        <w:jc w:val="both"/>
        <w:rPr>
          <w:rFonts w:cs="Times New Roman"/>
          <w:bCs/>
          <w:sz w:val="24"/>
          <w:szCs w:val="24"/>
          <w:lang w:val="en-US"/>
        </w:rPr>
      </w:pPr>
      <w:r w:rsidRPr="00781608">
        <w:rPr>
          <w:rFonts w:cs="Times New Roman"/>
          <w:bCs/>
          <w:sz w:val="24"/>
          <w:szCs w:val="24"/>
          <w:lang w:val="en-US"/>
        </w:rPr>
        <w:t>Testing for H3 shows that indeed</w:t>
      </w:r>
      <w:r w:rsidR="002C0535" w:rsidRPr="00781608">
        <w:rPr>
          <w:rFonts w:cs="Times New Roman"/>
          <w:bCs/>
          <w:sz w:val="24"/>
          <w:szCs w:val="24"/>
          <w:lang w:val="en-US"/>
        </w:rPr>
        <w:t>, in accordance with almost all literature,</w:t>
      </w:r>
      <w:r w:rsidRPr="00781608">
        <w:rPr>
          <w:rFonts w:cs="Times New Roman"/>
          <w:bCs/>
          <w:sz w:val="24"/>
          <w:szCs w:val="24"/>
          <w:lang w:val="en-US"/>
        </w:rPr>
        <w:t xml:space="preserve"> results for positive and negative rating events are asymmetric. For positive rating events there are no significant results, regardless of the maturity. For negative rating events there are initially significant results for all maturities and after accounting for information availability and the crisis this significant impact, although smaller, remains for 5-year maturity </w:t>
      </w:r>
      <w:r w:rsidR="004141CD" w:rsidRPr="00781608">
        <w:rPr>
          <w:rFonts w:cs="Times New Roman"/>
          <w:bCs/>
          <w:sz w:val="24"/>
          <w:szCs w:val="24"/>
          <w:lang w:val="en-US"/>
        </w:rPr>
        <w:t>spreads</w:t>
      </w:r>
      <w:r w:rsidRPr="00781608">
        <w:rPr>
          <w:rFonts w:cs="Times New Roman"/>
          <w:bCs/>
          <w:sz w:val="24"/>
          <w:szCs w:val="24"/>
          <w:lang w:val="en-US"/>
        </w:rPr>
        <w:t>. H3 therefore holds.</w:t>
      </w:r>
      <w:r w:rsidR="002C0535" w:rsidRPr="00781608">
        <w:rPr>
          <w:rFonts w:cs="Times New Roman"/>
          <w:bCs/>
          <w:sz w:val="24"/>
          <w:szCs w:val="24"/>
          <w:lang w:val="en-US"/>
        </w:rPr>
        <w:t xml:space="preserve"> </w:t>
      </w:r>
    </w:p>
    <w:p w:rsidR="00911F47" w:rsidRPr="00781608" w:rsidRDefault="00911F47" w:rsidP="00AE088F">
      <w:pPr>
        <w:spacing w:line="360" w:lineRule="auto"/>
        <w:jc w:val="both"/>
        <w:rPr>
          <w:rFonts w:cs="Times New Roman"/>
          <w:bCs/>
          <w:sz w:val="24"/>
          <w:szCs w:val="24"/>
          <w:lang w:val="en-US"/>
        </w:rPr>
      </w:pPr>
      <w:r w:rsidRPr="00781608">
        <w:rPr>
          <w:rFonts w:cs="Times New Roman"/>
          <w:bCs/>
          <w:sz w:val="24"/>
          <w:szCs w:val="24"/>
          <w:lang w:val="en-US"/>
        </w:rPr>
        <w:t>For 1 year maturity yield spreads the R</w:t>
      </w:r>
      <w:r w:rsidRPr="00781608">
        <w:rPr>
          <w:rFonts w:cs="Times New Roman"/>
          <w:bCs/>
          <w:sz w:val="24"/>
          <w:szCs w:val="24"/>
          <w:vertAlign w:val="superscript"/>
          <w:lang w:val="en-US"/>
        </w:rPr>
        <w:t>2</w:t>
      </w:r>
      <w:r w:rsidR="00EE7977" w:rsidRPr="00781608">
        <w:rPr>
          <w:rFonts w:cs="Times New Roman"/>
          <w:bCs/>
          <w:sz w:val="24"/>
          <w:szCs w:val="24"/>
          <w:lang w:val="en-US"/>
        </w:rPr>
        <w:t>, a measure for the fitness of the model,</w:t>
      </w:r>
      <w:r w:rsidRPr="00781608">
        <w:rPr>
          <w:rFonts w:cs="Times New Roman"/>
          <w:bCs/>
          <w:sz w:val="24"/>
          <w:szCs w:val="24"/>
          <w:lang w:val="en-US"/>
        </w:rPr>
        <w:t xml:space="preserve"> is near 0.18</w:t>
      </w:r>
      <w:r w:rsidR="00EE7977" w:rsidRPr="00781608">
        <w:rPr>
          <w:rFonts w:cs="Times New Roman"/>
          <w:bCs/>
          <w:sz w:val="24"/>
          <w:szCs w:val="24"/>
          <w:lang w:val="en-US"/>
        </w:rPr>
        <w:t xml:space="preserve"> for Model 1</w:t>
      </w:r>
      <w:r w:rsidRPr="00781608">
        <w:rPr>
          <w:rFonts w:cs="Times New Roman"/>
          <w:bCs/>
          <w:sz w:val="24"/>
          <w:szCs w:val="24"/>
          <w:lang w:val="en-US"/>
        </w:rPr>
        <w:t>, around 0.20 for Model 2 and near 0.62 for Model 3. The low R</w:t>
      </w:r>
      <w:r w:rsidRPr="00781608">
        <w:rPr>
          <w:rFonts w:cs="Times New Roman"/>
          <w:bCs/>
          <w:sz w:val="24"/>
          <w:szCs w:val="24"/>
          <w:vertAlign w:val="superscript"/>
          <w:lang w:val="en-US"/>
        </w:rPr>
        <w:t>2</w:t>
      </w:r>
      <w:r w:rsidRPr="00781608">
        <w:rPr>
          <w:rFonts w:cs="Times New Roman"/>
          <w:bCs/>
          <w:sz w:val="24"/>
          <w:szCs w:val="24"/>
          <w:lang w:val="en-US"/>
        </w:rPr>
        <w:t xml:space="preserve"> for Model 1 shows that even though ratings include a large number of macro-economic variables, they are not very accurate for explaining yield spreads. The extra variables included in Model 2 are also of no importance for explaining the spreads, whereas the crisis dummy, which is also significant, indeed increases the accurateness of the model for explaining yield spreads. For this thesis however it is interesting to see that even though ratings are constructed from macro-economic data, they do not accurately explain the yield spreads, suggesting that they indeed contain outdated information, supporting the EHM. For 5 year maturity the R</w:t>
      </w:r>
      <w:r w:rsidRPr="00781608">
        <w:rPr>
          <w:rFonts w:cs="Times New Roman"/>
          <w:bCs/>
          <w:sz w:val="24"/>
          <w:szCs w:val="24"/>
          <w:vertAlign w:val="superscript"/>
          <w:lang w:val="en-US"/>
        </w:rPr>
        <w:t>2</w:t>
      </w:r>
      <w:r w:rsidRPr="00781608">
        <w:rPr>
          <w:rFonts w:cs="Times New Roman"/>
          <w:bCs/>
          <w:sz w:val="24"/>
          <w:szCs w:val="24"/>
          <w:lang w:val="en-US"/>
        </w:rPr>
        <w:t xml:space="preserve">  goes from 0.75 in Model 1 to 0.76 in Model 2 and finally 0.77 in Model 3. For this maturity ratings do s</w:t>
      </w:r>
      <w:r w:rsidR="00630CFF">
        <w:rPr>
          <w:rFonts w:cs="Times New Roman"/>
          <w:bCs/>
          <w:sz w:val="24"/>
          <w:szCs w:val="24"/>
          <w:lang w:val="en-US"/>
        </w:rPr>
        <w:t>eem to accurately explain yield spreads</w:t>
      </w:r>
      <w:r w:rsidRPr="00781608">
        <w:rPr>
          <w:rFonts w:cs="Times New Roman"/>
          <w:bCs/>
          <w:sz w:val="24"/>
          <w:szCs w:val="24"/>
          <w:lang w:val="en-US"/>
        </w:rPr>
        <w:t>, suggesting the EMH does not (very well) hold. This is in accordance with the significance of the results, which shows that rating events are intended for the mid-to-long term. For the 10 year maturity yield spreads the R</w:t>
      </w:r>
      <w:r w:rsidRPr="00781608">
        <w:rPr>
          <w:rFonts w:cs="Times New Roman"/>
          <w:bCs/>
          <w:sz w:val="24"/>
          <w:szCs w:val="24"/>
          <w:vertAlign w:val="superscript"/>
          <w:lang w:val="en-US"/>
        </w:rPr>
        <w:t>2</w:t>
      </w:r>
      <w:r w:rsidRPr="00781608">
        <w:rPr>
          <w:rFonts w:cs="Times New Roman"/>
          <w:bCs/>
          <w:sz w:val="24"/>
          <w:szCs w:val="24"/>
          <w:lang w:val="en-US"/>
        </w:rPr>
        <w:t xml:space="preserve"> is 0.06 in Model 1, 0.07 in Model 2 and 0.07 in Model 3. For this maturity rating events seem to be of no influence at all for explaining yield spreads, suggesting that the EMH holds.</w:t>
      </w:r>
    </w:p>
    <w:p w:rsidR="00ED18CC" w:rsidRPr="00781608" w:rsidRDefault="00927E7A" w:rsidP="00A16CD4">
      <w:pPr>
        <w:spacing w:line="360" w:lineRule="auto"/>
        <w:jc w:val="both"/>
        <w:rPr>
          <w:rFonts w:cs="Times New Roman"/>
          <w:bCs/>
          <w:sz w:val="24"/>
          <w:szCs w:val="24"/>
          <w:lang w:val="en-US"/>
        </w:rPr>
      </w:pPr>
      <w:r w:rsidRPr="00781608">
        <w:rPr>
          <w:rFonts w:cs="Times New Roman"/>
          <w:bCs/>
          <w:sz w:val="24"/>
          <w:szCs w:val="24"/>
          <w:lang w:val="en-US"/>
        </w:rPr>
        <w:t xml:space="preserve">Looking into the </w:t>
      </w:r>
      <w:r w:rsidR="00FD14E6" w:rsidRPr="00781608">
        <w:rPr>
          <w:rFonts w:cs="Times New Roman"/>
          <w:bCs/>
          <w:sz w:val="24"/>
          <w:szCs w:val="24"/>
          <w:lang w:val="en-US"/>
        </w:rPr>
        <w:t xml:space="preserve">detailed </w:t>
      </w:r>
      <w:r w:rsidRPr="00781608">
        <w:rPr>
          <w:rFonts w:cs="Times New Roman"/>
          <w:bCs/>
          <w:sz w:val="24"/>
          <w:szCs w:val="24"/>
          <w:lang w:val="en-US"/>
        </w:rPr>
        <w:t>results it shows that Fitch has significant impact with watchlist announcement on every type of maturity</w:t>
      </w:r>
      <w:r w:rsidR="00ED4306" w:rsidRPr="00781608">
        <w:rPr>
          <w:rFonts w:cs="Times New Roman"/>
          <w:bCs/>
          <w:sz w:val="24"/>
          <w:szCs w:val="24"/>
          <w:lang w:val="en-US"/>
        </w:rPr>
        <w:t xml:space="preserve"> (See Appendix B)</w:t>
      </w:r>
      <w:r w:rsidRPr="00781608">
        <w:rPr>
          <w:rFonts w:cs="Times New Roman"/>
          <w:bCs/>
          <w:sz w:val="24"/>
          <w:szCs w:val="24"/>
          <w:lang w:val="en-US"/>
        </w:rPr>
        <w:t xml:space="preserve">. This effect is more pronounced for negative announcements but also significant for most positive </w:t>
      </w:r>
      <w:r w:rsidRPr="00781608">
        <w:rPr>
          <w:rFonts w:cs="Times New Roman"/>
          <w:bCs/>
          <w:sz w:val="24"/>
          <w:szCs w:val="24"/>
          <w:lang w:val="en-US"/>
        </w:rPr>
        <w:lastRenderedPageBreak/>
        <w:t xml:space="preserve">announcements. </w:t>
      </w:r>
      <w:r w:rsidR="00ED18CC" w:rsidRPr="00781608">
        <w:rPr>
          <w:rFonts w:cs="Times New Roman"/>
          <w:bCs/>
          <w:sz w:val="24"/>
          <w:szCs w:val="24"/>
          <w:lang w:val="en-US"/>
        </w:rPr>
        <w:t>Why this is the case I do not know</w:t>
      </w:r>
      <w:r w:rsidR="00DE258F" w:rsidRPr="00781608">
        <w:rPr>
          <w:rFonts w:cs="Times New Roman"/>
          <w:bCs/>
          <w:sz w:val="24"/>
          <w:szCs w:val="24"/>
          <w:lang w:val="en-US"/>
        </w:rPr>
        <w:t>. Fitch does have the largest amount of rating events of all the CRAs.</w:t>
      </w:r>
      <w:r w:rsidR="00ED18CC" w:rsidRPr="00781608">
        <w:rPr>
          <w:rFonts w:cs="Times New Roman"/>
          <w:bCs/>
          <w:sz w:val="24"/>
          <w:szCs w:val="24"/>
          <w:lang w:val="en-US"/>
        </w:rPr>
        <w:t xml:space="preserve"> It is however quite surprising as most earlier studies have hardly ever found significant results for Fitch. Any effects of contagion because of the other two CRAs have not been taken into account but could be a factor in the explanation of this result. </w:t>
      </w:r>
    </w:p>
    <w:p w:rsidR="00CB6C45" w:rsidRPr="00781608" w:rsidRDefault="00927E7A" w:rsidP="000B3707">
      <w:pPr>
        <w:spacing w:line="360" w:lineRule="auto"/>
        <w:jc w:val="both"/>
        <w:rPr>
          <w:rFonts w:cs="Times New Roman"/>
          <w:bCs/>
          <w:sz w:val="24"/>
          <w:szCs w:val="24"/>
          <w:lang w:val="en-US"/>
        </w:rPr>
      </w:pPr>
      <w:r w:rsidRPr="00781608">
        <w:rPr>
          <w:rFonts w:cs="Times New Roman"/>
          <w:bCs/>
          <w:sz w:val="24"/>
          <w:szCs w:val="24"/>
          <w:lang w:val="en-US"/>
        </w:rPr>
        <w:t>Downgrades sometimes do have some significant impact whereas outlook changes and upgrades have hardly any influence.</w:t>
      </w:r>
      <w:r w:rsidR="00B6639E" w:rsidRPr="00781608">
        <w:rPr>
          <w:rFonts w:cs="Times New Roman"/>
          <w:bCs/>
          <w:sz w:val="24"/>
          <w:szCs w:val="24"/>
          <w:lang w:val="en-US"/>
        </w:rPr>
        <w:t xml:space="preserve"> </w:t>
      </w:r>
      <w:r w:rsidR="00793364" w:rsidRPr="00781608">
        <w:rPr>
          <w:rFonts w:cs="Times New Roman"/>
          <w:bCs/>
          <w:sz w:val="24"/>
          <w:szCs w:val="24"/>
          <w:lang w:val="en-US"/>
        </w:rPr>
        <w:t>CRAs give their ratings f</w:t>
      </w:r>
      <w:r w:rsidR="00E23DD8" w:rsidRPr="00781608">
        <w:rPr>
          <w:rFonts w:cs="Times New Roman"/>
          <w:bCs/>
          <w:sz w:val="24"/>
          <w:szCs w:val="24"/>
          <w:lang w:val="en-US"/>
        </w:rPr>
        <w:t>or a mid- to</w:t>
      </w:r>
      <w:r w:rsidR="00793364" w:rsidRPr="00781608">
        <w:rPr>
          <w:rFonts w:cs="Times New Roman"/>
          <w:bCs/>
          <w:sz w:val="24"/>
          <w:szCs w:val="24"/>
          <w:lang w:val="en-US"/>
        </w:rPr>
        <w:t xml:space="preserve"> long-term horizon (5-year) and from the results it becomes clear that negative rating events significantly influence sovereign 5-year maturity bond </w:t>
      </w:r>
      <w:r w:rsidR="004141CD" w:rsidRPr="00781608">
        <w:rPr>
          <w:rFonts w:cs="Times New Roman"/>
          <w:bCs/>
          <w:sz w:val="24"/>
          <w:szCs w:val="24"/>
          <w:lang w:val="en-US"/>
        </w:rPr>
        <w:t>spread</w:t>
      </w:r>
      <w:r w:rsidR="00793364" w:rsidRPr="00781608">
        <w:rPr>
          <w:rFonts w:cs="Times New Roman"/>
          <w:bCs/>
          <w:sz w:val="24"/>
          <w:szCs w:val="24"/>
          <w:lang w:val="en-US"/>
        </w:rPr>
        <w:t>s</w:t>
      </w:r>
      <w:r w:rsidR="00B6639E" w:rsidRPr="00781608">
        <w:rPr>
          <w:rFonts w:cs="Times New Roman"/>
          <w:bCs/>
          <w:sz w:val="24"/>
          <w:szCs w:val="24"/>
          <w:lang w:val="en-US"/>
        </w:rPr>
        <w:t xml:space="preserve"> even after controlling for information availability and the crisis. </w:t>
      </w:r>
      <w:r w:rsidR="00FD14E6" w:rsidRPr="00781608">
        <w:rPr>
          <w:rFonts w:cs="Times New Roman"/>
          <w:bCs/>
          <w:sz w:val="24"/>
          <w:szCs w:val="24"/>
          <w:lang w:val="en-US"/>
        </w:rPr>
        <w:t>Overall, the detailed results are by and large the same as the combined results discussed above in section 6.1.</w:t>
      </w:r>
    </w:p>
    <w:p w:rsidR="00793364" w:rsidRPr="00781608" w:rsidRDefault="00793364" w:rsidP="00927E7A">
      <w:pPr>
        <w:spacing w:line="360" w:lineRule="auto"/>
        <w:jc w:val="both"/>
        <w:rPr>
          <w:rFonts w:cs="Times New Roman"/>
          <w:bCs/>
          <w:sz w:val="24"/>
          <w:szCs w:val="24"/>
          <w:lang w:val="en-US"/>
        </w:rPr>
      </w:pPr>
      <w:r w:rsidRPr="00781608">
        <w:rPr>
          <w:rFonts w:cs="Times New Roman"/>
          <w:bCs/>
          <w:sz w:val="24"/>
          <w:szCs w:val="24"/>
          <w:lang w:val="en-US"/>
        </w:rPr>
        <w:t xml:space="preserve">The variable for freedom of press is of significant influence </w:t>
      </w:r>
      <w:r w:rsidR="00CB6C45" w:rsidRPr="00781608">
        <w:rPr>
          <w:rFonts w:cs="Times New Roman"/>
          <w:bCs/>
          <w:sz w:val="24"/>
          <w:szCs w:val="24"/>
          <w:lang w:val="en-US"/>
        </w:rPr>
        <w:t>on yield spreads. More important, even though it</w:t>
      </w:r>
      <w:r w:rsidRPr="00781608">
        <w:rPr>
          <w:rFonts w:cs="Times New Roman"/>
          <w:bCs/>
          <w:sz w:val="24"/>
          <w:szCs w:val="24"/>
          <w:lang w:val="en-US"/>
        </w:rPr>
        <w:t xml:space="preserve"> does </w:t>
      </w:r>
      <w:r w:rsidR="00CB6C45" w:rsidRPr="00781608">
        <w:rPr>
          <w:rFonts w:cs="Times New Roman"/>
          <w:bCs/>
          <w:sz w:val="24"/>
          <w:szCs w:val="24"/>
          <w:lang w:val="en-US"/>
        </w:rPr>
        <w:t xml:space="preserve">not </w:t>
      </w:r>
      <w:r w:rsidRPr="00781608">
        <w:rPr>
          <w:rFonts w:cs="Times New Roman"/>
          <w:bCs/>
          <w:sz w:val="24"/>
          <w:szCs w:val="24"/>
          <w:lang w:val="en-US"/>
        </w:rPr>
        <w:t>cause the effect of negative rating e</w:t>
      </w:r>
      <w:r w:rsidR="00CB6C45" w:rsidRPr="00781608">
        <w:rPr>
          <w:rFonts w:cs="Times New Roman"/>
          <w:bCs/>
          <w:sz w:val="24"/>
          <w:szCs w:val="24"/>
          <w:lang w:val="en-US"/>
        </w:rPr>
        <w:t xml:space="preserve">vents to cease, it does </w:t>
      </w:r>
      <w:r w:rsidRPr="00781608">
        <w:rPr>
          <w:rFonts w:cs="Times New Roman"/>
          <w:bCs/>
          <w:sz w:val="24"/>
          <w:szCs w:val="24"/>
          <w:lang w:val="en-US"/>
        </w:rPr>
        <w:t>decrease the influence.</w:t>
      </w:r>
      <w:r w:rsidR="00CB6C45" w:rsidRPr="00781608">
        <w:rPr>
          <w:rFonts w:cs="Times New Roman"/>
          <w:bCs/>
          <w:sz w:val="24"/>
          <w:szCs w:val="24"/>
          <w:lang w:val="en-US"/>
        </w:rPr>
        <w:t xml:space="preserve"> Norden (2008) already showed that the amount of media-coverage</w:t>
      </w:r>
      <w:r w:rsidR="00F76938" w:rsidRPr="00781608">
        <w:rPr>
          <w:rFonts w:cs="Times New Roman"/>
          <w:bCs/>
          <w:sz w:val="24"/>
          <w:szCs w:val="24"/>
          <w:lang w:val="en-US"/>
        </w:rPr>
        <w:t xml:space="preserve"> influences the impact of rating events and my models show the same results. </w:t>
      </w:r>
      <w:r w:rsidRPr="00781608">
        <w:rPr>
          <w:rFonts w:cs="Times New Roman"/>
          <w:bCs/>
          <w:sz w:val="24"/>
          <w:szCs w:val="24"/>
          <w:lang w:val="en-US"/>
        </w:rPr>
        <w:t>The variable for transparency is not significant and therefore suggests that corruption and/or lack of transparency are not relevant for the bond markets to estimate and judge the economic climate of a country</w:t>
      </w:r>
      <w:r w:rsidR="00F76938" w:rsidRPr="00781608">
        <w:rPr>
          <w:rFonts w:cs="Times New Roman"/>
          <w:bCs/>
          <w:sz w:val="24"/>
          <w:szCs w:val="24"/>
          <w:lang w:val="en-US"/>
        </w:rPr>
        <w:t xml:space="preserve"> via yield spreads</w:t>
      </w:r>
      <w:r w:rsidRPr="00781608">
        <w:rPr>
          <w:rFonts w:cs="Times New Roman"/>
          <w:bCs/>
          <w:sz w:val="24"/>
          <w:szCs w:val="24"/>
          <w:lang w:val="en-US"/>
        </w:rPr>
        <w:t>.</w:t>
      </w:r>
      <w:r w:rsidR="00DE258F" w:rsidRPr="00781608">
        <w:rPr>
          <w:rFonts w:cs="Times New Roman"/>
          <w:bCs/>
          <w:sz w:val="24"/>
          <w:szCs w:val="24"/>
          <w:lang w:val="en-US"/>
        </w:rPr>
        <w:t xml:space="preserve"> </w:t>
      </w:r>
      <w:r w:rsidR="00CB6C45" w:rsidRPr="00781608">
        <w:rPr>
          <w:rFonts w:cs="Times New Roman"/>
          <w:bCs/>
          <w:sz w:val="24"/>
          <w:szCs w:val="24"/>
          <w:lang w:val="en-US"/>
        </w:rPr>
        <w:t>It is, however, in accordance with</w:t>
      </w:r>
      <w:r w:rsidR="00DE258F" w:rsidRPr="00781608">
        <w:rPr>
          <w:rFonts w:cs="Times New Roman"/>
          <w:bCs/>
          <w:sz w:val="24"/>
          <w:szCs w:val="24"/>
          <w:lang w:val="en-US"/>
        </w:rPr>
        <w:t xml:space="preserve"> Gande and Parsley (2010) who find that corruption does serve as an excellent measu</w:t>
      </w:r>
      <w:r w:rsidR="0018432C" w:rsidRPr="00781608">
        <w:rPr>
          <w:rFonts w:cs="Times New Roman"/>
          <w:bCs/>
          <w:sz w:val="24"/>
          <w:szCs w:val="24"/>
          <w:lang w:val="en-US"/>
        </w:rPr>
        <w:t xml:space="preserve">re for information availability. </w:t>
      </w:r>
      <w:r w:rsidR="00F76938" w:rsidRPr="00781608">
        <w:rPr>
          <w:rFonts w:cs="Times New Roman"/>
          <w:bCs/>
          <w:sz w:val="24"/>
          <w:szCs w:val="24"/>
          <w:lang w:val="en-US"/>
        </w:rPr>
        <w:t xml:space="preserve">It is also in line with Drabek and Payne (2001) and Kaminsky and Schmukler (2010) who find evidence that rating events only have impact in non-transparent countries. </w:t>
      </w:r>
      <w:r w:rsidR="00CB6C45" w:rsidRPr="00781608">
        <w:rPr>
          <w:rFonts w:cs="Times New Roman"/>
          <w:bCs/>
          <w:sz w:val="24"/>
          <w:szCs w:val="24"/>
          <w:lang w:val="en-US"/>
        </w:rPr>
        <w:t>Even though the variable for freedom of press is only a bit significant and the variable for transparency not significant at all</w:t>
      </w:r>
      <w:r w:rsidR="00F76938" w:rsidRPr="00781608">
        <w:rPr>
          <w:rFonts w:cs="Times New Roman"/>
          <w:bCs/>
          <w:sz w:val="24"/>
          <w:szCs w:val="24"/>
          <w:lang w:val="en-US"/>
        </w:rPr>
        <w:t xml:space="preserve"> for estimating yield spreads</w:t>
      </w:r>
      <w:r w:rsidR="00CB6C45" w:rsidRPr="00781608">
        <w:rPr>
          <w:rFonts w:cs="Times New Roman"/>
          <w:bCs/>
          <w:sz w:val="24"/>
          <w:szCs w:val="24"/>
          <w:lang w:val="en-US"/>
        </w:rPr>
        <w:t xml:space="preserve">, the results do match with earlier </w:t>
      </w:r>
      <w:r w:rsidR="00F76938" w:rsidRPr="00781608">
        <w:rPr>
          <w:rFonts w:cs="Times New Roman"/>
          <w:bCs/>
          <w:sz w:val="24"/>
          <w:szCs w:val="24"/>
          <w:lang w:val="en-US"/>
        </w:rPr>
        <w:t>studies who</w:t>
      </w:r>
      <w:r w:rsidR="00CB6C45" w:rsidRPr="00781608">
        <w:rPr>
          <w:rFonts w:cs="Times New Roman"/>
          <w:bCs/>
          <w:sz w:val="24"/>
          <w:szCs w:val="24"/>
          <w:lang w:val="en-US"/>
        </w:rPr>
        <w:t xml:space="preserve"> find a decrease in the impact of rating events on yield spreads when controlling for information availability.</w:t>
      </w:r>
      <w:r w:rsidR="00A16CD4">
        <w:rPr>
          <w:rFonts w:cs="Times New Roman"/>
          <w:bCs/>
          <w:sz w:val="24"/>
          <w:szCs w:val="24"/>
          <w:lang w:val="en-US"/>
        </w:rPr>
        <w:t xml:space="preserve"> </w:t>
      </w:r>
      <w:r w:rsidRPr="00781608">
        <w:rPr>
          <w:rFonts w:cs="Times New Roman"/>
          <w:bCs/>
          <w:sz w:val="24"/>
          <w:szCs w:val="24"/>
          <w:lang w:val="en-US"/>
        </w:rPr>
        <w:t xml:space="preserve">Including a highly significant dummy for the crisis </w:t>
      </w:r>
      <w:r w:rsidR="00F76938" w:rsidRPr="00781608">
        <w:rPr>
          <w:rFonts w:cs="Times New Roman"/>
          <w:bCs/>
          <w:sz w:val="24"/>
          <w:szCs w:val="24"/>
          <w:lang w:val="en-US"/>
        </w:rPr>
        <w:t xml:space="preserve">also </w:t>
      </w:r>
      <w:r w:rsidRPr="00781608">
        <w:rPr>
          <w:rFonts w:cs="Times New Roman"/>
          <w:bCs/>
          <w:sz w:val="24"/>
          <w:szCs w:val="24"/>
          <w:lang w:val="en-US"/>
        </w:rPr>
        <w:t>lessen</w:t>
      </w:r>
      <w:r w:rsidR="00F76938" w:rsidRPr="00781608">
        <w:rPr>
          <w:rFonts w:cs="Times New Roman"/>
          <w:bCs/>
          <w:sz w:val="24"/>
          <w:szCs w:val="24"/>
          <w:lang w:val="en-US"/>
        </w:rPr>
        <w:t>s</w:t>
      </w:r>
      <w:r w:rsidRPr="00781608">
        <w:rPr>
          <w:rFonts w:cs="Times New Roman"/>
          <w:bCs/>
          <w:sz w:val="24"/>
          <w:szCs w:val="24"/>
          <w:lang w:val="en-US"/>
        </w:rPr>
        <w:t xml:space="preserve"> the influence of rating events, which could be explained by the reasoning that markets react more heavily (see Table </w:t>
      </w:r>
      <w:r w:rsidR="00742CD4" w:rsidRPr="00781608">
        <w:rPr>
          <w:rFonts w:cs="Times New Roman"/>
          <w:bCs/>
          <w:sz w:val="24"/>
          <w:szCs w:val="24"/>
          <w:lang w:val="en-US"/>
        </w:rPr>
        <w:t>6</w:t>
      </w:r>
      <w:r w:rsidRPr="00781608">
        <w:rPr>
          <w:rFonts w:cs="Times New Roman"/>
          <w:bCs/>
          <w:sz w:val="24"/>
          <w:szCs w:val="24"/>
          <w:lang w:val="en-US"/>
        </w:rPr>
        <w:t>.</w:t>
      </w:r>
      <w:r w:rsidR="00E8090C" w:rsidRPr="00781608">
        <w:rPr>
          <w:rFonts w:cs="Times New Roman"/>
          <w:bCs/>
          <w:sz w:val="24"/>
          <w:szCs w:val="24"/>
          <w:lang w:val="en-US"/>
        </w:rPr>
        <w:t>4</w:t>
      </w:r>
      <w:r w:rsidRPr="00781608">
        <w:rPr>
          <w:rFonts w:cs="Times New Roman"/>
          <w:bCs/>
          <w:sz w:val="24"/>
          <w:szCs w:val="24"/>
          <w:lang w:val="en-US"/>
        </w:rPr>
        <w:t xml:space="preserve">) in times of crisis. </w:t>
      </w:r>
      <w:r w:rsidR="00B6639E" w:rsidRPr="00781608">
        <w:rPr>
          <w:rFonts w:cs="Times New Roman"/>
          <w:bCs/>
          <w:sz w:val="24"/>
          <w:szCs w:val="24"/>
          <w:lang w:val="en-US"/>
        </w:rPr>
        <w:t xml:space="preserve">For 1- and 10-year maturity sovereign bonds the effect of rating events </w:t>
      </w:r>
      <w:r w:rsidR="0074550A" w:rsidRPr="00781608">
        <w:rPr>
          <w:rFonts w:cs="Times New Roman"/>
          <w:bCs/>
          <w:sz w:val="24"/>
          <w:szCs w:val="24"/>
          <w:lang w:val="en-US"/>
        </w:rPr>
        <w:t>disappears</w:t>
      </w:r>
      <w:r w:rsidR="00B6639E" w:rsidRPr="00781608">
        <w:rPr>
          <w:rFonts w:cs="Times New Roman"/>
          <w:bCs/>
          <w:sz w:val="24"/>
          <w:szCs w:val="24"/>
          <w:lang w:val="en-US"/>
        </w:rPr>
        <w:t xml:space="preserve"> completely when the variables for information availability are included.</w:t>
      </w:r>
    </w:p>
    <w:p w:rsidR="00793364" w:rsidRPr="00781608" w:rsidRDefault="004C007D" w:rsidP="004C007D">
      <w:pPr>
        <w:spacing w:after="0" w:line="360" w:lineRule="auto"/>
        <w:jc w:val="both"/>
        <w:rPr>
          <w:rFonts w:cs="Times New Roman"/>
          <w:bCs/>
          <w:sz w:val="24"/>
          <w:szCs w:val="24"/>
        </w:rPr>
      </w:pPr>
      <w:r w:rsidRPr="00781608">
        <w:rPr>
          <w:rFonts w:cs="Times New Roman"/>
          <w:bCs/>
          <w:sz w:val="24"/>
          <w:szCs w:val="24"/>
        </w:rPr>
        <w:lastRenderedPageBreak/>
        <w:t>T</w:t>
      </w:r>
      <w:r w:rsidR="00793364" w:rsidRPr="00781608">
        <w:rPr>
          <w:rFonts w:cs="Times New Roman"/>
          <w:bCs/>
          <w:sz w:val="24"/>
          <w:szCs w:val="24"/>
        </w:rPr>
        <w:t xml:space="preserve">ABLE </w:t>
      </w:r>
      <w:r w:rsidR="00742CD4" w:rsidRPr="00781608">
        <w:rPr>
          <w:rFonts w:cs="Times New Roman"/>
          <w:bCs/>
          <w:sz w:val="24"/>
          <w:szCs w:val="24"/>
        </w:rPr>
        <w:t>6</w:t>
      </w:r>
      <w:r w:rsidR="00793364" w:rsidRPr="00781608">
        <w:rPr>
          <w:rFonts w:cs="Times New Roman"/>
          <w:bCs/>
          <w:sz w:val="24"/>
          <w:szCs w:val="24"/>
        </w:rPr>
        <w:t>.</w:t>
      </w:r>
      <w:r w:rsidR="00E8090C" w:rsidRPr="00781608">
        <w:rPr>
          <w:rFonts w:cs="Times New Roman"/>
          <w:bCs/>
          <w:sz w:val="24"/>
          <w:szCs w:val="24"/>
        </w:rPr>
        <w:t>4</w:t>
      </w:r>
    </w:p>
    <w:tbl>
      <w:tblPr>
        <w:tblStyle w:val="Lichtearcering1"/>
        <w:tblW w:w="0" w:type="auto"/>
        <w:tblLook w:val="04A0" w:firstRow="1" w:lastRow="0" w:firstColumn="1" w:lastColumn="0" w:noHBand="0" w:noVBand="1"/>
      </w:tblPr>
      <w:tblGrid>
        <w:gridCol w:w="3510"/>
        <w:gridCol w:w="1276"/>
        <w:gridCol w:w="1276"/>
        <w:gridCol w:w="1276"/>
        <w:gridCol w:w="1178"/>
      </w:tblGrid>
      <w:tr w:rsidR="00793364" w:rsidRPr="00781608" w:rsidTr="00793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93364" w:rsidRPr="00781608" w:rsidRDefault="00793364" w:rsidP="00793364">
            <w:pPr>
              <w:spacing w:line="360" w:lineRule="auto"/>
              <w:jc w:val="both"/>
              <w:rPr>
                <w:rFonts w:cs="Times New Roman"/>
                <w:bCs w:val="0"/>
                <w:color w:val="auto"/>
                <w:sz w:val="22"/>
                <w:szCs w:val="22"/>
              </w:rPr>
            </w:pPr>
            <w:r w:rsidRPr="00781608">
              <w:rPr>
                <w:rFonts w:cs="Times New Roman"/>
                <w:bCs w:val="0"/>
                <w:color w:val="auto"/>
                <w:sz w:val="22"/>
                <w:szCs w:val="22"/>
              </w:rPr>
              <w:t>Variable</w:t>
            </w:r>
          </w:p>
        </w:tc>
        <w:tc>
          <w:tcPr>
            <w:tcW w:w="1276"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Expected size</w:t>
            </w:r>
          </w:p>
        </w:tc>
        <w:tc>
          <w:tcPr>
            <w:tcW w:w="1276"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Actual size 1Y</w:t>
            </w:r>
          </w:p>
        </w:tc>
        <w:tc>
          <w:tcPr>
            <w:tcW w:w="1276"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Actual size 5Y</w:t>
            </w:r>
          </w:p>
        </w:tc>
        <w:tc>
          <w:tcPr>
            <w:tcW w:w="1178"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Actual size 10Y</w:t>
            </w:r>
          </w:p>
        </w:tc>
      </w:tr>
      <w:tr w:rsidR="00793364" w:rsidRPr="00781608" w:rsidTr="00793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Positive rating events</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178"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r>
      <w:tr w:rsidR="00793364" w:rsidRPr="00781608" w:rsidTr="00793364">
        <w:tc>
          <w:tcPr>
            <w:cnfStyle w:val="001000000000" w:firstRow="0" w:lastRow="0" w:firstColumn="1" w:lastColumn="0" w:oddVBand="0" w:evenVBand="0" w:oddHBand="0" w:evenHBand="0" w:firstRowFirstColumn="0" w:firstRowLastColumn="0" w:lastRowFirstColumn="0" w:lastRowLastColumn="0"/>
            <w:tcW w:w="3510"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Negative rating events</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Medium</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Large</w:t>
            </w:r>
          </w:p>
        </w:tc>
        <w:tc>
          <w:tcPr>
            <w:tcW w:w="1178"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r>
      <w:tr w:rsidR="00793364" w:rsidRPr="00781608" w:rsidTr="00793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Transparency</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Medium</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178"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r>
      <w:tr w:rsidR="00793364" w:rsidRPr="00781608" w:rsidTr="00793364">
        <w:tc>
          <w:tcPr>
            <w:cnfStyle w:val="001000000000" w:firstRow="0" w:lastRow="0" w:firstColumn="1" w:lastColumn="0" w:oddVBand="0" w:evenVBand="0" w:oddHBand="0" w:evenHBand="0" w:firstRowFirstColumn="0" w:firstRowLastColumn="0" w:lastRowFirstColumn="0" w:lastRowLastColumn="0"/>
            <w:tcW w:w="3510"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Freedom of Press</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Medium</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c>
          <w:tcPr>
            <w:tcW w:w="1178"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Small</w:t>
            </w:r>
          </w:p>
        </w:tc>
      </w:tr>
      <w:tr w:rsidR="00793364" w:rsidRPr="00781608" w:rsidTr="00793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Crisis</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Large</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Large</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Medium</w:t>
            </w:r>
          </w:p>
        </w:tc>
        <w:tc>
          <w:tcPr>
            <w:tcW w:w="1178"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Large</w:t>
            </w:r>
          </w:p>
        </w:tc>
      </w:tr>
    </w:tbl>
    <w:p w:rsidR="00911F47" w:rsidRPr="00781608" w:rsidRDefault="00793364" w:rsidP="009075B9">
      <w:pPr>
        <w:spacing w:before="240" w:line="360" w:lineRule="auto"/>
        <w:jc w:val="both"/>
        <w:rPr>
          <w:rFonts w:cs="Times New Roman"/>
          <w:bCs/>
          <w:sz w:val="24"/>
          <w:szCs w:val="24"/>
          <w:lang w:val="en-US"/>
        </w:rPr>
      </w:pPr>
      <w:r w:rsidRPr="00781608">
        <w:rPr>
          <w:rFonts w:cs="Times New Roman"/>
          <w:bCs/>
          <w:sz w:val="24"/>
          <w:szCs w:val="24"/>
          <w:lang w:val="en-US"/>
        </w:rPr>
        <w:t xml:space="preserve">The fact that rating events still have significant influence on the markets shows that the Efficient Market Hypothesis (EMH) does not hold. Even though rating events are based on </w:t>
      </w:r>
      <w:r w:rsidR="00B6639E" w:rsidRPr="00781608">
        <w:rPr>
          <w:rFonts w:cs="Times New Roman"/>
          <w:bCs/>
          <w:sz w:val="24"/>
          <w:szCs w:val="24"/>
          <w:lang w:val="en-US"/>
        </w:rPr>
        <w:t xml:space="preserve">publicly </w:t>
      </w:r>
      <w:r w:rsidRPr="00781608">
        <w:rPr>
          <w:rFonts w:cs="Times New Roman"/>
          <w:bCs/>
          <w:sz w:val="24"/>
          <w:szCs w:val="24"/>
          <w:lang w:val="en-US"/>
        </w:rPr>
        <w:t>available information and are therefore by definition lagged</w:t>
      </w:r>
      <w:r w:rsidR="00B6639E" w:rsidRPr="00781608">
        <w:rPr>
          <w:rFonts w:cs="Times New Roman"/>
          <w:bCs/>
          <w:sz w:val="24"/>
          <w:szCs w:val="24"/>
          <w:lang w:val="en-US"/>
        </w:rPr>
        <w:t xml:space="preserve"> and contain no new information</w:t>
      </w:r>
      <w:r w:rsidRPr="00781608">
        <w:rPr>
          <w:rFonts w:cs="Times New Roman"/>
          <w:bCs/>
          <w:sz w:val="24"/>
          <w:szCs w:val="24"/>
          <w:lang w:val="en-US"/>
        </w:rPr>
        <w:t xml:space="preserve">, they still cause reactions in the </w:t>
      </w:r>
      <w:r w:rsidR="00B6639E" w:rsidRPr="00781608">
        <w:rPr>
          <w:rFonts w:cs="Times New Roman"/>
          <w:bCs/>
          <w:sz w:val="24"/>
          <w:szCs w:val="24"/>
          <w:lang w:val="en-US"/>
        </w:rPr>
        <w:t xml:space="preserve">5-year maturity sovereign </w:t>
      </w:r>
      <w:r w:rsidRPr="00781608">
        <w:rPr>
          <w:rFonts w:cs="Times New Roman"/>
          <w:bCs/>
          <w:sz w:val="24"/>
          <w:szCs w:val="24"/>
          <w:lang w:val="en-US"/>
        </w:rPr>
        <w:t xml:space="preserve">bond markets. </w:t>
      </w:r>
      <w:r w:rsidR="00B6639E" w:rsidRPr="00781608">
        <w:rPr>
          <w:rFonts w:cs="Times New Roman"/>
          <w:bCs/>
          <w:sz w:val="24"/>
          <w:szCs w:val="24"/>
          <w:lang w:val="en-US"/>
        </w:rPr>
        <w:t xml:space="preserve">Obstacles in the likes of reduced information availability indeed lessened the effect but were not able to completely offset the rating event effect. </w:t>
      </w:r>
    </w:p>
    <w:p w:rsidR="00793364" w:rsidRPr="00781608" w:rsidRDefault="001A7D20" w:rsidP="009075B9">
      <w:pPr>
        <w:spacing w:before="240" w:line="360" w:lineRule="auto"/>
        <w:jc w:val="both"/>
        <w:rPr>
          <w:rFonts w:cs="Times New Roman"/>
          <w:bCs/>
          <w:sz w:val="24"/>
          <w:szCs w:val="24"/>
          <w:lang w:val="en-US"/>
        </w:rPr>
      </w:pPr>
      <w:r w:rsidRPr="00781608">
        <w:rPr>
          <w:rFonts w:cs="Times New Roman"/>
          <w:bCs/>
          <w:sz w:val="24"/>
          <w:szCs w:val="24"/>
          <w:lang w:val="en-US"/>
        </w:rPr>
        <w:t>The sign of the significant variables are corresponding to the expected sign</w:t>
      </w:r>
      <w:r w:rsidR="00911F47" w:rsidRPr="00781608">
        <w:rPr>
          <w:rFonts w:cs="Times New Roman"/>
          <w:bCs/>
          <w:sz w:val="24"/>
          <w:szCs w:val="24"/>
          <w:lang w:val="en-US"/>
        </w:rPr>
        <w:t xml:space="preserve"> (See Table 6.5)</w:t>
      </w:r>
      <w:r w:rsidRPr="00781608">
        <w:rPr>
          <w:rFonts w:cs="Times New Roman"/>
          <w:bCs/>
          <w:sz w:val="24"/>
          <w:szCs w:val="24"/>
          <w:lang w:val="en-US"/>
        </w:rPr>
        <w:t>. Positive rating events and the transparency variable have conflicting signs but as both variables are insignificant it is not of great concern. Looking at the 1- and 10-year spreads it shows that no significant impact, positive or negative, is found after including the extra explanatory variables. For these bond markets the EMH seems to hold.</w:t>
      </w:r>
    </w:p>
    <w:p w:rsidR="00793364" w:rsidRPr="00781608" w:rsidRDefault="004C007D" w:rsidP="004C007D">
      <w:pPr>
        <w:spacing w:after="0" w:line="360" w:lineRule="auto"/>
        <w:jc w:val="both"/>
        <w:rPr>
          <w:rFonts w:cs="Times New Roman"/>
          <w:bCs/>
          <w:sz w:val="24"/>
          <w:szCs w:val="24"/>
          <w:lang w:val="en-US"/>
        </w:rPr>
      </w:pPr>
      <w:r w:rsidRPr="00781608">
        <w:rPr>
          <w:rFonts w:cs="Times New Roman"/>
          <w:bCs/>
          <w:sz w:val="24"/>
          <w:szCs w:val="24"/>
          <w:lang w:val="en-US"/>
        </w:rPr>
        <w:t xml:space="preserve">TABLE </w:t>
      </w:r>
      <w:r w:rsidR="00742CD4" w:rsidRPr="00781608">
        <w:rPr>
          <w:rFonts w:cs="Times New Roman"/>
          <w:bCs/>
          <w:sz w:val="24"/>
          <w:szCs w:val="24"/>
          <w:lang w:val="en-US"/>
        </w:rPr>
        <w:t>6</w:t>
      </w:r>
      <w:r w:rsidRPr="00781608">
        <w:rPr>
          <w:rFonts w:cs="Times New Roman"/>
          <w:bCs/>
          <w:sz w:val="24"/>
          <w:szCs w:val="24"/>
          <w:lang w:val="en-US"/>
        </w:rPr>
        <w:t>.</w:t>
      </w:r>
      <w:r w:rsidR="0088735C" w:rsidRPr="00781608">
        <w:rPr>
          <w:rFonts w:cs="Times New Roman"/>
          <w:bCs/>
          <w:sz w:val="24"/>
          <w:szCs w:val="24"/>
          <w:lang w:val="en-US"/>
        </w:rPr>
        <w:t>5</w:t>
      </w:r>
    </w:p>
    <w:tbl>
      <w:tblPr>
        <w:tblStyle w:val="Lichtearcering1"/>
        <w:tblW w:w="0" w:type="auto"/>
        <w:tblLook w:val="04A0" w:firstRow="1" w:lastRow="0" w:firstColumn="1" w:lastColumn="0" w:noHBand="0" w:noVBand="1"/>
      </w:tblPr>
      <w:tblGrid>
        <w:gridCol w:w="3369"/>
        <w:gridCol w:w="1275"/>
        <w:gridCol w:w="1276"/>
        <w:gridCol w:w="1276"/>
        <w:gridCol w:w="1320"/>
      </w:tblGrid>
      <w:tr w:rsidR="00793364" w:rsidRPr="00781608" w:rsidTr="00793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93364" w:rsidRPr="00781608" w:rsidRDefault="00793364" w:rsidP="00793364">
            <w:pPr>
              <w:spacing w:line="360" w:lineRule="auto"/>
              <w:jc w:val="both"/>
              <w:rPr>
                <w:rFonts w:cs="Times New Roman"/>
                <w:bCs w:val="0"/>
                <w:color w:val="auto"/>
                <w:sz w:val="22"/>
                <w:szCs w:val="22"/>
              </w:rPr>
            </w:pPr>
            <w:r w:rsidRPr="00781608">
              <w:rPr>
                <w:rFonts w:cs="Times New Roman"/>
                <w:bCs w:val="0"/>
                <w:color w:val="auto"/>
                <w:sz w:val="22"/>
                <w:szCs w:val="22"/>
              </w:rPr>
              <w:t>Variable</w:t>
            </w:r>
          </w:p>
        </w:tc>
        <w:tc>
          <w:tcPr>
            <w:tcW w:w="1275"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Expected sign</w:t>
            </w:r>
          </w:p>
        </w:tc>
        <w:tc>
          <w:tcPr>
            <w:tcW w:w="1276"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Actual sign 1Y</w:t>
            </w:r>
          </w:p>
        </w:tc>
        <w:tc>
          <w:tcPr>
            <w:tcW w:w="1276"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Actual sign 5Y</w:t>
            </w:r>
          </w:p>
        </w:tc>
        <w:tc>
          <w:tcPr>
            <w:tcW w:w="1320" w:type="dxa"/>
          </w:tcPr>
          <w:p w:rsidR="00793364" w:rsidRPr="00781608" w:rsidRDefault="00793364" w:rsidP="00793364">
            <w:pPr>
              <w:spacing w:line="360" w:lineRule="auto"/>
              <w:jc w:val="center"/>
              <w:cnfStyle w:val="100000000000" w:firstRow="1" w:lastRow="0" w:firstColumn="0" w:lastColumn="0" w:oddVBand="0" w:evenVBand="0" w:oddHBand="0" w:evenHBand="0" w:firstRowFirstColumn="0" w:firstRowLastColumn="0" w:lastRowFirstColumn="0" w:lastRowLastColumn="0"/>
              <w:rPr>
                <w:rFonts w:cs="Times New Roman"/>
                <w:bCs w:val="0"/>
                <w:color w:val="auto"/>
                <w:sz w:val="22"/>
                <w:szCs w:val="22"/>
              </w:rPr>
            </w:pPr>
            <w:r w:rsidRPr="00781608">
              <w:rPr>
                <w:rFonts w:cs="Times New Roman"/>
                <w:bCs w:val="0"/>
                <w:color w:val="auto"/>
                <w:sz w:val="22"/>
                <w:szCs w:val="22"/>
              </w:rPr>
              <w:t>Actual sign 10Y</w:t>
            </w:r>
          </w:p>
        </w:tc>
      </w:tr>
      <w:tr w:rsidR="00793364" w:rsidRPr="00781608" w:rsidTr="00793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Positive rating events</w:t>
            </w:r>
          </w:p>
        </w:tc>
        <w:tc>
          <w:tcPr>
            <w:tcW w:w="1275" w:type="dxa"/>
          </w:tcPr>
          <w:p w:rsidR="00793364" w:rsidRPr="00781608" w:rsidRDefault="00ED4306"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320"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r>
      <w:tr w:rsidR="00793364" w:rsidRPr="00781608" w:rsidTr="00793364">
        <w:tc>
          <w:tcPr>
            <w:cnfStyle w:val="001000000000" w:firstRow="0" w:lastRow="0" w:firstColumn="1" w:lastColumn="0" w:oddVBand="0" w:evenVBand="0" w:oddHBand="0" w:evenHBand="0" w:firstRowFirstColumn="0" w:firstRowLastColumn="0" w:lastRowFirstColumn="0" w:lastRowLastColumn="0"/>
            <w:tcW w:w="3369"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Negative rating events</w:t>
            </w:r>
          </w:p>
        </w:tc>
        <w:tc>
          <w:tcPr>
            <w:tcW w:w="1275" w:type="dxa"/>
          </w:tcPr>
          <w:p w:rsidR="00793364" w:rsidRPr="00781608" w:rsidRDefault="00ED4306"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320"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r>
      <w:tr w:rsidR="00793364" w:rsidRPr="00781608" w:rsidTr="00793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Transparency</w:t>
            </w:r>
            <w:r w:rsidR="001A7D20" w:rsidRPr="00781608">
              <w:rPr>
                <w:rFonts w:cs="Times New Roman"/>
                <w:b w:val="0"/>
                <w:bCs w:val="0"/>
                <w:color w:val="auto"/>
                <w:sz w:val="22"/>
                <w:szCs w:val="22"/>
              </w:rPr>
              <w:t xml:space="preserve"> Index</w:t>
            </w:r>
          </w:p>
        </w:tc>
        <w:tc>
          <w:tcPr>
            <w:tcW w:w="1275" w:type="dxa"/>
          </w:tcPr>
          <w:p w:rsidR="00793364" w:rsidRPr="00781608" w:rsidRDefault="00ED4306"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320"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r>
      <w:tr w:rsidR="00793364" w:rsidRPr="00781608" w:rsidTr="00793364">
        <w:tc>
          <w:tcPr>
            <w:cnfStyle w:val="001000000000" w:firstRow="0" w:lastRow="0" w:firstColumn="1" w:lastColumn="0" w:oddVBand="0" w:evenVBand="0" w:oddHBand="0" w:evenHBand="0" w:firstRowFirstColumn="0" w:firstRowLastColumn="0" w:lastRowFirstColumn="0" w:lastRowLastColumn="0"/>
            <w:tcW w:w="3369"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Freedom of press</w:t>
            </w:r>
          </w:p>
        </w:tc>
        <w:tc>
          <w:tcPr>
            <w:tcW w:w="1275"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320" w:type="dxa"/>
          </w:tcPr>
          <w:p w:rsidR="00793364" w:rsidRPr="00781608" w:rsidRDefault="00793364" w:rsidP="0079336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r>
      <w:tr w:rsidR="00793364" w:rsidRPr="00781608" w:rsidTr="00793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93364" w:rsidRPr="00781608" w:rsidRDefault="00793364" w:rsidP="00793364">
            <w:pPr>
              <w:spacing w:line="360" w:lineRule="auto"/>
              <w:jc w:val="both"/>
              <w:rPr>
                <w:rFonts w:cs="Times New Roman"/>
                <w:b w:val="0"/>
                <w:bCs w:val="0"/>
                <w:color w:val="auto"/>
                <w:sz w:val="22"/>
                <w:szCs w:val="22"/>
              </w:rPr>
            </w:pPr>
            <w:r w:rsidRPr="00781608">
              <w:rPr>
                <w:rFonts w:cs="Times New Roman"/>
                <w:b w:val="0"/>
                <w:bCs w:val="0"/>
                <w:color w:val="auto"/>
                <w:sz w:val="22"/>
                <w:szCs w:val="22"/>
              </w:rPr>
              <w:t>Crisis</w:t>
            </w:r>
          </w:p>
        </w:tc>
        <w:tc>
          <w:tcPr>
            <w:tcW w:w="1275"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276"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c>
          <w:tcPr>
            <w:tcW w:w="1320" w:type="dxa"/>
          </w:tcPr>
          <w:p w:rsidR="00793364" w:rsidRPr="00781608" w:rsidRDefault="00793364" w:rsidP="0079336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auto"/>
                <w:sz w:val="22"/>
                <w:szCs w:val="22"/>
              </w:rPr>
            </w:pPr>
            <w:r w:rsidRPr="00781608">
              <w:rPr>
                <w:rFonts w:cs="Times New Roman"/>
                <w:bCs/>
                <w:color w:val="auto"/>
                <w:sz w:val="22"/>
                <w:szCs w:val="22"/>
              </w:rPr>
              <w:t>+</w:t>
            </w:r>
          </w:p>
        </w:tc>
      </w:tr>
    </w:tbl>
    <w:p w:rsidR="00793364" w:rsidRPr="00781608" w:rsidRDefault="00793364" w:rsidP="00927E7A">
      <w:pPr>
        <w:spacing w:before="240" w:line="360" w:lineRule="auto"/>
        <w:jc w:val="both"/>
        <w:rPr>
          <w:rFonts w:cs="Times New Roman"/>
          <w:bCs/>
          <w:sz w:val="24"/>
          <w:szCs w:val="24"/>
          <w:lang w:val="en-US"/>
        </w:rPr>
      </w:pPr>
      <w:r w:rsidRPr="00781608">
        <w:rPr>
          <w:rFonts w:cs="Times New Roman"/>
          <w:bCs/>
          <w:sz w:val="24"/>
          <w:szCs w:val="24"/>
          <w:lang w:val="en-US"/>
        </w:rPr>
        <w:lastRenderedPageBreak/>
        <w:t xml:space="preserve">The only </w:t>
      </w:r>
      <w:r w:rsidR="00911F47" w:rsidRPr="00781608">
        <w:rPr>
          <w:rFonts w:cs="Times New Roman"/>
          <w:bCs/>
          <w:sz w:val="24"/>
          <w:szCs w:val="24"/>
          <w:lang w:val="en-US"/>
        </w:rPr>
        <w:t>real oddity in the results</w:t>
      </w:r>
      <w:r w:rsidRPr="00781608">
        <w:rPr>
          <w:rFonts w:cs="Times New Roman"/>
          <w:bCs/>
          <w:sz w:val="24"/>
          <w:szCs w:val="24"/>
          <w:lang w:val="en-US"/>
        </w:rPr>
        <w:t xml:space="preserve"> is the reaction to watchlist announcements by Fitch</w:t>
      </w:r>
      <w:r w:rsidR="00911F47" w:rsidRPr="00781608">
        <w:rPr>
          <w:rFonts w:cs="Times New Roman"/>
          <w:bCs/>
          <w:sz w:val="24"/>
          <w:szCs w:val="24"/>
          <w:lang w:val="en-US"/>
        </w:rPr>
        <w:t xml:space="preserve"> (See Appendix B)</w:t>
      </w:r>
      <w:r w:rsidRPr="00781608">
        <w:rPr>
          <w:rFonts w:cs="Times New Roman"/>
          <w:bCs/>
          <w:sz w:val="24"/>
          <w:szCs w:val="24"/>
          <w:lang w:val="en-US"/>
        </w:rPr>
        <w:t xml:space="preserve">. That event seems to trigger significant reactions for all maturities. Their positive watchlist announcements are the only positive rating events to cause a significant reaction, </w:t>
      </w:r>
      <w:r w:rsidR="001A7D20" w:rsidRPr="00781608">
        <w:rPr>
          <w:rFonts w:cs="Times New Roman"/>
          <w:bCs/>
          <w:sz w:val="24"/>
          <w:szCs w:val="24"/>
          <w:lang w:val="en-US"/>
        </w:rPr>
        <w:t xml:space="preserve">however, </w:t>
      </w:r>
      <w:r w:rsidRPr="00781608">
        <w:rPr>
          <w:rFonts w:cs="Times New Roman"/>
          <w:bCs/>
          <w:sz w:val="24"/>
          <w:szCs w:val="24"/>
          <w:lang w:val="en-US"/>
        </w:rPr>
        <w:t xml:space="preserve">with a positive sign. </w:t>
      </w:r>
      <w:r w:rsidR="001A7D20" w:rsidRPr="00781608">
        <w:rPr>
          <w:rFonts w:cs="Times New Roman"/>
          <w:bCs/>
          <w:sz w:val="24"/>
          <w:szCs w:val="24"/>
          <w:lang w:val="en-US"/>
        </w:rPr>
        <w:t>It seems that the markets do not assess this event as positive information</w:t>
      </w:r>
      <w:r w:rsidRPr="00781608">
        <w:rPr>
          <w:rFonts w:cs="Times New Roman"/>
          <w:bCs/>
          <w:sz w:val="24"/>
          <w:szCs w:val="24"/>
          <w:lang w:val="en-US"/>
        </w:rPr>
        <w:t>. Apart from that it is clear that bond markets only possibly react to negative rating events and not to positive events. This asymmetry</w:t>
      </w:r>
      <w:r w:rsidR="00FD14E6" w:rsidRPr="00781608">
        <w:rPr>
          <w:rFonts w:cs="Times New Roman"/>
          <w:bCs/>
          <w:sz w:val="24"/>
          <w:szCs w:val="24"/>
          <w:lang w:val="en-US"/>
        </w:rPr>
        <w:t>, which is in accordance to most previous studies,</w:t>
      </w:r>
      <w:r w:rsidRPr="00781608">
        <w:rPr>
          <w:rFonts w:cs="Times New Roman"/>
          <w:bCs/>
          <w:sz w:val="24"/>
          <w:szCs w:val="24"/>
          <w:lang w:val="en-US"/>
        </w:rPr>
        <w:t xml:space="preserve"> suggest that bull markets do not cause strong volatile reactions, whereas bear markets do get heavy reactions. This can be explained by the saying ‘take your losses and let your fortunes roll’, meaning there is less at stake by gaining than by losing.</w:t>
      </w:r>
    </w:p>
    <w:p w:rsidR="004D6765" w:rsidRPr="00A16CD4" w:rsidRDefault="00764641" w:rsidP="00781608">
      <w:pPr>
        <w:pStyle w:val="Kop1"/>
        <w:spacing w:after="240" w:line="360" w:lineRule="auto"/>
        <w:rPr>
          <w:rFonts w:asciiTheme="minorHAnsi" w:hAnsiTheme="minorHAnsi" w:cs="Times New Roman"/>
          <w:bCs w:val="0"/>
          <w:i/>
          <w:color w:val="auto"/>
          <w:sz w:val="24"/>
          <w:szCs w:val="24"/>
          <w:lang w:val="en-US"/>
        </w:rPr>
      </w:pPr>
      <w:bookmarkStart w:id="19" w:name="_Toc359926560"/>
      <w:r>
        <w:rPr>
          <w:rFonts w:asciiTheme="minorHAnsi" w:hAnsiTheme="minorHAnsi" w:cs="Times New Roman"/>
          <w:bCs w:val="0"/>
          <w:color w:val="auto"/>
          <w:sz w:val="24"/>
          <w:szCs w:val="24"/>
          <w:lang w:val="en-US"/>
        </w:rPr>
        <w:br w:type="column"/>
      </w:r>
      <w:r w:rsidR="00742CD4" w:rsidRPr="00A16CD4">
        <w:rPr>
          <w:rFonts w:asciiTheme="minorHAnsi" w:hAnsiTheme="minorHAnsi" w:cs="Times New Roman"/>
          <w:bCs w:val="0"/>
          <w:i/>
          <w:color w:val="auto"/>
          <w:sz w:val="24"/>
          <w:szCs w:val="24"/>
          <w:lang w:val="en-US"/>
        </w:rPr>
        <w:lastRenderedPageBreak/>
        <w:t>7</w:t>
      </w:r>
      <w:r w:rsidR="004D6765" w:rsidRPr="00A16CD4">
        <w:rPr>
          <w:rFonts w:asciiTheme="minorHAnsi" w:hAnsiTheme="minorHAnsi" w:cs="Times New Roman"/>
          <w:bCs w:val="0"/>
          <w:i/>
          <w:color w:val="auto"/>
          <w:sz w:val="24"/>
          <w:szCs w:val="24"/>
          <w:lang w:val="en-US"/>
        </w:rPr>
        <w:t>. Conclusion</w:t>
      </w:r>
      <w:bookmarkEnd w:id="19"/>
    </w:p>
    <w:p w:rsidR="009B0E2A" w:rsidRPr="00781608" w:rsidRDefault="004D6765" w:rsidP="006C246A">
      <w:pPr>
        <w:spacing w:line="360" w:lineRule="auto"/>
        <w:jc w:val="both"/>
        <w:rPr>
          <w:rFonts w:cs="Times New Roman"/>
          <w:bCs/>
          <w:sz w:val="24"/>
          <w:szCs w:val="24"/>
          <w:lang w:val="en-US"/>
        </w:rPr>
      </w:pPr>
      <w:r w:rsidRPr="00781608">
        <w:rPr>
          <w:rFonts w:cs="Times New Roman"/>
          <w:bCs/>
          <w:sz w:val="24"/>
          <w:szCs w:val="24"/>
          <w:lang w:val="en-US"/>
        </w:rPr>
        <w:t xml:space="preserve">Earlier research on the impact of rating events on bond markets showed that despite of the fact that they do not contain any new information, rating events actually do significantly affect bond markets. This impact showed to be most pronounced for negative rating events. In this study I investigated </w:t>
      </w:r>
      <w:r w:rsidR="006C246A" w:rsidRPr="00781608">
        <w:rPr>
          <w:rFonts w:cs="Times New Roman"/>
          <w:bCs/>
          <w:sz w:val="24"/>
          <w:szCs w:val="24"/>
          <w:lang w:val="en-US"/>
        </w:rPr>
        <w:t xml:space="preserve">on a sovereign level </w:t>
      </w:r>
      <w:r w:rsidRPr="00781608">
        <w:rPr>
          <w:rFonts w:cs="Times New Roman"/>
          <w:bCs/>
          <w:sz w:val="24"/>
          <w:szCs w:val="24"/>
          <w:lang w:val="en-US"/>
        </w:rPr>
        <w:t xml:space="preserve">if by controlling for information availability and by filtering </w:t>
      </w:r>
      <w:r w:rsidR="00FD14E6" w:rsidRPr="00781608">
        <w:rPr>
          <w:rFonts w:cs="Times New Roman"/>
          <w:bCs/>
          <w:sz w:val="24"/>
          <w:szCs w:val="24"/>
          <w:lang w:val="en-US"/>
        </w:rPr>
        <w:t>out a crisis effect, this impact</w:t>
      </w:r>
      <w:r w:rsidRPr="00781608">
        <w:rPr>
          <w:rFonts w:cs="Times New Roman"/>
          <w:bCs/>
          <w:sz w:val="24"/>
          <w:szCs w:val="24"/>
          <w:lang w:val="en-US"/>
        </w:rPr>
        <w:t xml:space="preserve"> would cease. By including the explanatory variables</w:t>
      </w:r>
      <w:r w:rsidR="006C246A" w:rsidRPr="00781608">
        <w:rPr>
          <w:rFonts w:cs="Times New Roman"/>
          <w:bCs/>
          <w:sz w:val="24"/>
          <w:szCs w:val="24"/>
          <w:lang w:val="en-US"/>
        </w:rPr>
        <w:t>,</w:t>
      </w:r>
      <w:r w:rsidRPr="00781608">
        <w:rPr>
          <w:rFonts w:cs="Times New Roman"/>
          <w:bCs/>
          <w:sz w:val="24"/>
          <w:szCs w:val="24"/>
          <w:lang w:val="en-US"/>
        </w:rPr>
        <w:t xml:space="preserve"> which measure a country’s transparency level and the amoun</w:t>
      </w:r>
      <w:r w:rsidR="006C246A" w:rsidRPr="00781608">
        <w:rPr>
          <w:rFonts w:cs="Times New Roman"/>
          <w:bCs/>
          <w:sz w:val="24"/>
          <w:szCs w:val="24"/>
          <w:lang w:val="en-US"/>
        </w:rPr>
        <w:t>t</w:t>
      </w:r>
      <w:r w:rsidRPr="00781608">
        <w:rPr>
          <w:rFonts w:cs="Times New Roman"/>
          <w:bCs/>
          <w:sz w:val="24"/>
          <w:szCs w:val="24"/>
          <w:lang w:val="en-US"/>
        </w:rPr>
        <w:t xml:space="preserve"> of press freedom</w:t>
      </w:r>
      <w:r w:rsidR="006C246A" w:rsidRPr="00781608">
        <w:rPr>
          <w:rFonts w:cs="Times New Roman"/>
          <w:bCs/>
          <w:sz w:val="24"/>
          <w:szCs w:val="24"/>
          <w:lang w:val="en-US"/>
        </w:rPr>
        <w:t>,</w:t>
      </w:r>
      <w:r w:rsidRPr="00781608">
        <w:rPr>
          <w:rFonts w:cs="Times New Roman"/>
          <w:bCs/>
          <w:sz w:val="24"/>
          <w:szCs w:val="24"/>
          <w:lang w:val="en-US"/>
        </w:rPr>
        <w:t xml:space="preserve"> the effect of positive rating events completely cease and the impact of negative rating events decreases. After including a dummy for the crisis, which started in September 2008 and is still present, the effect was even more muted, though still significant. </w:t>
      </w:r>
      <w:r w:rsidR="006C246A" w:rsidRPr="00781608">
        <w:rPr>
          <w:rFonts w:cs="Times New Roman"/>
          <w:bCs/>
          <w:sz w:val="24"/>
          <w:szCs w:val="24"/>
          <w:lang w:val="en-US"/>
        </w:rPr>
        <w:t xml:space="preserve">During crises the markets </w:t>
      </w:r>
      <w:r w:rsidR="00B26815" w:rsidRPr="00781608">
        <w:rPr>
          <w:rFonts w:cs="Times New Roman"/>
          <w:bCs/>
          <w:sz w:val="24"/>
          <w:szCs w:val="24"/>
          <w:lang w:val="en-US"/>
        </w:rPr>
        <w:t>tend to have more volatile spreads</w:t>
      </w:r>
      <w:r w:rsidR="006C246A" w:rsidRPr="00781608">
        <w:rPr>
          <w:rFonts w:cs="Times New Roman"/>
          <w:bCs/>
          <w:sz w:val="24"/>
          <w:szCs w:val="24"/>
          <w:lang w:val="en-US"/>
        </w:rPr>
        <w:t xml:space="preserve">. I also looked at different maturities and found that after including the extra explanatory variables the impact disappeared for 1- and 10-year maturity bond </w:t>
      </w:r>
      <w:r w:rsidR="004141CD" w:rsidRPr="00781608">
        <w:rPr>
          <w:rFonts w:cs="Times New Roman"/>
          <w:bCs/>
          <w:sz w:val="24"/>
          <w:szCs w:val="24"/>
          <w:lang w:val="en-US"/>
        </w:rPr>
        <w:t>spread</w:t>
      </w:r>
      <w:r w:rsidR="006C246A" w:rsidRPr="00781608">
        <w:rPr>
          <w:rFonts w:cs="Times New Roman"/>
          <w:bCs/>
          <w:sz w:val="24"/>
          <w:szCs w:val="24"/>
          <w:lang w:val="en-US"/>
        </w:rPr>
        <w:t xml:space="preserve">s. For 5-year maturity bond </w:t>
      </w:r>
      <w:r w:rsidR="004141CD" w:rsidRPr="00781608">
        <w:rPr>
          <w:rFonts w:cs="Times New Roman"/>
          <w:bCs/>
          <w:sz w:val="24"/>
          <w:szCs w:val="24"/>
          <w:lang w:val="en-US"/>
        </w:rPr>
        <w:t>spread</w:t>
      </w:r>
      <w:r w:rsidR="006C246A" w:rsidRPr="00781608">
        <w:rPr>
          <w:rFonts w:cs="Times New Roman"/>
          <w:bCs/>
          <w:sz w:val="24"/>
          <w:szCs w:val="24"/>
          <w:lang w:val="en-US"/>
        </w:rPr>
        <w:t>s the effect of negative rating events was still significant, although</w:t>
      </w:r>
      <w:r w:rsidR="00BD2D17" w:rsidRPr="00781608">
        <w:rPr>
          <w:rFonts w:cs="Times New Roman"/>
          <w:bCs/>
          <w:sz w:val="24"/>
          <w:szCs w:val="24"/>
          <w:lang w:val="en-US"/>
        </w:rPr>
        <w:t xml:space="preserve"> significantly</w:t>
      </w:r>
      <w:r w:rsidR="006C246A" w:rsidRPr="00781608">
        <w:rPr>
          <w:rFonts w:cs="Times New Roman"/>
          <w:bCs/>
          <w:sz w:val="24"/>
          <w:szCs w:val="24"/>
          <w:lang w:val="en-US"/>
        </w:rPr>
        <w:t xml:space="preserve"> muted. Given the fact that rating events are </w:t>
      </w:r>
      <w:r w:rsidR="0074550A" w:rsidRPr="00781608">
        <w:rPr>
          <w:rFonts w:cs="Times New Roman"/>
          <w:bCs/>
          <w:sz w:val="24"/>
          <w:szCs w:val="24"/>
          <w:lang w:val="en-US"/>
        </w:rPr>
        <w:t>meant</w:t>
      </w:r>
      <w:r w:rsidR="006C246A" w:rsidRPr="00781608">
        <w:rPr>
          <w:rFonts w:cs="Times New Roman"/>
          <w:bCs/>
          <w:sz w:val="24"/>
          <w:szCs w:val="24"/>
          <w:lang w:val="en-US"/>
        </w:rPr>
        <w:t xml:space="preserve"> for this 5-year horizon it </w:t>
      </w:r>
      <w:r w:rsidR="00BD2D17" w:rsidRPr="00781608">
        <w:rPr>
          <w:rFonts w:cs="Times New Roman"/>
          <w:bCs/>
          <w:sz w:val="24"/>
          <w:szCs w:val="24"/>
          <w:lang w:val="en-US"/>
        </w:rPr>
        <w:t>is not strange</w:t>
      </w:r>
      <w:r w:rsidR="006C246A" w:rsidRPr="00781608">
        <w:rPr>
          <w:rFonts w:cs="Times New Roman"/>
          <w:bCs/>
          <w:sz w:val="24"/>
          <w:szCs w:val="24"/>
          <w:lang w:val="en-US"/>
        </w:rPr>
        <w:t xml:space="preserve"> that if any effect would remain, it would be for this maturity. </w:t>
      </w:r>
      <w:r w:rsidR="00B26815" w:rsidRPr="00781608">
        <w:rPr>
          <w:rFonts w:cs="Times New Roman"/>
          <w:bCs/>
          <w:sz w:val="24"/>
          <w:szCs w:val="24"/>
          <w:lang w:val="en-US"/>
        </w:rPr>
        <w:t xml:space="preserve">The only obvious oddity are watchlist changes by Fitch. They cause significant reactions to the markets, regardless of maturity and for both positive and negative events. Strangely though, the positive announcements have a positive influence on the spreads instead of negative. </w:t>
      </w:r>
    </w:p>
    <w:p w:rsidR="009B0E2A" w:rsidRPr="00A16CD4" w:rsidRDefault="00764641" w:rsidP="00781608">
      <w:pPr>
        <w:pStyle w:val="Kop1"/>
        <w:spacing w:after="240" w:line="360" w:lineRule="auto"/>
        <w:rPr>
          <w:rFonts w:asciiTheme="minorHAnsi" w:hAnsiTheme="minorHAnsi" w:cs="Times New Roman"/>
          <w:bCs w:val="0"/>
          <w:i/>
          <w:color w:val="auto"/>
          <w:sz w:val="24"/>
          <w:szCs w:val="24"/>
          <w:lang w:val="en-US"/>
        </w:rPr>
      </w:pPr>
      <w:bookmarkStart w:id="20" w:name="_Toc359926561"/>
      <w:r>
        <w:rPr>
          <w:rFonts w:asciiTheme="minorHAnsi" w:hAnsiTheme="minorHAnsi" w:cs="Times New Roman"/>
          <w:bCs w:val="0"/>
          <w:color w:val="auto"/>
          <w:sz w:val="24"/>
          <w:szCs w:val="24"/>
          <w:lang w:val="en-US"/>
        </w:rPr>
        <w:br w:type="column"/>
      </w:r>
      <w:r w:rsidR="00742CD4" w:rsidRPr="00A16CD4">
        <w:rPr>
          <w:rFonts w:asciiTheme="minorHAnsi" w:hAnsiTheme="minorHAnsi" w:cs="Times New Roman"/>
          <w:bCs w:val="0"/>
          <w:i/>
          <w:color w:val="auto"/>
          <w:sz w:val="24"/>
          <w:szCs w:val="24"/>
          <w:lang w:val="en-US"/>
        </w:rPr>
        <w:lastRenderedPageBreak/>
        <w:t>8</w:t>
      </w:r>
      <w:r w:rsidR="009B0E2A" w:rsidRPr="00A16CD4">
        <w:rPr>
          <w:rFonts w:asciiTheme="minorHAnsi" w:hAnsiTheme="minorHAnsi" w:cs="Times New Roman"/>
          <w:bCs w:val="0"/>
          <w:i/>
          <w:color w:val="auto"/>
          <w:sz w:val="24"/>
          <w:szCs w:val="24"/>
          <w:lang w:val="en-US"/>
        </w:rPr>
        <w:t>. Discussion</w:t>
      </w:r>
      <w:bookmarkEnd w:id="20"/>
    </w:p>
    <w:p w:rsidR="004C007D" w:rsidRPr="00781608" w:rsidRDefault="009B0E2A" w:rsidP="006C246A">
      <w:pPr>
        <w:spacing w:line="360" w:lineRule="auto"/>
        <w:jc w:val="both"/>
        <w:rPr>
          <w:rFonts w:cs="Times New Roman"/>
          <w:bCs/>
          <w:sz w:val="24"/>
          <w:szCs w:val="24"/>
          <w:lang w:val="en-US"/>
        </w:rPr>
      </w:pPr>
      <w:r w:rsidRPr="00781608">
        <w:rPr>
          <w:rFonts w:cs="Times New Roman"/>
          <w:bCs/>
          <w:sz w:val="24"/>
          <w:szCs w:val="24"/>
          <w:lang w:val="en-US"/>
        </w:rPr>
        <w:t>Looking at the way CRAs compose their ratings, it becomes clear that it consists of publicly available information, mixed with analytically substantiated opinions. This shows that indeed rating events do not contain new information and that they are lagged when announcing a rating event. It is my opinion that therefore markets should not react to rating events. It is a good thing to be</w:t>
      </w:r>
      <w:r w:rsidR="00B17982" w:rsidRPr="00781608">
        <w:rPr>
          <w:rFonts w:cs="Times New Roman"/>
          <w:bCs/>
          <w:sz w:val="24"/>
          <w:szCs w:val="24"/>
          <w:lang w:val="en-US"/>
        </w:rPr>
        <w:t xml:space="preserve"> able to compare countries on an economic level and by giving the countries ratings it is easy for everyone to understand the differences in economic positions between the countries. However, markets nowadays are perfectly able to access the information needed to evaluate a country</w:t>
      </w:r>
      <w:r w:rsidR="00A17AC9" w:rsidRPr="00781608">
        <w:rPr>
          <w:rFonts w:cs="Times New Roman"/>
          <w:bCs/>
          <w:sz w:val="24"/>
          <w:szCs w:val="24"/>
          <w:lang w:val="en-US"/>
        </w:rPr>
        <w:t xml:space="preserve"> and are therefore (no longer) dependent on CRAs for information</w:t>
      </w:r>
      <w:r w:rsidR="00B17982" w:rsidRPr="00781608">
        <w:rPr>
          <w:rFonts w:cs="Times New Roman"/>
          <w:bCs/>
          <w:sz w:val="24"/>
          <w:szCs w:val="24"/>
          <w:lang w:val="en-US"/>
        </w:rPr>
        <w:t xml:space="preserve">. </w:t>
      </w:r>
      <w:r w:rsidR="00A17AC9" w:rsidRPr="00781608">
        <w:rPr>
          <w:rFonts w:cs="Times New Roman"/>
          <w:bCs/>
          <w:sz w:val="24"/>
          <w:szCs w:val="24"/>
          <w:lang w:val="en-US"/>
        </w:rPr>
        <w:t xml:space="preserve">The fact that there is significant impact, especially after negative rating events is in my opinion more panic than reason. Part of that can be explained by the degree </w:t>
      </w:r>
      <w:r w:rsidR="00AF431E" w:rsidRPr="00781608">
        <w:rPr>
          <w:rFonts w:cs="Times New Roman"/>
          <w:bCs/>
          <w:sz w:val="24"/>
          <w:szCs w:val="24"/>
          <w:lang w:val="en-US"/>
        </w:rPr>
        <w:t xml:space="preserve">of </w:t>
      </w:r>
      <w:r w:rsidR="00A17AC9" w:rsidRPr="00781608">
        <w:rPr>
          <w:rFonts w:cs="Times New Roman"/>
          <w:bCs/>
          <w:sz w:val="24"/>
          <w:szCs w:val="24"/>
          <w:lang w:val="en-US"/>
        </w:rPr>
        <w:t xml:space="preserve">importance that international institutions and agreements give to ratings. According to certain agreements (for example BIS) banks should sell there bond if a country or company </w:t>
      </w:r>
      <w:r w:rsidR="00940C1C" w:rsidRPr="00781608">
        <w:rPr>
          <w:rFonts w:cs="Times New Roman"/>
          <w:bCs/>
          <w:sz w:val="24"/>
          <w:szCs w:val="24"/>
          <w:lang w:val="en-US"/>
        </w:rPr>
        <w:t xml:space="preserve">is rated at a speculative level. These rules are so strict that they could cause panic reactions to the market. However, in this research I did not look at the difference between investment grade and speculative grade, so maybe some explanation can be found there. It is also important to note that in this study the effect of contagion has not been taken into account. Whether or not this would </w:t>
      </w:r>
      <w:r w:rsidR="0074550A" w:rsidRPr="00781608">
        <w:rPr>
          <w:rFonts w:cs="Times New Roman"/>
          <w:bCs/>
          <w:sz w:val="24"/>
          <w:szCs w:val="24"/>
          <w:lang w:val="en-US"/>
        </w:rPr>
        <w:t>affect</w:t>
      </w:r>
      <w:r w:rsidR="00940C1C" w:rsidRPr="00781608">
        <w:rPr>
          <w:rFonts w:cs="Times New Roman"/>
          <w:bCs/>
          <w:sz w:val="24"/>
          <w:szCs w:val="24"/>
          <w:lang w:val="en-US"/>
        </w:rPr>
        <w:t xml:space="preserve"> the results calculated by this model could be the topic of a different study. Either way, it is my opinion and suggestion that when including rating as one of the criteria for buying or selling, it should not be strictly </w:t>
      </w:r>
      <w:r w:rsidR="0074550A" w:rsidRPr="00781608">
        <w:rPr>
          <w:rFonts w:cs="Times New Roman"/>
          <w:bCs/>
          <w:sz w:val="24"/>
          <w:szCs w:val="24"/>
          <w:lang w:val="en-US"/>
        </w:rPr>
        <w:t>exercised</w:t>
      </w:r>
      <w:r w:rsidR="00940C1C" w:rsidRPr="00781608">
        <w:rPr>
          <w:rFonts w:cs="Times New Roman"/>
          <w:bCs/>
          <w:sz w:val="24"/>
          <w:szCs w:val="24"/>
          <w:lang w:val="en-US"/>
        </w:rPr>
        <w:t xml:space="preserve"> </w:t>
      </w:r>
      <w:r w:rsidR="00AF431E" w:rsidRPr="00781608">
        <w:rPr>
          <w:rFonts w:cs="Times New Roman"/>
          <w:bCs/>
          <w:sz w:val="24"/>
          <w:szCs w:val="24"/>
          <w:lang w:val="en-US"/>
        </w:rPr>
        <w:t>since</w:t>
      </w:r>
      <w:r w:rsidR="00940C1C" w:rsidRPr="00781608">
        <w:rPr>
          <w:rFonts w:cs="Times New Roman"/>
          <w:bCs/>
          <w:sz w:val="24"/>
          <w:szCs w:val="24"/>
          <w:lang w:val="en-US"/>
        </w:rPr>
        <w:t xml:space="preserve"> current</w:t>
      </w:r>
      <w:r w:rsidR="00AF431E" w:rsidRPr="00781608">
        <w:rPr>
          <w:rFonts w:cs="Times New Roman"/>
          <w:bCs/>
          <w:sz w:val="24"/>
          <w:szCs w:val="24"/>
          <w:lang w:val="en-US"/>
        </w:rPr>
        <w:t>ly</w:t>
      </w:r>
      <w:r w:rsidR="00940C1C" w:rsidRPr="00781608">
        <w:rPr>
          <w:rFonts w:cs="Times New Roman"/>
          <w:bCs/>
          <w:sz w:val="24"/>
          <w:szCs w:val="24"/>
          <w:lang w:val="en-US"/>
        </w:rPr>
        <w:t xml:space="preserve"> large investors are very well capable of processing information much earlier themselves. Rating should only be used as guidelines, not as a criterion.</w:t>
      </w:r>
      <w:r w:rsidR="004C007D" w:rsidRPr="00781608">
        <w:rPr>
          <w:rFonts w:cs="Times New Roman"/>
          <w:bCs/>
          <w:sz w:val="24"/>
          <w:szCs w:val="24"/>
          <w:lang w:val="en-US"/>
        </w:rPr>
        <w:br w:type="page"/>
      </w:r>
    </w:p>
    <w:p w:rsidR="004C007D" w:rsidRPr="00781608" w:rsidRDefault="004C007D" w:rsidP="00781608">
      <w:pPr>
        <w:pStyle w:val="Kop1"/>
        <w:spacing w:after="240" w:line="360" w:lineRule="auto"/>
        <w:rPr>
          <w:rFonts w:asciiTheme="minorHAnsi" w:hAnsiTheme="minorHAnsi"/>
          <w:bCs w:val="0"/>
          <w:color w:val="auto"/>
          <w:sz w:val="24"/>
          <w:szCs w:val="24"/>
          <w:lang w:val="en-US"/>
        </w:rPr>
      </w:pPr>
      <w:bookmarkStart w:id="21" w:name="_Toc359926562"/>
      <w:r w:rsidRPr="00781608">
        <w:rPr>
          <w:rFonts w:asciiTheme="minorHAnsi" w:hAnsiTheme="minorHAnsi"/>
          <w:bCs w:val="0"/>
          <w:color w:val="auto"/>
          <w:sz w:val="24"/>
          <w:szCs w:val="24"/>
          <w:lang w:val="en-US"/>
        </w:rPr>
        <w:lastRenderedPageBreak/>
        <w:t>APPENDIX A</w:t>
      </w:r>
      <w:bookmarkEnd w:id="21"/>
    </w:p>
    <w:p w:rsidR="004C007D" w:rsidRPr="00781608" w:rsidRDefault="001E4A30" w:rsidP="00781608">
      <w:pPr>
        <w:spacing w:after="0" w:line="360" w:lineRule="auto"/>
        <w:rPr>
          <w:bCs/>
          <w:lang w:val="en-US"/>
        </w:rPr>
      </w:pPr>
      <w:r w:rsidRPr="00781608">
        <w:rPr>
          <w:bCs/>
          <w:lang w:val="en-US"/>
        </w:rPr>
        <w:t>List of countries</w:t>
      </w:r>
    </w:p>
    <w:tbl>
      <w:tblPr>
        <w:tblStyle w:val="Lichtraster1"/>
        <w:tblW w:w="0" w:type="auto"/>
        <w:tblLook w:val="0480" w:firstRow="0" w:lastRow="0" w:firstColumn="1" w:lastColumn="0" w:noHBand="0" w:noVBand="1"/>
      </w:tblPr>
      <w:tblGrid>
        <w:gridCol w:w="2838"/>
        <w:gridCol w:w="2839"/>
        <w:gridCol w:w="2839"/>
      </w:tblGrid>
      <w:tr w:rsidR="005A3FA0" w:rsidRPr="00781608" w:rsidTr="00E6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lang w:val="en-US"/>
              </w:rPr>
            </w:pPr>
            <w:r w:rsidRPr="00781608">
              <w:rPr>
                <w:rFonts w:asciiTheme="minorHAnsi" w:hAnsiTheme="minorHAnsi"/>
                <w:b w:val="0"/>
                <w:sz w:val="22"/>
                <w:szCs w:val="22"/>
                <w:lang w:val="en-US"/>
              </w:rPr>
              <w:t>Argentina</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81608">
              <w:rPr>
                <w:sz w:val="22"/>
                <w:szCs w:val="22"/>
                <w:lang w:val="en-US"/>
              </w:rPr>
              <w:t>Greece</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81608">
              <w:rPr>
                <w:sz w:val="22"/>
                <w:szCs w:val="22"/>
                <w:lang w:val="en-US"/>
              </w:rPr>
              <w:t>Saudi Arabia</w:t>
            </w:r>
          </w:p>
        </w:tc>
      </w:tr>
      <w:tr w:rsidR="005A3FA0" w:rsidRPr="00781608" w:rsidTr="00E627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lang w:val="en-US"/>
              </w:rPr>
            </w:pPr>
            <w:r w:rsidRPr="00781608">
              <w:rPr>
                <w:rFonts w:asciiTheme="minorHAnsi" w:hAnsiTheme="minorHAnsi"/>
                <w:b w:val="0"/>
                <w:sz w:val="22"/>
                <w:szCs w:val="22"/>
                <w:lang w:val="en-US"/>
              </w:rPr>
              <w:t>Australia</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lang w:val="en-US"/>
              </w:rPr>
            </w:pPr>
            <w:r w:rsidRPr="00781608">
              <w:rPr>
                <w:sz w:val="22"/>
                <w:szCs w:val="22"/>
                <w:lang w:val="en-US"/>
              </w:rPr>
              <w:t>Hungary</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lang w:val="en-US"/>
              </w:rPr>
            </w:pPr>
            <w:r w:rsidRPr="00781608">
              <w:rPr>
                <w:sz w:val="22"/>
                <w:szCs w:val="22"/>
                <w:lang w:val="en-US"/>
              </w:rPr>
              <w:t>Singapore</w:t>
            </w:r>
          </w:p>
        </w:tc>
      </w:tr>
      <w:tr w:rsidR="005A3FA0" w:rsidRPr="00781608" w:rsidTr="00E6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lang w:val="en-US"/>
              </w:rPr>
            </w:pPr>
            <w:r w:rsidRPr="00781608">
              <w:rPr>
                <w:rFonts w:asciiTheme="minorHAnsi" w:hAnsiTheme="minorHAnsi"/>
                <w:b w:val="0"/>
                <w:sz w:val="22"/>
                <w:szCs w:val="22"/>
                <w:lang w:val="en-US"/>
              </w:rPr>
              <w:t>Belgium</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81608">
              <w:rPr>
                <w:sz w:val="22"/>
                <w:szCs w:val="22"/>
                <w:lang w:val="en-US"/>
              </w:rPr>
              <w:t>Indonesia</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81608">
              <w:rPr>
                <w:sz w:val="22"/>
                <w:szCs w:val="22"/>
                <w:lang w:val="en-US"/>
              </w:rPr>
              <w:t>South Africa</w:t>
            </w:r>
          </w:p>
        </w:tc>
      </w:tr>
      <w:tr w:rsidR="005A3FA0" w:rsidRPr="00781608" w:rsidTr="00E627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lang w:val="en-US"/>
              </w:rPr>
              <w:t>Braz</w:t>
            </w:r>
            <w:r w:rsidRPr="00781608">
              <w:rPr>
                <w:rFonts w:asciiTheme="minorHAnsi" w:hAnsiTheme="minorHAnsi"/>
                <w:b w:val="0"/>
                <w:sz w:val="22"/>
                <w:szCs w:val="22"/>
              </w:rPr>
              <w:t>il</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Ireland</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South Korea</w:t>
            </w:r>
          </w:p>
        </w:tc>
      </w:tr>
      <w:tr w:rsidR="005A3FA0" w:rsidRPr="00781608" w:rsidTr="00E6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Canada</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Italy</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Spain</w:t>
            </w:r>
          </w:p>
        </w:tc>
      </w:tr>
      <w:tr w:rsidR="005A3FA0" w:rsidRPr="00781608" w:rsidTr="00E627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Chile</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Japan</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Sweden</w:t>
            </w:r>
          </w:p>
        </w:tc>
      </w:tr>
      <w:tr w:rsidR="005A3FA0" w:rsidRPr="00781608" w:rsidTr="00E6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China</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Malaysia</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Taiwan</w:t>
            </w:r>
          </w:p>
        </w:tc>
      </w:tr>
      <w:tr w:rsidR="005A3FA0" w:rsidRPr="00781608" w:rsidTr="00E627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Colombia</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Netherlands</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United States</w:t>
            </w:r>
          </w:p>
        </w:tc>
      </w:tr>
      <w:tr w:rsidR="005A3FA0" w:rsidRPr="00781608" w:rsidTr="00E6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Denmark</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New Zealand</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Venezuela</w:t>
            </w:r>
          </w:p>
        </w:tc>
      </w:tr>
      <w:tr w:rsidR="005A3FA0" w:rsidRPr="00781608" w:rsidTr="00E627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Finland</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Nigeria</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Vietnam</w:t>
            </w:r>
          </w:p>
        </w:tc>
      </w:tr>
      <w:tr w:rsidR="005A3FA0" w:rsidRPr="00781608" w:rsidTr="00E62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France</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81608">
              <w:rPr>
                <w:sz w:val="22"/>
                <w:szCs w:val="22"/>
              </w:rPr>
              <w:t>Portugal</w:t>
            </w:r>
          </w:p>
        </w:tc>
        <w:tc>
          <w:tcPr>
            <w:tcW w:w="2839" w:type="dxa"/>
          </w:tcPr>
          <w:p w:rsidR="005A3FA0" w:rsidRPr="00781608" w:rsidRDefault="005A3FA0" w:rsidP="00E62714">
            <w:pPr>
              <w:spacing w:line="360" w:lineRule="auto"/>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5A3FA0" w:rsidRPr="00781608" w:rsidTr="00E627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rsidR="005A3FA0" w:rsidRPr="00781608" w:rsidRDefault="005A3FA0" w:rsidP="00E62714">
            <w:pPr>
              <w:spacing w:line="360" w:lineRule="auto"/>
              <w:jc w:val="both"/>
              <w:rPr>
                <w:rFonts w:asciiTheme="minorHAnsi" w:hAnsiTheme="minorHAnsi"/>
                <w:b w:val="0"/>
                <w:sz w:val="22"/>
                <w:szCs w:val="22"/>
              </w:rPr>
            </w:pPr>
            <w:r w:rsidRPr="00781608">
              <w:rPr>
                <w:rFonts w:asciiTheme="minorHAnsi" w:hAnsiTheme="minorHAnsi"/>
                <w:b w:val="0"/>
                <w:sz w:val="22"/>
                <w:szCs w:val="22"/>
              </w:rPr>
              <w:t>Germany</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r w:rsidRPr="00781608">
              <w:rPr>
                <w:sz w:val="22"/>
                <w:szCs w:val="22"/>
              </w:rPr>
              <w:t>Russia</w:t>
            </w:r>
          </w:p>
        </w:tc>
        <w:tc>
          <w:tcPr>
            <w:tcW w:w="2839" w:type="dxa"/>
          </w:tcPr>
          <w:p w:rsidR="005A3FA0" w:rsidRPr="00781608" w:rsidRDefault="005A3FA0" w:rsidP="00E62714">
            <w:pPr>
              <w:spacing w:line="360" w:lineRule="auto"/>
              <w:jc w:val="both"/>
              <w:cnfStyle w:val="000000010000" w:firstRow="0" w:lastRow="0" w:firstColumn="0" w:lastColumn="0" w:oddVBand="0" w:evenVBand="0" w:oddHBand="0" w:evenHBand="1" w:firstRowFirstColumn="0" w:firstRowLastColumn="0" w:lastRowFirstColumn="0" w:lastRowLastColumn="0"/>
              <w:rPr>
                <w:sz w:val="22"/>
                <w:szCs w:val="22"/>
              </w:rPr>
            </w:pPr>
          </w:p>
        </w:tc>
      </w:tr>
    </w:tbl>
    <w:p w:rsidR="004C007D" w:rsidRPr="00781608" w:rsidRDefault="004C007D" w:rsidP="004C007D">
      <w:pPr>
        <w:jc w:val="both"/>
        <w:rPr>
          <w:sz w:val="24"/>
          <w:szCs w:val="24"/>
        </w:rPr>
        <w:sectPr w:rsidR="004C007D" w:rsidRPr="00781608" w:rsidSect="00C44AC0">
          <w:footerReference w:type="default" r:id="rId9"/>
          <w:pgSz w:w="11900" w:h="16840"/>
          <w:pgMar w:top="1440" w:right="1800" w:bottom="1440" w:left="1800" w:header="708" w:footer="708" w:gutter="0"/>
          <w:pgNumType w:start="0"/>
          <w:cols w:space="708"/>
          <w:titlePg/>
          <w:docGrid w:linePitch="360"/>
        </w:sectPr>
      </w:pPr>
    </w:p>
    <w:p w:rsidR="004C007D" w:rsidRPr="00781608" w:rsidRDefault="004C007D" w:rsidP="00764641">
      <w:pPr>
        <w:pStyle w:val="Kop1"/>
        <w:spacing w:before="0" w:line="360" w:lineRule="auto"/>
        <w:rPr>
          <w:rFonts w:asciiTheme="minorHAnsi" w:hAnsiTheme="minorHAnsi"/>
          <w:color w:val="auto"/>
          <w:sz w:val="24"/>
          <w:szCs w:val="24"/>
        </w:rPr>
      </w:pPr>
      <w:bookmarkStart w:id="22" w:name="_Toc359926563"/>
      <w:r w:rsidRPr="00781608">
        <w:rPr>
          <w:rFonts w:asciiTheme="minorHAnsi" w:hAnsiTheme="minorHAnsi"/>
          <w:color w:val="auto"/>
          <w:sz w:val="24"/>
          <w:szCs w:val="24"/>
        </w:rPr>
        <w:lastRenderedPageBreak/>
        <w:t>APPENDIX B</w:t>
      </w:r>
      <w:bookmarkEnd w:id="22"/>
    </w:p>
    <w:p w:rsidR="004C007D" w:rsidRPr="00781608" w:rsidRDefault="001E4A30" w:rsidP="00781608">
      <w:pPr>
        <w:spacing w:after="0" w:line="360" w:lineRule="auto"/>
        <w:jc w:val="both"/>
        <w:rPr>
          <w:sz w:val="20"/>
          <w:szCs w:val="20"/>
          <w:lang w:val="en-US"/>
        </w:rPr>
      </w:pPr>
      <w:r w:rsidRPr="00781608">
        <w:rPr>
          <w:sz w:val="20"/>
          <w:szCs w:val="20"/>
          <w:lang w:val="en-US"/>
        </w:rPr>
        <w:t xml:space="preserve">Sovereign 1-year </w:t>
      </w:r>
      <w:r w:rsidR="00A16CD4">
        <w:rPr>
          <w:sz w:val="20"/>
          <w:szCs w:val="20"/>
          <w:lang w:val="en-US"/>
        </w:rPr>
        <w:t>spread</w:t>
      </w:r>
      <w:r w:rsidRPr="00781608">
        <w:rPr>
          <w:sz w:val="20"/>
          <w:szCs w:val="20"/>
          <w:lang w:val="en-US"/>
        </w:rPr>
        <w:t>s: Positive rating events</w:t>
      </w:r>
      <w:r w:rsidR="002D1647" w:rsidRPr="00781608">
        <w:rPr>
          <w:sz w:val="20"/>
          <w:szCs w:val="20"/>
          <w:lang w:val="en-US"/>
        </w:rPr>
        <w:t xml:space="preserve"> </w:t>
      </w:r>
    </w:p>
    <w:tbl>
      <w:tblPr>
        <w:tblStyle w:val="Lichtearcering1"/>
        <w:tblW w:w="0" w:type="auto"/>
        <w:tblLayout w:type="fixed"/>
        <w:tblLook w:val="04A0" w:firstRow="1" w:lastRow="0" w:firstColumn="1" w:lastColumn="0" w:noHBand="0" w:noVBand="1"/>
      </w:tblPr>
      <w:tblGrid>
        <w:gridCol w:w="1668"/>
        <w:gridCol w:w="708"/>
        <w:gridCol w:w="1985"/>
        <w:gridCol w:w="1984"/>
        <w:gridCol w:w="2127"/>
      </w:tblGrid>
      <w:tr w:rsidR="00F42D12" w:rsidRPr="00781608" w:rsidTr="002D1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Cs w:val="0"/>
                <w:color w:val="auto"/>
                <w:sz w:val="20"/>
                <w:szCs w:val="20"/>
                <w:lang w:val="en-US"/>
              </w:rPr>
            </w:pPr>
            <w:r w:rsidRPr="00781608">
              <w:rPr>
                <w:bCs w:val="0"/>
                <w:color w:val="auto"/>
                <w:sz w:val="20"/>
                <w:szCs w:val="20"/>
                <w:lang w:val="en-US"/>
              </w:rPr>
              <w:t>Variable</w:t>
            </w:r>
          </w:p>
        </w:tc>
        <w:tc>
          <w:tcPr>
            <w:tcW w:w="708" w:type="dxa"/>
          </w:tcPr>
          <w:p w:rsidR="00F42D12" w:rsidRPr="00781608" w:rsidRDefault="00F42D12" w:rsidP="00F42D12">
            <w:pPr>
              <w:jc w:val="both"/>
              <w:cnfStyle w:val="100000000000" w:firstRow="1" w:lastRow="0" w:firstColumn="0" w:lastColumn="0" w:oddVBand="0" w:evenVBand="0" w:oddHBand="0" w:evenHBand="0" w:firstRowFirstColumn="0" w:firstRowLastColumn="0" w:lastRowFirstColumn="0" w:lastRowLastColumn="0"/>
              <w:rPr>
                <w:bCs w:val="0"/>
                <w:color w:val="auto"/>
                <w:sz w:val="20"/>
                <w:szCs w:val="20"/>
                <w:lang w:val="en-US"/>
              </w:rPr>
            </w:pPr>
            <w:r w:rsidRPr="00781608">
              <w:rPr>
                <w:bCs w:val="0"/>
                <w:color w:val="auto"/>
                <w:sz w:val="20"/>
                <w:szCs w:val="20"/>
                <w:lang w:val="en-US"/>
              </w:rPr>
              <w:t>CRA</w:t>
            </w:r>
          </w:p>
        </w:tc>
        <w:tc>
          <w:tcPr>
            <w:tcW w:w="1985" w:type="dxa"/>
          </w:tcPr>
          <w:p w:rsidR="00F42D12" w:rsidRPr="00781608" w:rsidRDefault="00F42D12" w:rsidP="00F42D12">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lang w:val="en-US"/>
              </w:rPr>
            </w:pPr>
            <w:r w:rsidRPr="00781608">
              <w:rPr>
                <w:bCs w:val="0"/>
                <w:color w:val="auto"/>
                <w:sz w:val="20"/>
                <w:szCs w:val="20"/>
                <w:lang w:val="en-US"/>
              </w:rPr>
              <w:t>Coefficient</w:t>
            </w:r>
          </w:p>
        </w:tc>
        <w:tc>
          <w:tcPr>
            <w:tcW w:w="1984" w:type="dxa"/>
          </w:tcPr>
          <w:p w:rsidR="00F42D12" w:rsidRPr="00781608" w:rsidRDefault="00F42D12" w:rsidP="00F42D12">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lang w:val="en-US"/>
              </w:rPr>
            </w:pPr>
            <w:r w:rsidRPr="00781608">
              <w:rPr>
                <w:bCs w:val="0"/>
                <w:color w:val="auto"/>
                <w:sz w:val="20"/>
                <w:szCs w:val="20"/>
                <w:lang w:val="en-US"/>
              </w:rPr>
              <w:t>Coefficient</w:t>
            </w:r>
          </w:p>
        </w:tc>
        <w:tc>
          <w:tcPr>
            <w:tcW w:w="2127" w:type="dxa"/>
          </w:tcPr>
          <w:p w:rsidR="00F42D12" w:rsidRPr="00781608" w:rsidRDefault="00F42D12" w:rsidP="00F42D12">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lang w:val="en-US"/>
              </w:rPr>
            </w:pPr>
            <w:r w:rsidRPr="00781608">
              <w:rPr>
                <w:bCs w:val="0"/>
                <w:color w:val="auto"/>
                <w:sz w:val="20"/>
                <w:szCs w:val="20"/>
                <w:lang w:val="en-US"/>
              </w:rPr>
              <w:t>Coefficient</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12" w:space="0" w:color="auto"/>
            </w:tcBorders>
          </w:tcPr>
          <w:p w:rsidR="00F42D12" w:rsidRPr="00781608" w:rsidRDefault="00F42D12" w:rsidP="00F42D12">
            <w:pPr>
              <w:jc w:val="both"/>
              <w:rPr>
                <w:b w:val="0"/>
                <w:bCs w:val="0"/>
                <w:color w:val="auto"/>
                <w:sz w:val="20"/>
                <w:szCs w:val="20"/>
                <w:lang w:val="en-US"/>
              </w:rPr>
            </w:pPr>
          </w:p>
        </w:tc>
        <w:tc>
          <w:tcPr>
            <w:tcW w:w="708" w:type="dxa"/>
            <w:tcBorders>
              <w:top w:val="single" w:sz="8" w:space="0" w:color="000000" w:themeColor="text1"/>
              <w:bottom w:val="single" w:sz="12" w:space="0" w:color="auto"/>
            </w:tcBorders>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lang w:val="en-US"/>
              </w:rPr>
            </w:pPr>
          </w:p>
        </w:tc>
        <w:tc>
          <w:tcPr>
            <w:tcW w:w="1985" w:type="dxa"/>
            <w:tcBorders>
              <w:top w:val="single" w:sz="8" w:space="0" w:color="000000" w:themeColor="text1"/>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20"/>
                <w:szCs w:val="20"/>
                <w:lang w:val="en-US"/>
              </w:rPr>
            </w:pPr>
            <w:r w:rsidRPr="00781608">
              <w:rPr>
                <w:bCs/>
                <w:color w:val="auto"/>
                <w:sz w:val="20"/>
                <w:szCs w:val="20"/>
                <w:lang w:val="en-US"/>
              </w:rPr>
              <w:t>Model 1</w:t>
            </w:r>
          </w:p>
        </w:tc>
        <w:tc>
          <w:tcPr>
            <w:tcW w:w="1984" w:type="dxa"/>
            <w:tcBorders>
              <w:top w:val="single" w:sz="8" w:space="0" w:color="000000" w:themeColor="text1"/>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20"/>
                <w:szCs w:val="20"/>
                <w:lang w:val="en-US"/>
              </w:rPr>
            </w:pPr>
            <w:r w:rsidRPr="00781608">
              <w:rPr>
                <w:bCs/>
                <w:color w:val="auto"/>
                <w:sz w:val="20"/>
                <w:szCs w:val="20"/>
                <w:lang w:val="en-US"/>
              </w:rPr>
              <w:t>Model 2</w:t>
            </w:r>
          </w:p>
        </w:tc>
        <w:tc>
          <w:tcPr>
            <w:tcW w:w="2127" w:type="dxa"/>
            <w:tcBorders>
              <w:top w:val="single" w:sz="8" w:space="0" w:color="000000" w:themeColor="text1"/>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20"/>
                <w:szCs w:val="20"/>
                <w:lang w:val="en-US"/>
              </w:rPr>
            </w:pPr>
            <w:r w:rsidRPr="00781608">
              <w:rPr>
                <w:bCs/>
                <w:color w:val="auto"/>
                <w:sz w:val="20"/>
                <w:szCs w:val="20"/>
                <w:lang w:val="en-US"/>
              </w:rPr>
              <w:t>Model 3</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F42D12" w:rsidP="00F42D12">
            <w:pPr>
              <w:jc w:val="both"/>
              <w:rPr>
                <w:b w:val="0"/>
                <w:bCs w:val="0"/>
                <w:color w:val="auto"/>
                <w:sz w:val="20"/>
                <w:szCs w:val="20"/>
                <w:lang w:val="en-US"/>
              </w:rPr>
            </w:pPr>
            <w:r w:rsidRPr="00781608">
              <w:rPr>
                <w:b w:val="0"/>
                <w:bCs w:val="0"/>
                <w:color w:val="auto"/>
                <w:sz w:val="20"/>
                <w:szCs w:val="20"/>
                <w:lang w:val="en-US"/>
              </w:rPr>
              <w:t>Upgrade</w:t>
            </w:r>
          </w:p>
        </w:tc>
        <w:tc>
          <w:tcPr>
            <w:tcW w:w="708" w:type="dxa"/>
            <w:tcBorders>
              <w:top w:val="single" w:sz="12" w:space="0" w:color="auto"/>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lang w:val="en-US"/>
              </w:rPr>
            </w:pPr>
            <w:r w:rsidRPr="00781608">
              <w:rPr>
                <w:bCs/>
                <w:color w:val="auto"/>
                <w:sz w:val="20"/>
                <w:szCs w:val="20"/>
                <w:lang w:val="en-US"/>
              </w:rPr>
              <w:t>F</w:t>
            </w:r>
          </w:p>
        </w:tc>
        <w:tc>
          <w:tcPr>
            <w:tcW w:w="1985"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lang w:val="en-US"/>
              </w:rPr>
            </w:pPr>
            <w:r w:rsidRPr="00781608">
              <w:rPr>
                <w:color w:val="auto"/>
                <w:sz w:val="18"/>
                <w:szCs w:val="18"/>
                <w:lang w:val="en-US"/>
              </w:rPr>
              <w:t>7.816</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lang w:val="en-US"/>
              </w:rPr>
            </w:pPr>
            <w:r w:rsidRPr="00781608">
              <w:rPr>
                <w:color w:val="auto"/>
                <w:sz w:val="18"/>
                <w:szCs w:val="18"/>
                <w:lang w:val="en-US"/>
              </w:rPr>
              <w:t>(1.023)</w:t>
            </w:r>
          </w:p>
        </w:tc>
        <w:tc>
          <w:tcPr>
            <w:tcW w:w="1984"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lang w:val="en-US"/>
              </w:rPr>
            </w:pPr>
            <w:r w:rsidRPr="00781608">
              <w:rPr>
                <w:bCs/>
                <w:color w:val="auto"/>
                <w:sz w:val="18"/>
                <w:szCs w:val="18"/>
                <w:lang w:val="en-US"/>
              </w:rPr>
              <w:t>8.030</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lang w:val="en-US"/>
              </w:rPr>
            </w:pPr>
            <w:r w:rsidRPr="00781608">
              <w:rPr>
                <w:bCs/>
                <w:color w:val="auto"/>
                <w:sz w:val="18"/>
                <w:szCs w:val="18"/>
                <w:lang w:val="en-US"/>
              </w:rPr>
              <w:t>(1.046)</w:t>
            </w:r>
          </w:p>
        </w:tc>
        <w:tc>
          <w:tcPr>
            <w:tcW w:w="2127"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lang w:val="en-US"/>
              </w:rPr>
            </w:pPr>
            <w:r w:rsidRPr="00781608">
              <w:rPr>
                <w:color w:val="auto"/>
                <w:sz w:val="18"/>
                <w:szCs w:val="18"/>
                <w:lang w:val="en-US"/>
              </w:rPr>
              <w:t>0.379</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(1.602)</w:t>
            </w:r>
          </w:p>
        </w:tc>
      </w:tr>
      <w:tr w:rsidR="00F42D12" w:rsidRPr="00781608" w:rsidTr="00B2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-0.567</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(-1.668)</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-0.091</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(-0.379)</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0.036</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(0.184)</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F42D12" w:rsidRPr="00781608" w:rsidRDefault="00F42D12" w:rsidP="00F42D12">
            <w:pPr>
              <w:jc w:val="both"/>
              <w:rPr>
                <w:b w:val="0"/>
                <w:bCs w:val="0"/>
                <w:color w:val="auto"/>
                <w:sz w:val="20"/>
                <w:szCs w:val="20"/>
              </w:rPr>
            </w:pPr>
          </w:p>
        </w:tc>
        <w:tc>
          <w:tcPr>
            <w:tcW w:w="708" w:type="dxa"/>
            <w:tcBorders>
              <w:bottom w:val="nil"/>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-0.494</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(-0.750)</w:t>
            </w:r>
          </w:p>
        </w:tc>
        <w:tc>
          <w:tcPr>
            <w:tcW w:w="1984"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-0.296</w:t>
            </w:r>
          </w:p>
          <w:p w:rsidR="00364227" w:rsidRPr="00781608" w:rsidRDefault="00364227" w:rsidP="0036422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(-0.414)</w:t>
            </w:r>
          </w:p>
        </w:tc>
        <w:tc>
          <w:tcPr>
            <w:tcW w:w="2127"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0.031</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(0.050)</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F42D12" w:rsidRPr="00781608" w:rsidRDefault="00F42D12" w:rsidP="00F42D12">
            <w:pPr>
              <w:jc w:val="both"/>
              <w:rPr>
                <w:b w:val="0"/>
                <w:bCs w:val="0"/>
                <w:color w:val="auto"/>
                <w:sz w:val="20"/>
                <w:szCs w:val="20"/>
              </w:rPr>
            </w:pPr>
          </w:p>
        </w:tc>
        <w:tc>
          <w:tcPr>
            <w:tcW w:w="708" w:type="dxa"/>
            <w:tcBorders>
              <w:top w:val="nil"/>
              <w:bottom w:val="single" w:sz="12" w:space="0" w:color="auto"/>
            </w:tcBorders>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2.248</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(0.961)</w:t>
            </w:r>
          </w:p>
        </w:tc>
        <w:tc>
          <w:tcPr>
            <w:tcW w:w="1984"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2.496</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(1.029)</w:t>
            </w:r>
          </w:p>
        </w:tc>
        <w:tc>
          <w:tcPr>
            <w:tcW w:w="2127"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0.104</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(0.429)</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B26815" w:rsidP="00F42D12">
            <w:pPr>
              <w:jc w:val="both"/>
              <w:rPr>
                <w:b w:val="0"/>
                <w:bCs w:val="0"/>
                <w:color w:val="auto"/>
                <w:sz w:val="20"/>
                <w:szCs w:val="20"/>
              </w:rPr>
            </w:pPr>
            <w:r w:rsidRPr="00781608">
              <w:rPr>
                <w:b w:val="0"/>
                <w:bCs w:val="0"/>
                <w:color w:val="auto"/>
                <w:sz w:val="20"/>
                <w:szCs w:val="20"/>
              </w:rPr>
              <w:t>Outlook</w:t>
            </w:r>
          </w:p>
        </w:tc>
        <w:tc>
          <w:tcPr>
            <w:tcW w:w="708" w:type="dxa"/>
            <w:tcBorders>
              <w:top w:val="single" w:sz="12" w:space="0" w:color="auto"/>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9.224</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(1.076)</w:t>
            </w:r>
          </w:p>
        </w:tc>
        <w:tc>
          <w:tcPr>
            <w:tcW w:w="1984"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9.612</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(1.093)</w:t>
            </w:r>
          </w:p>
        </w:tc>
        <w:tc>
          <w:tcPr>
            <w:tcW w:w="2127"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0.134</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(0.316)</w:t>
            </w:r>
          </w:p>
        </w:tc>
      </w:tr>
      <w:tr w:rsidR="00F42D12" w:rsidRPr="00781608" w:rsidTr="00B2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-0.773</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(-1.076)</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-0.239</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(-0.359)</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0.009</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(0.017)</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F42D12" w:rsidRPr="00781608" w:rsidRDefault="00F42D12" w:rsidP="00F42D12">
            <w:pPr>
              <w:jc w:val="both"/>
              <w:rPr>
                <w:b w:val="0"/>
                <w:bCs w:val="0"/>
                <w:color w:val="auto"/>
                <w:sz w:val="20"/>
                <w:szCs w:val="20"/>
              </w:rPr>
            </w:pPr>
          </w:p>
        </w:tc>
        <w:tc>
          <w:tcPr>
            <w:tcW w:w="708" w:type="dxa"/>
            <w:tcBorders>
              <w:bottom w:val="nil"/>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1.702*</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(2.178)</w:t>
            </w:r>
          </w:p>
        </w:tc>
        <w:tc>
          <w:tcPr>
            <w:tcW w:w="1984"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0.065</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(0.054)</w:t>
            </w:r>
          </w:p>
        </w:tc>
        <w:tc>
          <w:tcPr>
            <w:tcW w:w="2127"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0.453</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(0.581)</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F42D12" w:rsidRPr="00781608" w:rsidRDefault="00F42D12" w:rsidP="00F42D12">
            <w:pPr>
              <w:jc w:val="both"/>
              <w:rPr>
                <w:b w:val="0"/>
                <w:bCs w:val="0"/>
                <w:color w:val="auto"/>
                <w:sz w:val="20"/>
                <w:szCs w:val="20"/>
              </w:rPr>
            </w:pPr>
          </w:p>
        </w:tc>
        <w:tc>
          <w:tcPr>
            <w:tcW w:w="708" w:type="dxa"/>
            <w:tcBorders>
              <w:top w:val="nil"/>
              <w:bottom w:val="single" w:sz="12" w:space="0" w:color="auto"/>
            </w:tcBorders>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4.246</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(1.097)</w:t>
            </w:r>
          </w:p>
        </w:tc>
        <w:tc>
          <w:tcPr>
            <w:tcW w:w="1984"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4.424</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(1.122)</w:t>
            </w:r>
          </w:p>
        </w:tc>
        <w:tc>
          <w:tcPr>
            <w:tcW w:w="2127"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0.142</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(0.387)</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B26815" w:rsidP="00F42D12">
            <w:pPr>
              <w:jc w:val="both"/>
              <w:rPr>
                <w:b w:val="0"/>
                <w:bCs w:val="0"/>
                <w:color w:val="auto"/>
                <w:sz w:val="20"/>
                <w:szCs w:val="20"/>
              </w:rPr>
            </w:pPr>
            <w:r w:rsidRPr="00781608">
              <w:rPr>
                <w:b w:val="0"/>
                <w:bCs w:val="0"/>
                <w:color w:val="auto"/>
                <w:sz w:val="20"/>
                <w:szCs w:val="20"/>
              </w:rPr>
              <w:t>Watchlist</w:t>
            </w:r>
          </w:p>
        </w:tc>
        <w:tc>
          <w:tcPr>
            <w:tcW w:w="708" w:type="dxa"/>
            <w:tcBorders>
              <w:top w:val="single" w:sz="12" w:space="0" w:color="auto"/>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-0.337***</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w:t>
            </w:r>
            <w:r w:rsidR="00364227" w:rsidRPr="00781608">
              <w:rPr>
                <w:color w:val="auto"/>
                <w:sz w:val="18"/>
                <w:szCs w:val="18"/>
              </w:rPr>
              <w:t>-7.44E+13)</w:t>
            </w:r>
          </w:p>
        </w:tc>
        <w:tc>
          <w:tcPr>
            <w:tcW w:w="1984"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-0.810</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(-1.028)</w:t>
            </w:r>
          </w:p>
        </w:tc>
        <w:tc>
          <w:tcPr>
            <w:tcW w:w="2127"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0.296</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(1.318)</w:t>
            </w:r>
          </w:p>
        </w:tc>
      </w:tr>
      <w:tr w:rsidR="00F42D12" w:rsidRPr="00781608" w:rsidTr="00B2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-0.346</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(-1.692)</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0.527</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(0.848)</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0.117</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(0.451)</w:t>
            </w:r>
          </w:p>
        </w:tc>
      </w:tr>
      <w:tr w:rsidR="00F42D12" w:rsidRPr="00781608" w:rsidTr="00B26815">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0.958***</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(17.959)</w:t>
            </w:r>
          </w:p>
        </w:tc>
        <w:tc>
          <w:tcPr>
            <w:tcW w:w="1984" w:type="dxa"/>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0.238</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(0.494)</w:t>
            </w:r>
          </w:p>
        </w:tc>
        <w:tc>
          <w:tcPr>
            <w:tcW w:w="2127" w:type="dxa"/>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0.192</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(1.030)</w:t>
            </w:r>
          </w:p>
        </w:tc>
      </w:tr>
      <w:tr w:rsidR="00F42D12" w:rsidRPr="00781608" w:rsidTr="00B26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-0.248</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w:t>
            </w:r>
            <w:r w:rsidR="00EF1E8B" w:rsidRPr="00781608">
              <w:rPr>
                <w:color w:val="auto"/>
                <w:sz w:val="18"/>
                <w:szCs w:val="18"/>
              </w:rPr>
              <w:t>-1.329)</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0.379</w:t>
            </w:r>
          </w:p>
          <w:p w:rsidR="00EF1E8B" w:rsidRPr="00781608" w:rsidRDefault="00EF1E8B"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(0.840)</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1.311</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(0.663)</w:t>
            </w:r>
          </w:p>
        </w:tc>
      </w:tr>
    </w:tbl>
    <w:p w:rsidR="00076BDD" w:rsidRPr="00781608" w:rsidRDefault="00076BDD" w:rsidP="00076BDD">
      <w:pPr>
        <w:spacing w:after="0"/>
        <w:jc w:val="both"/>
        <w:rPr>
          <w:lang w:val="en-US"/>
        </w:rPr>
      </w:pPr>
      <w:r w:rsidRPr="00781608">
        <w:rPr>
          <w:sz w:val="16"/>
          <w:szCs w:val="16"/>
          <w:lang w:val="en-US"/>
        </w:rPr>
        <w:t xml:space="preserve">Note: For sovereign 1-year </w:t>
      </w:r>
      <w:r w:rsidR="00A16CD4">
        <w:rPr>
          <w:sz w:val="16"/>
          <w:szCs w:val="16"/>
          <w:lang w:val="en-US"/>
        </w:rPr>
        <w:t>spread</w:t>
      </w:r>
      <w:r w:rsidRPr="00781608">
        <w:rPr>
          <w:sz w:val="16"/>
          <w:szCs w:val="16"/>
          <w:lang w:val="en-US"/>
        </w:rPr>
        <w:t xml:space="preserve">s. ***,**,* means significance at </w:t>
      </w:r>
      <w:r w:rsidRPr="00781608">
        <w:rPr>
          <w:sz w:val="16"/>
          <w:szCs w:val="16"/>
        </w:rPr>
        <w:sym w:font="Symbol" w:char="F061"/>
      </w:r>
      <w:r w:rsidRPr="00781608">
        <w:rPr>
          <w:sz w:val="16"/>
          <w:szCs w:val="16"/>
          <w:lang w:val="en-US"/>
        </w:rPr>
        <w:t xml:space="preserve"> = 1%, 5%, 10% respectively.</w:t>
      </w:r>
    </w:p>
    <w:p w:rsidR="00076BDD" w:rsidRPr="00781608" w:rsidRDefault="00076BDD" w:rsidP="004C007D">
      <w:pPr>
        <w:spacing w:after="0"/>
        <w:jc w:val="both"/>
        <w:rPr>
          <w:sz w:val="20"/>
          <w:szCs w:val="20"/>
          <w:lang w:val="en-US"/>
        </w:rPr>
      </w:pPr>
    </w:p>
    <w:p w:rsidR="00781608" w:rsidRPr="00781608" w:rsidRDefault="00781608" w:rsidP="004C007D">
      <w:pPr>
        <w:spacing w:after="0"/>
        <w:jc w:val="both"/>
        <w:rPr>
          <w:sz w:val="20"/>
          <w:szCs w:val="20"/>
          <w:lang w:val="en-US"/>
        </w:rPr>
      </w:pPr>
    </w:p>
    <w:p w:rsidR="004C007D" w:rsidRPr="00781608" w:rsidRDefault="001E4A30" w:rsidP="00781608">
      <w:pPr>
        <w:spacing w:after="0" w:line="360" w:lineRule="auto"/>
        <w:jc w:val="both"/>
        <w:rPr>
          <w:sz w:val="20"/>
          <w:szCs w:val="20"/>
          <w:lang w:val="en-US"/>
        </w:rPr>
      </w:pPr>
      <w:r w:rsidRPr="00781608">
        <w:rPr>
          <w:sz w:val="20"/>
          <w:szCs w:val="20"/>
          <w:lang w:val="en-US"/>
        </w:rPr>
        <w:t xml:space="preserve">Sovereign 1-year </w:t>
      </w:r>
      <w:r w:rsidR="00A16CD4">
        <w:rPr>
          <w:sz w:val="20"/>
          <w:szCs w:val="20"/>
          <w:lang w:val="en-US"/>
        </w:rPr>
        <w:t>spreads</w:t>
      </w:r>
      <w:r w:rsidRPr="00781608">
        <w:rPr>
          <w:sz w:val="20"/>
          <w:szCs w:val="20"/>
          <w:lang w:val="en-US"/>
        </w:rPr>
        <w:t>: Negative rating events</w:t>
      </w:r>
    </w:p>
    <w:tbl>
      <w:tblPr>
        <w:tblStyle w:val="Lichtearcering1"/>
        <w:tblW w:w="0" w:type="auto"/>
        <w:tblLayout w:type="fixed"/>
        <w:tblLook w:val="04A0" w:firstRow="1" w:lastRow="0" w:firstColumn="1" w:lastColumn="0" w:noHBand="0" w:noVBand="1"/>
      </w:tblPr>
      <w:tblGrid>
        <w:gridCol w:w="1668"/>
        <w:gridCol w:w="708"/>
        <w:gridCol w:w="1985"/>
        <w:gridCol w:w="1984"/>
        <w:gridCol w:w="2127"/>
      </w:tblGrid>
      <w:tr w:rsidR="00F42D12" w:rsidRPr="00781608" w:rsidTr="002D1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Cs w:val="0"/>
                <w:color w:val="auto"/>
                <w:sz w:val="20"/>
                <w:szCs w:val="20"/>
              </w:rPr>
            </w:pPr>
            <w:r w:rsidRPr="00781608">
              <w:rPr>
                <w:bCs w:val="0"/>
                <w:color w:val="auto"/>
                <w:sz w:val="20"/>
                <w:szCs w:val="20"/>
              </w:rPr>
              <w:t>Variable</w:t>
            </w:r>
          </w:p>
        </w:tc>
        <w:tc>
          <w:tcPr>
            <w:tcW w:w="708" w:type="dxa"/>
          </w:tcPr>
          <w:p w:rsidR="00F42D12" w:rsidRPr="00781608" w:rsidRDefault="00F42D12" w:rsidP="00F42D12">
            <w:pPr>
              <w:jc w:val="both"/>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CRA</w:t>
            </w:r>
          </w:p>
        </w:tc>
        <w:tc>
          <w:tcPr>
            <w:tcW w:w="1985" w:type="dxa"/>
          </w:tcPr>
          <w:p w:rsidR="00F42D12" w:rsidRPr="00781608" w:rsidRDefault="00F42D12" w:rsidP="00F42D12">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1984" w:type="dxa"/>
          </w:tcPr>
          <w:p w:rsidR="00F42D12" w:rsidRPr="00781608" w:rsidRDefault="00F42D12" w:rsidP="00F42D12">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2127" w:type="dxa"/>
          </w:tcPr>
          <w:p w:rsidR="00F42D12" w:rsidRPr="00781608" w:rsidRDefault="00F42D12" w:rsidP="00F42D12">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12" w:space="0" w:color="auto"/>
            </w:tcBorders>
          </w:tcPr>
          <w:p w:rsidR="00F42D12" w:rsidRPr="00781608" w:rsidRDefault="00F42D12" w:rsidP="00F42D12">
            <w:pPr>
              <w:jc w:val="both"/>
              <w:rPr>
                <w:b w:val="0"/>
                <w:bCs w:val="0"/>
                <w:color w:val="auto"/>
                <w:sz w:val="20"/>
                <w:szCs w:val="20"/>
              </w:rPr>
            </w:pPr>
          </w:p>
        </w:tc>
        <w:tc>
          <w:tcPr>
            <w:tcW w:w="708" w:type="dxa"/>
            <w:tcBorders>
              <w:top w:val="single" w:sz="8" w:space="0" w:color="000000" w:themeColor="text1"/>
              <w:bottom w:val="single" w:sz="12" w:space="0" w:color="auto"/>
            </w:tcBorders>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1985" w:type="dxa"/>
            <w:tcBorders>
              <w:top w:val="single" w:sz="8" w:space="0" w:color="000000" w:themeColor="text1"/>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1</w:t>
            </w:r>
          </w:p>
        </w:tc>
        <w:tc>
          <w:tcPr>
            <w:tcW w:w="1984" w:type="dxa"/>
            <w:tcBorders>
              <w:top w:val="single" w:sz="8" w:space="0" w:color="000000" w:themeColor="text1"/>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2</w:t>
            </w:r>
          </w:p>
        </w:tc>
        <w:tc>
          <w:tcPr>
            <w:tcW w:w="2127" w:type="dxa"/>
            <w:tcBorders>
              <w:top w:val="single" w:sz="8" w:space="0" w:color="000000" w:themeColor="text1"/>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3</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F42D12" w:rsidP="00F42D12">
            <w:pPr>
              <w:jc w:val="both"/>
              <w:rPr>
                <w:b w:val="0"/>
                <w:bCs w:val="0"/>
                <w:color w:val="auto"/>
                <w:sz w:val="20"/>
                <w:szCs w:val="20"/>
              </w:rPr>
            </w:pPr>
            <w:r w:rsidRPr="00781608">
              <w:rPr>
                <w:b w:val="0"/>
                <w:bCs w:val="0"/>
                <w:color w:val="auto"/>
                <w:sz w:val="20"/>
                <w:szCs w:val="20"/>
              </w:rPr>
              <w:t>Downgrade</w:t>
            </w:r>
          </w:p>
        </w:tc>
        <w:tc>
          <w:tcPr>
            <w:tcW w:w="708" w:type="dxa"/>
            <w:tcBorders>
              <w:top w:val="single" w:sz="12" w:space="0" w:color="auto"/>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15.312</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(1.541)</w:t>
            </w:r>
          </w:p>
        </w:tc>
        <w:tc>
          <w:tcPr>
            <w:tcW w:w="1984"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14.459</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(1.590)</w:t>
            </w:r>
          </w:p>
        </w:tc>
        <w:tc>
          <w:tcPr>
            <w:tcW w:w="2127"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1.847***</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(3.151)</w:t>
            </w:r>
          </w:p>
        </w:tc>
      </w:tr>
      <w:tr w:rsidR="00F42D12" w:rsidRPr="00781608" w:rsidTr="00EF1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2.236***</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(8.659)</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1.454</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(1.547)</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1.473***</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(4.373)</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F42D12" w:rsidRPr="00781608" w:rsidRDefault="00F42D12" w:rsidP="00F42D12">
            <w:pPr>
              <w:jc w:val="both"/>
              <w:rPr>
                <w:b w:val="0"/>
                <w:bCs w:val="0"/>
                <w:color w:val="auto"/>
                <w:sz w:val="20"/>
                <w:szCs w:val="20"/>
              </w:rPr>
            </w:pPr>
          </w:p>
        </w:tc>
        <w:tc>
          <w:tcPr>
            <w:tcW w:w="708" w:type="dxa"/>
            <w:tcBorders>
              <w:bottom w:val="nil"/>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5.562</w:t>
            </w:r>
          </w:p>
          <w:p w:rsidR="00364227" w:rsidRPr="00781608" w:rsidRDefault="0036422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(1.452</w:t>
            </w:r>
            <w:r w:rsidR="00A6762D" w:rsidRPr="00781608">
              <w:rPr>
                <w:color w:val="auto"/>
                <w:sz w:val="18"/>
                <w:szCs w:val="18"/>
              </w:rPr>
              <w:t>)</w:t>
            </w:r>
          </w:p>
        </w:tc>
        <w:tc>
          <w:tcPr>
            <w:tcW w:w="1984"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4.781</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(1.550)</w:t>
            </w:r>
          </w:p>
        </w:tc>
        <w:tc>
          <w:tcPr>
            <w:tcW w:w="2127"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0.390</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(1.164)</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F42D12" w:rsidRPr="00781608" w:rsidRDefault="00F42D12" w:rsidP="00F42D12">
            <w:pPr>
              <w:jc w:val="both"/>
              <w:rPr>
                <w:b w:val="0"/>
                <w:bCs w:val="0"/>
                <w:color w:val="auto"/>
                <w:sz w:val="20"/>
                <w:szCs w:val="20"/>
              </w:rPr>
            </w:pPr>
          </w:p>
        </w:tc>
        <w:tc>
          <w:tcPr>
            <w:tcW w:w="708" w:type="dxa"/>
            <w:tcBorders>
              <w:top w:val="nil"/>
              <w:bottom w:val="single" w:sz="12" w:space="0" w:color="auto"/>
            </w:tcBorders>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7.197</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(1.493)</w:t>
            </w:r>
          </w:p>
        </w:tc>
        <w:tc>
          <w:tcPr>
            <w:tcW w:w="1984"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6.525</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(1.573)</w:t>
            </w:r>
          </w:p>
        </w:tc>
        <w:tc>
          <w:tcPr>
            <w:tcW w:w="2127"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0.988**</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(2.310)</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076BDD" w:rsidP="00F42D12">
            <w:pPr>
              <w:jc w:val="both"/>
              <w:rPr>
                <w:b w:val="0"/>
                <w:bCs w:val="0"/>
                <w:color w:val="auto"/>
                <w:sz w:val="20"/>
                <w:szCs w:val="20"/>
              </w:rPr>
            </w:pPr>
            <w:r w:rsidRPr="00781608">
              <w:rPr>
                <w:b w:val="0"/>
                <w:bCs w:val="0"/>
                <w:color w:val="auto"/>
                <w:sz w:val="20"/>
                <w:szCs w:val="20"/>
              </w:rPr>
              <w:t>Outlook</w:t>
            </w:r>
          </w:p>
        </w:tc>
        <w:tc>
          <w:tcPr>
            <w:tcW w:w="708" w:type="dxa"/>
            <w:tcBorders>
              <w:top w:val="single" w:sz="12" w:space="0" w:color="auto"/>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-0.071</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(-0.063)</w:t>
            </w:r>
          </w:p>
        </w:tc>
        <w:tc>
          <w:tcPr>
            <w:tcW w:w="1984"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-0.430</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(-0.312)</w:t>
            </w:r>
          </w:p>
        </w:tc>
        <w:tc>
          <w:tcPr>
            <w:tcW w:w="2127"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0.577</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(1.397)</w:t>
            </w:r>
          </w:p>
        </w:tc>
      </w:tr>
      <w:tr w:rsidR="00F42D12" w:rsidRPr="00781608" w:rsidTr="00EF1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-0.573</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(-0.589)</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-0.506</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(-0.474)</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-0.189</w:t>
            </w:r>
          </w:p>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(-0.256)</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F42D12" w:rsidRPr="00781608" w:rsidRDefault="00F42D12" w:rsidP="00F42D12">
            <w:pPr>
              <w:jc w:val="both"/>
              <w:rPr>
                <w:b w:val="0"/>
                <w:bCs w:val="0"/>
                <w:color w:val="auto"/>
                <w:sz w:val="20"/>
                <w:szCs w:val="20"/>
              </w:rPr>
            </w:pPr>
          </w:p>
        </w:tc>
        <w:tc>
          <w:tcPr>
            <w:tcW w:w="708" w:type="dxa"/>
            <w:tcBorders>
              <w:bottom w:val="nil"/>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0.780</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(0.889)</w:t>
            </w:r>
          </w:p>
        </w:tc>
        <w:tc>
          <w:tcPr>
            <w:tcW w:w="1984"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-0.148</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(-0.111)</w:t>
            </w:r>
          </w:p>
        </w:tc>
        <w:tc>
          <w:tcPr>
            <w:tcW w:w="2127" w:type="dxa"/>
            <w:tcBorders>
              <w:bottom w:val="nil"/>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0.796</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(1.662)</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F42D12" w:rsidRPr="00781608" w:rsidRDefault="00F42D12" w:rsidP="00F42D12">
            <w:pPr>
              <w:jc w:val="both"/>
              <w:rPr>
                <w:b w:val="0"/>
                <w:bCs w:val="0"/>
                <w:color w:val="auto"/>
                <w:sz w:val="20"/>
                <w:szCs w:val="20"/>
              </w:rPr>
            </w:pPr>
          </w:p>
        </w:tc>
        <w:tc>
          <w:tcPr>
            <w:tcW w:w="708" w:type="dxa"/>
            <w:tcBorders>
              <w:top w:val="nil"/>
              <w:bottom w:val="single" w:sz="12" w:space="0" w:color="auto"/>
            </w:tcBorders>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0.137</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(0.153)</w:t>
            </w:r>
          </w:p>
        </w:tc>
        <w:tc>
          <w:tcPr>
            <w:tcW w:w="1984"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-0.302</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(-0.251)</w:t>
            </w:r>
          </w:p>
        </w:tc>
        <w:tc>
          <w:tcPr>
            <w:tcW w:w="2127" w:type="dxa"/>
            <w:tcBorders>
              <w:top w:val="nil"/>
              <w:bottom w:val="single" w:sz="12" w:space="0" w:color="auto"/>
            </w:tcBorders>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0.525</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(1.361)</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076BDD" w:rsidP="00F42D12">
            <w:pPr>
              <w:jc w:val="both"/>
              <w:rPr>
                <w:b w:val="0"/>
                <w:bCs w:val="0"/>
                <w:color w:val="auto"/>
                <w:sz w:val="20"/>
                <w:szCs w:val="20"/>
              </w:rPr>
            </w:pPr>
            <w:r w:rsidRPr="00781608">
              <w:rPr>
                <w:b w:val="0"/>
                <w:bCs w:val="0"/>
                <w:color w:val="auto"/>
                <w:sz w:val="20"/>
                <w:szCs w:val="20"/>
              </w:rPr>
              <w:t>Watchlist</w:t>
            </w:r>
          </w:p>
        </w:tc>
        <w:tc>
          <w:tcPr>
            <w:tcW w:w="708" w:type="dxa"/>
            <w:tcBorders>
              <w:top w:val="single" w:sz="12" w:space="0" w:color="auto"/>
            </w:tcBorders>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2.665***</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(8.376)</w:t>
            </w:r>
          </w:p>
        </w:tc>
        <w:tc>
          <w:tcPr>
            <w:tcW w:w="1984"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1.999*</w:t>
            </w:r>
          </w:p>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(2.168)</w:t>
            </w:r>
          </w:p>
        </w:tc>
        <w:tc>
          <w:tcPr>
            <w:tcW w:w="2127" w:type="dxa"/>
            <w:tcBorders>
              <w:top w:val="single" w:sz="12" w:space="0" w:color="auto"/>
            </w:tcBorders>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2.218***</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(5.670)</w:t>
            </w:r>
          </w:p>
        </w:tc>
      </w:tr>
      <w:tr w:rsidR="00F42D12" w:rsidRPr="00781608" w:rsidTr="00EF1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0.447</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(1.334)</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-0.291</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(-0.570)</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-0.526**</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(-2.271)</w:t>
            </w:r>
          </w:p>
        </w:tc>
      </w:tr>
      <w:tr w:rsidR="00F42D12" w:rsidRPr="00781608" w:rsidTr="00EF1E8B">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-0.103</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(-0.411)</w:t>
            </w:r>
          </w:p>
        </w:tc>
        <w:tc>
          <w:tcPr>
            <w:tcW w:w="1984" w:type="dxa"/>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-0.103</w:t>
            </w:r>
          </w:p>
          <w:p w:rsidR="00364227" w:rsidRPr="00781608" w:rsidRDefault="00364227"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(-1.350)</w:t>
            </w:r>
          </w:p>
        </w:tc>
        <w:tc>
          <w:tcPr>
            <w:tcW w:w="2127" w:type="dxa"/>
          </w:tcPr>
          <w:p w:rsidR="00F42D12" w:rsidRPr="00781608" w:rsidRDefault="00F42D12" w:rsidP="00F42D12">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0.020</w:t>
            </w:r>
            <w:r w:rsidR="00FD14E6" w:rsidRPr="00781608">
              <w:rPr>
                <w:color w:val="auto"/>
                <w:sz w:val="18"/>
                <w:szCs w:val="18"/>
              </w:rPr>
              <w:t>***</w:t>
            </w:r>
          </w:p>
          <w:p w:rsidR="00A6762D" w:rsidRPr="00781608" w:rsidRDefault="00A6762D" w:rsidP="00F42D12">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(-3.247)</w:t>
            </w:r>
          </w:p>
        </w:tc>
      </w:tr>
      <w:tr w:rsidR="00F42D12" w:rsidRPr="00781608" w:rsidTr="00EF1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F42D12">
            <w:pPr>
              <w:jc w:val="both"/>
              <w:rPr>
                <w:b w:val="0"/>
                <w:bCs w:val="0"/>
                <w:color w:val="auto"/>
                <w:sz w:val="20"/>
                <w:szCs w:val="20"/>
              </w:rPr>
            </w:pPr>
          </w:p>
        </w:tc>
        <w:tc>
          <w:tcPr>
            <w:tcW w:w="708" w:type="dxa"/>
          </w:tcPr>
          <w:p w:rsidR="00F42D12" w:rsidRPr="00781608" w:rsidRDefault="00F42D12" w:rsidP="00F42D12">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0.663</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(1.812)</w:t>
            </w:r>
          </w:p>
        </w:tc>
        <w:tc>
          <w:tcPr>
            <w:tcW w:w="1984"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-0.013</w:t>
            </w:r>
          </w:p>
          <w:p w:rsidR="00364227" w:rsidRPr="00781608" w:rsidRDefault="00364227"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(-0.016)</w:t>
            </w:r>
          </w:p>
        </w:tc>
        <w:tc>
          <w:tcPr>
            <w:tcW w:w="2127" w:type="dxa"/>
          </w:tcPr>
          <w:p w:rsidR="00F42D12" w:rsidRPr="00781608" w:rsidRDefault="00F42D12" w:rsidP="00F42D12">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0.128</w:t>
            </w:r>
          </w:p>
          <w:p w:rsidR="00A6762D" w:rsidRPr="00781608" w:rsidRDefault="00A6762D" w:rsidP="00F42D12">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(0.421)</w:t>
            </w:r>
          </w:p>
        </w:tc>
      </w:tr>
    </w:tbl>
    <w:p w:rsidR="00076BDD" w:rsidRPr="00781608" w:rsidRDefault="00076BDD" w:rsidP="004C007D">
      <w:pPr>
        <w:spacing w:after="0"/>
        <w:jc w:val="both"/>
        <w:rPr>
          <w:lang w:val="en-US"/>
        </w:rPr>
      </w:pPr>
      <w:r w:rsidRPr="00781608">
        <w:rPr>
          <w:sz w:val="16"/>
          <w:szCs w:val="16"/>
          <w:lang w:val="en-US"/>
        </w:rPr>
        <w:t xml:space="preserve">Note: For sovereign 1-year </w:t>
      </w:r>
      <w:r w:rsidR="00A16CD4">
        <w:rPr>
          <w:sz w:val="16"/>
          <w:szCs w:val="16"/>
          <w:lang w:val="en-US"/>
        </w:rPr>
        <w:t>sprea</w:t>
      </w:r>
      <w:r w:rsidRPr="00781608">
        <w:rPr>
          <w:sz w:val="16"/>
          <w:szCs w:val="16"/>
          <w:lang w:val="en-US"/>
        </w:rPr>
        <w:t xml:space="preserve">ds. ***,**,* means significance at </w:t>
      </w:r>
      <w:r w:rsidRPr="00781608">
        <w:rPr>
          <w:sz w:val="16"/>
          <w:szCs w:val="16"/>
        </w:rPr>
        <w:sym w:font="Symbol" w:char="F061"/>
      </w:r>
      <w:r w:rsidRPr="00781608">
        <w:rPr>
          <w:sz w:val="16"/>
          <w:szCs w:val="16"/>
          <w:lang w:val="en-US"/>
        </w:rPr>
        <w:t xml:space="preserve"> = 1%, 5%, 10% respectively.</w:t>
      </w:r>
    </w:p>
    <w:p w:rsidR="004C007D" w:rsidRPr="00781608" w:rsidRDefault="004C007D" w:rsidP="00781608">
      <w:pPr>
        <w:spacing w:after="0" w:line="360" w:lineRule="auto"/>
        <w:jc w:val="both"/>
        <w:rPr>
          <w:sz w:val="20"/>
          <w:szCs w:val="20"/>
          <w:lang w:val="en-US"/>
        </w:rPr>
      </w:pPr>
      <w:r w:rsidRPr="00781608">
        <w:rPr>
          <w:sz w:val="20"/>
          <w:szCs w:val="20"/>
          <w:lang w:val="en-US"/>
        </w:rPr>
        <w:lastRenderedPageBreak/>
        <w:t xml:space="preserve">TABLE </w:t>
      </w:r>
      <w:r w:rsidR="00742CD4" w:rsidRPr="00781608">
        <w:rPr>
          <w:sz w:val="20"/>
          <w:szCs w:val="20"/>
          <w:lang w:val="en-US"/>
        </w:rPr>
        <w:t>6</w:t>
      </w:r>
      <w:r w:rsidRPr="00781608">
        <w:rPr>
          <w:sz w:val="20"/>
          <w:szCs w:val="20"/>
          <w:lang w:val="en-US"/>
        </w:rPr>
        <w:t>.</w:t>
      </w:r>
      <w:r w:rsidR="0088735C" w:rsidRPr="00781608">
        <w:rPr>
          <w:sz w:val="20"/>
          <w:szCs w:val="20"/>
          <w:lang w:val="en-US"/>
        </w:rPr>
        <w:t>8</w:t>
      </w:r>
      <w:r w:rsidRPr="00781608">
        <w:rPr>
          <w:sz w:val="20"/>
          <w:szCs w:val="20"/>
          <w:lang w:val="en-US"/>
        </w:rPr>
        <w:t xml:space="preserve"> – </w:t>
      </w:r>
      <w:r w:rsidR="001E4A30" w:rsidRPr="00781608">
        <w:rPr>
          <w:sz w:val="20"/>
          <w:szCs w:val="20"/>
          <w:lang w:val="en-US"/>
        </w:rPr>
        <w:t xml:space="preserve">Sovereign 5-year </w:t>
      </w:r>
      <w:r w:rsidR="00A16CD4">
        <w:rPr>
          <w:sz w:val="20"/>
          <w:szCs w:val="20"/>
          <w:lang w:val="en-US"/>
        </w:rPr>
        <w:t>sprea</w:t>
      </w:r>
      <w:r w:rsidR="001E4A30" w:rsidRPr="00781608">
        <w:rPr>
          <w:sz w:val="20"/>
          <w:szCs w:val="20"/>
          <w:lang w:val="en-US"/>
        </w:rPr>
        <w:t>ds: Positive rating events</w:t>
      </w:r>
    </w:p>
    <w:tbl>
      <w:tblPr>
        <w:tblStyle w:val="Lichtearcering1"/>
        <w:tblW w:w="0" w:type="auto"/>
        <w:tblLayout w:type="fixed"/>
        <w:tblLook w:val="04A0" w:firstRow="1" w:lastRow="0" w:firstColumn="1" w:lastColumn="0" w:noHBand="0" w:noVBand="1"/>
      </w:tblPr>
      <w:tblGrid>
        <w:gridCol w:w="1668"/>
        <w:gridCol w:w="708"/>
        <w:gridCol w:w="1985"/>
        <w:gridCol w:w="1984"/>
        <w:gridCol w:w="2127"/>
      </w:tblGrid>
      <w:tr w:rsidR="00F42D12" w:rsidRPr="00781608" w:rsidTr="002D1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EF1E8B">
            <w:pPr>
              <w:jc w:val="both"/>
              <w:rPr>
                <w:bCs w:val="0"/>
                <w:color w:val="auto"/>
                <w:sz w:val="20"/>
                <w:szCs w:val="20"/>
              </w:rPr>
            </w:pPr>
            <w:r w:rsidRPr="00781608">
              <w:rPr>
                <w:bCs w:val="0"/>
                <w:color w:val="auto"/>
                <w:sz w:val="20"/>
                <w:szCs w:val="20"/>
              </w:rPr>
              <w:t>Variable</w:t>
            </w:r>
          </w:p>
        </w:tc>
        <w:tc>
          <w:tcPr>
            <w:tcW w:w="708" w:type="dxa"/>
          </w:tcPr>
          <w:p w:rsidR="00F42D12" w:rsidRPr="00781608" w:rsidRDefault="00F42D12" w:rsidP="00EF1E8B">
            <w:pPr>
              <w:jc w:val="both"/>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CRA</w:t>
            </w:r>
          </w:p>
        </w:tc>
        <w:tc>
          <w:tcPr>
            <w:tcW w:w="1985" w:type="dxa"/>
          </w:tcPr>
          <w:p w:rsidR="00F42D12" w:rsidRPr="00781608" w:rsidRDefault="00F42D12" w:rsidP="00EF1E8B">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1984" w:type="dxa"/>
          </w:tcPr>
          <w:p w:rsidR="00F42D12" w:rsidRPr="00781608" w:rsidRDefault="00F42D12" w:rsidP="00EF1E8B">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2127" w:type="dxa"/>
          </w:tcPr>
          <w:p w:rsidR="00F42D12" w:rsidRPr="00781608" w:rsidRDefault="00F42D12" w:rsidP="00EF1E8B">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12" w:space="0" w:color="auto"/>
            </w:tcBorders>
          </w:tcPr>
          <w:p w:rsidR="00F42D12" w:rsidRPr="00781608" w:rsidRDefault="00F42D12" w:rsidP="00EF1E8B">
            <w:pPr>
              <w:jc w:val="both"/>
              <w:rPr>
                <w:b w:val="0"/>
                <w:bCs w:val="0"/>
                <w:color w:val="auto"/>
                <w:sz w:val="20"/>
                <w:szCs w:val="20"/>
              </w:rPr>
            </w:pPr>
          </w:p>
        </w:tc>
        <w:tc>
          <w:tcPr>
            <w:tcW w:w="708" w:type="dxa"/>
            <w:tcBorders>
              <w:top w:val="single" w:sz="8" w:space="0" w:color="000000" w:themeColor="text1"/>
              <w:bottom w:val="single" w:sz="12" w:space="0" w:color="auto"/>
            </w:tcBorders>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1985" w:type="dxa"/>
            <w:tcBorders>
              <w:top w:val="single" w:sz="8" w:space="0" w:color="000000" w:themeColor="text1"/>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1</w:t>
            </w:r>
          </w:p>
        </w:tc>
        <w:tc>
          <w:tcPr>
            <w:tcW w:w="1984" w:type="dxa"/>
            <w:tcBorders>
              <w:top w:val="single" w:sz="8" w:space="0" w:color="000000" w:themeColor="text1"/>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2</w:t>
            </w:r>
          </w:p>
        </w:tc>
        <w:tc>
          <w:tcPr>
            <w:tcW w:w="2127" w:type="dxa"/>
            <w:tcBorders>
              <w:top w:val="single" w:sz="8" w:space="0" w:color="000000" w:themeColor="text1"/>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3</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F42D12" w:rsidP="00EF1E8B">
            <w:pPr>
              <w:jc w:val="both"/>
              <w:rPr>
                <w:b w:val="0"/>
                <w:bCs w:val="0"/>
                <w:color w:val="auto"/>
                <w:sz w:val="20"/>
                <w:szCs w:val="20"/>
              </w:rPr>
            </w:pPr>
            <w:r w:rsidRPr="00781608">
              <w:rPr>
                <w:b w:val="0"/>
                <w:bCs w:val="0"/>
                <w:color w:val="auto"/>
                <w:sz w:val="20"/>
                <w:szCs w:val="20"/>
              </w:rPr>
              <w:t>Upgrade</w:t>
            </w:r>
          </w:p>
        </w:tc>
        <w:tc>
          <w:tcPr>
            <w:tcW w:w="708" w:type="dxa"/>
            <w:tcBorders>
              <w:top w:val="single" w:sz="12" w:space="0" w:color="auto"/>
            </w:tcBorders>
          </w:tcPr>
          <w:p w:rsidR="00F42D12" w:rsidRPr="00781608" w:rsidRDefault="00F42D12" w:rsidP="00EF1E8B">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-0.338</w:t>
            </w:r>
          </w:p>
          <w:p w:rsidR="00F12750" w:rsidRPr="00781608" w:rsidRDefault="00F1275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(-1.823)</w:t>
            </w:r>
          </w:p>
        </w:tc>
        <w:tc>
          <w:tcPr>
            <w:tcW w:w="1984"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-0.242</w:t>
            </w:r>
          </w:p>
          <w:p w:rsidR="00F12750" w:rsidRPr="00781608" w:rsidRDefault="00F1275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(-1.092)</w:t>
            </w:r>
          </w:p>
        </w:tc>
        <w:tc>
          <w:tcPr>
            <w:tcW w:w="2127"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-0.026</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(-0.114)</w:t>
            </w:r>
          </w:p>
        </w:tc>
      </w:tr>
      <w:tr w:rsidR="00F42D12"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EF1E8B">
            <w:pPr>
              <w:jc w:val="both"/>
              <w:rPr>
                <w:b w:val="0"/>
                <w:bCs w:val="0"/>
                <w:color w:val="auto"/>
                <w:sz w:val="20"/>
                <w:szCs w:val="20"/>
              </w:rPr>
            </w:pPr>
          </w:p>
        </w:tc>
        <w:tc>
          <w:tcPr>
            <w:tcW w:w="708" w:type="dxa"/>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-0.423</w:t>
            </w:r>
          </w:p>
          <w:p w:rsidR="00F12750" w:rsidRPr="00781608" w:rsidRDefault="00F1275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(-1.928)</w:t>
            </w:r>
          </w:p>
        </w:tc>
        <w:tc>
          <w:tcPr>
            <w:tcW w:w="1984"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-0.197</w:t>
            </w:r>
          </w:p>
          <w:p w:rsidR="00F12750" w:rsidRPr="00781608" w:rsidRDefault="00F1275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(-0.713)</w:t>
            </w:r>
          </w:p>
        </w:tc>
        <w:tc>
          <w:tcPr>
            <w:tcW w:w="2127"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-0.106</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(-0.382)</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F42D12" w:rsidRPr="00781608" w:rsidRDefault="00F42D12" w:rsidP="00EF1E8B">
            <w:pPr>
              <w:jc w:val="both"/>
              <w:rPr>
                <w:b w:val="0"/>
                <w:bCs w:val="0"/>
                <w:color w:val="auto"/>
                <w:sz w:val="20"/>
                <w:szCs w:val="20"/>
              </w:rPr>
            </w:pPr>
          </w:p>
        </w:tc>
        <w:tc>
          <w:tcPr>
            <w:tcW w:w="708" w:type="dxa"/>
            <w:tcBorders>
              <w:bottom w:val="nil"/>
            </w:tcBorders>
          </w:tcPr>
          <w:p w:rsidR="00F42D12" w:rsidRPr="00781608" w:rsidRDefault="00F42D12" w:rsidP="00EF1E8B">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-0.028</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(-0.146)</w:t>
            </w:r>
          </w:p>
        </w:tc>
        <w:tc>
          <w:tcPr>
            <w:tcW w:w="1984" w:type="dxa"/>
            <w:tcBorders>
              <w:bottom w:val="nil"/>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0.063</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(0.294)</w:t>
            </w:r>
          </w:p>
        </w:tc>
        <w:tc>
          <w:tcPr>
            <w:tcW w:w="2127" w:type="dxa"/>
            <w:tcBorders>
              <w:bottom w:val="nil"/>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0.240</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(1.115)</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F42D12" w:rsidRPr="00781608" w:rsidRDefault="00F42D12" w:rsidP="00EF1E8B">
            <w:pPr>
              <w:jc w:val="both"/>
              <w:rPr>
                <w:b w:val="0"/>
                <w:bCs w:val="0"/>
                <w:color w:val="auto"/>
                <w:sz w:val="20"/>
                <w:szCs w:val="20"/>
              </w:rPr>
            </w:pPr>
          </w:p>
        </w:tc>
        <w:tc>
          <w:tcPr>
            <w:tcW w:w="708" w:type="dxa"/>
            <w:tcBorders>
              <w:top w:val="nil"/>
              <w:bottom w:val="single" w:sz="12" w:space="0" w:color="auto"/>
            </w:tcBorders>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-0.182</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(-1.180)</w:t>
            </w:r>
          </w:p>
        </w:tc>
        <w:tc>
          <w:tcPr>
            <w:tcW w:w="1984" w:type="dxa"/>
            <w:tcBorders>
              <w:top w:val="nil"/>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-0.123</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(-0.634)</w:t>
            </w:r>
          </w:p>
        </w:tc>
        <w:tc>
          <w:tcPr>
            <w:tcW w:w="2127" w:type="dxa"/>
            <w:tcBorders>
              <w:top w:val="nil"/>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0.005</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(0.023)</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076BDD" w:rsidP="00EF1E8B">
            <w:pPr>
              <w:jc w:val="both"/>
              <w:rPr>
                <w:b w:val="0"/>
                <w:bCs w:val="0"/>
                <w:color w:val="auto"/>
                <w:sz w:val="20"/>
                <w:szCs w:val="20"/>
              </w:rPr>
            </w:pPr>
            <w:r w:rsidRPr="00781608">
              <w:rPr>
                <w:b w:val="0"/>
                <w:bCs w:val="0"/>
                <w:color w:val="auto"/>
                <w:sz w:val="20"/>
                <w:szCs w:val="20"/>
              </w:rPr>
              <w:t>Outlook</w:t>
            </w:r>
          </w:p>
        </w:tc>
        <w:tc>
          <w:tcPr>
            <w:tcW w:w="708" w:type="dxa"/>
            <w:tcBorders>
              <w:top w:val="single" w:sz="12" w:space="0" w:color="auto"/>
            </w:tcBorders>
          </w:tcPr>
          <w:p w:rsidR="00F42D12" w:rsidRPr="00781608" w:rsidRDefault="00F42D12" w:rsidP="00EF1E8B">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-0.169</w:t>
            </w:r>
          </w:p>
          <w:p w:rsidR="00F12750" w:rsidRPr="00781608" w:rsidRDefault="00F1275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(-0.855)</w:t>
            </w:r>
          </w:p>
        </w:tc>
        <w:tc>
          <w:tcPr>
            <w:tcW w:w="1984"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-0.066</w:t>
            </w:r>
          </w:p>
          <w:p w:rsidR="00F12750" w:rsidRPr="00781608" w:rsidRDefault="00F1275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(-0.332)</w:t>
            </w:r>
          </w:p>
        </w:tc>
        <w:tc>
          <w:tcPr>
            <w:tcW w:w="2127"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-0.035</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(-0.212)</w:t>
            </w:r>
          </w:p>
        </w:tc>
      </w:tr>
      <w:tr w:rsidR="00F42D12"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EF1E8B">
            <w:pPr>
              <w:jc w:val="both"/>
              <w:rPr>
                <w:b w:val="0"/>
                <w:bCs w:val="0"/>
                <w:color w:val="auto"/>
                <w:sz w:val="20"/>
                <w:szCs w:val="20"/>
              </w:rPr>
            </w:pPr>
          </w:p>
        </w:tc>
        <w:tc>
          <w:tcPr>
            <w:tcW w:w="708" w:type="dxa"/>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-0.463</w:t>
            </w:r>
          </w:p>
          <w:p w:rsidR="00F12750" w:rsidRPr="00781608" w:rsidRDefault="00F1275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(-1.542)</w:t>
            </w:r>
          </w:p>
        </w:tc>
        <w:tc>
          <w:tcPr>
            <w:tcW w:w="1984"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-0.130</w:t>
            </w:r>
          </w:p>
          <w:p w:rsidR="00F12750" w:rsidRPr="00781608" w:rsidRDefault="00F1275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(-0.402)</w:t>
            </w:r>
          </w:p>
        </w:tc>
        <w:tc>
          <w:tcPr>
            <w:tcW w:w="2127"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-0.076</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(-0.218)</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F42D12" w:rsidRPr="00781608" w:rsidRDefault="00F42D12" w:rsidP="00EF1E8B">
            <w:pPr>
              <w:jc w:val="both"/>
              <w:rPr>
                <w:b w:val="0"/>
                <w:bCs w:val="0"/>
                <w:color w:val="auto"/>
                <w:sz w:val="20"/>
                <w:szCs w:val="20"/>
              </w:rPr>
            </w:pPr>
          </w:p>
        </w:tc>
        <w:tc>
          <w:tcPr>
            <w:tcW w:w="708" w:type="dxa"/>
            <w:tcBorders>
              <w:bottom w:val="nil"/>
            </w:tcBorders>
          </w:tcPr>
          <w:p w:rsidR="00F42D12" w:rsidRPr="00781608" w:rsidRDefault="00F42D12" w:rsidP="00EF1E8B">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0.904</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(1.319)</w:t>
            </w:r>
          </w:p>
        </w:tc>
        <w:tc>
          <w:tcPr>
            <w:tcW w:w="1984" w:type="dxa"/>
            <w:tcBorders>
              <w:bottom w:val="nil"/>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0.299</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(0.435)</w:t>
            </w:r>
          </w:p>
        </w:tc>
        <w:tc>
          <w:tcPr>
            <w:tcW w:w="2127" w:type="dxa"/>
            <w:tcBorders>
              <w:bottom w:val="nil"/>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0.092</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(0.147)</w:t>
            </w:r>
          </w:p>
        </w:tc>
      </w:tr>
      <w:tr w:rsidR="00F42D12"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F42D12" w:rsidRPr="00781608" w:rsidRDefault="00F42D12" w:rsidP="00EF1E8B">
            <w:pPr>
              <w:jc w:val="both"/>
              <w:rPr>
                <w:b w:val="0"/>
                <w:bCs w:val="0"/>
                <w:color w:val="auto"/>
                <w:sz w:val="20"/>
                <w:szCs w:val="20"/>
              </w:rPr>
            </w:pPr>
          </w:p>
        </w:tc>
        <w:tc>
          <w:tcPr>
            <w:tcW w:w="708" w:type="dxa"/>
            <w:tcBorders>
              <w:top w:val="nil"/>
              <w:bottom w:val="single" w:sz="12" w:space="0" w:color="auto"/>
            </w:tcBorders>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-0.035</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(-0.177)</w:t>
            </w:r>
          </w:p>
        </w:tc>
        <w:tc>
          <w:tcPr>
            <w:tcW w:w="1984" w:type="dxa"/>
            <w:tcBorders>
              <w:top w:val="nil"/>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-0.026</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(-0.111)</w:t>
            </w:r>
          </w:p>
        </w:tc>
        <w:tc>
          <w:tcPr>
            <w:tcW w:w="2127" w:type="dxa"/>
            <w:tcBorders>
              <w:top w:val="nil"/>
              <w:bottom w:val="single" w:sz="12" w:space="0" w:color="auto"/>
            </w:tcBorders>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-0.028</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(-0.129)</w:t>
            </w:r>
          </w:p>
        </w:tc>
      </w:tr>
      <w:tr w:rsidR="00F42D12"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F42D12" w:rsidRPr="00781608" w:rsidRDefault="00076BDD" w:rsidP="00EF1E8B">
            <w:pPr>
              <w:jc w:val="both"/>
              <w:rPr>
                <w:b w:val="0"/>
                <w:bCs w:val="0"/>
                <w:color w:val="auto"/>
                <w:sz w:val="20"/>
                <w:szCs w:val="20"/>
              </w:rPr>
            </w:pPr>
            <w:r w:rsidRPr="00781608">
              <w:rPr>
                <w:b w:val="0"/>
                <w:bCs w:val="0"/>
                <w:color w:val="auto"/>
                <w:sz w:val="20"/>
                <w:szCs w:val="20"/>
              </w:rPr>
              <w:t>Watchlist</w:t>
            </w:r>
          </w:p>
        </w:tc>
        <w:tc>
          <w:tcPr>
            <w:tcW w:w="708" w:type="dxa"/>
            <w:tcBorders>
              <w:top w:val="single" w:sz="12" w:space="0" w:color="auto"/>
            </w:tcBorders>
          </w:tcPr>
          <w:p w:rsidR="00F42D12" w:rsidRPr="00781608" w:rsidRDefault="00F42D12" w:rsidP="00EF1E8B">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0.301***</w:t>
            </w:r>
          </w:p>
          <w:p w:rsidR="00F12750" w:rsidRPr="00781608" w:rsidRDefault="00F1275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(4.99E+13)</w:t>
            </w:r>
          </w:p>
        </w:tc>
        <w:tc>
          <w:tcPr>
            <w:tcW w:w="1984"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0.432***</w:t>
            </w:r>
          </w:p>
          <w:p w:rsidR="00F12750" w:rsidRPr="00781608" w:rsidRDefault="00F1275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(3.682)</w:t>
            </w:r>
          </w:p>
        </w:tc>
        <w:tc>
          <w:tcPr>
            <w:tcW w:w="2127" w:type="dxa"/>
            <w:tcBorders>
              <w:top w:val="single" w:sz="12" w:space="0" w:color="auto"/>
            </w:tcBorders>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0.746***</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(4.560)</w:t>
            </w:r>
          </w:p>
        </w:tc>
      </w:tr>
      <w:tr w:rsidR="00F42D12"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EF1E8B">
            <w:pPr>
              <w:jc w:val="both"/>
              <w:rPr>
                <w:b w:val="0"/>
                <w:bCs w:val="0"/>
                <w:color w:val="auto"/>
                <w:sz w:val="20"/>
                <w:szCs w:val="20"/>
              </w:rPr>
            </w:pPr>
          </w:p>
        </w:tc>
        <w:tc>
          <w:tcPr>
            <w:tcW w:w="708" w:type="dxa"/>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0.005</w:t>
            </w:r>
          </w:p>
          <w:p w:rsidR="00F12750" w:rsidRPr="00781608" w:rsidRDefault="00F1275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(0.019)</w:t>
            </w:r>
          </w:p>
        </w:tc>
        <w:tc>
          <w:tcPr>
            <w:tcW w:w="1984"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0.364</w:t>
            </w:r>
          </w:p>
          <w:p w:rsidR="00F12750" w:rsidRPr="00781608" w:rsidRDefault="00F1275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(1.415)</w:t>
            </w:r>
          </w:p>
        </w:tc>
        <w:tc>
          <w:tcPr>
            <w:tcW w:w="2127"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0.477</w:t>
            </w:r>
          </w:p>
          <w:p w:rsidR="00387900" w:rsidRPr="00781608" w:rsidRDefault="00387900" w:rsidP="00387900">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(1.714)</w:t>
            </w:r>
          </w:p>
        </w:tc>
      </w:tr>
      <w:tr w:rsidR="00F42D12" w:rsidRPr="00781608" w:rsidTr="00E974B7">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EF1E8B">
            <w:pPr>
              <w:jc w:val="both"/>
              <w:rPr>
                <w:b w:val="0"/>
                <w:bCs w:val="0"/>
                <w:color w:val="auto"/>
                <w:sz w:val="20"/>
                <w:szCs w:val="20"/>
              </w:rPr>
            </w:pPr>
          </w:p>
        </w:tc>
        <w:tc>
          <w:tcPr>
            <w:tcW w:w="708" w:type="dxa"/>
          </w:tcPr>
          <w:p w:rsidR="00F42D12" w:rsidRPr="00781608" w:rsidRDefault="00F42D12" w:rsidP="00EF1E8B">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-2.689</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(-1.103)</w:t>
            </w:r>
          </w:p>
        </w:tc>
        <w:tc>
          <w:tcPr>
            <w:tcW w:w="1984" w:type="dxa"/>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-2.946</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(-1.233)</w:t>
            </w:r>
          </w:p>
        </w:tc>
        <w:tc>
          <w:tcPr>
            <w:tcW w:w="2127" w:type="dxa"/>
          </w:tcPr>
          <w:p w:rsidR="00F42D12" w:rsidRPr="00781608" w:rsidRDefault="00F42D12" w:rsidP="00EF1E8B">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-3.122</w:t>
            </w:r>
          </w:p>
          <w:p w:rsidR="00387900" w:rsidRPr="00781608" w:rsidRDefault="00387900" w:rsidP="00EF1E8B">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(-1.402)</w:t>
            </w:r>
          </w:p>
        </w:tc>
      </w:tr>
      <w:tr w:rsidR="00F42D12"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F42D12" w:rsidRPr="00781608" w:rsidRDefault="00F42D12" w:rsidP="00EF1E8B">
            <w:pPr>
              <w:jc w:val="both"/>
              <w:rPr>
                <w:b w:val="0"/>
                <w:bCs w:val="0"/>
                <w:color w:val="auto"/>
                <w:sz w:val="20"/>
                <w:szCs w:val="20"/>
              </w:rPr>
            </w:pPr>
          </w:p>
        </w:tc>
        <w:tc>
          <w:tcPr>
            <w:tcW w:w="708" w:type="dxa"/>
          </w:tcPr>
          <w:p w:rsidR="00F42D12" w:rsidRPr="00781608" w:rsidRDefault="00F42D12" w:rsidP="00EF1E8B">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-0.209</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(-0.566)</w:t>
            </w:r>
          </w:p>
        </w:tc>
        <w:tc>
          <w:tcPr>
            <w:tcW w:w="1984"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0.103</w:t>
            </w:r>
          </w:p>
          <w:p w:rsidR="00387900" w:rsidRPr="00781608" w:rsidRDefault="00387900"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(0.302)</w:t>
            </w:r>
          </w:p>
        </w:tc>
        <w:tc>
          <w:tcPr>
            <w:tcW w:w="2127" w:type="dxa"/>
          </w:tcPr>
          <w:p w:rsidR="00F42D12" w:rsidRPr="00781608" w:rsidRDefault="00F42D12" w:rsidP="00EF1E8B">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0.209</w:t>
            </w:r>
          </w:p>
          <w:p w:rsidR="00E974B7" w:rsidRPr="00781608" w:rsidRDefault="00E974B7" w:rsidP="00EF1E8B">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(0.584)</w:t>
            </w:r>
          </w:p>
        </w:tc>
      </w:tr>
    </w:tbl>
    <w:p w:rsidR="00076BDD" w:rsidRPr="00781608" w:rsidRDefault="00076BDD" w:rsidP="00076BDD">
      <w:pPr>
        <w:jc w:val="both"/>
        <w:rPr>
          <w:sz w:val="16"/>
          <w:szCs w:val="16"/>
          <w:lang w:val="en-US"/>
        </w:rPr>
      </w:pPr>
      <w:r w:rsidRPr="00781608">
        <w:rPr>
          <w:sz w:val="16"/>
          <w:szCs w:val="16"/>
          <w:lang w:val="en-US"/>
        </w:rPr>
        <w:t xml:space="preserve">Note: For sovereign 5-year </w:t>
      </w:r>
      <w:r w:rsidR="00A16CD4">
        <w:rPr>
          <w:sz w:val="16"/>
          <w:szCs w:val="16"/>
          <w:lang w:val="en-US"/>
        </w:rPr>
        <w:t>sprea</w:t>
      </w:r>
      <w:r w:rsidRPr="00781608">
        <w:rPr>
          <w:sz w:val="16"/>
          <w:szCs w:val="16"/>
          <w:lang w:val="en-US"/>
        </w:rPr>
        <w:t xml:space="preserve">ds. ***,**,* means significance at </w:t>
      </w:r>
      <w:r w:rsidRPr="00781608">
        <w:rPr>
          <w:sz w:val="16"/>
          <w:szCs w:val="16"/>
        </w:rPr>
        <w:sym w:font="Symbol" w:char="F061"/>
      </w:r>
      <w:r w:rsidRPr="00781608">
        <w:rPr>
          <w:sz w:val="16"/>
          <w:szCs w:val="16"/>
          <w:lang w:val="en-US"/>
        </w:rPr>
        <w:t xml:space="preserve"> = 1%, 5%, 10% respectively.</w:t>
      </w:r>
    </w:p>
    <w:p w:rsidR="00781608" w:rsidRPr="00781608" w:rsidRDefault="00781608" w:rsidP="00781608">
      <w:pPr>
        <w:spacing w:after="0" w:line="360" w:lineRule="auto"/>
        <w:jc w:val="both"/>
        <w:rPr>
          <w:sz w:val="20"/>
          <w:szCs w:val="20"/>
          <w:lang w:val="en-US"/>
        </w:rPr>
      </w:pPr>
    </w:p>
    <w:p w:rsidR="004C007D" w:rsidRPr="00781608" w:rsidRDefault="004C007D" w:rsidP="00781608">
      <w:pPr>
        <w:spacing w:after="0" w:line="360" w:lineRule="auto"/>
        <w:jc w:val="both"/>
        <w:rPr>
          <w:sz w:val="20"/>
          <w:szCs w:val="20"/>
          <w:lang w:val="en-US"/>
        </w:rPr>
      </w:pPr>
      <w:r w:rsidRPr="00781608">
        <w:rPr>
          <w:sz w:val="20"/>
          <w:szCs w:val="20"/>
          <w:lang w:val="en-US"/>
        </w:rPr>
        <w:t xml:space="preserve">TABLE </w:t>
      </w:r>
      <w:r w:rsidR="00742CD4" w:rsidRPr="00781608">
        <w:rPr>
          <w:sz w:val="20"/>
          <w:szCs w:val="20"/>
          <w:lang w:val="en-US"/>
        </w:rPr>
        <w:t>6</w:t>
      </w:r>
      <w:r w:rsidRPr="00781608">
        <w:rPr>
          <w:sz w:val="20"/>
          <w:szCs w:val="20"/>
          <w:lang w:val="en-US"/>
        </w:rPr>
        <w:t>.</w:t>
      </w:r>
      <w:r w:rsidR="0088735C" w:rsidRPr="00781608">
        <w:rPr>
          <w:sz w:val="20"/>
          <w:szCs w:val="20"/>
          <w:lang w:val="en-US"/>
        </w:rPr>
        <w:t>9</w:t>
      </w:r>
      <w:r w:rsidRPr="00781608">
        <w:rPr>
          <w:sz w:val="20"/>
          <w:szCs w:val="20"/>
          <w:lang w:val="en-US"/>
        </w:rPr>
        <w:t xml:space="preserve"> – </w:t>
      </w:r>
      <w:r w:rsidR="001E4A30" w:rsidRPr="00781608">
        <w:rPr>
          <w:sz w:val="20"/>
          <w:szCs w:val="20"/>
          <w:lang w:val="en-US"/>
        </w:rPr>
        <w:t xml:space="preserve">Sovereign 5-year </w:t>
      </w:r>
      <w:r w:rsidR="00A16CD4">
        <w:rPr>
          <w:sz w:val="20"/>
          <w:szCs w:val="20"/>
          <w:lang w:val="en-US"/>
        </w:rPr>
        <w:t>sprea</w:t>
      </w:r>
      <w:r w:rsidR="001E4A30" w:rsidRPr="00781608">
        <w:rPr>
          <w:sz w:val="20"/>
          <w:szCs w:val="20"/>
          <w:lang w:val="en-US"/>
        </w:rPr>
        <w:t>ds: Negative rating events</w:t>
      </w:r>
    </w:p>
    <w:tbl>
      <w:tblPr>
        <w:tblStyle w:val="Lichtearcering1"/>
        <w:tblW w:w="0" w:type="auto"/>
        <w:tblLayout w:type="fixed"/>
        <w:tblLook w:val="04A0" w:firstRow="1" w:lastRow="0" w:firstColumn="1" w:lastColumn="0" w:noHBand="0" w:noVBand="1"/>
      </w:tblPr>
      <w:tblGrid>
        <w:gridCol w:w="1668"/>
        <w:gridCol w:w="708"/>
        <w:gridCol w:w="1985"/>
        <w:gridCol w:w="1984"/>
        <w:gridCol w:w="2127"/>
      </w:tblGrid>
      <w:tr w:rsidR="00A6762D" w:rsidRPr="00781608" w:rsidTr="002D1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Cs w:val="0"/>
                <w:color w:val="auto"/>
                <w:sz w:val="20"/>
                <w:szCs w:val="20"/>
              </w:rPr>
            </w:pPr>
            <w:r w:rsidRPr="00781608">
              <w:rPr>
                <w:bCs w:val="0"/>
                <w:color w:val="auto"/>
                <w:sz w:val="20"/>
                <w:szCs w:val="20"/>
              </w:rPr>
              <w:t>Variable</w:t>
            </w:r>
          </w:p>
        </w:tc>
        <w:tc>
          <w:tcPr>
            <w:tcW w:w="708" w:type="dxa"/>
          </w:tcPr>
          <w:p w:rsidR="00A6762D" w:rsidRPr="00781608" w:rsidRDefault="00A6762D" w:rsidP="00A6762D">
            <w:pPr>
              <w:jc w:val="both"/>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CRA</w:t>
            </w:r>
          </w:p>
        </w:tc>
        <w:tc>
          <w:tcPr>
            <w:tcW w:w="1985" w:type="dxa"/>
          </w:tcPr>
          <w:p w:rsidR="00A6762D" w:rsidRPr="00781608" w:rsidRDefault="00A6762D" w:rsidP="00A6762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1984" w:type="dxa"/>
          </w:tcPr>
          <w:p w:rsidR="00A6762D" w:rsidRPr="00781608" w:rsidRDefault="00A6762D" w:rsidP="00A6762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2127" w:type="dxa"/>
          </w:tcPr>
          <w:p w:rsidR="00A6762D" w:rsidRPr="00781608" w:rsidRDefault="00A6762D" w:rsidP="00A6762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r>
      <w:tr w:rsidR="00A6762D"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12" w:space="0" w:color="auto"/>
            </w:tcBorders>
          </w:tcPr>
          <w:p w:rsidR="00A6762D" w:rsidRPr="00781608" w:rsidRDefault="00A6762D" w:rsidP="00A6762D">
            <w:pPr>
              <w:jc w:val="both"/>
              <w:rPr>
                <w:b w:val="0"/>
                <w:bCs w:val="0"/>
                <w:color w:val="auto"/>
                <w:sz w:val="20"/>
                <w:szCs w:val="20"/>
              </w:rPr>
            </w:pPr>
          </w:p>
        </w:tc>
        <w:tc>
          <w:tcPr>
            <w:tcW w:w="708" w:type="dxa"/>
            <w:tcBorders>
              <w:top w:val="single" w:sz="8" w:space="0" w:color="000000" w:themeColor="text1"/>
              <w:bottom w:val="single" w:sz="12" w:space="0" w:color="auto"/>
            </w:tcBorders>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1985" w:type="dxa"/>
            <w:tcBorders>
              <w:top w:val="single" w:sz="8" w:space="0" w:color="000000" w:themeColor="text1"/>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1</w:t>
            </w:r>
          </w:p>
        </w:tc>
        <w:tc>
          <w:tcPr>
            <w:tcW w:w="1984" w:type="dxa"/>
            <w:tcBorders>
              <w:top w:val="single" w:sz="8" w:space="0" w:color="000000" w:themeColor="text1"/>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2</w:t>
            </w:r>
          </w:p>
        </w:tc>
        <w:tc>
          <w:tcPr>
            <w:tcW w:w="2127" w:type="dxa"/>
            <w:tcBorders>
              <w:top w:val="single" w:sz="8" w:space="0" w:color="000000" w:themeColor="text1"/>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3</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A6762D" w:rsidRPr="00781608" w:rsidRDefault="00A6762D" w:rsidP="00A6762D">
            <w:pPr>
              <w:jc w:val="both"/>
              <w:rPr>
                <w:b w:val="0"/>
                <w:bCs w:val="0"/>
                <w:color w:val="auto"/>
                <w:sz w:val="20"/>
                <w:szCs w:val="20"/>
              </w:rPr>
            </w:pPr>
            <w:r w:rsidRPr="00781608">
              <w:rPr>
                <w:b w:val="0"/>
                <w:bCs w:val="0"/>
                <w:color w:val="auto"/>
                <w:sz w:val="20"/>
                <w:szCs w:val="20"/>
              </w:rPr>
              <w:t>Downgrade</w:t>
            </w:r>
          </w:p>
        </w:tc>
        <w:tc>
          <w:tcPr>
            <w:tcW w:w="708" w:type="dxa"/>
            <w:tcBorders>
              <w:top w:val="single" w:sz="12" w:space="0" w:color="auto"/>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2.219***</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(5.588)</w:t>
            </w:r>
          </w:p>
        </w:tc>
        <w:tc>
          <w:tcPr>
            <w:tcW w:w="1984"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2.111***</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(6.275)</w:t>
            </w:r>
          </w:p>
        </w:tc>
        <w:tc>
          <w:tcPr>
            <w:tcW w:w="2127"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1.739***</w:t>
            </w:r>
          </w:p>
          <w:p w:rsidR="00F1275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(5.257)</w:t>
            </w:r>
          </w:p>
        </w:tc>
      </w:tr>
      <w:tr w:rsidR="00A6762D"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2.851***</w:t>
            </w:r>
          </w:p>
          <w:p w:rsidR="00F12750" w:rsidRPr="00781608" w:rsidRDefault="00F1275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(5.677)</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2.711***</w:t>
            </w:r>
          </w:p>
          <w:p w:rsidR="00F12750" w:rsidRPr="00781608" w:rsidRDefault="00F1275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(5.598)</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2.307***</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(4.953)</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A6762D" w:rsidRPr="00781608" w:rsidRDefault="00A6762D" w:rsidP="00A6762D">
            <w:pPr>
              <w:jc w:val="both"/>
              <w:rPr>
                <w:b w:val="0"/>
                <w:bCs w:val="0"/>
                <w:color w:val="auto"/>
                <w:sz w:val="20"/>
                <w:szCs w:val="20"/>
              </w:rPr>
            </w:pPr>
          </w:p>
        </w:tc>
        <w:tc>
          <w:tcPr>
            <w:tcW w:w="708" w:type="dxa"/>
            <w:tcBorders>
              <w:bottom w:val="nil"/>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1.677***</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(5.811)</w:t>
            </w:r>
          </w:p>
        </w:tc>
        <w:tc>
          <w:tcPr>
            <w:tcW w:w="1984"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1.496***</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(5.386)</w:t>
            </w:r>
          </w:p>
        </w:tc>
        <w:tc>
          <w:tcPr>
            <w:tcW w:w="2127"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1.207***</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(4.755)</w:t>
            </w:r>
          </w:p>
        </w:tc>
      </w:tr>
      <w:tr w:rsidR="00A6762D"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A6762D" w:rsidRPr="00781608" w:rsidRDefault="00A6762D" w:rsidP="00A6762D">
            <w:pPr>
              <w:jc w:val="both"/>
              <w:rPr>
                <w:b w:val="0"/>
                <w:bCs w:val="0"/>
                <w:color w:val="auto"/>
                <w:sz w:val="20"/>
                <w:szCs w:val="20"/>
              </w:rPr>
            </w:pPr>
          </w:p>
        </w:tc>
        <w:tc>
          <w:tcPr>
            <w:tcW w:w="708" w:type="dxa"/>
            <w:tcBorders>
              <w:top w:val="nil"/>
              <w:bottom w:val="single" w:sz="12" w:space="0" w:color="auto"/>
            </w:tcBorders>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1.939***</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(5.920)</w:t>
            </w:r>
          </w:p>
        </w:tc>
        <w:tc>
          <w:tcPr>
            <w:tcW w:w="1984"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1.830***</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(5.982)</w:t>
            </w:r>
          </w:p>
        </w:tc>
        <w:tc>
          <w:tcPr>
            <w:tcW w:w="2127"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1.494***</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(5.470)</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A6762D" w:rsidRPr="00781608" w:rsidRDefault="00076BDD" w:rsidP="00A6762D">
            <w:pPr>
              <w:jc w:val="both"/>
              <w:rPr>
                <w:b w:val="0"/>
                <w:bCs w:val="0"/>
                <w:color w:val="auto"/>
                <w:sz w:val="20"/>
                <w:szCs w:val="20"/>
              </w:rPr>
            </w:pPr>
            <w:r w:rsidRPr="00781608">
              <w:rPr>
                <w:b w:val="0"/>
                <w:bCs w:val="0"/>
                <w:color w:val="auto"/>
                <w:sz w:val="20"/>
                <w:szCs w:val="20"/>
              </w:rPr>
              <w:t>Outlook</w:t>
            </w:r>
          </w:p>
        </w:tc>
        <w:tc>
          <w:tcPr>
            <w:tcW w:w="708" w:type="dxa"/>
            <w:tcBorders>
              <w:top w:val="single" w:sz="12" w:space="0" w:color="auto"/>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1.268***</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(4.807)</w:t>
            </w:r>
          </w:p>
        </w:tc>
        <w:tc>
          <w:tcPr>
            <w:tcW w:w="1984"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1.159***</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(4.564)</w:t>
            </w:r>
          </w:p>
        </w:tc>
        <w:tc>
          <w:tcPr>
            <w:tcW w:w="2127"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0.902***</w:t>
            </w:r>
          </w:p>
          <w:p w:rsidR="00F1275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(3.849)</w:t>
            </w:r>
          </w:p>
        </w:tc>
      </w:tr>
      <w:tr w:rsidR="00A6762D"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0.673</w:t>
            </w:r>
          </w:p>
          <w:p w:rsidR="00F12750" w:rsidRPr="00781608" w:rsidRDefault="00F1275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(1.114)</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0.759</w:t>
            </w:r>
          </w:p>
          <w:p w:rsidR="00F12750" w:rsidRPr="00781608" w:rsidRDefault="00F1275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(1.183)</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0.553</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(0.840)</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A6762D" w:rsidRPr="00781608" w:rsidRDefault="00A6762D" w:rsidP="00A6762D">
            <w:pPr>
              <w:jc w:val="both"/>
              <w:rPr>
                <w:b w:val="0"/>
                <w:bCs w:val="0"/>
                <w:color w:val="auto"/>
                <w:sz w:val="20"/>
                <w:szCs w:val="20"/>
              </w:rPr>
            </w:pPr>
          </w:p>
        </w:tc>
        <w:tc>
          <w:tcPr>
            <w:tcW w:w="708" w:type="dxa"/>
            <w:tcBorders>
              <w:bottom w:val="nil"/>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0.030</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(0.045)</w:t>
            </w:r>
          </w:p>
        </w:tc>
        <w:tc>
          <w:tcPr>
            <w:tcW w:w="1984"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1.580***</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(3.210)</w:t>
            </w:r>
          </w:p>
        </w:tc>
        <w:tc>
          <w:tcPr>
            <w:tcW w:w="2127"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1.332***</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(3.007)</w:t>
            </w:r>
          </w:p>
        </w:tc>
      </w:tr>
      <w:tr w:rsidR="00A6762D"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A6762D" w:rsidRPr="00781608" w:rsidRDefault="00A6762D" w:rsidP="00A6762D">
            <w:pPr>
              <w:jc w:val="both"/>
              <w:rPr>
                <w:b w:val="0"/>
                <w:bCs w:val="0"/>
                <w:color w:val="auto"/>
                <w:sz w:val="20"/>
                <w:szCs w:val="20"/>
              </w:rPr>
            </w:pPr>
          </w:p>
        </w:tc>
        <w:tc>
          <w:tcPr>
            <w:tcW w:w="708" w:type="dxa"/>
            <w:tcBorders>
              <w:top w:val="nil"/>
              <w:bottom w:val="single" w:sz="12" w:space="0" w:color="auto"/>
            </w:tcBorders>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1.327***</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(4.379)</w:t>
            </w:r>
          </w:p>
        </w:tc>
        <w:tc>
          <w:tcPr>
            <w:tcW w:w="1984"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1.221***</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(4.258)</w:t>
            </w:r>
          </w:p>
        </w:tc>
        <w:tc>
          <w:tcPr>
            <w:tcW w:w="2127"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0.990***</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(3.910)</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A6762D" w:rsidRPr="00781608" w:rsidRDefault="00076BDD" w:rsidP="00A6762D">
            <w:pPr>
              <w:jc w:val="both"/>
              <w:rPr>
                <w:b w:val="0"/>
                <w:bCs w:val="0"/>
                <w:color w:val="auto"/>
                <w:sz w:val="20"/>
                <w:szCs w:val="20"/>
              </w:rPr>
            </w:pPr>
            <w:r w:rsidRPr="00781608">
              <w:rPr>
                <w:b w:val="0"/>
                <w:bCs w:val="0"/>
                <w:color w:val="auto"/>
                <w:sz w:val="20"/>
                <w:szCs w:val="20"/>
              </w:rPr>
              <w:t>Watchlist</w:t>
            </w:r>
          </w:p>
        </w:tc>
        <w:tc>
          <w:tcPr>
            <w:tcW w:w="708" w:type="dxa"/>
            <w:tcBorders>
              <w:top w:val="single" w:sz="12" w:space="0" w:color="auto"/>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3.251***</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(5.852)</w:t>
            </w:r>
          </w:p>
        </w:tc>
        <w:tc>
          <w:tcPr>
            <w:tcW w:w="1984"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3.139***</w:t>
            </w:r>
          </w:p>
          <w:p w:rsidR="00F12750" w:rsidRPr="00781608" w:rsidRDefault="00F1275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(5.799)</w:t>
            </w:r>
          </w:p>
        </w:tc>
        <w:tc>
          <w:tcPr>
            <w:tcW w:w="2127"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2.797***</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(5.902)</w:t>
            </w:r>
          </w:p>
        </w:tc>
      </w:tr>
      <w:tr w:rsidR="00A6762D"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0.745**</w:t>
            </w:r>
          </w:p>
          <w:p w:rsidR="00F12750" w:rsidRPr="00781608" w:rsidRDefault="00F1275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(2.155)</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0.552</w:t>
            </w:r>
          </w:p>
          <w:p w:rsidR="00F12750" w:rsidRPr="00781608" w:rsidRDefault="00F1275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(1.753)</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0.209</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(0.762)</w:t>
            </w:r>
          </w:p>
        </w:tc>
      </w:tr>
      <w:tr w:rsidR="00A6762D" w:rsidRPr="00781608" w:rsidTr="00E974B7">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0.007</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(0.044)</w:t>
            </w:r>
          </w:p>
        </w:tc>
        <w:tc>
          <w:tcPr>
            <w:tcW w:w="1984" w:type="dxa"/>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-0.483</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(-1.573)</w:t>
            </w:r>
          </w:p>
        </w:tc>
        <w:tc>
          <w:tcPr>
            <w:tcW w:w="2127" w:type="dxa"/>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-0.840**</w:t>
            </w:r>
          </w:p>
          <w:p w:rsidR="00387900" w:rsidRPr="00781608" w:rsidRDefault="00387900"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(-2.593)</w:t>
            </w:r>
          </w:p>
        </w:tc>
      </w:tr>
      <w:tr w:rsidR="00A6762D" w:rsidRPr="00781608" w:rsidTr="00E97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1.174***</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(2.870)</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0.960*</w:t>
            </w:r>
          </w:p>
          <w:p w:rsidR="00387900" w:rsidRPr="00781608" w:rsidRDefault="00387900"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(2.221)</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0.611</w:t>
            </w:r>
          </w:p>
          <w:p w:rsidR="00E974B7" w:rsidRPr="00781608" w:rsidRDefault="00E974B7"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(1.601)</w:t>
            </w:r>
          </w:p>
        </w:tc>
      </w:tr>
    </w:tbl>
    <w:p w:rsidR="004C007D" w:rsidRPr="00781608" w:rsidRDefault="004C007D" w:rsidP="004C007D">
      <w:pPr>
        <w:jc w:val="both"/>
        <w:rPr>
          <w:sz w:val="16"/>
          <w:szCs w:val="16"/>
          <w:lang w:val="en-US"/>
        </w:rPr>
      </w:pPr>
      <w:r w:rsidRPr="00781608">
        <w:rPr>
          <w:sz w:val="16"/>
          <w:szCs w:val="16"/>
          <w:lang w:val="en-US"/>
        </w:rPr>
        <w:t xml:space="preserve">Note: For sovereign 5-year </w:t>
      </w:r>
      <w:r w:rsidR="00A16CD4">
        <w:rPr>
          <w:sz w:val="16"/>
          <w:szCs w:val="16"/>
          <w:lang w:val="en-US"/>
        </w:rPr>
        <w:t>sprea</w:t>
      </w:r>
      <w:r w:rsidRPr="00781608">
        <w:rPr>
          <w:sz w:val="16"/>
          <w:szCs w:val="16"/>
          <w:lang w:val="en-US"/>
        </w:rPr>
        <w:t xml:space="preserve">ds. ***,**,* means significance at </w:t>
      </w:r>
      <w:r w:rsidRPr="00781608">
        <w:rPr>
          <w:sz w:val="16"/>
          <w:szCs w:val="16"/>
        </w:rPr>
        <w:sym w:font="Symbol" w:char="F061"/>
      </w:r>
      <w:r w:rsidRPr="00781608">
        <w:rPr>
          <w:sz w:val="16"/>
          <w:szCs w:val="16"/>
          <w:lang w:val="en-US"/>
        </w:rPr>
        <w:t xml:space="preserve"> = 1%, 5%, 10% respectively.</w:t>
      </w:r>
    </w:p>
    <w:p w:rsidR="004C007D" w:rsidRPr="00781608" w:rsidRDefault="00E974B7" w:rsidP="00781608">
      <w:pPr>
        <w:spacing w:after="0" w:line="360" w:lineRule="auto"/>
        <w:jc w:val="both"/>
        <w:rPr>
          <w:sz w:val="20"/>
          <w:szCs w:val="20"/>
          <w:lang w:val="en-US"/>
        </w:rPr>
      </w:pPr>
      <w:r w:rsidRPr="00781608">
        <w:rPr>
          <w:sz w:val="20"/>
          <w:szCs w:val="20"/>
          <w:lang w:val="en-US"/>
        </w:rPr>
        <w:lastRenderedPageBreak/>
        <w:t>T</w:t>
      </w:r>
      <w:r w:rsidR="004C007D" w:rsidRPr="00781608">
        <w:rPr>
          <w:sz w:val="20"/>
          <w:szCs w:val="20"/>
          <w:lang w:val="en-US"/>
        </w:rPr>
        <w:t xml:space="preserve">ABLE </w:t>
      </w:r>
      <w:r w:rsidR="00742CD4" w:rsidRPr="00781608">
        <w:rPr>
          <w:sz w:val="20"/>
          <w:szCs w:val="20"/>
          <w:lang w:val="en-US"/>
        </w:rPr>
        <w:t>6</w:t>
      </w:r>
      <w:r w:rsidR="004C007D" w:rsidRPr="00781608">
        <w:rPr>
          <w:sz w:val="20"/>
          <w:szCs w:val="20"/>
          <w:lang w:val="en-US"/>
        </w:rPr>
        <w:t>.1</w:t>
      </w:r>
      <w:r w:rsidR="0088735C" w:rsidRPr="00781608">
        <w:rPr>
          <w:sz w:val="20"/>
          <w:szCs w:val="20"/>
          <w:lang w:val="en-US"/>
        </w:rPr>
        <w:t>0</w:t>
      </w:r>
      <w:r w:rsidR="004C007D" w:rsidRPr="00781608">
        <w:rPr>
          <w:sz w:val="20"/>
          <w:szCs w:val="20"/>
          <w:lang w:val="en-US"/>
        </w:rPr>
        <w:t xml:space="preserve"> – </w:t>
      </w:r>
      <w:r w:rsidR="001E4A30" w:rsidRPr="00781608">
        <w:rPr>
          <w:sz w:val="20"/>
          <w:szCs w:val="20"/>
          <w:lang w:val="en-US"/>
        </w:rPr>
        <w:t xml:space="preserve">Sovereign 10-year </w:t>
      </w:r>
      <w:r w:rsidR="00A16CD4">
        <w:rPr>
          <w:sz w:val="20"/>
          <w:szCs w:val="20"/>
          <w:lang w:val="en-US"/>
        </w:rPr>
        <w:t>sprea</w:t>
      </w:r>
      <w:r w:rsidR="001E4A30" w:rsidRPr="00781608">
        <w:rPr>
          <w:sz w:val="20"/>
          <w:szCs w:val="20"/>
          <w:lang w:val="en-US"/>
        </w:rPr>
        <w:t>ds: Positive rating events</w:t>
      </w:r>
    </w:p>
    <w:tbl>
      <w:tblPr>
        <w:tblStyle w:val="Lichtearcering1"/>
        <w:tblW w:w="0" w:type="auto"/>
        <w:tblLayout w:type="fixed"/>
        <w:tblLook w:val="04A0" w:firstRow="1" w:lastRow="0" w:firstColumn="1" w:lastColumn="0" w:noHBand="0" w:noVBand="1"/>
      </w:tblPr>
      <w:tblGrid>
        <w:gridCol w:w="1668"/>
        <w:gridCol w:w="708"/>
        <w:gridCol w:w="1985"/>
        <w:gridCol w:w="1984"/>
        <w:gridCol w:w="2127"/>
      </w:tblGrid>
      <w:tr w:rsidR="00A6762D" w:rsidRPr="00781608" w:rsidTr="002D1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Cs w:val="0"/>
                <w:color w:val="auto"/>
                <w:sz w:val="20"/>
                <w:szCs w:val="20"/>
              </w:rPr>
            </w:pPr>
            <w:r w:rsidRPr="00781608">
              <w:rPr>
                <w:bCs w:val="0"/>
                <w:color w:val="auto"/>
                <w:sz w:val="20"/>
                <w:szCs w:val="20"/>
              </w:rPr>
              <w:t>Variable</w:t>
            </w:r>
          </w:p>
        </w:tc>
        <w:tc>
          <w:tcPr>
            <w:tcW w:w="708" w:type="dxa"/>
          </w:tcPr>
          <w:p w:rsidR="00A6762D" w:rsidRPr="00781608" w:rsidRDefault="00A6762D" w:rsidP="00A6762D">
            <w:pPr>
              <w:jc w:val="both"/>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CRA</w:t>
            </w:r>
          </w:p>
        </w:tc>
        <w:tc>
          <w:tcPr>
            <w:tcW w:w="1985" w:type="dxa"/>
          </w:tcPr>
          <w:p w:rsidR="00A6762D" w:rsidRPr="00781608" w:rsidRDefault="00A6762D" w:rsidP="00A6762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1984" w:type="dxa"/>
          </w:tcPr>
          <w:p w:rsidR="00A6762D" w:rsidRPr="00781608" w:rsidRDefault="00A6762D" w:rsidP="00A6762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c>
          <w:tcPr>
            <w:tcW w:w="2127" w:type="dxa"/>
          </w:tcPr>
          <w:p w:rsidR="00A6762D" w:rsidRPr="00781608" w:rsidRDefault="00A6762D" w:rsidP="00A6762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r>
      <w:tr w:rsidR="00A6762D"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12" w:space="0" w:color="auto"/>
            </w:tcBorders>
          </w:tcPr>
          <w:p w:rsidR="00A6762D" w:rsidRPr="00781608" w:rsidRDefault="00A6762D" w:rsidP="00A6762D">
            <w:pPr>
              <w:jc w:val="both"/>
              <w:rPr>
                <w:b w:val="0"/>
                <w:bCs w:val="0"/>
                <w:color w:val="auto"/>
                <w:sz w:val="20"/>
                <w:szCs w:val="20"/>
              </w:rPr>
            </w:pPr>
          </w:p>
        </w:tc>
        <w:tc>
          <w:tcPr>
            <w:tcW w:w="708" w:type="dxa"/>
            <w:tcBorders>
              <w:top w:val="single" w:sz="8" w:space="0" w:color="000000" w:themeColor="text1"/>
              <w:bottom w:val="single" w:sz="12" w:space="0" w:color="auto"/>
            </w:tcBorders>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1985" w:type="dxa"/>
            <w:tcBorders>
              <w:top w:val="single" w:sz="8" w:space="0" w:color="000000" w:themeColor="text1"/>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1</w:t>
            </w:r>
          </w:p>
        </w:tc>
        <w:tc>
          <w:tcPr>
            <w:tcW w:w="1984" w:type="dxa"/>
            <w:tcBorders>
              <w:top w:val="single" w:sz="8" w:space="0" w:color="000000" w:themeColor="text1"/>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2</w:t>
            </w:r>
          </w:p>
        </w:tc>
        <w:tc>
          <w:tcPr>
            <w:tcW w:w="2127" w:type="dxa"/>
            <w:tcBorders>
              <w:top w:val="single" w:sz="8" w:space="0" w:color="000000" w:themeColor="text1"/>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3</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A6762D" w:rsidRPr="00781608" w:rsidRDefault="00A6762D" w:rsidP="00A6762D">
            <w:pPr>
              <w:jc w:val="both"/>
              <w:rPr>
                <w:b w:val="0"/>
                <w:bCs w:val="0"/>
                <w:color w:val="auto"/>
                <w:sz w:val="20"/>
                <w:szCs w:val="20"/>
              </w:rPr>
            </w:pPr>
            <w:r w:rsidRPr="00781608">
              <w:rPr>
                <w:b w:val="0"/>
                <w:bCs w:val="0"/>
                <w:color w:val="auto"/>
                <w:sz w:val="20"/>
                <w:szCs w:val="20"/>
              </w:rPr>
              <w:t>Upgrade</w:t>
            </w:r>
          </w:p>
        </w:tc>
        <w:tc>
          <w:tcPr>
            <w:tcW w:w="708" w:type="dxa"/>
            <w:tcBorders>
              <w:top w:val="single" w:sz="12" w:space="0" w:color="auto"/>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-0.047</w:t>
            </w:r>
          </w:p>
          <w:p w:rsidR="00E974B7" w:rsidRPr="00781608" w:rsidRDefault="00E974B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(-0.052)</w:t>
            </w:r>
          </w:p>
        </w:tc>
        <w:tc>
          <w:tcPr>
            <w:tcW w:w="1984"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0.152</w:t>
            </w:r>
          </w:p>
          <w:p w:rsidR="00E974B7" w:rsidRPr="00781608" w:rsidRDefault="00E974B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(0.191)</w:t>
            </w:r>
          </w:p>
        </w:tc>
        <w:tc>
          <w:tcPr>
            <w:tcW w:w="2127"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-0.314</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(-0.781)</w:t>
            </w:r>
          </w:p>
        </w:tc>
      </w:tr>
      <w:tr w:rsidR="00A6762D"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-0.314*</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(-2.164)</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0.342</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(0.656)</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0.443</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(0.843)</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A6762D" w:rsidRPr="00781608" w:rsidRDefault="00A6762D" w:rsidP="00A6762D">
            <w:pPr>
              <w:jc w:val="both"/>
              <w:rPr>
                <w:b w:val="0"/>
                <w:bCs w:val="0"/>
                <w:color w:val="auto"/>
                <w:sz w:val="20"/>
                <w:szCs w:val="20"/>
              </w:rPr>
            </w:pPr>
          </w:p>
        </w:tc>
        <w:tc>
          <w:tcPr>
            <w:tcW w:w="708" w:type="dxa"/>
            <w:tcBorders>
              <w:bottom w:val="nil"/>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-0.604</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(-0.672)</w:t>
            </w:r>
          </w:p>
        </w:tc>
        <w:tc>
          <w:tcPr>
            <w:tcW w:w="1984"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-0.386</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(-0.490)</w:t>
            </w:r>
          </w:p>
        </w:tc>
        <w:tc>
          <w:tcPr>
            <w:tcW w:w="2127"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-0.549</w:t>
            </w:r>
          </w:p>
          <w:p w:rsidR="00576F2A" w:rsidRPr="00781608" w:rsidRDefault="00576F2A"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(-0.900)</w:t>
            </w:r>
          </w:p>
        </w:tc>
      </w:tr>
      <w:tr w:rsidR="00A6762D"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A6762D" w:rsidRPr="00781608" w:rsidRDefault="00A6762D" w:rsidP="00A6762D">
            <w:pPr>
              <w:jc w:val="both"/>
              <w:rPr>
                <w:b w:val="0"/>
                <w:bCs w:val="0"/>
                <w:color w:val="auto"/>
                <w:sz w:val="20"/>
                <w:szCs w:val="20"/>
              </w:rPr>
            </w:pPr>
          </w:p>
        </w:tc>
        <w:tc>
          <w:tcPr>
            <w:tcW w:w="708" w:type="dxa"/>
            <w:tcBorders>
              <w:top w:val="nil"/>
              <w:bottom w:val="single" w:sz="12" w:space="0" w:color="auto"/>
            </w:tcBorders>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-0.232</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(-0.420)</w:t>
            </w:r>
          </w:p>
        </w:tc>
        <w:tc>
          <w:tcPr>
            <w:tcW w:w="1984"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-0.103</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(-0.202)</w:t>
            </w:r>
          </w:p>
        </w:tc>
        <w:tc>
          <w:tcPr>
            <w:tcW w:w="2127"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-0.288</w:t>
            </w:r>
          </w:p>
          <w:p w:rsidR="00576F2A" w:rsidRPr="00781608" w:rsidRDefault="00576F2A"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(-0.776)</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A6762D" w:rsidRPr="00781608" w:rsidRDefault="00076BDD" w:rsidP="00A6762D">
            <w:pPr>
              <w:jc w:val="both"/>
              <w:rPr>
                <w:b w:val="0"/>
                <w:bCs w:val="0"/>
                <w:color w:val="auto"/>
                <w:sz w:val="20"/>
                <w:szCs w:val="20"/>
              </w:rPr>
            </w:pPr>
            <w:r w:rsidRPr="00781608">
              <w:rPr>
                <w:b w:val="0"/>
                <w:bCs w:val="0"/>
                <w:color w:val="auto"/>
                <w:sz w:val="20"/>
                <w:szCs w:val="20"/>
              </w:rPr>
              <w:t>Outlook</w:t>
            </w:r>
          </w:p>
        </w:tc>
        <w:tc>
          <w:tcPr>
            <w:tcW w:w="708" w:type="dxa"/>
            <w:tcBorders>
              <w:top w:val="single" w:sz="12" w:space="0" w:color="auto"/>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0.591</w:t>
            </w:r>
          </w:p>
          <w:p w:rsidR="00E974B7" w:rsidRPr="00781608" w:rsidRDefault="00E974B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(0.763)</w:t>
            </w:r>
          </w:p>
        </w:tc>
        <w:tc>
          <w:tcPr>
            <w:tcW w:w="1984"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0.877</w:t>
            </w:r>
          </w:p>
          <w:p w:rsidR="00E974B7" w:rsidRPr="00781608" w:rsidRDefault="00E974B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(1.048)</w:t>
            </w:r>
          </w:p>
        </w:tc>
        <w:tc>
          <w:tcPr>
            <w:tcW w:w="2127"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0.061</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(0.227)</w:t>
            </w:r>
          </w:p>
        </w:tc>
      </w:tr>
      <w:tr w:rsidR="00A6762D"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-0.931</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(-1.495)</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-0.058</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(-0.064)</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0.032</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(0.035)</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A6762D" w:rsidRPr="00781608" w:rsidRDefault="00A6762D" w:rsidP="00A6762D">
            <w:pPr>
              <w:jc w:val="both"/>
              <w:rPr>
                <w:b w:val="0"/>
                <w:bCs w:val="0"/>
                <w:color w:val="auto"/>
                <w:sz w:val="20"/>
                <w:szCs w:val="20"/>
              </w:rPr>
            </w:pPr>
          </w:p>
        </w:tc>
        <w:tc>
          <w:tcPr>
            <w:tcW w:w="708" w:type="dxa"/>
            <w:tcBorders>
              <w:bottom w:val="nil"/>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0.932</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(1.405)</w:t>
            </w:r>
          </w:p>
        </w:tc>
        <w:tc>
          <w:tcPr>
            <w:tcW w:w="1984"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-0.996</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(-0.646)</w:t>
            </w:r>
          </w:p>
        </w:tc>
        <w:tc>
          <w:tcPr>
            <w:tcW w:w="2127" w:type="dxa"/>
            <w:tcBorders>
              <w:bottom w:val="nil"/>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-1.399</w:t>
            </w:r>
          </w:p>
          <w:p w:rsidR="00576F2A" w:rsidRPr="00781608" w:rsidRDefault="00576F2A"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(-0.921)</w:t>
            </w:r>
          </w:p>
        </w:tc>
      </w:tr>
      <w:tr w:rsidR="00A6762D"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A6762D" w:rsidRPr="00781608" w:rsidRDefault="00A6762D" w:rsidP="00A6762D">
            <w:pPr>
              <w:jc w:val="both"/>
              <w:rPr>
                <w:b w:val="0"/>
                <w:bCs w:val="0"/>
                <w:color w:val="auto"/>
                <w:sz w:val="20"/>
                <w:szCs w:val="20"/>
              </w:rPr>
            </w:pPr>
          </w:p>
        </w:tc>
        <w:tc>
          <w:tcPr>
            <w:tcW w:w="708" w:type="dxa"/>
            <w:tcBorders>
              <w:top w:val="nil"/>
              <w:bottom w:val="single" w:sz="12" w:space="0" w:color="auto"/>
            </w:tcBorders>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0.187</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(0.381)</w:t>
            </w:r>
          </w:p>
        </w:tc>
        <w:tc>
          <w:tcPr>
            <w:tcW w:w="1984"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0.211</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(0.415)</w:t>
            </w:r>
          </w:p>
        </w:tc>
        <w:tc>
          <w:tcPr>
            <w:tcW w:w="2127" w:type="dxa"/>
            <w:tcBorders>
              <w:top w:val="nil"/>
              <w:bottom w:val="single" w:sz="12" w:space="0" w:color="auto"/>
            </w:tcBorders>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-0.207</w:t>
            </w:r>
          </w:p>
          <w:p w:rsidR="00576F2A" w:rsidRPr="00781608" w:rsidRDefault="00576F2A"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(-0.567)</w:t>
            </w:r>
          </w:p>
        </w:tc>
      </w:tr>
      <w:tr w:rsidR="00A6762D"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A6762D" w:rsidRPr="00781608" w:rsidRDefault="00076BDD" w:rsidP="00A6762D">
            <w:pPr>
              <w:jc w:val="both"/>
              <w:rPr>
                <w:b w:val="0"/>
                <w:bCs w:val="0"/>
                <w:color w:val="auto"/>
                <w:sz w:val="20"/>
                <w:szCs w:val="20"/>
              </w:rPr>
            </w:pPr>
            <w:r w:rsidRPr="00781608">
              <w:rPr>
                <w:b w:val="0"/>
                <w:bCs w:val="0"/>
                <w:color w:val="auto"/>
                <w:sz w:val="20"/>
                <w:szCs w:val="20"/>
              </w:rPr>
              <w:t>Watchlist</w:t>
            </w:r>
          </w:p>
        </w:tc>
        <w:tc>
          <w:tcPr>
            <w:tcW w:w="708" w:type="dxa"/>
            <w:tcBorders>
              <w:top w:val="single" w:sz="12" w:space="0" w:color="auto"/>
            </w:tcBorders>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0.454***</w:t>
            </w:r>
          </w:p>
          <w:p w:rsidR="00E974B7" w:rsidRPr="00781608" w:rsidRDefault="00E974B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(2.67E+14)</w:t>
            </w:r>
          </w:p>
        </w:tc>
        <w:tc>
          <w:tcPr>
            <w:tcW w:w="1984"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0.540</w:t>
            </w:r>
          </w:p>
          <w:p w:rsidR="00E974B7" w:rsidRPr="00781608" w:rsidRDefault="00E974B7"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(1.474)</w:t>
            </w:r>
          </w:p>
        </w:tc>
        <w:tc>
          <w:tcPr>
            <w:tcW w:w="2127" w:type="dxa"/>
            <w:tcBorders>
              <w:top w:val="single" w:sz="12" w:space="0" w:color="auto"/>
            </w:tcBorders>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1.030***</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(3.031)</w:t>
            </w:r>
          </w:p>
        </w:tc>
      </w:tr>
      <w:tr w:rsidR="00A6762D"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-0.681</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(-0.757)</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0.388</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(1.177)</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0.385</w:t>
            </w:r>
          </w:p>
          <w:p w:rsidR="00C030CE" w:rsidRPr="00781608" w:rsidRDefault="00C030CE" w:rsidP="00576F2A">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w:t>
            </w:r>
            <w:r w:rsidR="00576F2A" w:rsidRPr="00781608">
              <w:rPr>
                <w:color w:val="auto"/>
                <w:sz w:val="18"/>
                <w:szCs w:val="18"/>
              </w:rPr>
              <w:t>1.293)</w:t>
            </w:r>
          </w:p>
        </w:tc>
      </w:tr>
      <w:tr w:rsidR="00A6762D" w:rsidRPr="00781608" w:rsidTr="00B8346F">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0.254</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(1.075)</w:t>
            </w:r>
          </w:p>
        </w:tc>
        <w:tc>
          <w:tcPr>
            <w:tcW w:w="1984" w:type="dxa"/>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-0.672</w:t>
            </w:r>
          </w:p>
          <w:p w:rsidR="00C030CE" w:rsidRPr="00781608" w:rsidRDefault="00C030CE"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(-0.949)</w:t>
            </w:r>
          </w:p>
        </w:tc>
        <w:tc>
          <w:tcPr>
            <w:tcW w:w="2127" w:type="dxa"/>
          </w:tcPr>
          <w:p w:rsidR="00A6762D" w:rsidRPr="00781608" w:rsidRDefault="00A6762D" w:rsidP="00A6762D">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-0.946</w:t>
            </w:r>
          </w:p>
          <w:p w:rsidR="00576F2A" w:rsidRPr="00781608" w:rsidRDefault="00576F2A" w:rsidP="00A6762D">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(-1.288)</w:t>
            </w:r>
          </w:p>
        </w:tc>
      </w:tr>
      <w:tr w:rsidR="00A6762D"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6762D" w:rsidRPr="00781608" w:rsidRDefault="00A6762D" w:rsidP="00A6762D">
            <w:pPr>
              <w:jc w:val="both"/>
              <w:rPr>
                <w:b w:val="0"/>
                <w:bCs w:val="0"/>
                <w:color w:val="auto"/>
                <w:sz w:val="20"/>
                <w:szCs w:val="20"/>
              </w:rPr>
            </w:pPr>
          </w:p>
        </w:tc>
        <w:tc>
          <w:tcPr>
            <w:tcW w:w="708" w:type="dxa"/>
          </w:tcPr>
          <w:p w:rsidR="00A6762D" w:rsidRPr="00781608" w:rsidRDefault="00A6762D" w:rsidP="00A6762D">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-0.496</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(-0.668)</w:t>
            </w:r>
          </w:p>
        </w:tc>
        <w:tc>
          <w:tcPr>
            <w:tcW w:w="1984"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0.318</w:t>
            </w:r>
          </w:p>
          <w:p w:rsidR="00C030CE" w:rsidRPr="00781608" w:rsidRDefault="00C030CE"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(1.071)</w:t>
            </w:r>
          </w:p>
        </w:tc>
        <w:tc>
          <w:tcPr>
            <w:tcW w:w="2127" w:type="dxa"/>
          </w:tcPr>
          <w:p w:rsidR="00A6762D" w:rsidRPr="00781608" w:rsidRDefault="00A6762D" w:rsidP="00A6762D">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0.332</w:t>
            </w:r>
          </w:p>
          <w:p w:rsidR="00576F2A" w:rsidRPr="00781608" w:rsidRDefault="00576F2A" w:rsidP="00A6762D">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(1.172)</w:t>
            </w:r>
          </w:p>
        </w:tc>
      </w:tr>
    </w:tbl>
    <w:p w:rsidR="00076BDD" w:rsidRPr="00781608" w:rsidRDefault="00076BDD" w:rsidP="00076BDD">
      <w:pPr>
        <w:jc w:val="both"/>
        <w:rPr>
          <w:sz w:val="16"/>
          <w:szCs w:val="16"/>
          <w:lang w:val="en-US"/>
        </w:rPr>
      </w:pPr>
      <w:r w:rsidRPr="00781608">
        <w:rPr>
          <w:sz w:val="16"/>
          <w:szCs w:val="16"/>
          <w:lang w:val="en-US"/>
        </w:rPr>
        <w:t xml:space="preserve">Note: For sovereign 10-year </w:t>
      </w:r>
      <w:r w:rsidR="00A16CD4">
        <w:rPr>
          <w:sz w:val="16"/>
          <w:szCs w:val="16"/>
          <w:lang w:val="en-US"/>
        </w:rPr>
        <w:t>sprea</w:t>
      </w:r>
      <w:r w:rsidRPr="00781608">
        <w:rPr>
          <w:sz w:val="16"/>
          <w:szCs w:val="16"/>
          <w:lang w:val="en-US"/>
        </w:rPr>
        <w:t xml:space="preserve">ds. ***,**,* means significance at </w:t>
      </w:r>
      <w:r w:rsidRPr="00781608">
        <w:rPr>
          <w:sz w:val="16"/>
          <w:szCs w:val="16"/>
        </w:rPr>
        <w:sym w:font="Symbol" w:char="F061"/>
      </w:r>
      <w:r w:rsidRPr="00781608">
        <w:rPr>
          <w:sz w:val="16"/>
          <w:szCs w:val="16"/>
          <w:lang w:val="en-US"/>
        </w:rPr>
        <w:t xml:space="preserve"> = 1%, 5%, 10% respectively.</w:t>
      </w:r>
    </w:p>
    <w:p w:rsidR="00781608" w:rsidRPr="00781608" w:rsidRDefault="00781608" w:rsidP="00781608">
      <w:pPr>
        <w:spacing w:after="0" w:line="360" w:lineRule="auto"/>
        <w:jc w:val="both"/>
        <w:rPr>
          <w:sz w:val="20"/>
          <w:szCs w:val="20"/>
          <w:lang w:val="en-US"/>
        </w:rPr>
      </w:pPr>
    </w:p>
    <w:p w:rsidR="004C007D" w:rsidRPr="00781608" w:rsidRDefault="0047763D" w:rsidP="00781608">
      <w:pPr>
        <w:spacing w:after="0" w:line="360" w:lineRule="auto"/>
        <w:jc w:val="both"/>
        <w:rPr>
          <w:sz w:val="20"/>
          <w:szCs w:val="20"/>
          <w:lang w:val="en-GB"/>
        </w:rPr>
      </w:pPr>
      <w:r w:rsidRPr="00781608">
        <w:rPr>
          <w:sz w:val="20"/>
          <w:szCs w:val="20"/>
          <w:lang w:val="en-US"/>
        </w:rPr>
        <w:t xml:space="preserve">TABLE </w:t>
      </w:r>
      <w:r w:rsidR="00742CD4" w:rsidRPr="00781608">
        <w:rPr>
          <w:sz w:val="20"/>
          <w:szCs w:val="20"/>
          <w:lang w:val="en-US"/>
        </w:rPr>
        <w:t>6</w:t>
      </w:r>
      <w:r w:rsidR="0088735C" w:rsidRPr="00781608">
        <w:rPr>
          <w:sz w:val="20"/>
          <w:szCs w:val="20"/>
          <w:lang w:val="en-US"/>
        </w:rPr>
        <w:t>.11</w:t>
      </w:r>
      <w:r w:rsidR="004C007D" w:rsidRPr="00781608">
        <w:rPr>
          <w:sz w:val="20"/>
          <w:szCs w:val="20"/>
          <w:lang w:val="en-US"/>
        </w:rPr>
        <w:t xml:space="preserve"> – </w:t>
      </w:r>
      <w:r w:rsidR="001E4A30" w:rsidRPr="00781608">
        <w:rPr>
          <w:sz w:val="20"/>
          <w:szCs w:val="20"/>
          <w:lang w:val="en-US"/>
        </w:rPr>
        <w:t xml:space="preserve">Sovereign 10-year </w:t>
      </w:r>
      <w:r w:rsidR="00A16CD4">
        <w:rPr>
          <w:sz w:val="20"/>
          <w:szCs w:val="20"/>
          <w:lang w:val="en-US"/>
        </w:rPr>
        <w:t>sprea</w:t>
      </w:r>
      <w:r w:rsidR="001E4A30" w:rsidRPr="00781608">
        <w:rPr>
          <w:sz w:val="20"/>
          <w:szCs w:val="20"/>
          <w:lang w:val="en-US"/>
        </w:rPr>
        <w:t>ds: Negative rating events</w:t>
      </w:r>
    </w:p>
    <w:tbl>
      <w:tblPr>
        <w:tblStyle w:val="Lichtearcering1"/>
        <w:tblW w:w="0" w:type="auto"/>
        <w:tblLayout w:type="fixed"/>
        <w:tblLook w:val="04A0" w:firstRow="1" w:lastRow="0" w:firstColumn="1" w:lastColumn="0" w:noHBand="0" w:noVBand="1"/>
      </w:tblPr>
      <w:tblGrid>
        <w:gridCol w:w="1668"/>
        <w:gridCol w:w="708"/>
        <w:gridCol w:w="1985"/>
        <w:gridCol w:w="1984"/>
        <w:gridCol w:w="2127"/>
      </w:tblGrid>
      <w:tr w:rsidR="00E974B7" w:rsidRPr="00781608" w:rsidTr="002D1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974B7" w:rsidRPr="00781608" w:rsidRDefault="00E974B7" w:rsidP="00E974B7">
            <w:pPr>
              <w:jc w:val="both"/>
              <w:rPr>
                <w:bCs w:val="0"/>
                <w:color w:val="auto"/>
                <w:sz w:val="20"/>
                <w:szCs w:val="20"/>
              </w:rPr>
            </w:pPr>
            <w:r w:rsidRPr="00781608">
              <w:rPr>
                <w:bCs w:val="0"/>
                <w:color w:val="auto"/>
                <w:sz w:val="20"/>
                <w:szCs w:val="20"/>
                <w:lang w:val="en-GB"/>
              </w:rPr>
              <w:t>Variable</w:t>
            </w:r>
          </w:p>
        </w:tc>
        <w:tc>
          <w:tcPr>
            <w:tcW w:w="708" w:type="dxa"/>
          </w:tcPr>
          <w:p w:rsidR="00E974B7" w:rsidRPr="00781608" w:rsidRDefault="00E974B7" w:rsidP="00E974B7">
            <w:pPr>
              <w:jc w:val="both"/>
              <w:cnfStyle w:val="100000000000" w:firstRow="1" w:lastRow="0" w:firstColumn="0" w:lastColumn="0" w:oddVBand="0" w:evenVBand="0" w:oddHBand="0" w:evenHBand="0" w:firstRowFirstColumn="0" w:firstRowLastColumn="0" w:lastRowFirstColumn="0" w:lastRowLastColumn="0"/>
              <w:rPr>
                <w:bCs w:val="0"/>
                <w:color w:val="auto"/>
                <w:sz w:val="20"/>
                <w:szCs w:val="20"/>
                <w:lang w:val="en-GB"/>
              </w:rPr>
            </w:pPr>
            <w:r w:rsidRPr="00781608">
              <w:rPr>
                <w:bCs w:val="0"/>
                <w:color w:val="auto"/>
                <w:sz w:val="20"/>
                <w:szCs w:val="20"/>
              </w:rPr>
              <w:t>CRA</w:t>
            </w:r>
          </w:p>
        </w:tc>
        <w:tc>
          <w:tcPr>
            <w:tcW w:w="1985" w:type="dxa"/>
          </w:tcPr>
          <w:p w:rsidR="00E974B7" w:rsidRPr="00781608" w:rsidRDefault="00E974B7" w:rsidP="00E974B7">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lang w:val="en-GB"/>
              </w:rPr>
              <w:t>Coefficient</w:t>
            </w:r>
          </w:p>
        </w:tc>
        <w:tc>
          <w:tcPr>
            <w:tcW w:w="1984" w:type="dxa"/>
          </w:tcPr>
          <w:p w:rsidR="00E974B7" w:rsidRPr="00781608" w:rsidRDefault="00E974B7" w:rsidP="00E974B7">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lang w:val="en-GB"/>
              </w:rPr>
            </w:pPr>
            <w:r w:rsidRPr="00781608">
              <w:rPr>
                <w:bCs w:val="0"/>
                <w:color w:val="auto"/>
                <w:sz w:val="20"/>
                <w:szCs w:val="20"/>
              </w:rPr>
              <w:t>Coefficient</w:t>
            </w:r>
          </w:p>
        </w:tc>
        <w:tc>
          <w:tcPr>
            <w:tcW w:w="2127" w:type="dxa"/>
          </w:tcPr>
          <w:p w:rsidR="00E974B7" w:rsidRPr="00781608" w:rsidRDefault="00E974B7" w:rsidP="00E974B7">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781608">
              <w:rPr>
                <w:bCs w:val="0"/>
                <w:color w:val="auto"/>
                <w:sz w:val="20"/>
                <w:szCs w:val="20"/>
              </w:rPr>
              <w:t>Coefficient</w:t>
            </w:r>
          </w:p>
        </w:tc>
      </w:tr>
      <w:tr w:rsidR="00E974B7"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000000" w:themeColor="text1"/>
              <w:bottom w:val="single" w:sz="12" w:space="0" w:color="auto"/>
            </w:tcBorders>
          </w:tcPr>
          <w:p w:rsidR="00E974B7" w:rsidRPr="00781608" w:rsidRDefault="00E974B7" w:rsidP="00E974B7">
            <w:pPr>
              <w:jc w:val="both"/>
              <w:rPr>
                <w:b w:val="0"/>
                <w:bCs w:val="0"/>
                <w:color w:val="auto"/>
                <w:sz w:val="20"/>
                <w:szCs w:val="20"/>
              </w:rPr>
            </w:pPr>
          </w:p>
        </w:tc>
        <w:tc>
          <w:tcPr>
            <w:tcW w:w="708" w:type="dxa"/>
            <w:tcBorders>
              <w:top w:val="single" w:sz="8" w:space="0" w:color="000000" w:themeColor="text1"/>
              <w:bottom w:val="single" w:sz="12" w:space="0" w:color="auto"/>
            </w:tcBorders>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1985" w:type="dxa"/>
            <w:tcBorders>
              <w:top w:val="single" w:sz="8" w:space="0" w:color="000000" w:themeColor="text1"/>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1</w:t>
            </w:r>
          </w:p>
        </w:tc>
        <w:tc>
          <w:tcPr>
            <w:tcW w:w="1984" w:type="dxa"/>
            <w:tcBorders>
              <w:top w:val="single" w:sz="8" w:space="0" w:color="000000" w:themeColor="text1"/>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2</w:t>
            </w:r>
          </w:p>
        </w:tc>
        <w:tc>
          <w:tcPr>
            <w:tcW w:w="2127" w:type="dxa"/>
            <w:tcBorders>
              <w:top w:val="single" w:sz="8" w:space="0" w:color="000000" w:themeColor="text1"/>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Model 3</w:t>
            </w:r>
          </w:p>
        </w:tc>
      </w:tr>
      <w:tr w:rsidR="00E974B7"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E974B7" w:rsidRPr="00781608" w:rsidRDefault="00E974B7" w:rsidP="00E974B7">
            <w:pPr>
              <w:jc w:val="both"/>
              <w:rPr>
                <w:b w:val="0"/>
                <w:bCs w:val="0"/>
                <w:color w:val="auto"/>
                <w:sz w:val="20"/>
                <w:szCs w:val="20"/>
              </w:rPr>
            </w:pPr>
            <w:r w:rsidRPr="00781608">
              <w:rPr>
                <w:b w:val="0"/>
                <w:bCs w:val="0"/>
                <w:color w:val="auto"/>
                <w:sz w:val="20"/>
                <w:szCs w:val="20"/>
              </w:rPr>
              <w:t>Downgrade</w:t>
            </w:r>
          </w:p>
        </w:tc>
        <w:tc>
          <w:tcPr>
            <w:tcW w:w="708" w:type="dxa"/>
            <w:tcBorders>
              <w:top w:val="single" w:sz="12" w:space="0" w:color="auto"/>
            </w:tcBorders>
          </w:tcPr>
          <w:p w:rsidR="00E974B7" w:rsidRPr="00781608" w:rsidRDefault="00E974B7" w:rsidP="00E974B7">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3.608*</w:t>
            </w:r>
          </w:p>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(2.142)</w:t>
            </w:r>
          </w:p>
        </w:tc>
        <w:tc>
          <w:tcPr>
            <w:tcW w:w="1984"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2.713</w:t>
            </w:r>
          </w:p>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(1.768)</w:t>
            </w:r>
          </w:p>
        </w:tc>
        <w:tc>
          <w:tcPr>
            <w:tcW w:w="2127"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0.616</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(0.698)</w:t>
            </w:r>
          </w:p>
        </w:tc>
      </w:tr>
      <w:tr w:rsidR="00E974B7"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974B7" w:rsidRPr="00781608" w:rsidRDefault="00E974B7" w:rsidP="00E974B7">
            <w:pPr>
              <w:jc w:val="both"/>
              <w:rPr>
                <w:b w:val="0"/>
                <w:bCs w:val="0"/>
                <w:color w:val="auto"/>
                <w:sz w:val="20"/>
                <w:szCs w:val="20"/>
              </w:rPr>
            </w:pPr>
          </w:p>
        </w:tc>
        <w:tc>
          <w:tcPr>
            <w:tcW w:w="708" w:type="dxa"/>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2.641***</w:t>
            </w:r>
          </w:p>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(7.987)</w:t>
            </w:r>
          </w:p>
        </w:tc>
        <w:tc>
          <w:tcPr>
            <w:tcW w:w="1984"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1.821**</w:t>
            </w:r>
          </w:p>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(2.391)</w:t>
            </w:r>
          </w:p>
        </w:tc>
        <w:tc>
          <w:tcPr>
            <w:tcW w:w="2127"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1.609***</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(2.936)</w:t>
            </w:r>
          </w:p>
        </w:tc>
      </w:tr>
      <w:tr w:rsidR="00E974B7"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E974B7" w:rsidRPr="00781608" w:rsidRDefault="00E974B7" w:rsidP="00E974B7">
            <w:pPr>
              <w:jc w:val="both"/>
              <w:rPr>
                <w:b w:val="0"/>
                <w:bCs w:val="0"/>
                <w:color w:val="auto"/>
                <w:sz w:val="20"/>
                <w:szCs w:val="20"/>
              </w:rPr>
            </w:pPr>
          </w:p>
        </w:tc>
        <w:tc>
          <w:tcPr>
            <w:tcW w:w="708" w:type="dxa"/>
            <w:tcBorders>
              <w:bottom w:val="nil"/>
            </w:tcBorders>
          </w:tcPr>
          <w:p w:rsidR="00E974B7" w:rsidRPr="00781608" w:rsidRDefault="00E974B7" w:rsidP="00E974B7">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1.822</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(1.942)</w:t>
            </w:r>
          </w:p>
        </w:tc>
        <w:tc>
          <w:tcPr>
            <w:tcW w:w="1984" w:type="dxa"/>
            <w:tcBorders>
              <w:bottom w:val="nil"/>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0.983</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(0.908)</w:t>
            </w:r>
          </w:p>
        </w:tc>
        <w:tc>
          <w:tcPr>
            <w:tcW w:w="2127" w:type="dxa"/>
            <w:tcBorders>
              <w:bottom w:val="nil"/>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0.010</w:t>
            </w:r>
          </w:p>
          <w:p w:rsidR="00576F2A" w:rsidRPr="00781608" w:rsidRDefault="00576F2A"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(0.012)</w:t>
            </w:r>
          </w:p>
        </w:tc>
      </w:tr>
      <w:tr w:rsidR="00E974B7"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E974B7" w:rsidRPr="00781608" w:rsidRDefault="00E974B7" w:rsidP="00E974B7">
            <w:pPr>
              <w:jc w:val="both"/>
              <w:rPr>
                <w:b w:val="0"/>
                <w:bCs w:val="0"/>
                <w:color w:val="auto"/>
                <w:sz w:val="20"/>
                <w:szCs w:val="20"/>
              </w:rPr>
            </w:pPr>
          </w:p>
        </w:tc>
        <w:tc>
          <w:tcPr>
            <w:tcW w:w="708" w:type="dxa"/>
            <w:tcBorders>
              <w:top w:val="nil"/>
              <w:bottom w:val="single" w:sz="12" w:space="0" w:color="auto"/>
            </w:tcBorders>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2.184*</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(2.207)</w:t>
            </w:r>
          </w:p>
        </w:tc>
        <w:tc>
          <w:tcPr>
            <w:tcW w:w="1984" w:type="dxa"/>
            <w:tcBorders>
              <w:top w:val="nil"/>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1.471</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(1.360)</w:t>
            </w:r>
          </w:p>
        </w:tc>
        <w:tc>
          <w:tcPr>
            <w:tcW w:w="2127" w:type="dxa"/>
            <w:tcBorders>
              <w:top w:val="nil"/>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0.325</w:t>
            </w:r>
          </w:p>
          <w:p w:rsidR="00576F2A" w:rsidRPr="00781608" w:rsidRDefault="00576F2A"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(0.371)</w:t>
            </w:r>
          </w:p>
        </w:tc>
      </w:tr>
      <w:tr w:rsidR="00E974B7"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E974B7" w:rsidRPr="00781608" w:rsidRDefault="00076BDD" w:rsidP="00E974B7">
            <w:pPr>
              <w:jc w:val="both"/>
              <w:rPr>
                <w:b w:val="0"/>
                <w:bCs w:val="0"/>
                <w:color w:val="auto"/>
                <w:sz w:val="20"/>
                <w:szCs w:val="20"/>
              </w:rPr>
            </w:pPr>
            <w:r w:rsidRPr="00781608">
              <w:rPr>
                <w:b w:val="0"/>
                <w:bCs w:val="0"/>
                <w:color w:val="auto"/>
                <w:sz w:val="20"/>
                <w:szCs w:val="20"/>
              </w:rPr>
              <w:t>Outlook</w:t>
            </w:r>
          </w:p>
        </w:tc>
        <w:tc>
          <w:tcPr>
            <w:tcW w:w="708" w:type="dxa"/>
            <w:tcBorders>
              <w:top w:val="single" w:sz="12" w:space="0" w:color="auto"/>
            </w:tcBorders>
          </w:tcPr>
          <w:p w:rsidR="00E974B7" w:rsidRPr="00781608" w:rsidRDefault="00E974B7" w:rsidP="00E974B7">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-0.123</w:t>
            </w:r>
          </w:p>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(-0.137)</w:t>
            </w:r>
          </w:p>
        </w:tc>
        <w:tc>
          <w:tcPr>
            <w:tcW w:w="1984"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-0.480</w:t>
            </w:r>
          </w:p>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(-0.404)</w:t>
            </w:r>
          </w:p>
        </w:tc>
        <w:tc>
          <w:tcPr>
            <w:tcW w:w="2127"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-0.556</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(-0.434)</w:t>
            </w:r>
          </w:p>
        </w:tc>
      </w:tr>
      <w:tr w:rsidR="00E974B7"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974B7" w:rsidRPr="00781608" w:rsidRDefault="00E974B7" w:rsidP="00E974B7">
            <w:pPr>
              <w:jc w:val="both"/>
              <w:rPr>
                <w:b w:val="0"/>
                <w:bCs w:val="0"/>
                <w:color w:val="auto"/>
                <w:sz w:val="20"/>
                <w:szCs w:val="20"/>
              </w:rPr>
            </w:pPr>
          </w:p>
        </w:tc>
        <w:tc>
          <w:tcPr>
            <w:tcW w:w="708" w:type="dxa"/>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0.137</w:t>
            </w:r>
          </w:p>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(0.232)</w:t>
            </w:r>
          </w:p>
        </w:tc>
        <w:tc>
          <w:tcPr>
            <w:tcW w:w="1984"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0.403</w:t>
            </w:r>
          </w:p>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(0.576)</w:t>
            </w:r>
          </w:p>
        </w:tc>
        <w:tc>
          <w:tcPr>
            <w:tcW w:w="2127"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0.297</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(0.413)</w:t>
            </w:r>
          </w:p>
        </w:tc>
      </w:tr>
      <w:tr w:rsidR="00E974B7"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bottom w:val="nil"/>
            </w:tcBorders>
          </w:tcPr>
          <w:p w:rsidR="00E974B7" w:rsidRPr="00781608" w:rsidRDefault="00E974B7" w:rsidP="00E974B7">
            <w:pPr>
              <w:jc w:val="both"/>
              <w:rPr>
                <w:b w:val="0"/>
                <w:bCs w:val="0"/>
                <w:color w:val="auto"/>
                <w:sz w:val="20"/>
                <w:szCs w:val="20"/>
              </w:rPr>
            </w:pPr>
          </w:p>
        </w:tc>
        <w:tc>
          <w:tcPr>
            <w:tcW w:w="708" w:type="dxa"/>
            <w:tcBorders>
              <w:bottom w:val="nil"/>
            </w:tcBorders>
          </w:tcPr>
          <w:p w:rsidR="00E974B7" w:rsidRPr="00781608" w:rsidRDefault="00E974B7" w:rsidP="00E974B7">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Borders>
              <w:bottom w:val="nil"/>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0.735</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(1.083)</w:t>
            </w:r>
          </w:p>
        </w:tc>
        <w:tc>
          <w:tcPr>
            <w:tcW w:w="1984" w:type="dxa"/>
            <w:tcBorders>
              <w:bottom w:val="nil"/>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-0.276</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(-0.206)</w:t>
            </w:r>
          </w:p>
        </w:tc>
        <w:tc>
          <w:tcPr>
            <w:tcW w:w="2127" w:type="dxa"/>
            <w:tcBorders>
              <w:bottom w:val="nil"/>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-0.439</w:t>
            </w:r>
          </w:p>
          <w:p w:rsidR="00576F2A" w:rsidRPr="00781608" w:rsidRDefault="00576F2A"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(-0.298)</w:t>
            </w:r>
          </w:p>
        </w:tc>
      </w:tr>
      <w:tr w:rsidR="00E974B7" w:rsidRPr="00781608" w:rsidTr="002D1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12" w:space="0" w:color="auto"/>
            </w:tcBorders>
          </w:tcPr>
          <w:p w:rsidR="00E974B7" w:rsidRPr="00781608" w:rsidRDefault="00E974B7" w:rsidP="00E974B7">
            <w:pPr>
              <w:jc w:val="both"/>
              <w:rPr>
                <w:b w:val="0"/>
                <w:bCs w:val="0"/>
                <w:color w:val="auto"/>
                <w:sz w:val="20"/>
                <w:szCs w:val="20"/>
              </w:rPr>
            </w:pPr>
          </w:p>
        </w:tc>
        <w:tc>
          <w:tcPr>
            <w:tcW w:w="708" w:type="dxa"/>
            <w:tcBorders>
              <w:top w:val="nil"/>
              <w:bottom w:val="single" w:sz="12" w:space="0" w:color="auto"/>
            </w:tcBorders>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Borders>
              <w:top w:val="nil"/>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0.118</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(0.168)</w:t>
            </w:r>
          </w:p>
        </w:tc>
        <w:tc>
          <w:tcPr>
            <w:tcW w:w="1984" w:type="dxa"/>
            <w:tcBorders>
              <w:top w:val="nil"/>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-0.306</w:t>
            </w:r>
          </w:p>
          <w:p w:rsidR="00C030CE" w:rsidRPr="00781608" w:rsidRDefault="00C030CE" w:rsidP="00C030CE">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(-0.293)</w:t>
            </w:r>
          </w:p>
        </w:tc>
        <w:tc>
          <w:tcPr>
            <w:tcW w:w="2127" w:type="dxa"/>
            <w:tcBorders>
              <w:top w:val="nil"/>
              <w:bottom w:val="single" w:sz="12" w:space="0" w:color="auto"/>
            </w:tcBorders>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-0.426</w:t>
            </w:r>
          </w:p>
          <w:p w:rsidR="00576F2A" w:rsidRPr="00781608" w:rsidRDefault="00576F2A"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(-0.382)</w:t>
            </w:r>
          </w:p>
        </w:tc>
      </w:tr>
      <w:tr w:rsidR="00E974B7" w:rsidRPr="00781608" w:rsidTr="002D1647">
        <w:tc>
          <w:tcPr>
            <w:cnfStyle w:val="001000000000" w:firstRow="0" w:lastRow="0" w:firstColumn="1" w:lastColumn="0" w:oddVBand="0" w:evenVBand="0" w:oddHBand="0" w:evenHBand="0" w:firstRowFirstColumn="0" w:firstRowLastColumn="0" w:lastRowFirstColumn="0" w:lastRowLastColumn="0"/>
            <w:tcW w:w="1668" w:type="dxa"/>
            <w:tcBorders>
              <w:top w:val="single" w:sz="12" w:space="0" w:color="auto"/>
            </w:tcBorders>
          </w:tcPr>
          <w:p w:rsidR="00E974B7" w:rsidRPr="00781608" w:rsidRDefault="00076BDD" w:rsidP="00E974B7">
            <w:pPr>
              <w:jc w:val="both"/>
              <w:rPr>
                <w:b w:val="0"/>
                <w:bCs w:val="0"/>
                <w:color w:val="auto"/>
                <w:sz w:val="20"/>
                <w:szCs w:val="20"/>
              </w:rPr>
            </w:pPr>
            <w:r w:rsidRPr="00781608">
              <w:rPr>
                <w:b w:val="0"/>
                <w:bCs w:val="0"/>
                <w:color w:val="auto"/>
                <w:sz w:val="20"/>
                <w:szCs w:val="20"/>
              </w:rPr>
              <w:t>Watchlist</w:t>
            </w:r>
          </w:p>
        </w:tc>
        <w:tc>
          <w:tcPr>
            <w:tcW w:w="708" w:type="dxa"/>
            <w:tcBorders>
              <w:top w:val="single" w:sz="12" w:space="0" w:color="auto"/>
            </w:tcBorders>
          </w:tcPr>
          <w:p w:rsidR="00E974B7" w:rsidRPr="00781608" w:rsidRDefault="00E974B7" w:rsidP="00E974B7">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F</w:t>
            </w:r>
          </w:p>
        </w:tc>
        <w:tc>
          <w:tcPr>
            <w:tcW w:w="1985"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2.623***</w:t>
            </w:r>
          </w:p>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(7.506)</w:t>
            </w:r>
          </w:p>
        </w:tc>
        <w:tc>
          <w:tcPr>
            <w:tcW w:w="1984"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2.016***</w:t>
            </w:r>
          </w:p>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(2.815)</w:t>
            </w:r>
          </w:p>
        </w:tc>
        <w:tc>
          <w:tcPr>
            <w:tcW w:w="2127" w:type="dxa"/>
            <w:tcBorders>
              <w:top w:val="single" w:sz="12" w:space="0" w:color="auto"/>
            </w:tcBorders>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1.810***</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(3.396)</w:t>
            </w:r>
          </w:p>
        </w:tc>
      </w:tr>
      <w:tr w:rsidR="00E974B7"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974B7" w:rsidRPr="00781608" w:rsidRDefault="00E974B7" w:rsidP="00E974B7">
            <w:pPr>
              <w:jc w:val="both"/>
              <w:rPr>
                <w:b w:val="0"/>
                <w:bCs w:val="0"/>
                <w:color w:val="auto"/>
                <w:sz w:val="20"/>
                <w:szCs w:val="20"/>
              </w:rPr>
            </w:pPr>
          </w:p>
        </w:tc>
        <w:tc>
          <w:tcPr>
            <w:tcW w:w="708" w:type="dxa"/>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M</w:t>
            </w:r>
          </w:p>
        </w:tc>
        <w:tc>
          <w:tcPr>
            <w:tcW w:w="1985"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1.245***</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(3.168)</w:t>
            </w:r>
          </w:p>
        </w:tc>
        <w:tc>
          <w:tcPr>
            <w:tcW w:w="1984"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0.494</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(0.856)</w:t>
            </w:r>
          </w:p>
        </w:tc>
        <w:tc>
          <w:tcPr>
            <w:tcW w:w="2127"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-0.066</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w:t>
            </w:r>
            <w:r w:rsidR="00576F2A" w:rsidRPr="00781608">
              <w:rPr>
                <w:color w:val="auto"/>
                <w:sz w:val="18"/>
                <w:szCs w:val="18"/>
              </w:rPr>
              <w:t>-0.128)</w:t>
            </w:r>
          </w:p>
        </w:tc>
      </w:tr>
      <w:tr w:rsidR="00E974B7" w:rsidRPr="00781608" w:rsidTr="00B8346F">
        <w:tc>
          <w:tcPr>
            <w:cnfStyle w:val="001000000000" w:firstRow="0" w:lastRow="0" w:firstColumn="1" w:lastColumn="0" w:oddVBand="0" w:evenVBand="0" w:oddHBand="0" w:evenHBand="0" w:firstRowFirstColumn="0" w:firstRowLastColumn="0" w:lastRowFirstColumn="0" w:lastRowLastColumn="0"/>
            <w:tcW w:w="1668" w:type="dxa"/>
          </w:tcPr>
          <w:p w:rsidR="00E974B7" w:rsidRPr="00781608" w:rsidRDefault="00E974B7" w:rsidP="00E974B7">
            <w:pPr>
              <w:jc w:val="both"/>
              <w:rPr>
                <w:b w:val="0"/>
                <w:bCs w:val="0"/>
                <w:color w:val="auto"/>
                <w:sz w:val="20"/>
                <w:szCs w:val="20"/>
              </w:rPr>
            </w:pPr>
          </w:p>
        </w:tc>
        <w:tc>
          <w:tcPr>
            <w:tcW w:w="708" w:type="dxa"/>
          </w:tcPr>
          <w:p w:rsidR="00E974B7" w:rsidRPr="00781608" w:rsidRDefault="00E974B7" w:rsidP="00E974B7">
            <w:pPr>
              <w:jc w:val="both"/>
              <w:cnfStyle w:val="000000000000" w:firstRow="0" w:lastRow="0" w:firstColumn="0" w:lastColumn="0" w:oddVBand="0" w:evenVBand="0" w:oddHBand="0" w:evenHBand="0" w:firstRowFirstColumn="0" w:firstRowLastColumn="0" w:lastRowFirstColumn="0" w:lastRowLastColumn="0"/>
              <w:rPr>
                <w:bCs/>
                <w:color w:val="auto"/>
                <w:sz w:val="20"/>
                <w:szCs w:val="20"/>
              </w:rPr>
            </w:pPr>
            <w:r w:rsidRPr="00781608">
              <w:rPr>
                <w:bCs/>
                <w:color w:val="auto"/>
                <w:sz w:val="20"/>
                <w:szCs w:val="20"/>
              </w:rPr>
              <w:t>SP</w:t>
            </w:r>
          </w:p>
        </w:tc>
        <w:tc>
          <w:tcPr>
            <w:tcW w:w="1985" w:type="dxa"/>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0.066</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(0.817)</w:t>
            </w:r>
          </w:p>
        </w:tc>
        <w:tc>
          <w:tcPr>
            <w:tcW w:w="1984" w:type="dxa"/>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-1.378</w:t>
            </w:r>
          </w:p>
          <w:p w:rsidR="00C030CE" w:rsidRPr="00781608" w:rsidRDefault="00C030CE"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bCs/>
                <w:color w:val="auto"/>
                <w:sz w:val="18"/>
                <w:szCs w:val="18"/>
              </w:rPr>
              <w:t>(-1.251)</w:t>
            </w:r>
          </w:p>
        </w:tc>
        <w:tc>
          <w:tcPr>
            <w:tcW w:w="2127" w:type="dxa"/>
          </w:tcPr>
          <w:p w:rsidR="00E974B7" w:rsidRPr="00781608" w:rsidRDefault="00E974B7" w:rsidP="00E974B7">
            <w:pPr>
              <w:jc w:val="center"/>
              <w:cnfStyle w:val="000000000000" w:firstRow="0" w:lastRow="0" w:firstColumn="0" w:lastColumn="0" w:oddVBand="0" w:evenVBand="0" w:oddHBand="0" w:evenHBand="0" w:firstRowFirstColumn="0" w:firstRowLastColumn="0" w:lastRowFirstColumn="0" w:lastRowLastColumn="0"/>
              <w:rPr>
                <w:color w:val="auto"/>
                <w:sz w:val="18"/>
                <w:szCs w:val="18"/>
              </w:rPr>
            </w:pPr>
            <w:r w:rsidRPr="00781608">
              <w:rPr>
                <w:color w:val="auto"/>
                <w:sz w:val="18"/>
                <w:szCs w:val="18"/>
              </w:rPr>
              <w:t>-1.613</w:t>
            </w:r>
          </w:p>
          <w:p w:rsidR="00576F2A" w:rsidRPr="00781608" w:rsidRDefault="00576F2A" w:rsidP="00E974B7">
            <w:pPr>
              <w:jc w:val="center"/>
              <w:cnfStyle w:val="000000000000" w:firstRow="0" w:lastRow="0" w:firstColumn="0" w:lastColumn="0" w:oddVBand="0" w:evenVBand="0" w:oddHBand="0" w:evenHBand="0" w:firstRowFirstColumn="0" w:firstRowLastColumn="0" w:lastRowFirstColumn="0" w:lastRowLastColumn="0"/>
              <w:rPr>
                <w:bCs/>
                <w:color w:val="auto"/>
                <w:sz w:val="18"/>
                <w:szCs w:val="18"/>
              </w:rPr>
            </w:pPr>
            <w:r w:rsidRPr="00781608">
              <w:rPr>
                <w:color w:val="auto"/>
                <w:sz w:val="18"/>
                <w:szCs w:val="18"/>
              </w:rPr>
              <w:t>(-1.484)</w:t>
            </w:r>
          </w:p>
        </w:tc>
      </w:tr>
      <w:tr w:rsidR="00E974B7" w:rsidRPr="00781608" w:rsidTr="00B8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974B7" w:rsidRPr="00781608" w:rsidRDefault="00E974B7" w:rsidP="00E974B7">
            <w:pPr>
              <w:jc w:val="both"/>
              <w:rPr>
                <w:b w:val="0"/>
                <w:bCs w:val="0"/>
                <w:color w:val="auto"/>
                <w:sz w:val="20"/>
                <w:szCs w:val="20"/>
              </w:rPr>
            </w:pPr>
          </w:p>
        </w:tc>
        <w:tc>
          <w:tcPr>
            <w:tcW w:w="708" w:type="dxa"/>
          </w:tcPr>
          <w:p w:rsidR="00E974B7" w:rsidRPr="00781608" w:rsidRDefault="00E974B7" w:rsidP="00E974B7">
            <w:pPr>
              <w:jc w:val="both"/>
              <w:cnfStyle w:val="000000100000" w:firstRow="0" w:lastRow="0" w:firstColumn="0" w:lastColumn="0" w:oddVBand="0" w:evenVBand="0" w:oddHBand="1" w:evenHBand="0" w:firstRowFirstColumn="0" w:firstRowLastColumn="0" w:lastRowFirstColumn="0" w:lastRowLastColumn="0"/>
              <w:rPr>
                <w:bCs/>
                <w:color w:val="auto"/>
                <w:sz w:val="20"/>
                <w:szCs w:val="20"/>
              </w:rPr>
            </w:pPr>
            <w:r w:rsidRPr="00781608">
              <w:rPr>
                <w:bCs/>
                <w:color w:val="auto"/>
                <w:sz w:val="20"/>
                <w:szCs w:val="20"/>
              </w:rPr>
              <w:t>All</w:t>
            </w:r>
          </w:p>
        </w:tc>
        <w:tc>
          <w:tcPr>
            <w:tcW w:w="1985"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1.104***</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(3.614)</w:t>
            </w:r>
          </w:p>
        </w:tc>
        <w:tc>
          <w:tcPr>
            <w:tcW w:w="1984"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0.387</w:t>
            </w:r>
          </w:p>
          <w:p w:rsidR="00C030CE" w:rsidRPr="00781608" w:rsidRDefault="00C030CE"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bCs/>
                <w:color w:val="auto"/>
                <w:sz w:val="18"/>
                <w:szCs w:val="18"/>
              </w:rPr>
              <w:t>(0.562)</w:t>
            </w:r>
          </w:p>
        </w:tc>
        <w:tc>
          <w:tcPr>
            <w:tcW w:w="2127" w:type="dxa"/>
          </w:tcPr>
          <w:p w:rsidR="00E974B7" w:rsidRPr="00781608" w:rsidRDefault="00E974B7" w:rsidP="00E974B7">
            <w:pPr>
              <w:jc w:val="center"/>
              <w:cnfStyle w:val="000000100000" w:firstRow="0" w:lastRow="0" w:firstColumn="0" w:lastColumn="0" w:oddVBand="0" w:evenVBand="0" w:oddHBand="1" w:evenHBand="0" w:firstRowFirstColumn="0" w:firstRowLastColumn="0" w:lastRowFirstColumn="0" w:lastRowLastColumn="0"/>
              <w:rPr>
                <w:color w:val="auto"/>
                <w:sz w:val="18"/>
                <w:szCs w:val="18"/>
              </w:rPr>
            </w:pPr>
            <w:r w:rsidRPr="00781608">
              <w:rPr>
                <w:color w:val="auto"/>
                <w:sz w:val="18"/>
                <w:szCs w:val="18"/>
              </w:rPr>
              <w:t>0.049</w:t>
            </w:r>
          </w:p>
          <w:p w:rsidR="00576F2A" w:rsidRPr="00781608" w:rsidRDefault="00576F2A" w:rsidP="00E974B7">
            <w:pPr>
              <w:jc w:val="center"/>
              <w:cnfStyle w:val="000000100000" w:firstRow="0" w:lastRow="0" w:firstColumn="0" w:lastColumn="0" w:oddVBand="0" w:evenVBand="0" w:oddHBand="1" w:evenHBand="0" w:firstRowFirstColumn="0" w:firstRowLastColumn="0" w:lastRowFirstColumn="0" w:lastRowLastColumn="0"/>
              <w:rPr>
                <w:bCs/>
                <w:color w:val="auto"/>
                <w:sz w:val="18"/>
                <w:szCs w:val="18"/>
              </w:rPr>
            </w:pPr>
            <w:r w:rsidRPr="00781608">
              <w:rPr>
                <w:color w:val="auto"/>
                <w:sz w:val="18"/>
                <w:szCs w:val="18"/>
              </w:rPr>
              <w:t>(0.074)</w:t>
            </w:r>
          </w:p>
        </w:tc>
      </w:tr>
    </w:tbl>
    <w:p w:rsidR="004C007D" w:rsidRPr="00781608" w:rsidRDefault="004C007D" w:rsidP="004C007D">
      <w:pPr>
        <w:jc w:val="both"/>
        <w:rPr>
          <w:sz w:val="16"/>
          <w:szCs w:val="16"/>
          <w:lang w:val="en-US"/>
        </w:rPr>
      </w:pPr>
      <w:r w:rsidRPr="00781608">
        <w:rPr>
          <w:sz w:val="16"/>
          <w:szCs w:val="16"/>
          <w:lang w:val="en-US"/>
        </w:rPr>
        <w:t xml:space="preserve">Note: For sovereign 10-year </w:t>
      </w:r>
      <w:r w:rsidR="00A16CD4">
        <w:rPr>
          <w:sz w:val="16"/>
          <w:szCs w:val="16"/>
          <w:lang w:val="en-US"/>
        </w:rPr>
        <w:t>sprea</w:t>
      </w:r>
      <w:r w:rsidRPr="00781608">
        <w:rPr>
          <w:sz w:val="16"/>
          <w:szCs w:val="16"/>
          <w:lang w:val="en-US"/>
        </w:rPr>
        <w:t xml:space="preserve">ds. ***,**,* means significance at </w:t>
      </w:r>
      <w:r w:rsidRPr="00781608">
        <w:rPr>
          <w:sz w:val="16"/>
          <w:szCs w:val="16"/>
        </w:rPr>
        <w:sym w:font="Symbol" w:char="F061"/>
      </w:r>
      <w:r w:rsidRPr="00781608">
        <w:rPr>
          <w:sz w:val="16"/>
          <w:szCs w:val="16"/>
          <w:lang w:val="en-US"/>
        </w:rPr>
        <w:t xml:space="preserve"> = 1%, 5%, 10% respectively.</w:t>
      </w:r>
    </w:p>
    <w:p w:rsidR="00D16FD2" w:rsidRPr="00781608" w:rsidRDefault="00076BDD" w:rsidP="00764641">
      <w:pPr>
        <w:pStyle w:val="Kop1"/>
        <w:spacing w:before="0" w:line="360" w:lineRule="auto"/>
        <w:rPr>
          <w:rFonts w:asciiTheme="minorHAnsi" w:hAnsiTheme="minorHAnsi" w:cs="Times New Roman"/>
          <w:color w:val="auto"/>
          <w:sz w:val="24"/>
          <w:szCs w:val="24"/>
          <w:lang w:val="en-US"/>
        </w:rPr>
      </w:pPr>
      <w:r w:rsidRPr="00781608">
        <w:rPr>
          <w:rFonts w:asciiTheme="minorHAnsi" w:hAnsiTheme="minorHAnsi" w:cs="Times New Roman"/>
          <w:b w:val="0"/>
          <w:color w:val="auto"/>
          <w:sz w:val="24"/>
          <w:szCs w:val="24"/>
          <w:lang w:val="en-US"/>
        </w:rPr>
        <w:br w:type="column"/>
      </w:r>
      <w:bookmarkStart w:id="23" w:name="_Toc359926564"/>
      <w:r w:rsidR="00D16FD2" w:rsidRPr="00781608">
        <w:rPr>
          <w:rFonts w:asciiTheme="minorHAnsi" w:hAnsiTheme="minorHAnsi" w:cs="Times New Roman"/>
          <w:color w:val="auto"/>
          <w:sz w:val="24"/>
          <w:szCs w:val="24"/>
          <w:lang w:val="en-US"/>
        </w:rPr>
        <w:lastRenderedPageBreak/>
        <w:t>References</w:t>
      </w:r>
      <w:bookmarkEnd w:id="23"/>
    </w:p>
    <w:p w:rsidR="001E111E" w:rsidRPr="00781608" w:rsidRDefault="001E111E" w:rsidP="001E111E">
      <w:pPr>
        <w:spacing w:before="240"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Afonso, A., Furceri, D., Gomes, P. (2012) “Sovereign credit ratings and financial market linkages: application to European data” </w:t>
      </w:r>
      <w:r w:rsidRPr="00781608">
        <w:rPr>
          <w:rFonts w:eastAsia="MS Mincho" w:cs="Times New Roman"/>
          <w:i/>
          <w:sz w:val="24"/>
          <w:szCs w:val="24"/>
          <w:lang w:val="en-GB"/>
        </w:rPr>
        <w:t>Journal of International Money and Finance</w:t>
      </w:r>
      <w:r w:rsidRPr="00781608">
        <w:rPr>
          <w:rFonts w:eastAsia="MS Mincho" w:cs="Times New Roman"/>
          <w:sz w:val="24"/>
          <w:szCs w:val="24"/>
          <w:lang w:val="en-GB"/>
        </w:rPr>
        <w:t>, 31 (3), 606-638.</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Altman, E. I., Rijken, H.A. (2004) “How rating agencies achieve rating stability”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28, 2679-2714</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Amato, J.D., Furfine, C.H. (2003) “Are credit ratings procyclical?” BIS Working Papers, No. 129</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Bhatia, A.V. (2002) “Sovereign credit rating methodology: An evaluation” IMF Working Paper, Treasurer’s Department, WP/02/170</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Bissoondoyal-Bheenick, E. (2004) “Rating timing differences between the two leading agencies: Standard and Poor’s and Moody’s” </w:t>
      </w:r>
      <w:r w:rsidRPr="00781608">
        <w:rPr>
          <w:rFonts w:eastAsia="MS Mincho" w:cs="Times New Roman"/>
          <w:i/>
          <w:sz w:val="24"/>
          <w:szCs w:val="24"/>
          <w:lang w:val="en-GB"/>
        </w:rPr>
        <w:t>Emerging Markets Review</w:t>
      </w:r>
      <w:r w:rsidRPr="00781608">
        <w:rPr>
          <w:rFonts w:eastAsia="MS Mincho" w:cs="Times New Roman"/>
          <w:sz w:val="24"/>
          <w:szCs w:val="24"/>
          <w:lang w:val="en-GB"/>
        </w:rPr>
        <w:t>, 5, 361-378</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Cantor, R., Packer, F. (1996) “Determinants and impact of sovereign credit ratings” </w:t>
      </w:r>
      <w:r w:rsidRPr="00781608">
        <w:rPr>
          <w:rFonts w:eastAsia="MS Mincho" w:cs="Times New Roman"/>
          <w:i/>
          <w:sz w:val="24"/>
          <w:szCs w:val="24"/>
          <w:lang w:val="en-GB"/>
        </w:rPr>
        <w:t>Economic Policy Review</w:t>
      </w:r>
      <w:r w:rsidRPr="00781608">
        <w:rPr>
          <w:rFonts w:eastAsia="MS Mincho" w:cs="Times New Roman"/>
          <w:sz w:val="24"/>
          <w:szCs w:val="24"/>
          <w:lang w:val="en-GB"/>
        </w:rPr>
        <w:t>, 2 (2, October) 37-53</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Deutsche Bank (2004) “Credit derivatives: Effects on the stability of financial markets” Deutsche Bank Research, June 2004</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Dichev, I.D., Piotroski, J.D. (2001) “The long-run stock returns following bond rating changes” </w:t>
      </w:r>
      <w:r w:rsidRPr="00781608">
        <w:rPr>
          <w:rFonts w:eastAsia="MS Mincho" w:cs="Times New Roman"/>
          <w:i/>
          <w:sz w:val="24"/>
          <w:szCs w:val="24"/>
          <w:lang w:val="en-GB"/>
        </w:rPr>
        <w:t>Journal of Finance</w:t>
      </w:r>
      <w:r w:rsidRPr="00781608">
        <w:rPr>
          <w:rFonts w:eastAsia="MS Mincho" w:cs="Times New Roman"/>
          <w:sz w:val="24"/>
          <w:szCs w:val="24"/>
          <w:lang w:val="en-GB"/>
        </w:rPr>
        <w:t>, 56 (1), 173-203</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Drabek, Z., Payne, W. (2001) “The impact of transparency of foreign direct investment” WTO, Economic Research and Analysis Division, Staff Working Paper ERAD 99-02</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Fama, E.F., Fisher, L., Jensen, M.C., Roll, R. (1969) “The adjustment of stockprices to new information” </w:t>
      </w:r>
      <w:r w:rsidRPr="00781608">
        <w:rPr>
          <w:rFonts w:eastAsia="MS Mincho" w:cs="Times New Roman"/>
          <w:i/>
          <w:sz w:val="24"/>
          <w:szCs w:val="24"/>
          <w:lang w:val="en-GB"/>
        </w:rPr>
        <w:t>International Economic Review</w:t>
      </w:r>
      <w:r w:rsidRPr="00781608">
        <w:rPr>
          <w:rFonts w:eastAsia="MS Mincho" w:cs="Times New Roman"/>
          <w:sz w:val="24"/>
          <w:szCs w:val="24"/>
          <w:lang w:val="en-GB"/>
        </w:rPr>
        <w:t>, 10 (1), 1-21</w:t>
      </w:r>
    </w:p>
    <w:p w:rsidR="000B1193" w:rsidRPr="00781608" w:rsidRDefault="000B1193"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Fama, E.F. (1991) “Efficient capital markets: II” </w:t>
      </w:r>
      <w:r w:rsidRPr="00781608">
        <w:rPr>
          <w:rFonts w:eastAsia="MS Mincho" w:cs="Times New Roman"/>
          <w:i/>
          <w:sz w:val="24"/>
          <w:szCs w:val="24"/>
          <w:lang w:val="en-GB"/>
        </w:rPr>
        <w:t xml:space="preserve">Journal of Finance, </w:t>
      </w:r>
      <w:r w:rsidRPr="00781608">
        <w:rPr>
          <w:rFonts w:eastAsia="MS Mincho" w:cs="Times New Roman"/>
          <w:sz w:val="24"/>
          <w:szCs w:val="24"/>
          <w:lang w:val="en-GB"/>
        </w:rPr>
        <w:t>46 (5), 1575-1617</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Fama, E.F. (1998) “Market efficiency, long-term returns, and behavioural finance” </w:t>
      </w:r>
      <w:r w:rsidRPr="00781608">
        <w:rPr>
          <w:rFonts w:eastAsia="MS Mincho" w:cs="Times New Roman"/>
          <w:i/>
          <w:sz w:val="24"/>
          <w:szCs w:val="24"/>
          <w:lang w:val="en-GB"/>
        </w:rPr>
        <w:t>Journal of Financial Economics</w:t>
      </w:r>
      <w:r w:rsidRPr="00781608">
        <w:rPr>
          <w:rFonts w:eastAsia="MS Mincho" w:cs="Times New Roman"/>
          <w:sz w:val="24"/>
          <w:szCs w:val="24"/>
          <w:lang w:val="en-GB"/>
        </w:rPr>
        <w:t>, 49, 283-306</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Ferreira, M.A., Gama, P.M. (2007) “Does sovereign debt ratings news spill over to international stock markets?”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31, 3162-3182</w:t>
      </w:r>
    </w:p>
    <w:p w:rsidR="00D50233" w:rsidRPr="00781608" w:rsidRDefault="00D50233"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Fitch Ratings: </w:t>
      </w:r>
      <w:hyperlink r:id="rId10" w:history="1">
        <w:r w:rsidRPr="00781608">
          <w:rPr>
            <w:rStyle w:val="Hyperlink"/>
            <w:rFonts w:eastAsia="MS Mincho" w:cs="Times New Roman"/>
            <w:color w:val="auto"/>
            <w:sz w:val="24"/>
            <w:szCs w:val="24"/>
            <w:lang w:val="en-GB"/>
          </w:rPr>
          <w:t>www.fitchratings.com</w:t>
        </w:r>
      </w:hyperlink>
      <w:r w:rsidRPr="00781608">
        <w:rPr>
          <w:rFonts w:eastAsia="MS Mincho" w:cs="Times New Roman"/>
          <w:sz w:val="24"/>
          <w:szCs w:val="24"/>
          <w:lang w:val="en-GB"/>
        </w:rPr>
        <w:t xml:space="preserve"> </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Gande, A., Parsley, D.C. (2005) “News spillovers in the sovereign debt market” </w:t>
      </w:r>
      <w:r w:rsidRPr="00781608">
        <w:rPr>
          <w:rFonts w:eastAsia="MS Mincho" w:cs="Times New Roman"/>
          <w:i/>
          <w:sz w:val="24"/>
          <w:szCs w:val="24"/>
          <w:lang w:val="en-GB"/>
        </w:rPr>
        <w:t>Journal of Financial Economics</w:t>
      </w:r>
      <w:r w:rsidRPr="00781608">
        <w:rPr>
          <w:rFonts w:eastAsia="MS Mincho" w:cs="Times New Roman"/>
          <w:sz w:val="24"/>
          <w:szCs w:val="24"/>
          <w:lang w:val="en-GB"/>
        </w:rPr>
        <w:t>, 75, 691-734</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lastRenderedPageBreak/>
        <w:t>Gande, A., Parsley, D.C. (2010) “Sovereign credit ratings, transparency and international portfolio flows” MPRA Paper, University of Munich, Germany</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Goh, J.C., Ederington, L.H. (1993) “Is a bond rating downgrade bad news, good news, or no news for stockholders?” </w:t>
      </w:r>
      <w:r w:rsidRPr="00781608">
        <w:rPr>
          <w:rFonts w:eastAsia="MS Mincho" w:cs="Times New Roman"/>
          <w:i/>
          <w:sz w:val="24"/>
          <w:szCs w:val="24"/>
          <w:lang w:val="en-GB"/>
        </w:rPr>
        <w:t>Journal of Finance</w:t>
      </w:r>
      <w:r w:rsidRPr="00781608">
        <w:rPr>
          <w:rFonts w:eastAsia="MS Mincho" w:cs="Times New Roman"/>
          <w:sz w:val="24"/>
          <w:szCs w:val="24"/>
          <w:lang w:val="en-GB"/>
        </w:rPr>
        <w:t>, 48, 2001-2008</w:t>
      </w:r>
    </w:p>
    <w:p w:rsidR="000B1193" w:rsidRPr="00781608" w:rsidRDefault="000B1193"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Grossman, S.J., Stiglitz, J.E. (1980) “On the possibility of Informationally Efficient Markets” </w:t>
      </w:r>
      <w:r w:rsidRPr="00781608">
        <w:rPr>
          <w:rFonts w:eastAsia="MS Mincho" w:cs="Times New Roman"/>
          <w:i/>
          <w:sz w:val="24"/>
          <w:szCs w:val="24"/>
          <w:lang w:val="en-GB"/>
        </w:rPr>
        <w:t xml:space="preserve">The American Economic Review, </w:t>
      </w:r>
      <w:r w:rsidRPr="00781608">
        <w:rPr>
          <w:rFonts w:eastAsia="MS Mincho" w:cs="Times New Roman"/>
          <w:sz w:val="24"/>
          <w:szCs w:val="24"/>
          <w:lang w:val="en-GB"/>
        </w:rPr>
        <w:t>70 (3), 393-408</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Hand, J.R.M., Holthausen, R.W., Leftwich, R.W. (1992) “The effect of bond rating agency announcements on bond and stock prices” </w:t>
      </w:r>
      <w:r w:rsidRPr="00781608">
        <w:rPr>
          <w:rFonts w:eastAsia="MS Mincho" w:cs="Times New Roman"/>
          <w:i/>
          <w:sz w:val="24"/>
          <w:szCs w:val="24"/>
          <w:lang w:val="en-GB"/>
        </w:rPr>
        <w:t>Journal of Finance</w:t>
      </w:r>
      <w:r w:rsidRPr="00781608">
        <w:rPr>
          <w:rFonts w:eastAsia="MS Mincho" w:cs="Times New Roman"/>
          <w:sz w:val="24"/>
          <w:szCs w:val="24"/>
          <w:lang w:val="en-GB"/>
        </w:rPr>
        <w:t>, 47 (2), 733-752</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Hill, P., Brooks, R., Faff, R. (2010) “Variations in sovereign credit quality assessments across rating agencies”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34, 1327-1343</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Hill, P., Faff, R. (2010) “The market impact of relative agency activity in the sovereign ratings market” </w:t>
      </w:r>
      <w:r w:rsidRPr="00781608">
        <w:rPr>
          <w:rFonts w:eastAsia="MS Mincho" w:cs="Times New Roman"/>
          <w:i/>
          <w:sz w:val="24"/>
          <w:szCs w:val="24"/>
          <w:lang w:val="en-GB"/>
        </w:rPr>
        <w:t>Journal of Business Finance &amp; Accounting</w:t>
      </w:r>
      <w:r w:rsidRPr="00781608">
        <w:rPr>
          <w:rFonts w:eastAsia="MS Mincho" w:cs="Times New Roman"/>
          <w:sz w:val="24"/>
          <w:szCs w:val="24"/>
          <w:lang w:val="en-GB"/>
        </w:rPr>
        <w:t>, 37 (9) &amp; (10), 1309-1347</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Hull, J., Predescu, M., White, A. (2004) “The relationship between credit default swap spreads, bond yields, and credit rating announcements”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28, 2789-2811</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Ismailescu, I., Kazemi, H. (2010) “The reaction of emerging market credit default swap spreads to sovereign credit rating changes”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34 (12), 2861-2873.</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Kaminsky, G., Schmukler, S.L. (2002) “Emerging markets instability: Do sovereign rating agencies affect country risk and stock returns?” </w:t>
      </w:r>
      <w:r w:rsidRPr="00781608">
        <w:rPr>
          <w:rFonts w:eastAsia="MS Mincho" w:cs="Times New Roman"/>
          <w:i/>
          <w:sz w:val="24"/>
          <w:szCs w:val="24"/>
          <w:lang w:val="en-GB"/>
        </w:rPr>
        <w:t>World Bank Economic Review</w:t>
      </w:r>
      <w:r w:rsidRPr="00781608">
        <w:rPr>
          <w:rFonts w:eastAsia="MS Mincho" w:cs="Times New Roman"/>
          <w:sz w:val="24"/>
          <w:szCs w:val="24"/>
          <w:lang w:val="en-GB"/>
        </w:rPr>
        <w:t>, 16 (2), 171-195</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Kaplan, R.S., Urwitz, G. (1979) “Statistical models of bond ratings: A methodological inquiry” </w:t>
      </w:r>
      <w:r w:rsidRPr="00781608">
        <w:rPr>
          <w:rFonts w:eastAsia="MS Mincho" w:cs="Times New Roman"/>
          <w:i/>
          <w:sz w:val="24"/>
          <w:szCs w:val="24"/>
          <w:lang w:val="en-GB"/>
        </w:rPr>
        <w:t>Journal of Business</w:t>
      </w:r>
      <w:r w:rsidRPr="00781608">
        <w:rPr>
          <w:rFonts w:eastAsia="MS Mincho" w:cs="Times New Roman"/>
          <w:sz w:val="24"/>
          <w:szCs w:val="24"/>
          <w:lang w:val="en-GB"/>
        </w:rPr>
        <w:t>, 52 (2), 231-261</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Katz, S. (1974) “The price adjustment process of bonds to rating reclassifications: A test of bond market efficiency” </w:t>
      </w:r>
      <w:r w:rsidRPr="00781608">
        <w:rPr>
          <w:rFonts w:eastAsia="MS Mincho" w:cs="Times New Roman"/>
          <w:i/>
          <w:sz w:val="24"/>
          <w:szCs w:val="24"/>
          <w:lang w:val="en-GB"/>
        </w:rPr>
        <w:t>Journal of Finance</w:t>
      </w:r>
      <w:r w:rsidRPr="00781608">
        <w:rPr>
          <w:rFonts w:eastAsia="MS Mincho" w:cs="Times New Roman"/>
          <w:sz w:val="24"/>
          <w:szCs w:val="24"/>
          <w:lang w:val="en-GB"/>
        </w:rPr>
        <w:t>, 29 (2), 551-559</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Larrain, G., Reisen, H., von Maltzan, J. (1997) “Emerging market risk and sovereign credit ratings” OECD Development Centre, Working Paper No. 124</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Micu, M., Remolona, E., Woolridge, P. (2006) “The impact of rating announcements: which announcements matter?” BIS Working Papers, No. 207</w:t>
      </w:r>
    </w:p>
    <w:p w:rsidR="00D50233" w:rsidRPr="00781608" w:rsidRDefault="00D50233"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Moody’s ratings: </w:t>
      </w:r>
      <w:hyperlink r:id="rId11" w:history="1">
        <w:r w:rsidRPr="00781608">
          <w:rPr>
            <w:rStyle w:val="Hyperlink"/>
            <w:rFonts w:eastAsia="MS Mincho" w:cs="Times New Roman"/>
            <w:color w:val="auto"/>
            <w:sz w:val="24"/>
            <w:szCs w:val="24"/>
            <w:lang w:val="en-GB"/>
          </w:rPr>
          <w:t>www.moodys.com</w:t>
        </w:r>
      </w:hyperlink>
      <w:r w:rsidRPr="00781608">
        <w:rPr>
          <w:rFonts w:eastAsia="MS Mincho" w:cs="Times New Roman"/>
          <w:sz w:val="24"/>
          <w:szCs w:val="24"/>
          <w:lang w:val="en-GB"/>
        </w:rPr>
        <w:t xml:space="preserve"> </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Moody’s (2011) “New methods for modelling sovereign risk in credit portfolios” Moody’s Analytics May 2011</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lastRenderedPageBreak/>
        <w:t>Norden, L. (2008) “Credit derivatives, corporate news, and credit ratings” Working paper, University of Mannheim, Germany</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Norden, L., Weber, M. (2004) “Informational efficiency of credit default swap and stock markets: the impact of credit rating announcements”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xml:space="preserve"> 28, 2813-2843.</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Partnoy, F. (1999) “The siskel and ebert of financial markets?: Two thumbs down for the credit rating agencies.” </w:t>
      </w:r>
      <w:r w:rsidRPr="00781608">
        <w:rPr>
          <w:rFonts w:eastAsia="MS Mincho" w:cs="Times New Roman"/>
          <w:i/>
          <w:sz w:val="24"/>
          <w:szCs w:val="24"/>
          <w:lang w:val="en-GB"/>
        </w:rPr>
        <w:t>Washington University Law Quarterly</w:t>
      </w:r>
      <w:r w:rsidRPr="00781608">
        <w:rPr>
          <w:rFonts w:eastAsia="MS Mincho" w:cs="Times New Roman"/>
          <w:sz w:val="24"/>
          <w:szCs w:val="24"/>
          <w:lang w:val="en-GB"/>
        </w:rPr>
        <w:t>, 77 (3), 619-712.</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Pennartz, J., Snoeij, J.P. (2012) “Sovereign credit ratings: An assessment of sovereign rating provided by Moody’s, S&amp;P and Fitch” Rabobank Working Paper Series No.12/2</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Purda, L.D. (2007) “Stock market reaction to anticipated versus surprise rating changes” </w:t>
      </w:r>
      <w:r w:rsidRPr="00781608">
        <w:rPr>
          <w:rFonts w:eastAsia="MS Mincho" w:cs="Times New Roman"/>
          <w:i/>
          <w:sz w:val="24"/>
          <w:szCs w:val="24"/>
          <w:lang w:val="en-GB"/>
        </w:rPr>
        <w:t>The Journal of Financial Research</w:t>
      </w:r>
      <w:r w:rsidRPr="00781608">
        <w:rPr>
          <w:rFonts w:eastAsia="MS Mincho" w:cs="Times New Roman"/>
          <w:sz w:val="24"/>
          <w:szCs w:val="24"/>
          <w:lang w:val="en-GB"/>
        </w:rPr>
        <w:t>, 30 (2), 301-320</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Radelet, S., Sachs, J., Cooper, R., Bosworth, B. (1998) “The East Asian financial crisis: diagnosis, remedies, prospects” </w:t>
      </w:r>
      <w:r w:rsidRPr="00781608">
        <w:rPr>
          <w:rFonts w:eastAsia="MS Mincho" w:cs="Times New Roman"/>
          <w:i/>
          <w:sz w:val="24"/>
          <w:szCs w:val="24"/>
          <w:lang w:val="en-GB"/>
        </w:rPr>
        <w:t>Brookings Papers on Economic Activity</w:t>
      </w:r>
      <w:r w:rsidRPr="00781608">
        <w:rPr>
          <w:rFonts w:eastAsia="MS Mincho" w:cs="Times New Roman"/>
          <w:sz w:val="24"/>
          <w:szCs w:val="24"/>
          <w:lang w:val="en-GB"/>
        </w:rPr>
        <w:t>, 28 (1), 1-90</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Reinhart, C.M. (2002) “Default, currency crises, and sovereign credit ratings” </w:t>
      </w:r>
      <w:r w:rsidRPr="00781608">
        <w:rPr>
          <w:rFonts w:eastAsia="MS Mincho" w:cs="Times New Roman"/>
          <w:i/>
          <w:sz w:val="24"/>
          <w:szCs w:val="24"/>
          <w:lang w:val="en-GB"/>
        </w:rPr>
        <w:t>World Bank Economic Review</w:t>
      </w:r>
      <w:r w:rsidRPr="00781608">
        <w:rPr>
          <w:rFonts w:eastAsia="MS Mincho" w:cs="Times New Roman"/>
          <w:sz w:val="24"/>
          <w:szCs w:val="24"/>
          <w:lang w:val="en-GB"/>
        </w:rPr>
        <w:t>, 16 (2), 151-170</w:t>
      </w:r>
    </w:p>
    <w:p w:rsidR="002C7277" w:rsidRPr="00781608" w:rsidRDefault="002C7277"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Reporters without Borders: </w:t>
      </w:r>
      <w:hyperlink r:id="rId12" w:history="1">
        <w:r w:rsidRPr="00781608">
          <w:rPr>
            <w:u w:val="single"/>
            <w:lang w:val="en-US"/>
          </w:rPr>
          <w:t>http://en.rsf.org/</w:t>
        </w:r>
      </w:hyperlink>
    </w:p>
    <w:p w:rsidR="00D50233" w:rsidRPr="00781608" w:rsidRDefault="00D50233"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Standard &amp; Poor’s ratings: Bloomberg market data</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Standard &amp; Poor’s, (2012) “Sovereign defaults and rating transition data, 2011 update” Global Credit Portal, RatingsDirect, March 2, 2012</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Standard &amp; Poor’s, (2012) “How we rate sovereigns” Global Credit Portal, RatingsDirect, March 13, 2012</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Sy, A.N.R. (2004) “Rating the rating agencies: Anticipating currency crises or debt crises?” </w:t>
      </w:r>
      <w:r w:rsidRPr="00781608">
        <w:rPr>
          <w:rFonts w:eastAsia="MS Mincho" w:cs="Times New Roman"/>
          <w:i/>
          <w:sz w:val="24"/>
          <w:szCs w:val="24"/>
          <w:lang w:val="en-GB"/>
        </w:rPr>
        <w:t>Journal of Banking &amp; Finance</w:t>
      </w:r>
      <w:r w:rsidRPr="00781608">
        <w:rPr>
          <w:rFonts w:eastAsia="MS Mincho" w:cs="Times New Roman"/>
          <w:sz w:val="24"/>
          <w:szCs w:val="24"/>
          <w:lang w:val="en-GB"/>
        </w:rPr>
        <w:t>, 28, 2845-2867</w:t>
      </w:r>
    </w:p>
    <w:p w:rsidR="002C7277" w:rsidRPr="00781608" w:rsidRDefault="002C7277"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Transparency Organization: </w:t>
      </w:r>
      <w:hyperlink r:id="rId13" w:history="1">
        <w:r w:rsidRPr="00781608">
          <w:rPr>
            <w:u w:val="single"/>
            <w:lang w:val="en-US"/>
          </w:rPr>
          <w:t>http://www.transparency.org/</w:t>
        </w:r>
      </w:hyperlink>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UNDTAD (2008), Elkhoury, M. “Credit rating agencies and their potential impact on developing countries” UNCTAD Discussion Paper, No. 186</w:t>
      </w:r>
    </w:p>
    <w:p w:rsidR="001E111E" w:rsidRPr="00781608" w:rsidRDefault="001E111E" w:rsidP="001E111E">
      <w:pPr>
        <w:spacing w:after="0" w:line="360" w:lineRule="auto"/>
        <w:ind w:left="720" w:hanging="720"/>
        <w:jc w:val="both"/>
        <w:rPr>
          <w:rFonts w:eastAsia="MS Mincho" w:cs="Times New Roman"/>
          <w:sz w:val="24"/>
          <w:szCs w:val="24"/>
          <w:lang w:val="en-GB"/>
        </w:rPr>
      </w:pPr>
      <w:r w:rsidRPr="00781608">
        <w:rPr>
          <w:rFonts w:eastAsia="MS Mincho" w:cs="Times New Roman"/>
          <w:sz w:val="24"/>
          <w:szCs w:val="24"/>
          <w:lang w:val="en-GB"/>
        </w:rPr>
        <w:t xml:space="preserve">Weinstein, M.I. (1978) “The effect of a rating change announcement on bond price” </w:t>
      </w:r>
      <w:r w:rsidRPr="00781608">
        <w:rPr>
          <w:rFonts w:eastAsia="MS Mincho" w:cs="Times New Roman"/>
          <w:i/>
          <w:sz w:val="24"/>
          <w:szCs w:val="24"/>
          <w:lang w:val="en-GB"/>
        </w:rPr>
        <w:t>Journal of Financial Economics</w:t>
      </w:r>
      <w:r w:rsidRPr="00781608">
        <w:rPr>
          <w:rFonts w:eastAsia="MS Mincho" w:cs="Times New Roman"/>
          <w:sz w:val="24"/>
          <w:szCs w:val="24"/>
          <w:lang w:val="en-GB"/>
        </w:rPr>
        <w:t>, 5, 329-350</w:t>
      </w:r>
    </w:p>
    <w:p w:rsidR="00D16FD2" w:rsidRPr="00781608" w:rsidRDefault="00D16FD2" w:rsidP="003C14D7">
      <w:pPr>
        <w:rPr>
          <w:rFonts w:cs="Times New Roman"/>
          <w:sz w:val="24"/>
          <w:szCs w:val="24"/>
          <w:lang w:val="en-US"/>
        </w:rPr>
      </w:pPr>
    </w:p>
    <w:p w:rsidR="00D16FD2" w:rsidRPr="00781608" w:rsidRDefault="00D16FD2">
      <w:pPr>
        <w:rPr>
          <w:rFonts w:cs="Times New Roman"/>
          <w:sz w:val="24"/>
          <w:szCs w:val="24"/>
          <w:lang w:val="en-US"/>
        </w:rPr>
      </w:pPr>
    </w:p>
    <w:sectPr w:rsidR="00D16FD2" w:rsidRPr="00781608" w:rsidSect="007241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AF" w:rsidRDefault="006A25AF" w:rsidP="00032FCE">
      <w:pPr>
        <w:spacing w:after="0" w:line="240" w:lineRule="auto"/>
      </w:pPr>
      <w:r>
        <w:separator/>
      </w:r>
    </w:p>
  </w:endnote>
  <w:endnote w:type="continuationSeparator" w:id="0">
    <w:p w:rsidR="006A25AF" w:rsidRDefault="006A25AF" w:rsidP="0003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084856"/>
      <w:docPartObj>
        <w:docPartGallery w:val="Page Numbers (Bottom of Page)"/>
        <w:docPartUnique/>
      </w:docPartObj>
    </w:sdtPr>
    <w:sdtEndPr/>
    <w:sdtContent>
      <w:p w:rsidR="00C44AC0" w:rsidRDefault="00C44AC0">
        <w:pPr>
          <w:pStyle w:val="Voettekst"/>
          <w:jc w:val="center"/>
        </w:pPr>
        <w:r>
          <w:fldChar w:fldCharType="begin"/>
        </w:r>
        <w:r>
          <w:instrText>PAGE   \* MERGEFORMAT</w:instrText>
        </w:r>
        <w:r>
          <w:fldChar w:fldCharType="separate"/>
        </w:r>
        <w:r w:rsidR="00E043A7">
          <w:rPr>
            <w:noProof/>
          </w:rPr>
          <w:t>40</w:t>
        </w:r>
        <w:r>
          <w:fldChar w:fldCharType="end"/>
        </w:r>
      </w:p>
    </w:sdtContent>
  </w:sdt>
  <w:p w:rsidR="00C44AC0" w:rsidRDefault="00C44AC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AF" w:rsidRDefault="006A25AF" w:rsidP="00032FCE">
      <w:pPr>
        <w:spacing w:after="0" w:line="240" w:lineRule="auto"/>
      </w:pPr>
      <w:r>
        <w:separator/>
      </w:r>
    </w:p>
  </w:footnote>
  <w:footnote w:type="continuationSeparator" w:id="0">
    <w:p w:rsidR="006A25AF" w:rsidRDefault="006A25AF" w:rsidP="00032FCE">
      <w:pPr>
        <w:spacing w:after="0" w:line="240" w:lineRule="auto"/>
      </w:pPr>
      <w:r>
        <w:continuationSeparator/>
      </w:r>
    </w:p>
  </w:footnote>
  <w:footnote w:id="1">
    <w:p w:rsidR="00676985" w:rsidRPr="00AE578B" w:rsidRDefault="00676985" w:rsidP="00AE578B">
      <w:pPr>
        <w:pStyle w:val="Voetnoottekst"/>
        <w:rPr>
          <w:lang w:val="en-GB"/>
        </w:rPr>
      </w:pPr>
      <w:r>
        <w:rPr>
          <w:rStyle w:val="Voetnootmarkering"/>
        </w:rPr>
        <w:footnoteRef/>
      </w:r>
      <w:r w:rsidRPr="0027238A">
        <w:rPr>
          <w:lang w:val="en-US"/>
        </w:rPr>
        <w:t xml:space="preserve"> </w:t>
      </w:r>
      <w:r>
        <w:rPr>
          <w:lang w:val="en-US"/>
        </w:rPr>
        <w:t xml:space="preserve">See the literature review in the next section: it is very well possible to predict rating events based on publicly available information. Also see: </w:t>
      </w:r>
      <w:r w:rsidRPr="00751F7D">
        <w:rPr>
          <w:lang w:val="en-US"/>
        </w:rPr>
        <w:t>Standard &amp; Poor’s “How we rate sovereigns”, 2012</w:t>
      </w:r>
      <w:r>
        <w:rPr>
          <w:lang w:val="en-US"/>
        </w:rPr>
        <w:t>. They acknowledge that their ratings are constructed based on publicly available data.</w:t>
      </w:r>
    </w:p>
  </w:footnote>
  <w:footnote w:id="2">
    <w:p w:rsidR="00676985" w:rsidRPr="00751F7D" w:rsidRDefault="00676985" w:rsidP="00EC5AEA">
      <w:pPr>
        <w:pStyle w:val="Voetnoottekst"/>
        <w:rPr>
          <w:lang w:val="en-US"/>
        </w:rPr>
      </w:pPr>
      <w:r>
        <w:rPr>
          <w:rStyle w:val="Voetnootmarkering"/>
        </w:rPr>
        <w:footnoteRef/>
      </w:r>
      <w:r w:rsidRPr="00751F7D">
        <w:rPr>
          <w:lang w:val="en-US"/>
        </w:rPr>
        <w:t xml:space="preserve"> Bhatia (2002), p.47: A rating given by one of the three major CRAs means credibility with a broad range of market participants. It serves as a benchmark for domestic firms, widens the pool of investors and if not rated with speculative grade, it drives down the cost of borrowing.</w:t>
      </w:r>
    </w:p>
  </w:footnote>
  <w:footnote w:id="3">
    <w:p w:rsidR="00676985" w:rsidRPr="00655136" w:rsidRDefault="00676985" w:rsidP="00EC5AEA">
      <w:pPr>
        <w:pStyle w:val="Voetnoottekst"/>
        <w:rPr>
          <w:lang w:val="en-US"/>
        </w:rPr>
      </w:pPr>
      <w:r>
        <w:rPr>
          <w:rStyle w:val="Voetnootmarkering"/>
        </w:rPr>
        <w:footnoteRef/>
      </w:r>
      <w:r w:rsidRPr="00655136">
        <w:rPr>
          <w:lang w:val="en-US"/>
        </w:rPr>
        <w:t xml:space="preserve"> </w:t>
      </w:r>
      <w:r w:rsidRPr="00751F7D">
        <w:rPr>
          <w:lang w:val="en-US"/>
        </w:rPr>
        <w:t>Standard &amp; Poor’s “How we rate sovereigns”, 2012</w:t>
      </w:r>
    </w:p>
  </w:footnote>
  <w:footnote w:id="4">
    <w:p w:rsidR="00676985" w:rsidRPr="00751F7D" w:rsidRDefault="00676985" w:rsidP="00B45539">
      <w:pPr>
        <w:pStyle w:val="Voetnoottekst"/>
        <w:rPr>
          <w:lang w:val="en-US"/>
        </w:rPr>
      </w:pPr>
      <w:r>
        <w:rPr>
          <w:rStyle w:val="Voetnootmarkering"/>
        </w:rPr>
        <w:footnoteRef/>
      </w:r>
      <w:r w:rsidRPr="00751F7D">
        <w:rPr>
          <w:lang w:val="en-US"/>
        </w:rPr>
        <w:t xml:space="preserve"> Per capita income, inflation, external debt, economic development and default history are significant at a 1% level, GDP growth at a 10 % level and fiscal balance and external balance probe </w:t>
      </w:r>
      <w:r w:rsidRPr="002950BC">
        <w:rPr>
          <w:lang w:val="en-US"/>
        </w:rPr>
        <w:t>insignificant</w:t>
      </w:r>
      <w:r w:rsidRPr="00751F7D">
        <w:rPr>
          <w:lang w:val="en-US"/>
        </w:rPr>
        <w:t>. But all-in-all, this model has an adjusted R-squared of 0.924.</w:t>
      </w:r>
    </w:p>
  </w:footnote>
  <w:footnote w:id="5">
    <w:p w:rsidR="00676985" w:rsidRPr="00751F7D" w:rsidRDefault="00676985" w:rsidP="00B45539">
      <w:pPr>
        <w:pStyle w:val="Voetnoottekst"/>
        <w:rPr>
          <w:lang w:val="en-US"/>
        </w:rPr>
      </w:pPr>
      <w:r>
        <w:rPr>
          <w:rStyle w:val="Voetnootmarkering"/>
        </w:rPr>
        <w:footnoteRef/>
      </w:r>
      <w:r w:rsidRPr="00751F7D">
        <w:rPr>
          <w:lang w:val="en-US"/>
        </w:rPr>
        <w:t xml:space="preserve"> The UNCTAD (2008) research was done after the downfall of Enron, Parmalat and WorldCom and the untimely late reaction</w:t>
      </w:r>
      <w:r>
        <w:rPr>
          <w:lang w:val="en-US"/>
        </w:rPr>
        <w:t>s</w:t>
      </w:r>
      <w:r w:rsidRPr="00751F7D">
        <w:rPr>
          <w:lang w:val="en-US"/>
        </w:rPr>
        <w:t xml:space="preserve"> by the CRAs are seen as one of the most likely reasons for markets not to have anticipated it.</w:t>
      </w:r>
    </w:p>
  </w:footnote>
  <w:footnote w:id="6">
    <w:p w:rsidR="00676985" w:rsidRPr="00CA39F4" w:rsidRDefault="00676985">
      <w:pPr>
        <w:pStyle w:val="Voetnoottekst"/>
        <w:rPr>
          <w:lang w:val="en-US"/>
        </w:rPr>
      </w:pPr>
      <w:r>
        <w:rPr>
          <w:rStyle w:val="Voetnootmarkering"/>
        </w:rPr>
        <w:footnoteRef/>
      </w:r>
      <w:r w:rsidRPr="00CA39F4">
        <w:rPr>
          <w:lang w:val="en-US"/>
        </w:rPr>
        <w:t xml:space="preserve"> </w:t>
      </w:r>
      <w:r>
        <w:rPr>
          <w:lang w:val="en-US"/>
        </w:rPr>
        <w:t>New shares are issued causing the number of shares of a public company to increase. Following that, prices have to adjust to find a new equilibrium</w:t>
      </w:r>
    </w:p>
  </w:footnote>
  <w:footnote w:id="7">
    <w:p w:rsidR="00676985" w:rsidRPr="00751F7D" w:rsidRDefault="00676985">
      <w:pPr>
        <w:pStyle w:val="Voetnoottekst"/>
        <w:rPr>
          <w:lang w:val="en-US"/>
        </w:rPr>
      </w:pPr>
      <w:r>
        <w:rPr>
          <w:rStyle w:val="Voetnootmarkering"/>
        </w:rPr>
        <w:footnoteRef/>
      </w:r>
      <w:r w:rsidRPr="00751F7D">
        <w:rPr>
          <w:lang w:val="en-US"/>
        </w:rPr>
        <w:t xml:space="preserve"> The Indonesian government announced a 32% budget increase for the next fiscal year, leading US Treasury and IMF to believe that agreements were not being met. Later it became clear that this increased budget was due to the implementation of those agreements.</w:t>
      </w:r>
    </w:p>
  </w:footnote>
  <w:footnote w:id="8">
    <w:p w:rsidR="00676985" w:rsidRPr="00751F7D" w:rsidRDefault="00676985">
      <w:pPr>
        <w:pStyle w:val="Voetnoottekst"/>
        <w:rPr>
          <w:lang w:val="en-US"/>
        </w:rPr>
      </w:pPr>
      <w:r>
        <w:rPr>
          <w:rStyle w:val="Voetnootmarkering"/>
        </w:rPr>
        <w:footnoteRef/>
      </w:r>
      <w:r w:rsidRPr="00751F7D">
        <w:rPr>
          <w:lang w:val="en-US"/>
        </w:rPr>
        <w:t xml:space="preserve"> A one-point increase in the transparency index would lead up to 40% of increase in FDI inflows. Rankings are taken from the International Country Risk Guide by Political Risk Services, (PRS). The higher the rank, the more transparent that country is.</w:t>
      </w:r>
    </w:p>
  </w:footnote>
  <w:footnote w:id="9">
    <w:p w:rsidR="00676985" w:rsidRPr="00751F7D" w:rsidRDefault="00676985">
      <w:pPr>
        <w:pStyle w:val="Voetnoottekst"/>
        <w:rPr>
          <w:lang w:val="en-US"/>
        </w:rPr>
      </w:pPr>
      <w:r>
        <w:rPr>
          <w:rStyle w:val="Voetnootmarkering"/>
        </w:rPr>
        <w:footnoteRef/>
      </w:r>
      <w:r w:rsidRPr="00751F7D">
        <w:rPr>
          <w:lang w:val="en-US"/>
        </w:rPr>
        <w:t xml:space="preserve"> In Micu et al. (2006) results show that in the two months prior to a ring event, 70% of the cumulative abnormal CDS returns is already incorporated in the price. If the rating event is </w:t>
      </w:r>
      <w:r w:rsidRPr="002950BC">
        <w:rPr>
          <w:lang w:val="en-US"/>
        </w:rPr>
        <w:t>preceded</w:t>
      </w:r>
      <w:r w:rsidRPr="00751F7D">
        <w:rPr>
          <w:lang w:val="en-US"/>
        </w:rPr>
        <w:t xml:space="preserve"> by another rating event by either the same agency or another, 76% is anticipated.</w:t>
      </w:r>
    </w:p>
  </w:footnote>
  <w:footnote w:id="10">
    <w:p w:rsidR="00676985" w:rsidRPr="002445C1" w:rsidRDefault="00676985" w:rsidP="003111CF">
      <w:pPr>
        <w:pStyle w:val="Voetnoottekst"/>
        <w:rPr>
          <w:lang w:val="en-US"/>
        </w:rPr>
      </w:pPr>
      <w:r>
        <w:rPr>
          <w:rStyle w:val="Voetnootmarkering"/>
        </w:rPr>
        <w:footnoteRef/>
      </w:r>
      <w:r w:rsidRPr="00793364">
        <w:rPr>
          <w:lang w:val="en-US"/>
        </w:rPr>
        <w:t xml:space="preserve"> Relationship between bond prices, interest rates and bond performance. </w:t>
      </w:r>
      <w:r w:rsidRPr="002445C1">
        <w:rPr>
          <w:lang w:val="en-US"/>
        </w:rPr>
        <w:t>Ambassador-capital/tutorial</w:t>
      </w:r>
      <w:r>
        <w:rPr>
          <w:lang w:val="en-US"/>
        </w:rPr>
        <w:t xml:space="preserve">: </w:t>
      </w:r>
      <w:hyperlink r:id="rId1" w:history="1">
        <w:r w:rsidRPr="001A40B9">
          <w:rPr>
            <w:rStyle w:val="Hyperlink"/>
            <w:lang w:val="en-US"/>
          </w:rPr>
          <w:t>http://www.ambassador-capital.com/Tutorial_BondPriceRateRelationship.pdf</w:t>
        </w:r>
      </w:hyperlink>
    </w:p>
  </w:footnote>
  <w:footnote w:id="11">
    <w:p w:rsidR="00676985" w:rsidRPr="00751F7D" w:rsidRDefault="00676985" w:rsidP="00EC5AEA">
      <w:pPr>
        <w:pStyle w:val="Voetnoottekst"/>
        <w:rPr>
          <w:lang w:val="en-US"/>
        </w:rPr>
      </w:pPr>
      <w:r>
        <w:rPr>
          <w:rStyle w:val="Voetnootmarkering"/>
        </w:rPr>
        <w:footnoteRef/>
      </w:r>
      <w:r w:rsidRPr="00751F7D">
        <w:rPr>
          <w:lang w:val="en-US"/>
        </w:rPr>
        <w:t xml:space="preserve"> Standard &amp; Poor’s “How we rate sovereigns”, 2012</w:t>
      </w:r>
    </w:p>
  </w:footnote>
  <w:footnote w:id="12">
    <w:p w:rsidR="00676985" w:rsidRPr="000B1193" w:rsidRDefault="00676985">
      <w:pPr>
        <w:pStyle w:val="Voetnoottekst"/>
        <w:rPr>
          <w:lang w:val="en-US"/>
        </w:rPr>
      </w:pPr>
      <w:r>
        <w:rPr>
          <w:rStyle w:val="Voetnootmarkering"/>
        </w:rPr>
        <w:footnoteRef/>
      </w:r>
      <w:r w:rsidRPr="000B1193">
        <w:rPr>
          <w:lang w:val="en-US"/>
        </w:rPr>
        <w:t xml:space="preserve"> Fama, E.F. (1991) “Efficient capital markets: II” Journal of Finance, 46 (5), 1575-1617</w:t>
      </w:r>
    </w:p>
  </w:footnote>
  <w:footnote w:id="13">
    <w:p w:rsidR="00676985" w:rsidRPr="00742CD4" w:rsidRDefault="00676985">
      <w:pPr>
        <w:pStyle w:val="Voetnoottekst"/>
        <w:rPr>
          <w:lang w:val="en-US"/>
        </w:rPr>
      </w:pPr>
      <w:r>
        <w:rPr>
          <w:rStyle w:val="Voetnootmarkering"/>
        </w:rPr>
        <w:footnoteRef/>
      </w:r>
      <w:r w:rsidRPr="00742CD4">
        <w:rPr>
          <w:lang w:val="en-US"/>
        </w:rPr>
        <w:t xml:space="preserve"> </w:t>
      </w:r>
      <w:r>
        <w:rPr>
          <w:lang w:val="en-US"/>
        </w:rPr>
        <w:t>EMH: Any piece of information will be directly – without delay - incorporated in the markets. Therefore, only new information should influence markets.</w:t>
      </w:r>
    </w:p>
  </w:footnote>
  <w:footnote w:id="14">
    <w:p w:rsidR="00676985" w:rsidRPr="005573CF" w:rsidRDefault="00676985">
      <w:pPr>
        <w:pStyle w:val="Voetnoottekst"/>
        <w:rPr>
          <w:lang w:val="en-US"/>
        </w:rPr>
      </w:pPr>
      <w:r>
        <w:rPr>
          <w:rStyle w:val="Voetnootmarkering"/>
        </w:rPr>
        <w:footnoteRef/>
      </w:r>
      <w:r w:rsidRPr="005573CF">
        <w:rPr>
          <w:lang w:val="en-US"/>
        </w:rPr>
        <w:t xml:space="preserve"> See </w:t>
      </w:r>
      <w:r>
        <w:rPr>
          <w:lang w:val="en-US"/>
        </w:rPr>
        <w:t xml:space="preserve">section 4.1 on methodology, based on </w:t>
      </w:r>
      <w:r w:rsidRPr="00751F7D">
        <w:rPr>
          <w:lang w:val="en-US"/>
        </w:rPr>
        <w:t>Standard &amp; Poor’s “How we rate sovereigns”,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9F4"/>
    <w:multiLevelType w:val="hybridMultilevel"/>
    <w:tmpl w:val="E49E04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F192958"/>
    <w:multiLevelType w:val="hybridMultilevel"/>
    <w:tmpl w:val="A98A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12F6D"/>
    <w:multiLevelType w:val="hybridMultilevel"/>
    <w:tmpl w:val="E49E04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B034ED"/>
    <w:multiLevelType w:val="hybridMultilevel"/>
    <w:tmpl w:val="E49E04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05531B2"/>
    <w:multiLevelType w:val="hybridMultilevel"/>
    <w:tmpl w:val="5DF26B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E5B50FB"/>
    <w:multiLevelType w:val="hybridMultilevel"/>
    <w:tmpl w:val="E49E04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nl-NL" w:vendorID="1" w:dllVersion="512"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655"/>
    <w:rsid w:val="00000CF8"/>
    <w:rsid w:val="0000358F"/>
    <w:rsid w:val="00010DC9"/>
    <w:rsid w:val="00014CF4"/>
    <w:rsid w:val="00015D27"/>
    <w:rsid w:val="00016DD5"/>
    <w:rsid w:val="00021283"/>
    <w:rsid w:val="00032FCE"/>
    <w:rsid w:val="00041A26"/>
    <w:rsid w:val="000425A9"/>
    <w:rsid w:val="0005153C"/>
    <w:rsid w:val="000732A3"/>
    <w:rsid w:val="0007401D"/>
    <w:rsid w:val="000740F8"/>
    <w:rsid w:val="00076BDD"/>
    <w:rsid w:val="0007791A"/>
    <w:rsid w:val="00083607"/>
    <w:rsid w:val="00084FE8"/>
    <w:rsid w:val="0009775A"/>
    <w:rsid w:val="000A382F"/>
    <w:rsid w:val="000A568C"/>
    <w:rsid w:val="000A5AC2"/>
    <w:rsid w:val="000A755E"/>
    <w:rsid w:val="000A7956"/>
    <w:rsid w:val="000B1193"/>
    <w:rsid w:val="000B3707"/>
    <w:rsid w:val="000B660A"/>
    <w:rsid w:val="000D4EC0"/>
    <w:rsid w:val="000D7442"/>
    <w:rsid w:val="000D7B3E"/>
    <w:rsid w:val="000E2513"/>
    <w:rsid w:val="000F1B36"/>
    <w:rsid w:val="001041E9"/>
    <w:rsid w:val="00121EB3"/>
    <w:rsid w:val="00122F95"/>
    <w:rsid w:val="00122FBF"/>
    <w:rsid w:val="00123D2A"/>
    <w:rsid w:val="001240B6"/>
    <w:rsid w:val="00124978"/>
    <w:rsid w:val="001472B8"/>
    <w:rsid w:val="001527B0"/>
    <w:rsid w:val="0015437E"/>
    <w:rsid w:val="00154975"/>
    <w:rsid w:val="00154ACF"/>
    <w:rsid w:val="00164530"/>
    <w:rsid w:val="00166CB6"/>
    <w:rsid w:val="00176346"/>
    <w:rsid w:val="0018067F"/>
    <w:rsid w:val="00180C43"/>
    <w:rsid w:val="0018432C"/>
    <w:rsid w:val="001862FF"/>
    <w:rsid w:val="00187C3E"/>
    <w:rsid w:val="00193E23"/>
    <w:rsid w:val="001958B0"/>
    <w:rsid w:val="001A1F12"/>
    <w:rsid w:val="001A40B9"/>
    <w:rsid w:val="001A7D20"/>
    <w:rsid w:val="001B02A6"/>
    <w:rsid w:val="001B14B9"/>
    <w:rsid w:val="001C513D"/>
    <w:rsid w:val="001D0382"/>
    <w:rsid w:val="001D5503"/>
    <w:rsid w:val="001D6180"/>
    <w:rsid w:val="001D76B4"/>
    <w:rsid w:val="001E111E"/>
    <w:rsid w:val="001E4A30"/>
    <w:rsid w:val="001F3F72"/>
    <w:rsid w:val="00200035"/>
    <w:rsid w:val="00201DE7"/>
    <w:rsid w:val="00202FC8"/>
    <w:rsid w:val="00207505"/>
    <w:rsid w:val="00217874"/>
    <w:rsid w:val="00221494"/>
    <w:rsid w:val="002250C7"/>
    <w:rsid w:val="002307AE"/>
    <w:rsid w:val="0023157F"/>
    <w:rsid w:val="00235655"/>
    <w:rsid w:val="002364D5"/>
    <w:rsid w:val="002445C1"/>
    <w:rsid w:val="00246DFB"/>
    <w:rsid w:val="00252903"/>
    <w:rsid w:val="00256543"/>
    <w:rsid w:val="002571ED"/>
    <w:rsid w:val="00262DBD"/>
    <w:rsid w:val="00265297"/>
    <w:rsid w:val="0026681A"/>
    <w:rsid w:val="0027238A"/>
    <w:rsid w:val="0027500B"/>
    <w:rsid w:val="00276C23"/>
    <w:rsid w:val="002950BC"/>
    <w:rsid w:val="002953F2"/>
    <w:rsid w:val="002974A3"/>
    <w:rsid w:val="002A055A"/>
    <w:rsid w:val="002B7A41"/>
    <w:rsid w:val="002C0535"/>
    <w:rsid w:val="002C29CD"/>
    <w:rsid w:val="002C528B"/>
    <w:rsid w:val="002C7277"/>
    <w:rsid w:val="002D1647"/>
    <w:rsid w:val="002D33D5"/>
    <w:rsid w:val="002D5693"/>
    <w:rsid w:val="002E3F11"/>
    <w:rsid w:val="002E52D8"/>
    <w:rsid w:val="002E636F"/>
    <w:rsid w:val="002F0B34"/>
    <w:rsid w:val="002F2AB7"/>
    <w:rsid w:val="002F2F01"/>
    <w:rsid w:val="002F38B8"/>
    <w:rsid w:val="0031065D"/>
    <w:rsid w:val="003111CF"/>
    <w:rsid w:val="00312E32"/>
    <w:rsid w:val="0032131C"/>
    <w:rsid w:val="00322E57"/>
    <w:rsid w:val="00331447"/>
    <w:rsid w:val="00331BCE"/>
    <w:rsid w:val="00336EE7"/>
    <w:rsid w:val="00353D09"/>
    <w:rsid w:val="00364227"/>
    <w:rsid w:val="00365B08"/>
    <w:rsid w:val="00382F4C"/>
    <w:rsid w:val="00387900"/>
    <w:rsid w:val="00392669"/>
    <w:rsid w:val="003A0DFF"/>
    <w:rsid w:val="003A0E0B"/>
    <w:rsid w:val="003B2B85"/>
    <w:rsid w:val="003C14D7"/>
    <w:rsid w:val="003C6EC7"/>
    <w:rsid w:val="003C7C56"/>
    <w:rsid w:val="003D3077"/>
    <w:rsid w:val="003D30FB"/>
    <w:rsid w:val="003F305E"/>
    <w:rsid w:val="003F3665"/>
    <w:rsid w:val="00400C1B"/>
    <w:rsid w:val="004127DA"/>
    <w:rsid w:val="004141CD"/>
    <w:rsid w:val="0041508F"/>
    <w:rsid w:val="004243AC"/>
    <w:rsid w:val="00424C5C"/>
    <w:rsid w:val="004252A4"/>
    <w:rsid w:val="00431214"/>
    <w:rsid w:val="00432476"/>
    <w:rsid w:val="00445CC1"/>
    <w:rsid w:val="00453703"/>
    <w:rsid w:val="00454AD8"/>
    <w:rsid w:val="00457EE5"/>
    <w:rsid w:val="00464E24"/>
    <w:rsid w:val="00466E2D"/>
    <w:rsid w:val="0047306D"/>
    <w:rsid w:val="004733FD"/>
    <w:rsid w:val="0047763D"/>
    <w:rsid w:val="0048567B"/>
    <w:rsid w:val="004900DB"/>
    <w:rsid w:val="00493EFA"/>
    <w:rsid w:val="00496158"/>
    <w:rsid w:val="004A3BA9"/>
    <w:rsid w:val="004B197D"/>
    <w:rsid w:val="004B2D00"/>
    <w:rsid w:val="004B2E83"/>
    <w:rsid w:val="004B4F8A"/>
    <w:rsid w:val="004C007D"/>
    <w:rsid w:val="004C550D"/>
    <w:rsid w:val="004C71A1"/>
    <w:rsid w:val="004C7D9B"/>
    <w:rsid w:val="004D12C9"/>
    <w:rsid w:val="004D6765"/>
    <w:rsid w:val="004E2250"/>
    <w:rsid w:val="004E5414"/>
    <w:rsid w:val="004F6019"/>
    <w:rsid w:val="00504925"/>
    <w:rsid w:val="00521F6C"/>
    <w:rsid w:val="0053635F"/>
    <w:rsid w:val="00543ED5"/>
    <w:rsid w:val="00552CB7"/>
    <w:rsid w:val="00553239"/>
    <w:rsid w:val="005573CF"/>
    <w:rsid w:val="00567E79"/>
    <w:rsid w:val="00576F2A"/>
    <w:rsid w:val="00580ADB"/>
    <w:rsid w:val="00596A72"/>
    <w:rsid w:val="005A3FA0"/>
    <w:rsid w:val="005A48D9"/>
    <w:rsid w:val="005B1036"/>
    <w:rsid w:val="005B1F10"/>
    <w:rsid w:val="005D2FC6"/>
    <w:rsid w:val="005D62CA"/>
    <w:rsid w:val="005D7587"/>
    <w:rsid w:val="005E1849"/>
    <w:rsid w:val="005E2CD5"/>
    <w:rsid w:val="005E6C41"/>
    <w:rsid w:val="00611136"/>
    <w:rsid w:val="00611C57"/>
    <w:rsid w:val="0061666A"/>
    <w:rsid w:val="006203DB"/>
    <w:rsid w:val="006264EB"/>
    <w:rsid w:val="006274AF"/>
    <w:rsid w:val="00630CFF"/>
    <w:rsid w:val="00632776"/>
    <w:rsid w:val="006328E6"/>
    <w:rsid w:val="00634685"/>
    <w:rsid w:val="0064682B"/>
    <w:rsid w:val="00655136"/>
    <w:rsid w:val="00657DEA"/>
    <w:rsid w:val="00676985"/>
    <w:rsid w:val="0068071C"/>
    <w:rsid w:val="00686F9A"/>
    <w:rsid w:val="00690ADA"/>
    <w:rsid w:val="00692662"/>
    <w:rsid w:val="006A0FCB"/>
    <w:rsid w:val="006A25AF"/>
    <w:rsid w:val="006A69C4"/>
    <w:rsid w:val="006B0975"/>
    <w:rsid w:val="006B64B6"/>
    <w:rsid w:val="006C0E21"/>
    <w:rsid w:val="006C246A"/>
    <w:rsid w:val="006D28F8"/>
    <w:rsid w:val="006E0189"/>
    <w:rsid w:val="006E3803"/>
    <w:rsid w:val="006E399E"/>
    <w:rsid w:val="006F1B43"/>
    <w:rsid w:val="006F33AE"/>
    <w:rsid w:val="006F46B8"/>
    <w:rsid w:val="00705543"/>
    <w:rsid w:val="0071389C"/>
    <w:rsid w:val="007241F1"/>
    <w:rsid w:val="00725D9E"/>
    <w:rsid w:val="00733E89"/>
    <w:rsid w:val="00741AFB"/>
    <w:rsid w:val="00742CD4"/>
    <w:rsid w:val="0074550A"/>
    <w:rsid w:val="007467CA"/>
    <w:rsid w:val="00746A83"/>
    <w:rsid w:val="00751F7D"/>
    <w:rsid w:val="00753CBE"/>
    <w:rsid w:val="007565ED"/>
    <w:rsid w:val="00760040"/>
    <w:rsid w:val="00764641"/>
    <w:rsid w:val="00781608"/>
    <w:rsid w:val="007818E9"/>
    <w:rsid w:val="00782436"/>
    <w:rsid w:val="00793242"/>
    <w:rsid w:val="00793364"/>
    <w:rsid w:val="00793716"/>
    <w:rsid w:val="0079751E"/>
    <w:rsid w:val="007A11E8"/>
    <w:rsid w:val="007B28C4"/>
    <w:rsid w:val="007B5F31"/>
    <w:rsid w:val="007C1406"/>
    <w:rsid w:val="007C6E34"/>
    <w:rsid w:val="007E0CCB"/>
    <w:rsid w:val="007E2B0A"/>
    <w:rsid w:val="007F0893"/>
    <w:rsid w:val="007F1816"/>
    <w:rsid w:val="00804BAA"/>
    <w:rsid w:val="00806FB4"/>
    <w:rsid w:val="00816E4A"/>
    <w:rsid w:val="0082001C"/>
    <w:rsid w:val="00820A6E"/>
    <w:rsid w:val="0082677A"/>
    <w:rsid w:val="008408AF"/>
    <w:rsid w:val="00844059"/>
    <w:rsid w:val="00850A4F"/>
    <w:rsid w:val="0086011C"/>
    <w:rsid w:val="00866E71"/>
    <w:rsid w:val="0086702D"/>
    <w:rsid w:val="00871E64"/>
    <w:rsid w:val="00873684"/>
    <w:rsid w:val="00874671"/>
    <w:rsid w:val="0088735C"/>
    <w:rsid w:val="00891A21"/>
    <w:rsid w:val="008936E5"/>
    <w:rsid w:val="008A2427"/>
    <w:rsid w:val="008A262D"/>
    <w:rsid w:val="008A4FE8"/>
    <w:rsid w:val="008B4F9B"/>
    <w:rsid w:val="008C339B"/>
    <w:rsid w:val="008C6694"/>
    <w:rsid w:val="008D0A42"/>
    <w:rsid w:val="008D4936"/>
    <w:rsid w:val="008D66CC"/>
    <w:rsid w:val="008E22AF"/>
    <w:rsid w:val="008E69F6"/>
    <w:rsid w:val="008E7093"/>
    <w:rsid w:val="008F3A19"/>
    <w:rsid w:val="009075B9"/>
    <w:rsid w:val="00910889"/>
    <w:rsid w:val="00911F47"/>
    <w:rsid w:val="00913F59"/>
    <w:rsid w:val="009161C7"/>
    <w:rsid w:val="00917252"/>
    <w:rsid w:val="00920B7A"/>
    <w:rsid w:val="00922667"/>
    <w:rsid w:val="0092311E"/>
    <w:rsid w:val="00924302"/>
    <w:rsid w:val="00926C4F"/>
    <w:rsid w:val="00927E7A"/>
    <w:rsid w:val="00931499"/>
    <w:rsid w:val="00936D1B"/>
    <w:rsid w:val="00940C1C"/>
    <w:rsid w:val="00962201"/>
    <w:rsid w:val="00967E05"/>
    <w:rsid w:val="00975737"/>
    <w:rsid w:val="00980E77"/>
    <w:rsid w:val="0098281F"/>
    <w:rsid w:val="009901F1"/>
    <w:rsid w:val="009979D4"/>
    <w:rsid w:val="009A15EC"/>
    <w:rsid w:val="009A3C06"/>
    <w:rsid w:val="009A4223"/>
    <w:rsid w:val="009B0E2A"/>
    <w:rsid w:val="009C0EF3"/>
    <w:rsid w:val="009C48FB"/>
    <w:rsid w:val="009D4F18"/>
    <w:rsid w:val="009D65DE"/>
    <w:rsid w:val="009D7D3C"/>
    <w:rsid w:val="009E26AA"/>
    <w:rsid w:val="009E7595"/>
    <w:rsid w:val="009E763E"/>
    <w:rsid w:val="009F0F85"/>
    <w:rsid w:val="009F2634"/>
    <w:rsid w:val="009F28BA"/>
    <w:rsid w:val="009F6F4A"/>
    <w:rsid w:val="00A1076B"/>
    <w:rsid w:val="00A15D23"/>
    <w:rsid w:val="00A16CD4"/>
    <w:rsid w:val="00A17AC9"/>
    <w:rsid w:val="00A17DBA"/>
    <w:rsid w:val="00A267AD"/>
    <w:rsid w:val="00A34F7C"/>
    <w:rsid w:val="00A41545"/>
    <w:rsid w:val="00A47510"/>
    <w:rsid w:val="00A53519"/>
    <w:rsid w:val="00A54E30"/>
    <w:rsid w:val="00A60D34"/>
    <w:rsid w:val="00A63DB0"/>
    <w:rsid w:val="00A6572C"/>
    <w:rsid w:val="00A65805"/>
    <w:rsid w:val="00A6762D"/>
    <w:rsid w:val="00A77F88"/>
    <w:rsid w:val="00A828FA"/>
    <w:rsid w:val="00A852DF"/>
    <w:rsid w:val="00A977D5"/>
    <w:rsid w:val="00AA339E"/>
    <w:rsid w:val="00AA3445"/>
    <w:rsid w:val="00AA4229"/>
    <w:rsid w:val="00AD0F75"/>
    <w:rsid w:val="00AD3C04"/>
    <w:rsid w:val="00AD65C2"/>
    <w:rsid w:val="00AE088F"/>
    <w:rsid w:val="00AE4283"/>
    <w:rsid w:val="00AE578B"/>
    <w:rsid w:val="00AF431E"/>
    <w:rsid w:val="00AF4A4E"/>
    <w:rsid w:val="00B02A3E"/>
    <w:rsid w:val="00B03ED0"/>
    <w:rsid w:val="00B126CE"/>
    <w:rsid w:val="00B14498"/>
    <w:rsid w:val="00B17982"/>
    <w:rsid w:val="00B22BF8"/>
    <w:rsid w:val="00B23028"/>
    <w:rsid w:val="00B26815"/>
    <w:rsid w:val="00B275C4"/>
    <w:rsid w:val="00B36FC5"/>
    <w:rsid w:val="00B4385D"/>
    <w:rsid w:val="00B45539"/>
    <w:rsid w:val="00B605C3"/>
    <w:rsid w:val="00B6639E"/>
    <w:rsid w:val="00B804E9"/>
    <w:rsid w:val="00B8346F"/>
    <w:rsid w:val="00BA0C73"/>
    <w:rsid w:val="00BA5DD8"/>
    <w:rsid w:val="00BA7F1B"/>
    <w:rsid w:val="00BB43C0"/>
    <w:rsid w:val="00BC12BF"/>
    <w:rsid w:val="00BD0DA9"/>
    <w:rsid w:val="00BD2098"/>
    <w:rsid w:val="00BD2D17"/>
    <w:rsid w:val="00BE594D"/>
    <w:rsid w:val="00BE641D"/>
    <w:rsid w:val="00BF1BE7"/>
    <w:rsid w:val="00BF403F"/>
    <w:rsid w:val="00BF6FEB"/>
    <w:rsid w:val="00C030CE"/>
    <w:rsid w:val="00C063B2"/>
    <w:rsid w:val="00C101D1"/>
    <w:rsid w:val="00C10316"/>
    <w:rsid w:val="00C1274B"/>
    <w:rsid w:val="00C16B46"/>
    <w:rsid w:val="00C27153"/>
    <w:rsid w:val="00C3649C"/>
    <w:rsid w:val="00C36F3B"/>
    <w:rsid w:val="00C447F2"/>
    <w:rsid w:val="00C44AC0"/>
    <w:rsid w:val="00C5283C"/>
    <w:rsid w:val="00C5715D"/>
    <w:rsid w:val="00C70F6E"/>
    <w:rsid w:val="00C74391"/>
    <w:rsid w:val="00C8011B"/>
    <w:rsid w:val="00C916F7"/>
    <w:rsid w:val="00CA39F4"/>
    <w:rsid w:val="00CA3AEF"/>
    <w:rsid w:val="00CA4A5D"/>
    <w:rsid w:val="00CB0468"/>
    <w:rsid w:val="00CB333A"/>
    <w:rsid w:val="00CB6C45"/>
    <w:rsid w:val="00CC1094"/>
    <w:rsid w:val="00CC5743"/>
    <w:rsid w:val="00CD0B81"/>
    <w:rsid w:val="00CE7C31"/>
    <w:rsid w:val="00CF3CB7"/>
    <w:rsid w:val="00CF44D4"/>
    <w:rsid w:val="00CF4A4B"/>
    <w:rsid w:val="00CF7DEC"/>
    <w:rsid w:val="00D05BFF"/>
    <w:rsid w:val="00D131A1"/>
    <w:rsid w:val="00D15771"/>
    <w:rsid w:val="00D16C6C"/>
    <w:rsid w:val="00D16FD2"/>
    <w:rsid w:val="00D2148A"/>
    <w:rsid w:val="00D32D57"/>
    <w:rsid w:val="00D32F1D"/>
    <w:rsid w:val="00D50233"/>
    <w:rsid w:val="00D61DCD"/>
    <w:rsid w:val="00D84365"/>
    <w:rsid w:val="00D846E3"/>
    <w:rsid w:val="00D873E5"/>
    <w:rsid w:val="00D87C5A"/>
    <w:rsid w:val="00D9230D"/>
    <w:rsid w:val="00D9262F"/>
    <w:rsid w:val="00D958DA"/>
    <w:rsid w:val="00DA31E3"/>
    <w:rsid w:val="00DC5755"/>
    <w:rsid w:val="00DC6BDB"/>
    <w:rsid w:val="00DD011D"/>
    <w:rsid w:val="00DD455A"/>
    <w:rsid w:val="00DE258F"/>
    <w:rsid w:val="00DF152A"/>
    <w:rsid w:val="00E043A7"/>
    <w:rsid w:val="00E04C9A"/>
    <w:rsid w:val="00E1177A"/>
    <w:rsid w:val="00E20D06"/>
    <w:rsid w:val="00E23DD8"/>
    <w:rsid w:val="00E25EC4"/>
    <w:rsid w:val="00E271E4"/>
    <w:rsid w:val="00E313A4"/>
    <w:rsid w:val="00E415BB"/>
    <w:rsid w:val="00E50260"/>
    <w:rsid w:val="00E5030C"/>
    <w:rsid w:val="00E55F94"/>
    <w:rsid w:val="00E57FF7"/>
    <w:rsid w:val="00E60F6F"/>
    <w:rsid w:val="00E62714"/>
    <w:rsid w:val="00E65450"/>
    <w:rsid w:val="00E6614F"/>
    <w:rsid w:val="00E715C5"/>
    <w:rsid w:val="00E7324B"/>
    <w:rsid w:val="00E8090C"/>
    <w:rsid w:val="00E85560"/>
    <w:rsid w:val="00E961A6"/>
    <w:rsid w:val="00E974B7"/>
    <w:rsid w:val="00EA2959"/>
    <w:rsid w:val="00EA2D92"/>
    <w:rsid w:val="00EA6362"/>
    <w:rsid w:val="00EC4CA3"/>
    <w:rsid w:val="00EC5381"/>
    <w:rsid w:val="00EC574E"/>
    <w:rsid w:val="00EC5AEA"/>
    <w:rsid w:val="00ED0CA2"/>
    <w:rsid w:val="00ED18CC"/>
    <w:rsid w:val="00ED4306"/>
    <w:rsid w:val="00EE1898"/>
    <w:rsid w:val="00EE556E"/>
    <w:rsid w:val="00EE58A3"/>
    <w:rsid w:val="00EE5B8D"/>
    <w:rsid w:val="00EE6150"/>
    <w:rsid w:val="00EE668C"/>
    <w:rsid w:val="00EE7977"/>
    <w:rsid w:val="00EF09D5"/>
    <w:rsid w:val="00EF1C4F"/>
    <w:rsid w:val="00EF1E8B"/>
    <w:rsid w:val="00EF4F5A"/>
    <w:rsid w:val="00EF6A3A"/>
    <w:rsid w:val="00F06901"/>
    <w:rsid w:val="00F12750"/>
    <w:rsid w:val="00F15F35"/>
    <w:rsid w:val="00F1724A"/>
    <w:rsid w:val="00F234DF"/>
    <w:rsid w:val="00F23951"/>
    <w:rsid w:val="00F359EA"/>
    <w:rsid w:val="00F375C0"/>
    <w:rsid w:val="00F42D12"/>
    <w:rsid w:val="00F55F74"/>
    <w:rsid w:val="00F63B79"/>
    <w:rsid w:val="00F6797E"/>
    <w:rsid w:val="00F73922"/>
    <w:rsid w:val="00F760C6"/>
    <w:rsid w:val="00F76938"/>
    <w:rsid w:val="00F81506"/>
    <w:rsid w:val="00F828CA"/>
    <w:rsid w:val="00F84724"/>
    <w:rsid w:val="00F86340"/>
    <w:rsid w:val="00F90982"/>
    <w:rsid w:val="00F90D89"/>
    <w:rsid w:val="00F93D0B"/>
    <w:rsid w:val="00F962CE"/>
    <w:rsid w:val="00FA3C1A"/>
    <w:rsid w:val="00FB713A"/>
    <w:rsid w:val="00FC14BF"/>
    <w:rsid w:val="00FC1ADC"/>
    <w:rsid w:val="00FD14E6"/>
    <w:rsid w:val="00FD761E"/>
    <w:rsid w:val="00FE574A"/>
    <w:rsid w:val="00FF279A"/>
    <w:rsid w:val="00FF4B12"/>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41F1"/>
  </w:style>
  <w:style w:type="paragraph" w:styleId="Kop1">
    <w:name w:val="heading 1"/>
    <w:basedOn w:val="Standaard"/>
    <w:next w:val="Standaard"/>
    <w:link w:val="Kop1Char"/>
    <w:uiPriority w:val="9"/>
    <w:qFormat/>
    <w:rsid w:val="00DC57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7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E76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3EFA"/>
    <w:pPr>
      <w:ind w:left="720"/>
      <w:contextualSpacing/>
    </w:pPr>
  </w:style>
  <w:style w:type="paragraph" w:styleId="Koptekst">
    <w:name w:val="header"/>
    <w:basedOn w:val="Standaard"/>
    <w:link w:val="KoptekstChar"/>
    <w:uiPriority w:val="99"/>
    <w:unhideWhenUsed/>
    <w:rsid w:val="00032F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FCE"/>
  </w:style>
  <w:style w:type="paragraph" w:styleId="Voettekst">
    <w:name w:val="footer"/>
    <w:basedOn w:val="Standaard"/>
    <w:link w:val="VoettekstChar"/>
    <w:uiPriority w:val="99"/>
    <w:unhideWhenUsed/>
    <w:rsid w:val="00032F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FCE"/>
  </w:style>
  <w:style w:type="paragraph" w:styleId="Ballontekst">
    <w:name w:val="Balloon Text"/>
    <w:basedOn w:val="Standaard"/>
    <w:link w:val="BallontekstChar"/>
    <w:uiPriority w:val="99"/>
    <w:semiHidden/>
    <w:unhideWhenUsed/>
    <w:rsid w:val="00032F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FCE"/>
    <w:rPr>
      <w:rFonts w:ascii="Tahoma" w:hAnsi="Tahoma" w:cs="Tahoma"/>
      <w:sz w:val="16"/>
      <w:szCs w:val="16"/>
    </w:rPr>
  </w:style>
  <w:style w:type="paragraph" w:styleId="Voetnoottekst">
    <w:name w:val="footnote text"/>
    <w:basedOn w:val="Standaard"/>
    <w:link w:val="VoetnoottekstChar"/>
    <w:uiPriority w:val="99"/>
    <w:unhideWhenUsed/>
    <w:rsid w:val="00032FCE"/>
    <w:pPr>
      <w:spacing w:after="0" w:line="240" w:lineRule="auto"/>
    </w:pPr>
    <w:rPr>
      <w:sz w:val="20"/>
      <w:szCs w:val="20"/>
    </w:rPr>
  </w:style>
  <w:style w:type="character" w:customStyle="1" w:styleId="VoetnoottekstChar">
    <w:name w:val="Voetnoottekst Char"/>
    <w:basedOn w:val="Standaardalinea-lettertype"/>
    <w:link w:val="Voetnoottekst"/>
    <w:uiPriority w:val="99"/>
    <w:rsid w:val="00032FCE"/>
    <w:rPr>
      <w:sz w:val="20"/>
      <w:szCs w:val="20"/>
    </w:rPr>
  </w:style>
  <w:style w:type="character" w:styleId="Voetnootmarkering">
    <w:name w:val="footnote reference"/>
    <w:basedOn w:val="Standaardalinea-lettertype"/>
    <w:uiPriority w:val="99"/>
    <w:unhideWhenUsed/>
    <w:rsid w:val="00032FCE"/>
    <w:rPr>
      <w:vertAlign w:val="superscript"/>
    </w:rPr>
  </w:style>
  <w:style w:type="table" w:styleId="Tabelraster">
    <w:name w:val="Table Grid"/>
    <w:basedOn w:val="Standaardtabel"/>
    <w:uiPriority w:val="59"/>
    <w:rsid w:val="001E1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E65450"/>
    <w:pPr>
      <w:spacing w:after="0" w:line="240" w:lineRule="auto"/>
    </w:pPr>
  </w:style>
  <w:style w:type="table" w:customStyle="1" w:styleId="Lichtearcering1">
    <w:name w:val="Lichte arcering1"/>
    <w:basedOn w:val="Standaardtabel"/>
    <w:uiPriority w:val="60"/>
    <w:rsid w:val="00793364"/>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raster1">
    <w:name w:val="Licht raster1"/>
    <w:basedOn w:val="Standaardtabel"/>
    <w:uiPriority w:val="62"/>
    <w:rsid w:val="005A3FA0"/>
    <w:pPr>
      <w:spacing w:after="0" w:line="240" w:lineRule="auto"/>
    </w:pPr>
    <w:rPr>
      <w:rFonts w:eastAsiaTheme="minorEastAsia"/>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Standaardalinea-lettertype"/>
    <w:uiPriority w:val="99"/>
    <w:unhideWhenUsed/>
    <w:rsid w:val="001A40B9"/>
    <w:rPr>
      <w:color w:val="0000FF"/>
      <w:u w:val="single"/>
    </w:rPr>
  </w:style>
  <w:style w:type="character" w:styleId="Verwijzingopmerking">
    <w:name w:val="annotation reference"/>
    <w:basedOn w:val="Standaardalinea-lettertype"/>
    <w:uiPriority w:val="99"/>
    <w:semiHidden/>
    <w:unhideWhenUsed/>
    <w:rsid w:val="00A852DF"/>
    <w:rPr>
      <w:sz w:val="16"/>
      <w:szCs w:val="16"/>
    </w:rPr>
  </w:style>
  <w:style w:type="paragraph" w:styleId="Tekstopmerking">
    <w:name w:val="annotation text"/>
    <w:basedOn w:val="Standaard"/>
    <w:link w:val="TekstopmerkingChar"/>
    <w:uiPriority w:val="99"/>
    <w:semiHidden/>
    <w:unhideWhenUsed/>
    <w:rsid w:val="00A852D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852DF"/>
    <w:rPr>
      <w:sz w:val="20"/>
      <w:szCs w:val="20"/>
    </w:rPr>
  </w:style>
  <w:style w:type="paragraph" w:styleId="Onderwerpvanopmerking">
    <w:name w:val="annotation subject"/>
    <w:basedOn w:val="Tekstopmerking"/>
    <w:next w:val="Tekstopmerking"/>
    <w:link w:val="OnderwerpvanopmerkingChar"/>
    <w:uiPriority w:val="99"/>
    <w:semiHidden/>
    <w:unhideWhenUsed/>
    <w:rsid w:val="00A852DF"/>
    <w:rPr>
      <w:b/>
      <w:bCs/>
    </w:rPr>
  </w:style>
  <w:style w:type="character" w:customStyle="1" w:styleId="OnderwerpvanopmerkingChar">
    <w:name w:val="Onderwerp van opmerking Char"/>
    <w:basedOn w:val="TekstopmerkingChar"/>
    <w:link w:val="Onderwerpvanopmerking"/>
    <w:uiPriority w:val="99"/>
    <w:semiHidden/>
    <w:rsid w:val="00A852DF"/>
    <w:rPr>
      <w:b/>
      <w:bCs/>
      <w:sz w:val="20"/>
      <w:szCs w:val="20"/>
    </w:rPr>
  </w:style>
  <w:style w:type="paragraph" w:styleId="Revisie">
    <w:name w:val="Revision"/>
    <w:hidden/>
    <w:uiPriority w:val="99"/>
    <w:semiHidden/>
    <w:rsid w:val="00014CF4"/>
    <w:pPr>
      <w:spacing w:after="0" w:line="240" w:lineRule="auto"/>
    </w:pPr>
  </w:style>
  <w:style w:type="character" w:customStyle="1" w:styleId="Kop1Char">
    <w:name w:val="Kop 1 Char"/>
    <w:basedOn w:val="Standaardalinea-lettertype"/>
    <w:link w:val="Kop1"/>
    <w:uiPriority w:val="9"/>
    <w:rsid w:val="00DC5755"/>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DC5755"/>
    <w:pPr>
      <w:outlineLvl w:val="9"/>
    </w:pPr>
    <w:rPr>
      <w:lang w:eastAsia="nl-NL"/>
    </w:rPr>
  </w:style>
  <w:style w:type="character" w:styleId="Zwaar">
    <w:name w:val="Strong"/>
    <w:basedOn w:val="Standaardalinea-lettertype"/>
    <w:uiPriority w:val="22"/>
    <w:qFormat/>
    <w:rsid w:val="00DC5755"/>
    <w:rPr>
      <w:b/>
      <w:bCs/>
    </w:rPr>
  </w:style>
  <w:style w:type="character" w:customStyle="1" w:styleId="Kop2Char">
    <w:name w:val="Kop 2 Char"/>
    <w:basedOn w:val="Standaardalinea-lettertype"/>
    <w:link w:val="Kop2"/>
    <w:uiPriority w:val="9"/>
    <w:rsid w:val="009E763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9E763E"/>
    <w:rPr>
      <w:rFonts w:asciiTheme="majorHAnsi" w:eastAsiaTheme="majorEastAsia" w:hAnsiTheme="majorHAnsi" w:cstheme="majorBidi"/>
      <w:b/>
      <w:bCs/>
      <w:color w:val="4F81BD" w:themeColor="accent1"/>
    </w:rPr>
  </w:style>
  <w:style w:type="paragraph" w:styleId="Inhopg1">
    <w:name w:val="toc 1"/>
    <w:basedOn w:val="Standaard"/>
    <w:next w:val="Standaard"/>
    <w:autoRedefine/>
    <w:uiPriority w:val="39"/>
    <w:unhideWhenUsed/>
    <w:rsid w:val="009E763E"/>
    <w:pPr>
      <w:spacing w:after="100"/>
    </w:pPr>
  </w:style>
  <w:style w:type="paragraph" w:styleId="Inhopg2">
    <w:name w:val="toc 2"/>
    <w:basedOn w:val="Standaard"/>
    <w:next w:val="Standaard"/>
    <w:autoRedefine/>
    <w:uiPriority w:val="39"/>
    <w:unhideWhenUsed/>
    <w:rsid w:val="009E763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241F1"/>
  </w:style>
  <w:style w:type="paragraph" w:styleId="Kop1">
    <w:name w:val="heading 1"/>
    <w:basedOn w:val="Standaard"/>
    <w:next w:val="Standaard"/>
    <w:link w:val="Kop1Char"/>
    <w:uiPriority w:val="9"/>
    <w:qFormat/>
    <w:rsid w:val="00DC57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E7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E76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3EFA"/>
    <w:pPr>
      <w:ind w:left="720"/>
      <w:contextualSpacing/>
    </w:pPr>
  </w:style>
  <w:style w:type="paragraph" w:styleId="Koptekst">
    <w:name w:val="header"/>
    <w:basedOn w:val="Standaard"/>
    <w:link w:val="KoptekstChar"/>
    <w:uiPriority w:val="99"/>
    <w:unhideWhenUsed/>
    <w:rsid w:val="00032F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FCE"/>
  </w:style>
  <w:style w:type="paragraph" w:styleId="Voettekst">
    <w:name w:val="footer"/>
    <w:basedOn w:val="Standaard"/>
    <w:link w:val="VoettekstChar"/>
    <w:uiPriority w:val="99"/>
    <w:unhideWhenUsed/>
    <w:rsid w:val="00032F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FCE"/>
  </w:style>
  <w:style w:type="paragraph" w:styleId="Ballontekst">
    <w:name w:val="Balloon Text"/>
    <w:basedOn w:val="Standaard"/>
    <w:link w:val="BallontekstChar"/>
    <w:uiPriority w:val="99"/>
    <w:semiHidden/>
    <w:unhideWhenUsed/>
    <w:rsid w:val="00032F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FCE"/>
    <w:rPr>
      <w:rFonts w:ascii="Tahoma" w:hAnsi="Tahoma" w:cs="Tahoma"/>
      <w:sz w:val="16"/>
      <w:szCs w:val="16"/>
    </w:rPr>
  </w:style>
  <w:style w:type="paragraph" w:styleId="Voetnoottekst">
    <w:name w:val="footnote text"/>
    <w:basedOn w:val="Standaard"/>
    <w:link w:val="VoetnoottekstChar"/>
    <w:uiPriority w:val="99"/>
    <w:unhideWhenUsed/>
    <w:rsid w:val="00032FCE"/>
    <w:pPr>
      <w:spacing w:after="0" w:line="240" w:lineRule="auto"/>
    </w:pPr>
    <w:rPr>
      <w:sz w:val="20"/>
      <w:szCs w:val="20"/>
    </w:rPr>
  </w:style>
  <w:style w:type="character" w:customStyle="1" w:styleId="VoetnoottekstChar">
    <w:name w:val="Voetnoottekst Char"/>
    <w:basedOn w:val="Standaardalinea-lettertype"/>
    <w:link w:val="Voetnoottekst"/>
    <w:uiPriority w:val="99"/>
    <w:rsid w:val="00032FCE"/>
    <w:rPr>
      <w:sz w:val="20"/>
      <w:szCs w:val="20"/>
    </w:rPr>
  </w:style>
  <w:style w:type="character" w:styleId="Voetnootmarkering">
    <w:name w:val="footnote reference"/>
    <w:basedOn w:val="Standaardalinea-lettertype"/>
    <w:uiPriority w:val="99"/>
    <w:unhideWhenUsed/>
    <w:rsid w:val="00032FCE"/>
    <w:rPr>
      <w:vertAlign w:val="superscript"/>
    </w:rPr>
  </w:style>
  <w:style w:type="table" w:styleId="Tabelraster">
    <w:name w:val="Table Grid"/>
    <w:basedOn w:val="Standaardtabel"/>
    <w:uiPriority w:val="59"/>
    <w:rsid w:val="001E11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E65450"/>
    <w:pPr>
      <w:spacing w:after="0" w:line="240" w:lineRule="auto"/>
    </w:pPr>
  </w:style>
  <w:style w:type="table" w:customStyle="1" w:styleId="Lichtearcering1">
    <w:name w:val="Lichte arcering1"/>
    <w:basedOn w:val="Standaardtabel"/>
    <w:uiPriority w:val="60"/>
    <w:rsid w:val="00793364"/>
    <w:pPr>
      <w:spacing w:after="0" w:line="240" w:lineRule="auto"/>
    </w:pPr>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raster1">
    <w:name w:val="Licht raster1"/>
    <w:basedOn w:val="Standaardtabel"/>
    <w:uiPriority w:val="62"/>
    <w:rsid w:val="005A3FA0"/>
    <w:pPr>
      <w:spacing w:after="0" w:line="240" w:lineRule="auto"/>
    </w:pPr>
    <w:rPr>
      <w:rFonts w:eastAsiaTheme="minorEastAsia"/>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Standaardalinea-lettertype"/>
    <w:uiPriority w:val="99"/>
    <w:unhideWhenUsed/>
    <w:rsid w:val="001A40B9"/>
    <w:rPr>
      <w:color w:val="0000FF"/>
      <w:u w:val="single"/>
    </w:rPr>
  </w:style>
  <w:style w:type="character" w:styleId="Verwijzingopmerking">
    <w:name w:val="annotation reference"/>
    <w:basedOn w:val="Standaardalinea-lettertype"/>
    <w:uiPriority w:val="99"/>
    <w:semiHidden/>
    <w:unhideWhenUsed/>
    <w:rsid w:val="00A852DF"/>
    <w:rPr>
      <w:sz w:val="16"/>
      <w:szCs w:val="16"/>
    </w:rPr>
  </w:style>
  <w:style w:type="paragraph" w:styleId="Tekstopmerking">
    <w:name w:val="annotation text"/>
    <w:basedOn w:val="Standaard"/>
    <w:link w:val="TekstopmerkingChar"/>
    <w:uiPriority w:val="99"/>
    <w:semiHidden/>
    <w:unhideWhenUsed/>
    <w:rsid w:val="00A852D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852DF"/>
    <w:rPr>
      <w:sz w:val="20"/>
      <w:szCs w:val="20"/>
    </w:rPr>
  </w:style>
  <w:style w:type="paragraph" w:styleId="Onderwerpvanopmerking">
    <w:name w:val="annotation subject"/>
    <w:basedOn w:val="Tekstopmerking"/>
    <w:next w:val="Tekstopmerking"/>
    <w:link w:val="OnderwerpvanopmerkingChar"/>
    <w:uiPriority w:val="99"/>
    <w:semiHidden/>
    <w:unhideWhenUsed/>
    <w:rsid w:val="00A852DF"/>
    <w:rPr>
      <w:b/>
      <w:bCs/>
    </w:rPr>
  </w:style>
  <w:style w:type="character" w:customStyle="1" w:styleId="OnderwerpvanopmerkingChar">
    <w:name w:val="Onderwerp van opmerking Char"/>
    <w:basedOn w:val="TekstopmerkingChar"/>
    <w:link w:val="Onderwerpvanopmerking"/>
    <w:uiPriority w:val="99"/>
    <w:semiHidden/>
    <w:rsid w:val="00A852DF"/>
    <w:rPr>
      <w:b/>
      <w:bCs/>
      <w:sz w:val="20"/>
      <w:szCs w:val="20"/>
    </w:rPr>
  </w:style>
  <w:style w:type="paragraph" w:styleId="Revisie">
    <w:name w:val="Revision"/>
    <w:hidden/>
    <w:uiPriority w:val="99"/>
    <w:semiHidden/>
    <w:rsid w:val="00014CF4"/>
    <w:pPr>
      <w:spacing w:after="0" w:line="240" w:lineRule="auto"/>
    </w:pPr>
  </w:style>
  <w:style w:type="character" w:customStyle="1" w:styleId="Kop1Char">
    <w:name w:val="Kop 1 Char"/>
    <w:basedOn w:val="Standaardalinea-lettertype"/>
    <w:link w:val="Kop1"/>
    <w:uiPriority w:val="9"/>
    <w:rsid w:val="00DC5755"/>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DC5755"/>
    <w:pPr>
      <w:outlineLvl w:val="9"/>
    </w:pPr>
    <w:rPr>
      <w:lang w:eastAsia="nl-NL"/>
    </w:rPr>
  </w:style>
  <w:style w:type="character" w:styleId="Zwaar">
    <w:name w:val="Strong"/>
    <w:basedOn w:val="Standaardalinea-lettertype"/>
    <w:uiPriority w:val="22"/>
    <w:qFormat/>
    <w:rsid w:val="00DC5755"/>
    <w:rPr>
      <w:b/>
      <w:bCs/>
    </w:rPr>
  </w:style>
  <w:style w:type="character" w:customStyle="1" w:styleId="Kop2Char">
    <w:name w:val="Kop 2 Char"/>
    <w:basedOn w:val="Standaardalinea-lettertype"/>
    <w:link w:val="Kop2"/>
    <w:uiPriority w:val="9"/>
    <w:rsid w:val="009E763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9E763E"/>
    <w:rPr>
      <w:rFonts w:asciiTheme="majorHAnsi" w:eastAsiaTheme="majorEastAsia" w:hAnsiTheme="majorHAnsi" w:cstheme="majorBidi"/>
      <w:b/>
      <w:bCs/>
      <w:color w:val="4F81BD" w:themeColor="accent1"/>
    </w:rPr>
  </w:style>
  <w:style w:type="paragraph" w:styleId="Inhopg1">
    <w:name w:val="toc 1"/>
    <w:basedOn w:val="Standaard"/>
    <w:next w:val="Standaard"/>
    <w:autoRedefine/>
    <w:uiPriority w:val="39"/>
    <w:unhideWhenUsed/>
    <w:rsid w:val="009E763E"/>
    <w:pPr>
      <w:spacing w:after="100"/>
    </w:pPr>
  </w:style>
  <w:style w:type="paragraph" w:styleId="Inhopg2">
    <w:name w:val="toc 2"/>
    <w:basedOn w:val="Standaard"/>
    <w:next w:val="Standaard"/>
    <w:autoRedefine/>
    <w:uiPriority w:val="39"/>
    <w:unhideWhenUsed/>
    <w:rsid w:val="009E763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parency.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rs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ody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tchratings.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mbassador-capital.com/Tutorial_BondPriceRateRelationship.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84CF-E05F-4C3B-B7CA-39B6EF70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10855</Words>
  <Characters>59705</Characters>
  <Application>Microsoft Office Word</Application>
  <DocSecurity>0</DocSecurity>
  <Lines>497</Lines>
  <Paragraphs>140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70420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Hoebee</dc:creator>
  <cp:lastModifiedBy>Hoebee</cp:lastModifiedBy>
  <cp:revision>2</cp:revision>
  <dcterms:created xsi:type="dcterms:W3CDTF">2013-06-27T11:49:00Z</dcterms:created>
  <dcterms:modified xsi:type="dcterms:W3CDTF">2013-06-27T11:49:00Z</dcterms:modified>
</cp:coreProperties>
</file>