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9790316"/>
        <w:docPartObj>
          <w:docPartGallery w:val="Cover Pages"/>
          <w:docPartUnique/>
        </w:docPartObj>
      </w:sdtPr>
      <w:sdtEndPr>
        <w:rPr>
          <w:rFonts w:asciiTheme="minorHAnsi" w:eastAsiaTheme="minorHAnsi" w:hAnsiTheme="minorHAnsi" w:cstheme="minorBidi"/>
          <w:b/>
          <w:bCs/>
          <w:caps w:val="0"/>
        </w:rPr>
      </w:sdtEndPr>
      <w:sdtContent>
        <w:tbl>
          <w:tblPr>
            <w:tblW w:w="5000" w:type="pct"/>
            <w:jc w:val="center"/>
            <w:tblLook w:val="04A0"/>
          </w:tblPr>
          <w:tblGrid>
            <w:gridCol w:w="9286"/>
          </w:tblGrid>
          <w:tr w:rsidR="00470942">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Content>
                <w:tc>
                  <w:tcPr>
                    <w:tcW w:w="5000" w:type="pct"/>
                  </w:tcPr>
                  <w:p w:rsidR="00470942" w:rsidRDefault="00470942" w:rsidP="00470942">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Erasmus Univ</w:t>
                    </w:r>
                    <w:r w:rsidR="00A53815">
                      <w:rPr>
                        <w:rFonts w:asciiTheme="majorHAnsi" w:eastAsiaTheme="majorEastAsia" w:hAnsiTheme="majorHAnsi" w:cstheme="majorBidi"/>
                        <w:caps/>
                      </w:rPr>
                      <w:t>ers</w:t>
                    </w:r>
                    <w:r>
                      <w:rPr>
                        <w:rFonts w:asciiTheme="majorHAnsi" w:eastAsiaTheme="majorEastAsia" w:hAnsiTheme="majorHAnsi" w:cstheme="majorBidi"/>
                        <w:caps/>
                      </w:rPr>
                      <w:t>iteit Rotterdam</w:t>
                    </w:r>
                  </w:p>
                </w:tc>
              </w:sdtContent>
            </w:sdt>
          </w:tr>
          <w:tr w:rsidR="00470942">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70942" w:rsidRDefault="00470942" w:rsidP="0047094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Inkoop van eigen aandelen op de AEX</w:t>
                    </w:r>
                  </w:p>
                </w:tc>
              </w:sdtContent>
            </w:sdt>
          </w:tr>
          <w:tr w:rsidR="00470942">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70942" w:rsidRDefault="00470942" w:rsidP="0047094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Bachelorscriptie</w:t>
                    </w:r>
                    <w:r w:rsidR="00793412">
                      <w:rPr>
                        <w:rFonts w:asciiTheme="majorHAnsi" w:eastAsiaTheme="majorEastAsia" w:hAnsiTheme="majorHAnsi" w:cstheme="majorBidi"/>
                        <w:sz w:val="44"/>
                        <w:szCs w:val="44"/>
                      </w:rPr>
                      <w:t xml:space="preserve"> Economie &amp; Bedrijfseconomie</w:t>
                    </w:r>
                  </w:p>
                </w:tc>
              </w:sdtContent>
            </w:sdt>
          </w:tr>
          <w:tr w:rsidR="00470942">
            <w:trPr>
              <w:trHeight w:val="360"/>
              <w:jc w:val="center"/>
            </w:trPr>
            <w:tc>
              <w:tcPr>
                <w:tcW w:w="5000" w:type="pct"/>
                <w:vAlign w:val="center"/>
              </w:tcPr>
              <w:p w:rsidR="00470942" w:rsidRDefault="00470942">
                <w:pPr>
                  <w:pStyle w:val="NoSpacing"/>
                  <w:jc w:val="center"/>
                </w:pPr>
              </w:p>
            </w:tc>
          </w:tr>
        </w:tbl>
        <w:p w:rsidR="00470942" w:rsidRDefault="00470942"/>
        <w:p w:rsidR="00470942" w:rsidRDefault="00470942">
          <w:pPr>
            <w:rPr>
              <w:sz w:val="28"/>
              <w:szCs w:val="28"/>
            </w:rPr>
          </w:pPr>
          <w:r w:rsidRPr="00470942">
            <w:rPr>
              <w:sz w:val="28"/>
              <w:szCs w:val="28"/>
            </w:rPr>
            <w:tab/>
          </w:r>
          <w:r w:rsidRPr="00470942">
            <w:rPr>
              <w:sz w:val="28"/>
              <w:szCs w:val="28"/>
            </w:rPr>
            <w:tab/>
            <w:t xml:space="preserve">Naam: </w:t>
          </w:r>
          <w:r w:rsidRPr="00470942">
            <w:rPr>
              <w:sz w:val="28"/>
              <w:szCs w:val="28"/>
            </w:rPr>
            <w:tab/>
          </w:r>
          <w:r w:rsidRPr="00470942">
            <w:rPr>
              <w:sz w:val="28"/>
              <w:szCs w:val="28"/>
            </w:rPr>
            <w:tab/>
          </w:r>
          <w:r w:rsidRPr="00470942">
            <w:rPr>
              <w:sz w:val="28"/>
              <w:szCs w:val="28"/>
            </w:rPr>
            <w:tab/>
            <w:t xml:space="preserve">Kevin </w:t>
          </w:r>
          <w:proofErr w:type="spellStart"/>
          <w:r w:rsidRPr="00470942">
            <w:rPr>
              <w:sz w:val="28"/>
              <w:szCs w:val="28"/>
            </w:rPr>
            <w:t>Hendrix</w:t>
          </w:r>
          <w:proofErr w:type="spellEnd"/>
        </w:p>
        <w:p w:rsidR="005F5D70" w:rsidRPr="00470942" w:rsidRDefault="005F5D70">
          <w:pPr>
            <w:rPr>
              <w:sz w:val="28"/>
              <w:szCs w:val="28"/>
            </w:rPr>
          </w:pPr>
          <w:r>
            <w:rPr>
              <w:sz w:val="28"/>
              <w:szCs w:val="28"/>
            </w:rPr>
            <w:tab/>
          </w:r>
          <w:r>
            <w:rPr>
              <w:sz w:val="28"/>
              <w:szCs w:val="28"/>
            </w:rPr>
            <w:tab/>
            <w:t xml:space="preserve">Studentennummer: </w:t>
          </w:r>
          <w:r>
            <w:rPr>
              <w:sz w:val="28"/>
              <w:szCs w:val="28"/>
            </w:rPr>
            <w:tab/>
            <w:t>347499</w:t>
          </w:r>
        </w:p>
        <w:p w:rsidR="00470942" w:rsidRPr="00470942" w:rsidRDefault="00470942">
          <w:pPr>
            <w:rPr>
              <w:sz w:val="28"/>
              <w:szCs w:val="28"/>
            </w:rPr>
          </w:pPr>
          <w:r w:rsidRPr="00470942">
            <w:rPr>
              <w:sz w:val="28"/>
              <w:szCs w:val="28"/>
            </w:rPr>
            <w:tab/>
          </w:r>
          <w:r w:rsidRPr="00470942">
            <w:rPr>
              <w:sz w:val="28"/>
              <w:szCs w:val="28"/>
            </w:rPr>
            <w:tab/>
            <w:t xml:space="preserve">Datum:  </w:t>
          </w:r>
          <w:r w:rsidRPr="00470942">
            <w:rPr>
              <w:sz w:val="28"/>
              <w:szCs w:val="28"/>
            </w:rPr>
            <w:tab/>
          </w:r>
          <w:r w:rsidRPr="00470942">
            <w:rPr>
              <w:sz w:val="28"/>
              <w:szCs w:val="28"/>
            </w:rPr>
            <w:tab/>
          </w:r>
          <w:r>
            <w:rPr>
              <w:sz w:val="28"/>
              <w:szCs w:val="28"/>
            </w:rPr>
            <w:tab/>
          </w:r>
          <w:r w:rsidR="00BC1E03">
            <w:rPr>
              <w:sz w:val="28"/>
              <w:szCs w:val="28"/>
            </w:rPr>
            <w:t>1</w:t>
          </w:r>
          <w:r w:rsidR="00517577">
            <w:rPr>
              <w:sz w:val="28"/>
              <w:szCs w:val="28"/>
            </w:rPr>
            <w:t>6</w:t>
          </w:r>
          <w:r w:rsidR="00736012">
            <w:rPr>
              <w:sz w:val="28"/>
              <w:szCs w:val="28"/>
            </w:rPr>
            <w:t xml:space="preserve"> juli</w:t>
          </w:r>
          <w:r w:rsidRPr="00470942">
            <w:rPr>
              <w:sz w:val="28"/>
              <w:szCs w:val="28"/>
            </w:rPr>
            <w:t xml:space="preserve"> 2013</w:t>
          </w:r>
        </w:p>
        <w:p w:rsidR="00470942" w:rsidRPr="00470942" w:rsidRDefault="00470942">
          <w:pPr>
            <w:rPr>
              <w:sz w:val="28"/>
              <w:szCs w:val="28"/>
            </w:rPr>
          </w:pPr>
          <w:r w:rsidRPr="00470942">
            <w:rPr>
              <w:sz w:val="28"/>
              <w:szCs w:val="28"/>
            </w:rPr>
            <w:tab/>
          </w:r>
          <w:r w:rsidRPr="00470942">
            <w:rPr>
              <w:sz w:val="28"/>
              <w:szCs w:val="28"/>
            </w:rPr>
            <w:tab/>
            <w:t>Scriptiebegeleider:</w:t>
          </w:r>
          <w:r w:rsidRPr="00470942">
            <w:rPr>
              <w:sz w:val="28"/>
              <w:szCs w:val="28"/>
            </w:rPr>
            <w:tab/>
            <w:t>Dr. M.B.J. Schauten</w:t>
          </w:r>
        </w:p>
        <w:p w:rsidR="00470942" w:rsidRDefault="00470942">
          <w:r>
            <w:rPr>
              <w:b/>
              <w:bCs/>
            </w:rPr>
            <w:br w:type="page"/>
          </w:r>
        </w:p>
      </w:sdtContent>
    </w:sdt>
    <w:p w:rsidR="00896053" w:rsidRDefault="00896053" w:rsidP="00896053">
      <w:pPr>
        <w:pStyle w:val="Heading1"/>
        <w:rPr>
          <w:rFonts w:eastAsia="Times New Roman"/>
          <w:lang w:eastAsia="nl-NL"/>
        </w:rPr>
      </w:pPr>
      <w:bookmarkStart w:id="0" w:name="_Toc361526553"/>
      <w:r w:rsidRPr="00896053">
        <w:rPr>
          <w:rFonts w:eastAsia="Times New Roman"/>
          <w:color w:val="auto"/>
          <w:lang w:eastAsia="nl-NL"/>
        </w:rPr>
        <w:lastRenderedPageBreak/>
        <w:t>Inhoudsopgave</w:t>
      </w:r>
      <w:bookmarkEnd w:id="0"/>
    </w:p>
    <w:p w:rsidR="00896053" w:rsidRPr="00896053" w:rsidRDefault="00896053" w:rsidP="00896053">
      <w:pPr>
        <w:rPr>
          <w:lang w:eastAsia="nl-NL"/>
        </w:rPr>
      </w:pPr>
    </w:p>
    <w:p w:rsidR="00DA0AC0" w:rsidRDefault="00E77650">
      <w:pPr>
        <w:pStyle w:val="TOC1"/>
        <w:tabs>
          <w:tab w:val="right" w:leader="dot" w:pos="9060"/>
        </w:tabs>
        <w:rPr>
          <w:rFonts w:eastAsiaTheme="minorEastAsia"/>
          <w:noProof/>
          <w:lang w:eastAsia="nl-NL"/>
        </w:rPr>
      </w:pPr>
      <w:r>
        <w:rPr>
          <w:rFonts w:eastAsia="Times New Roman" w:cs="Arial"/>
          <w:sz w:val="24"/>
          <w:szCs w:val="24"/>
          <w:lang w:eastAsia="nl-NL"/>
        </w:rPr>
        <w:fldChar w:fldCharType="begin"/>
      </w:r>
      <w:r w:rsidR="00CD035F">
        <w:rPr>
          <w:rFonts w:eastAsia="Times New Roman" w:cs="Arial"/>
          <w:sz w:val="24"/>
          <w:szCs w:val="24"/>
          <w:lang w:eastAsia="nl-NL"/>
        </w:rPr>
        <w:instrText xml:space="preserve"> TOC \o "1-3" \h \z \u </w:instrText>
      </w:r>
      <w:r>
        <w:rPr>
          <w:rFonts w:eastAsia="Times New Roman" w:cs="Arial"/>
          <w:sz w:val="24"/>
          <w:szCs w:val="24"/>
          <w:lang w:eastAsia="nl-NL"/>
        </w:rPr>
        <w:fldChar w:fldCharType="separate"/>
      </w:r>
      <w:hyperlink w:anchor="_Toc361526553" w:history="1">
        <w:r w:rsidR="00DA0AC0" w:rsidRPr="002053D9">
          <w:rPr>
            <w:rStyle w:val="Hyperlink"/>
            <w:rFonts w:eastAsia="Times New Roman"/>
            <w:noProof/>
            <w:lang w:eastAsia="nl-NL"/>
          </w:rPr>
          <w:t>Inhoudsopgave</w:t>
        </w:r>
        <w:r w:rsidR="00DA0AC0">
          <w:rPr>
            <w:noProof/>
            <w:webHidden/>
          </w:rPr>
          <w:tab/>
        </w:r>
        <w:r>
          <w:rPr>
            <w:noProof/>
            <w:webHidden/>
          </w:rPr>
          <w:fldChar w:fldCharType="begin"/>
        </w:r>
        <w:r w:rsidR="00DA0AC0">
          <w:rPr>
            <w:noProof/>
            <w:webHidden/>
          </w:rPr>
          <w:instrText xml:space="preserve"> PAGEREF _Toc361526553 \h </w:instrText>
        </w:r>
        <w:r>
          <w:rPr>
            <w:noProof/>
            <w:webHidden/>
          </w:rPr>
        </w:r>
        <w:r>
          <w:rPr>
            <w:noProof/>
            <w:webHidden/>
          </w:rPr>
          <w:fldChar w:fldCharType="separate"/>
        </w:r>
        <w:r w:rsidR="00080D08">
          <w:rPr>
            <w:noProof/>
            <w:webHidden/>
          </w:rPr>
          <w:t>2</w:t>
        </w:r>
        <w:r>
          <w:rPr>
            <w:noProof/>
            <w:webHidden/>
          </w:rPr>
          <w:fldChar w:fldCharType="end"/>
        </w:r>
      </w:hyperlink>
    </w:p>
    <w:p w:rsidR="00DA0AC0" w:rsidRDefault="00E77650">
      <w:pPr>
        <w:pStyle w:val="TOC1"/>
        <w:tabs>
          <w:tab w:val="left" w:pos="440"/>
          <w:tab w:val="right" w:leader="dot" w:pos="9060"/>
        </w:tabs>
        <w:rPr>
          <w:rFonts w:eastAsiaTheme="minorEastAsia"/>
          <w:noProof/>
          <w:lang w:eastAsia="nl-NL"/>
        </w:rPr>
      </w:pPr>
      <w:hyperlink w:anchor="_Toc361526554" w:history="1">
        <w:r w:rsidR="00DA0AC0" w:rsidRPr="002053D9">
          <w:rPr>
            <w:rStyle w:val="Hyperlink"/>
            <w:rFonts w:eastAsia="Times New Roman"/>
            <w:noProof/>
            <w:lang w:eastAsia="nl-NL"/>
          </w:rPr>
          <w:t>1.</w:t>
        </w:r>
        <w:r w:rsidR="00DA0AC0">
          <w:rPr>
            <w:rFonts w:eastAsiaTheme="minorEastAsia"/>
            <w:noProof/>
            <w:lang w:eastAsia="nl-NL"/>
          </w:rPr>
          <w:tab/>
        </w:r>
        <w:r w:rsidR="00DA0AC0" w:rsidRPr="002053D9">
          <w:rPr>
            <w:rStyle w:val="Hyperlink"/>
            <w:rFonts w:eastAsia="Times New Roman"/>
            <w:noProof/>
            <w:lang w:eastAsia="nl-NL"/>
          </w:rPr>
          <w:t>Inleiding</w:t>
        </w:r>
        <w:r w:rsidR="00DA0AC0">
          <w:rPr>
            <w:noProof/>
            <w:webHidden/>
          </w:rPr>
          <w:tab/>
        </w:r>
        <w:r>
          <w:rPr>
            <w:noProof/>
            <w:webHidden/>
          </w:rPr>
          <w:fldChar w:fldCharType="begin"/>
        </w:r>
        <w:r w:rsidR="00DA0AC0">
          <w:rPr>
            <w:noProof/>
            <w:webHidden/>
          </w:rPr>
          <w:instrText xml:space="preserve"> PAGEREF _Toc361526554 \h </w:instrText>
        </w:r>
        <w:r>
          <w:rPr>
            <w:noProof/>
            <w:webHidden/>
          </w:rPr>
        </w:r>
        <w:r>
          <w:rPr>
            <w:noProof/>
            <w:webHidden/>
          </w:rPr>
          <w:fldChar w:fldCharType="separate"/>
        </w:r>
        <w:r w:rsidR="00080D08">
          <w:rPr>
            <w:noProof/>
            <w:webHidden/>
          </w:rPr>
          <w:t>3</w:t>
        </w:r>
        <w:r>
          <w:rPr>
            <w:noProof/>
            <w:webHidden/>
          </w:rPr>
          <w:fldChar w:fldCharType="end"/>
        </w:r>
      </w:hyperlink>
    </w:p>
    <w:p w:rsidR="00DA0AC0" w:rsidRDefault="00E77650">
      <w:pPr>
        <w:pStyle w:val="TOC1"/>
        <w:tabs>
          <w:tab w:val="left" w:pos="440"/>
          <w:tab w:val="right" w:leader="dot" w:pos="9060"/>
        </w:tabs>
        <w:rPr>
          <w:rFonts w:eastAsiaTheme="minorEastAsia"/>
          <w:noProof/>
          <w:lang w:eastAsia="nl-NL"/>
        </w:rPr>
      </w:pPr>
      <w:hyperlink w:anchor="_Toc361526555" w:history="1">
        <w:r w:rsidR="00DA0AC0" w:rsidRPr="002053D9">
          <w:rPr>
            <w:rStyle w:val="Hyperlink"/>
            <w:rFonts w:eastAsia="Times New Roman"/>
            <w:noProof/>
            <w:lang w:eastAsia="nl-NL"/>
          </w:rPr>
          <w:t>2.</w:t>
        </w:r>
        <w:r w:rsidR="00DA0AC0">
          <w:rPr>
            <w:rFonts w:eastAsiaTheme="minorEastAsia"/>
            <w:noProof/>
            <w:lang w:eastAsia="nl-NL"/>
          </w:rPr>
          <w:tab/>
        </w:r>
        <w:r w:rsidR="00DA0AC0" w:rsidRPr="002053D9">
          <w:rPr>
            <w:rStyle w:val="Hyperlink"/>
            <w:rFonts w:eastAsia="Times New Roman"/>
            <w:noProof/>
            <w:lang w:eastAsia="nl-NL"/>
          </w:rPr>
          <w:t>Theorie en eerder verricht empirisch onderzoek</w:t>
        </w:r>
        <w:r w:rsidR="00DA0AC0">
          <w:rPr>
            <w:noProof/>
            <w:webHidden/>
          </w:rPr>
          <w:tab/>
        </w:r>
        <w:r>
          <w:rPr>
            <w:noProof/>
            <w:webHidden/>
          </w:rPr>
          <w:fldChar w:fldCharType="begin"/>
        </w:r>
        <w:r w:rsidR="00DA0AC0">
          <w:rPr>
            <w:noProof/>
            <w:webHidden/>
          </w:rPr>
          <w:instrText xml:space="preserve"> PAGEREF _Toc361526555 \h </w:instrText>
        </w:r>
        <w:r>
          <w:rPr>
            <w:noProof/>
            <w:webHidden/>
          </w:rPr>
        </w:r>
        <w:r>
          <w:rPr>
            <w:noProof/>
            <w:webHidden/>
          </w:rPr>
          <w:fldChar w:fldCharType="separate"/>
        </w:r>
        <w:r w:rsidR="00080D08">
          <w:rPr>
            <w:noProof/>
            <w:webHidden/>
          </w:rPr>
          <w:t>4</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56" w:history="1">
        <w:r w:rsidR="00DA0AC0" w:rsidRPr="002053D9">
          <w:rPr>
            <w:rStyle w:val="Hyperlink"/>
            <w:noProof/>
          </w:rPr>
          <w:t>2.1</w:t>
        </w:r>
        <w:r w:rsidR="00DA0AC0">
          <w:rPr>
            <w:rFonts w:eastAsiaTheme="minorEastAsia"/>
            <w:noProof/>
            <w:lang w:eastAsia="nl-NL"/>
          </w:rPr>
          <w:tab/>
        </w:r>
        <w:r w:rsidR="00DA0AC0" w:rsidRPr="002053D9">
          <w:rPr>
            <w:rStyle w:val="Hyperlink"/>
            <w:noProof/>
          </w:rPr>
          <w:t>Inleiding</w:t>
        </w:r>
        <w:r w:rsidR="00DA0AC0">
          <w:rPr>
            <w:noProof/>
            <w:webHidden/>
          </w:rPr>
          <w:tab/>
        </w:r>
        <w:r>
          <w:rPr>
            <w:noProof/>
            <w:webHidden/>
          </w:rPr>
          <w:fldChar w:fldCharType="begin"/>
        </w:r>
        <w:r w:rsidR="00DA0AC0">
          <w:rPr>
            <w:noProof/>
            <w:webHidden/>
          </w:rPr>
          <w:instrText xml:space="preserve"> PAGEREF _Toc361526556 \h </w:instrText>
        </w:r>
        <w:r>
          <w:rPr>
            <w:noProof/>
            <w:webHidden/>
          </w:rPr>
        </w:r>
        <w:r>
          <w:rPr>
            <w:noProof/>
            <w:webHidden/>
          </w:rPr>
          <w:fldChar w:fldCharType="separate"/>
        </w:r>
        <w:r w:rsidR="00080D08">
          <w:rPr>
            <w:noProof/>
            <w:webHidden/>
          </w:rPr>
          <w:t>4</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57" w:history="1">
        <w:r w:rsidR="00DA0AC0" w:rsidRPr="002053D9">
          <w:rPr>
            <w:rStyle w:val="Hyperlink"/>
            <w:noProof/>
          </w:rPr>
          <w:t>2.2</w:t>
        </w:r>
        <w:r w:rsidR="00DA0AC0">
          <w:rPr>
            <w:rFonts w:eastAsiaTheme="minorEastAsia"/>
            <w:noProof/>
            <w:lang w:eastAsia="nl-NL"/>
          </w:rPr>
          <w:tab/>
        </w:r>
        <w:r w:rsidR="00DA0AC0" w:rsidRPr="002053D9">
          <w:rPr>
            <w:rStyle w:val="Hyperlink"/>
            <w:noProof/>
          </w:rPr>
          <w:t>Perfecte vermogensmarkt</w:t>
        </w:r>
        <w:r w:rsidR="00DA0AC0">
          <w:rPr>
            <w:noProof/>
            <w:webHidden/>
          </w:rPr>
          <w:tab/>
        </w:r>
        <w:r>
          <w:rPr>
            <w:noProof/>
            <w:webHidden/>
          </w:rPr>
          <w:fldChar w:fldCharType="begin"/>
        </w:r>
        <w:r w:rsidR="00DA0AC0">
          <w:rPr>
            <w:noProof/>
            <w:webHidden/>
          </w:rPr>
          <w:instrText xml:space="preserve"> PAGEREF _Toc361526557 \h </w:instrText>
        </w:r>
        <w:r>
          <w:rPr>
            <w:noProof/>
            <w:webHidden/>
          </w:rPr>
        </w:r>
        <w:r>
          <w:rPr>
            <w:noProof/>
            <w:webHidden/>
          </w:rPr>
          <w:fldChar w:fldCharType="separate"/>
        </w:r>
        <w:r w:rsidR="00080D08">
          <w:rPr>
            <w:noProof/>
            <w:webHidden/>
          </w:rPr>
          <w:t>4</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58" w:history="1">
        <w:r w:rsidR="00DA0AC0" w:rsidRPr="002053D9">
          <w:rPr>
            <w:rStyle w:val="Hyperlink"/>
            <w:noProof/>
          </w:rPr>
          <w:t>2.3</w:t>
        </w:r>
        <w:r w:rsidR="00DA0AC0">
          <w:rPr>
            <w:rFonts w:eastAsiaTheme="minorEastAsia"/>
            <w:noProof/>
            <w:lang w:eastAsia="nl-NL"/>
          </w:rPr>
          <w:tab/>
        </w:r>
        <w:r w:rsidR="00DA0AC0" w:rsidRPr="002053D9">
          <w:rPr>
            <w:rStyle w:val="Hyperlink"/>
            <w:noProof/>
          </w:rPr>
          <w:t>De praktijk met markimperfecties</w:t>
        </w:r>
        <w:r w:rsidR="00DA0AC0">
          <w:rPr>
            <w:noProof/>
            <w:webHidden/>
          </w:rPr>
          <w:tab/>
        </w:r>
        <w:r>
          <w:rPr>
            <w:noProof/>
            <w:webHidden/>
          </w:rPr>
          <w:fldChar w:fldCharType="begin"/>
        </w:r>
        <w:r w:rsidR="00DA0AC0">
          <w:rPr>
            <w:noProof/>
            <w:webHidden/>
          </w:rPr>
          <w:instrText xml:space="preserve"> PAGEREF _Toc361526558 \h </w:instrText>
        </w:r>
        <w:r>
          <w:rPr>
            <w:noProof/>
            <w:webHidden/>
          </w:rPr>
        </w:r>
        <w:r>
          <w:rPr>
            <w:noProof/>
            <w:webHidden/>
          </w:rPr>
          <w:fldChar w:fldCharType="separate"/>
        </w:r>
        <w:r w:rsidR="00080D08">
          <w:rPr>
            <w:noProof/>
            <w:webHidden/>
          </w:rPr>
          <w:t>7</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59" w:history="1">
        <w:r w:rsidR="00DA0AC0" w:rsidRPr="002053D9">
          <w:rPr>
            <w:rStyle w:val="Hyperlink"/>
            <w:noProof/>
          </w:rPr>
          <w:t>2.4</w:t>
        </w:r>
        <w:r w:rsidR="00DA0AC0">
          <w:rPr>
            <w:rFonts w:eastAsiaTheme="minorEastAsia"/>
            <w:noProof/>
            <w:lang w:eastAsia="nl-NL"/>
          </w:rPr>
          <w:tab/>
        </w:r>
        <w:r w:rsidR="00DA0AC0" w:rsidRPr="002053D9">
          <w:rPr>
            <w:rStyle w:val="Hyperlink"/>
            <w:noProof/>
          </w:rPr>
          <w:t>Determinanten van het abnormaal rendement</w:t>
        </w:r>
        <w:r w:rsidR="00DA0AC0">
          <w:rPr>
            <w:noProof/>
            <w:webHidden/>
          </w:rPr>
          <w:tab/>
        </w:r>
        <w:r>
          <w:rPr>
            <w:noProof/>
            <w:webHidden/>
          </w:rPr>
          <w:fldChar w:fldCharType="begin"/>
        </w:r>
        <w:r w:rsidR="00DA0AC0">
          <w:rPr>
            <w:noProof/>
            <w:webHidden/>
          </w:rPr>
          <w:instrText xml:space="preserve"> PAGEREF _Toc361526559 \h </w:instrText>
        </w:r>
        <w:r>
          <w:rPr>
            <w:noProof/>
            <w:webHidden/>
          </w:rPr>
        </w:r>
        <w:r>
          <w:rPr>
            <w:noProof/>
            <w:webHidden/>
          </w:rPr>
          <w:fldChar w:fldCharType="separate"/>
        </w:r>
        <w:r w:rsidR="00080D08">
          <w:rPr>
            <w:noProof/>
            <w:webHidden/>
          </w:rPr>
          <w:t>9</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60" w:history="1">
        <w:r w:rsidR="00DA0AC0" w:rsidRPr="002053D9">
          <w:rPr>
            <w:rStyle w:val="Hyperlink"/>
            <w:noProof/>
          </w:rPr>
          <w:t>2.5</w:t>
        </w:r>
        <w:r w:rsidR="00DA0AC0">
          <w:rPr>
            <w:rFonts w:eastAsiaTheme="minorEastAsia"/>
            <w:noProof/>
            <w:lang w:eastAsia="nl-NL"/>
          </w:rPr>
          <w:tab/>
        </w:r>
        <w:r w:rsidR="00DA0AC0" w:rsidRPr="002053D9">
          <w:rPr>
            <w:rStyle w:val="Hyperlink"/>
            <w:noProof/>
          </w:rPr>
          <w:t>Samenvatting</w:t>
        </w:r>
        <w:r w:rsidR="00DA0AC0">
          <w:rPr>
            <w:noProof/>
            <w:webHidden/>
          </w:rPr>
          <w:tab/>
        </w:r>
        <w:r>
          <w:rPr>
            <w:noProof/>
            <w:webHidden/>
          </w:rPr>
          <w:fldChar w:fldCharType="begin"/>
        </w:r>
        <w:r w:rsidR="00DA0AC0">
          <w:rPr>
            <w:noProof/>
            <w:webHidden/>
          </w:rPr>
          <w:instrText xml:space="preserve"> PAGEREF _Toc361526560 \h </w:instrText>
        </w:r>
        <w:r>
          <w:rPr>
            <w:noProof/>
            <w:webHidden/>
          </w:rPr>
        </w:r>
        <w:r>
          <w:rPr>
            <w:noProof/>
            <w:webHidden/>
          </w:rPr>
          <w:fldChar w:fldCharType="separate"/>
        </w:r>
        <w:r w:rsidR="00080D08">
          <w:rPr>
            <w:noProof/>
            <w:webHidden/>
          </w:rPr>
          <w:t>11</w:t>
        </w:r>
        <w:r>
          <w:rPr>
            <w:noProof/>
            <w:webHidden/>
          </w:rPr>
          <w:fldChar w:fldCharType="end"/>
        </w:r>
      </w:hyperlink>
    </w:p>
    <w:p w:rsidR="00DA0AC0" w:rsidRDefault="00E77650">
      <w:pPr>
        <w:pStyle w:val="TOC1"/>
        <w:tabs>
          <w:tab w:val="left" w:pos="440"/>
          <w:tab w:val="right" w:leader="dot" w:pos="9060"/>
        </w:tabs>
        <w:rPr>
          <w:rFonts w:eastAsiaTheme="minorEastAsia"/>
          <w:noProof/>
          <w:lang w:eastAsia="nl-NL"/>
        </w:rPr>
      </w:pPr>
      <w:hyperlink w:anchor="_Toc361526561" w:history="1">
        <w:r w:rsidR="00DA0AC0" w:rsidRPr="002053D9">
          <w:rPr>
            <w:rStyle w:val="Hyperlink"/>
            <w:noProof/>
          </w:rPr>
          <w:t>3.</w:t>
        </w:r>
        <w:r w:rsidR="00DA0AC0">
          <w:rPr>
            <w:rFonts w:eastAsiaTheme="minorEastAsia"/>
            <w:noProof/>
            <w:lang w:eastAsia="nl-NL"/>
          </w:rPr>
          <w:tab/>
        </w:r>
        <w:r w:rsidR="00DA0AC0" w:rsidRPr="002053D9">
          <w:rPr>
            <w:rStyle w:val="Hyperlink"/>
            <w:noProof/>
          </w:rPr>
          <w:t>Methode van aanpak, hypotheses &amp; data</w:t>
        </w:r>
        <w:r w:rsidR="00DA0AC0">
          <w:rPr>
            <w:noProof/>
            <w:webHidden/>
          </w:rPr>
          <w:tab/>
        </w:r>
        <w:r>
          <w:rPr>
            <w:noProof/>
            <w:webHidden/>
          </w:rPr>
          <w:fldChar w:fldCharType="begin"/>
        </w:r>
        <w:r w:rsidR="00DA0AC0">
          <w:rPr>
            <w:noProof/>
            <w:webHidden/>
          </w:rPr>
          <w:instrText xml:space="preserve"> PAGEREF _Toc361526561 \h </w:instrText>
        </w:r>
        <w:r>
          <w:rPr>
            <w:noProof/>
            <w:webHidden/>
          </w:rPr>
        </w:r>
        <w:r>
          <w:rPr>
            <w:noProof/>
            <w:webHidden/>
          </w:rPr>
          <w:fldChar w:fldCharType="separate"/>
        </w:r>
        <w:r w:rsidR="00080D08">
          <w:rPr>
            <w:noProof/>
            <w:webHidden/>
          </w:rPr>
          <w:t>12</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62" w:history="1">
        <w:r w:rsidR="00DA0AC0" w:rsidRPr="002053D9">
          <w:rPr>
            <w:rStyle w:val="Hyperlink"/>
            <w:noProof/>
          </w:rPr>
          <w:t>3.1</w:t>
        </w:r>
        <w:r w:rsidR="00DA0AC0">
          <w:rPr>
            <w:rFonts w:eastAsiaTheme="minorEastAsia"/>
            <w:noProof/>
            <w:lang w:eastAsia="nl-NL"/>
          </w:rPr>
          <w:tab/>
        </w:r>
        <w:r w:rsidR="00DA0AC0" w:rsidRPr="002053D9">
          <w:rPr>
            <w:rStyle w:val="Hyperlink"/>
            <w:noProof/>
          </w:rPr>
          <w:t>Inleiding</w:t>
        </w:r>
        <w:r w:rsidR="00DA0AC0">
          <w:rPr>
            <w:noProof/>
            <w:webHidden/>
          </w:rPr>
          <w:tab/>
        </w:r>
        <w:r>
          <w:rPr>
            <w:noProof/>
            <w:webHidden/>
          </w:rPr>
          <w:fldChar w:fldCharType="begin"/>
        </w:r>
        <w:r w:rsidR="00DA0AC0">
          <w:rPr>
            <w:noProof/>
            <w:webHidden/>
          </w:rPr>
          <w:instrText xml:space="preserve"> PAGEREF _Toc361526562 \h </w:instrText>
        </w:r>
        <w:r>
          <w:rPr>
            <w:noProof/>
            <w:webHidden/>
          </w:rPr>
        </w:r>
        <w:r>
          <w:rPr>
            <w:noProof/>
            <w:webHidden/>
          </w:rPr>
          <w:fldChar w:fldCharType="separate"/>
        </w:r>
        <w:r w:rsidR="00080D08">
          <w:rPr>
            <w:noProof/>
            <w:webHidden/>
          </w:rPr>
          <w:t>12</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63" w:history="1">
        <w:r w:rsidR="00DA0AC0" w:rsidRPr="002053D9">
          <w:rPr>
            <w:rStyle w:val="Hyperlink"/>
            <w:noProof/>
          </w:rPr>
          <w:t>3.2</w:t>
        </w:r>
        <w:r w:rsidR="00DA0AC0">
          <w:rPr>
            <w:rFonts w:eastAsiaTheme="minorEastAsia"/>
            <w:noProof/>
            <w:lang w:eastAsia="nl-NL"/>
          </w:rPr>
          <w:tab/>
        </w:r>
        <w:r w:rsidR="00DA0AC0" w:rsidRPr="002053D9">
          <w:rPr>
            <w:rStyle w:val="Hyperlink"/>
            <w:noProof/>
          </w:rPr>
          <w:t>Methode van aanpak</w:t>
        </w:r>
        <w:r w:rsidR="00DA0AC0">
          <w:rPr>
            <w:noProof/>
            <w:webHidden/>
          </w:rPr>
          <w:tab/>
        </w:r>
        <w:r>
          <w:rPr>
            <w:noProof/>
            <w:webHidden/>
          </w:rPr>
          <w:fldChar w:fldCharType="begin"/>
        </w:r>
        <w:r w:rsidR="00DA0AC0">
          <w:rPr>
            <w:noProof/>
            <w:webHidden/>
          </w:rPr>
          <w:instrText xml:space="preserve"> PAGEREF _Toc361526563 \h </w:instrText>
        </w:r>
        <w:r>
          <w:rPr>
            <w:noProof/>
            <w:webHidden/>
          </w:rPr>
        </w:r>
        <w:r>
          <w:rPr>
            <w:noProof/>
            <w:webHidden/>
          </w:rPr>
          <w:fldChar w:fldCharType="separate"/>
        </w:r>
        <w:r w:rsidR="00080D08">
          <w:rPr>
            <w:noProof/>
            <w:webHidden/>
          </w:rPr>
          <w:t>12</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64" w:history="1">
        <w:r w:rsidR="00DA0AC0" w:rsidRPr="002053D9">
          <w:rPr>
            <w:rStyle w:val="Hyperlink"/>
            <w:noProof/>
          </w:rPr>
          <w:t>3.3</w:t>
        </w:r>
        <w:r w:rsidR="00DA0AC0">
          <w:rPr>
            <w:rFonts w:eastAsiaTheme="minorEastAsia"/>
            <w:noProof/>
            <w:lang w:eastAsia="nl-NL"/>
          </w:rPr>
          <w:tab/>
        </w:r>
        <w:r w:rsidR="00DA0AC0" w:rsidRPr="002053D9">
          <w:rPr>
            <w:rStyle w:val="Hyperlink"/>
            <w:noProof/>
          </w:rPr>
          <w:t>Hypotheses</w:t>
        </w:r>
        <w:r w:rsidR="00DA0AC0">
          <w:rPr>
            <w:noProof/>
            <w:webHidden/>
          </w:rPr>
          <w:tab/>
        </w:r>
        <w:r>
          <w:rPr>
            <w:noProof/>
            <w:webHidden/>
          </w:rPr>
          <w:fldChar w:fldCharType="begin"/>
        </w:r>
        <w:r w:rsidR="00DA0AC0">
          <w:rPr>
            <w:noProof/>
            <w:webHidden/>
          </w:rPr>
          <w:instrText xml:space="preserve"> PAGEREF _Toc361526564 \h </w:instrText>
        </w:r>
        <w:r>
          <w:rPr>
            <w:noProof/>
            <w:webHidden/>
          </w:rPr>
        </w:r>
        <w:r>
          <w:rPr>
            <w:noProof/>
            <w:webHidden/>
          </w:rPr>
          <w:fldChar w:fldCharType="separate"/>
        </w:r>
        <w:r w:rsidR="00080D08">
          <w:rPr>
            <w:noProof/>
            <w:webHidden/>
          </w:rPr>
          <w:t>15</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65" w:history="1">
        <w:r w:rsidR="00DA0AC0" w:rsidRPr="002053D9">
          <w:rPr>
            <w:rStyle w:val="Hyperlink"/>
            <w:noProof/>
          </w:rPr>
          <w:t>3.4</w:t>
        </w:r>
        <w:r w:rsidR="00DA0AC0">
          <w:rPr>
            <w:rFonts w:eastAsiaTheme="minorEastAsia"/>
            <w:noProof/>
            <w:lang w:eastAsia="nl-NL"/>
          </w:rPr>
          <w:tab/>
        </w:r>
        <w:r w:rsidR="00DA0AC0" w:rsidRPr="002053D9">
          <w:rPr>
            <w:rStyle w:val="Hyperlink"/>
            <w:noProof/>
          </w:rPr>
          <w:t>Data</w:t>
        </w:r>
        <w:r w:rsidR="00DA0AC0">
          <w:rPr>
            <w:noProof/>
            <w:webHidden/>
          </w:rPr>
          <w:tab/>
        </w:r>
        <w:r>
          <w:rPr>
            <w:noProof/>
            <w:webHidden/>
          </w:rPr>
          <w:fldChar w:fldCharType="begin"/>
        </w:r>
        <w:r w:rsidR="00DA0AC0">
          <w:rPr>
            <w:noProof/>
            <w:webHidden/>
          </w:rPr>
          <w:instrText xml:space="preserve"> PAGEREF _Toc361526565 \h </w:instrText>
        </w:r>
        <w:r>
          <w:rPr>
            <w:noProof/>
            <w:webHidden/>
          </w:rPr>
        </w:r>
        <w:r>
          <w:rPr>
            <w:noProof/>
            <w:webHidden/>
          </w:rPr>
          <w:fldChar w:fldCharType="separate"/>
        </w:r>
        <w:r w:rsidR="00080D08">
          <w:rPr>
            <w:noProof/>
            <w:webHidden/>
          </w:rPr>
          <w:t>16</w:t>
        </w:r>
        <w:r>
          <w:rPr>
            <w:noProof/>
            <w:webHidden/>
          </w:rPr>
          <w:fldChar w:fldCharType="end"/>
        </w:r>
      </w:hyperlink>
    </w:p>
    <w:p w:rsidR="00DA0AC0" w:rsidRDefault="00E77650">
      <w:pPr>
        <w:pStyle w:val="TOC2"/>
        <w:tabs>
          <w:tab w:val="left" w:pos="1100"/>
          <w:tab w:val="right" w:leader="dot" w:pos="9060"/>
        </w:tabs>
        <w:rPr>
          <w:rFonts w:eastAsiaTheme="minorEastAsia"/>
          <w:noProof/>
          <w:lang w:eastAsia="nl-NL"/>
        </w:rPr>
      </w:pPr>
      <w:hyperlink w:anchor="_Toc361526566" w:history="1">
        <w:r w:rsidR="00DA0AC0" w:rsidRPr="002053D9">
          <w:rPr>
            <w:rStyle w:val="Hyperlink"/>
            <w:noProof/>
          </w:rPr>
          <w:t>3.4.1.</w:t>
        </w:r>
        <w:r w:rsidR="00DA0AC0">
          <w:rPr>
            <w:rFonts w:eastAsiaTheme="minorEastAsia"/>
            <w:noProof/>
            <w:lang w:eastAsia="nl-NL"/>
          </w:rPr>
          <w:tab/>
        </w:r>
        <w:r w:rsidR="00DA0AC0" w:rsidRPr="002053D9">
          <w:rPr>
            <w:rStyle w:val="Hyperlink"/>
            <w:noProof/>
          </w:rPr>
          <w:t>Gehele dataset</w:t>
        </w:r>
        <w:r w:rsidR="00DA0AC0">
          <w:rPr>
            <w:noProof/>
            <w:webHidden/>
          </w:rPr>
          <w:tab/>
        </w:r>
        <w:r>
          <w:rPr>
            <w:noProof/>
            <w:webHidden/>
          </w:rPr>
          <w:fldChar w:fldCharType="begin"/>
        </w:r>
        <w:r w:rsidR="00DA0AC0">
          <w:rPr>
            <w:noProof/>
            <w:webHidden/>
          </w:rPr>
          <w:instrText xml:space="preserve"> PAGEREF _Toc361526566 \h </w:instrText>
        </w:r>
        <w:r>
          <w:rPr>
            <w:noProof/>
            <w:webHidden/>
          </w:rPr>
        </w:r>
        <w:r>
          <w:rPr>
            <w:noProof/>
            <w:webHidden/>
          </w:rPr>
          <w:fldChar w:fldCharType="separate"/>
        </w:r>
        <w:r w:rsidR="00080D08">
          <w:rPr>
            <w:noProof/>
            <w:webHidden/>
          </w:rPr>
          <w:t>16</w:t>
        </w:r>
        <w:r>
          <w:rPr>
            <w:noProof/>
            <w:webHidden/>
          </w:rPr>
          <w:fldChar w:fldCharType="end"/>
        </w:r>
      </w:hyperlink>
    </w:p>
    <w:p w:rsidR="00DA0AC0" w:rsidRDefault="00E77650">
      <w:pPr>
        <w:pStyle w:val="TOC2"/>
        <w:tabs>
          <w:tab w:val="left" w:pos="1100"/>
          <w:tab w:val="right" w:leader="dot" w:pos="9060"/>
        </w:tabs>
        <w:rPr>
          <w:rFonts w:eastAsiaTheme="minorEastAsia"/>
          <w:noProof/>
          <w:lang w:eastAsia="nl-NL"/>
        </w:rPr>
      </w:pPr>
      <w:hyperlink w:anchor="_Toc361526567" w:history="1">
        <w:r w:rsidR="00DA0AC0" w:rsidRPr="002053D9">
          <w:rPr>
            <w:rStyle w:val="Hyperlink"/>
            <w:noProof/>
          </w:rPr>
          <w:t>3.4.2.</w:t>
        </w:r>
        <w:r w:rsidR="00DA0AC0">
          <w:rPr>
            <w:rFonts w:eastAsiaTheme="minorEastAsia"/>
            <w:noProof/>
            <w:lang w:eastAsia="nl-NL"/>
          </w:rPr>
          <w:tab/>
        </w:r>
        <w:r w:rsidR="00DA0AC0" w:rsidRPr="002053D9">
          <w:rPr>
            <w:rStyle w:val="Hyperlink"/>
            <w:noProof/>
          </w:rPr>
          <w:t>Theoretische motieven</w:t>
        </w:r>
        <w:r w:rsidR="00DA0AC0">
          <w:rPr>
            <w:noProof/>
            <w:webHidden/>
          </w:rPr>
          <w:tab/>
        </w:r>
        <w:r>
          <w:rPr>
            <w:noProof/>
            <w:webHidden/>
          </w:rPr>
          <w:fldChar w:fldCharType="begin"/>
        </w:r>
        <w:r w:rsidR="00DA0AC0">
          <w:rPr>
            <w:noProof/>
            <w:webHidden/>
          </w:rPr>
          <w:instrText xml:space="preserve"> PAGEREF _Toc361526567 \h </w:instrText>
        </w:r>
        <w:r>
          <w:rPr>
            <w:noProof/>
            <w:webHidden/>
          </w:rPr>
        </w:r>
        <w:r>
          <w:rPr>
            <w:noProof/>
            <w:webHidden/>
          </w:rPr>
          <w:fldChar w:fldCharType="separate"/>
        </w:r>
        <w:r w:rsidR="00080D08">
          <w:rPr>
            <w:noProof/>
            <w:webHidden/>
          </w:rPr>
          <w:t>17</w:t>
        </w:r>
        <w:r>
          <w:rPr>
            <w:noProof/>
            <w:webHidden/>
          </w:rPr>
          <w:fldChar w:fldCharType="end"/>
        </w:r>
      </w:hyperlink>
    </w:p>
    <w:p w:rsidR="00DA0AC0" w:rsidRDefault="00E77650">
      <w:pPr>
        <w:pStyle w:val="TOC2"/>
        <w:tabs>
          <w:tab w:val="left" w:pos="1100"/>
          <w:tab w:val="right" w:leader="dot" w:pos="9060"/>
        </w:tabs>
        <w:rPr>
          <w:rFonts w:eastAsiaTheme="minorEastAsia"/>
          <w:noProof/>
          <w:lang w:eastAsia="nl-NL"/>
        </w:rPr>
      </w:pPr>
      <w:hyperlink w:anchor="_Toc361526568" w:history="1">
        <w:r w:rsidR="00DA0AC0" w:rsidRPr="002053D9">
          <w:rPr>
            <w:rStyle w:val="Hyperlink"/>
            <w:noProof/>
          </w:rPr>
          <w:t>3.4.3.</w:t>
        </w:r>
        <w:r w:rsidR="00DA0AC0">
          <w:rPr>
            <w:rFonts w:eastAsiaTheme="minorEastAsia"/>
            <w:noProof/>
            <w:lang w:eastAsia="nl-NL"/>
          </w:rPr>
          <w:tab/>
        </w:r>
        <w:r w:rsidR="00DA0AC0" w:rsidRPr="002053D9">
          <w:rPr>
            <w:rStyle w:val="Hyperlink"/>
            <w:noProof/>
          </w:rPr>
          <w:t>Omvang aandeleninkoopprogramma</w:t>
        </w:r>
        <w:r w:rsidR="00DA0AC0">
          <w:rPr>
            <w:noProof/>
            <w:webHidden/>
          </w:rPr>
          <w:tab/>
        </w:r>
        <w:r>
          <w:rPr>
            <w:noProof/>
            <w:webHidden/>
          </w:rPr>
          <w:fldChar w:fldCharType="begin"/>
        </w:r>
        <w:r w:rsidR="00DA0AC0">
          <w:rPr>
            <w:noProof/>
            <w:webHidden/>
          </w:rPr>
          <w:instrText xml:space="preserve"> PAGEREF _Toc361526568 \h </w:instrText>
        </w:r>
        <w:r>
          <w:rPr>
            <w:noProof/>
            <w:webHidden/>
          </w:rPr>
        </w:r>
        <w:r>
          <w:rPr>
            <w:noProof/>
            <w:webHidden/>
          </w:rPr>
          <w:fldChar w:fldCharType="separate"/>
        </w:r>
        <w:r w:rsidR="00080D08">
          <w:rPr>
            <w:noProof/>
            <w:webHidden/>
          </w:rPr>
          <w:t>18</w:t>
        </w:r>
        <w:r>
          <w:rPr>
            <w:noProof/>
            <w:webHidden/>
          </w:rPr>
          <w:fldChar w:fldCharType="end"/>
        </w:r>
      </w:hyperlink>
    </w:p>
    <w:p w:rsidR="00DA0AC0" w:rsidRDefault="00E77650">
      <w:pPr>
        <w:pStyle w:val="TOC2"/>
        <w:tabs>
          <w:tab w:val="left" w:pos="1100"/>
          <w:tab w:val="right" w:leader="dot" w:pos="9060"/>
        </w:tabs>
        <w:rPr>
          <w:rFonts w:eastAsiaTheme="minorEastAsia"/>
          <w:noProof/>
          <w:lang w:eastAsia="nl-NL"/>
        </w:rPr>
      </w:pPr>
      <w:hyperlink w:anchor="_Toc361526569" w:history="1">
        <w:r w:rsidR="00DA0AC0" w:rsidRPr="002053D9">
          <w:rPr>
            <w:rStyle w:val="Hyperlink"/>
            <w:noProof/>
          </w:rPr>
          <w:t>3.4.4.</w:t>
        </w:r>
        <w:r w:rsidR="00DA0AC0">
          <w:rPr>
            <w:rFonts w:eastAsiaTheme="minorEastAsia"/>
            <w:noProof/>
            <w:lang w:eastAsia="nl-NL"/>
          </w:rPr>
          <w:tab/>
        </w:r>
        <w:r w:rsidR="00DA0AC0" w:rsidRPr="002053D9">
          <w:rPr>
            <w:rStyle w:val="Hyperlink"/>
            <w:noProof/>
          </w:rPr>
          <w:t>Belangrijke gebeurtenissen op de dag van aankondiging</w:t>
        </w:r>
        <w:r w:rsidR="00DA0AC0">
          <w:rPr>
            <w:noProof/>
            <w:webHidden/>
          </w:rPr>
          <w:tab/>
        </w:r>
        <w:r>
          <w:rPr>
            <w:noProof/>
            <w:webHidden/>
          </w:rPr>
          <w:fldChar w:fldCharType="begin"/>
        </w:r>
        <w:r w:rsidR="00DA0AC0">
          <w:rPr>
            <w:noProof/>
            <w:webHidden/>
          </w:rPr>
          <w:instrText xml:space="preserve"> PAGEREF _Toc361526569 \h </w:instrText>
        </w:r>
        <w:r>
          <w:rPr>
            <w:noProof/>
            <w:webHidden/>
          </w:rPr>
        </w:r>
        <w:r>
          <w:rPr>
            <w:noProof/>
            <w:webHidden/>
          </w:rPr>
          <w:fldChar w:fldCharType="separate"/>
        </w:r>
        <w:r w:rsidR="00080D08">
          <w:rPr>
            <w:noProof/>
            <w:webHidden/>
          </w:rPr>
          <w:t>19</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0" w:history="1">
        <w:r w:rsidR="00DA0AC0" w:rsidRPr="002053D9">
          <w:rPr>
            <w:rStyle w:val="Hyperlink"/>
            <w:noProof/>
          </w:rPr>
          <w:t>3.5</w:t>
        </w:r>
        <w:r w:rsidR="00DA0AC0">
          <w:rPr>
            <w:rFonts w:eastAsiaTheme="minorEastAsia"/>
            <w:noProof/>
            <w:lang w:eastAsia="nl-NL"/>
          </w:rPr>
          <w:tab/>
        </w:r>
        <w:r w:rsidR="00DA0AC0" w:rsidRPr="002053D9">
          <w:rPr>
            <w:rStyle w:val="Hyperlink"/>
            <w:noProof/>
          </w:rPr>
          <w:t>Samenvatting</w:t>
        </w:r>
        <w:r w:rsidR="00DA0AC0">
          <w:rPr>
            <w:noProof/>
            <w:webHidden/>
          </w:rPr>
          <w:tab/>
        </w:r>
        <w:r>
          <w:rPr>
            <w:noProof/>
            <w:webHidden/>
          </w:rPr>
          <w:fldChar w:fldCharType="begin"/>
        </w:r>
        <w:r w:rsidR="00DA0AC0">
          <w:rPr>
            <w:noProof/>
            <w:webHidden/>
          </w:rPr>
          <w:instrText xml:space="preserve"> PAGEREF _Toc361526570 \h </w:instrText>
        </w:r>
        <w:r>
          <w:rPr>
            <w:noProof/>
            <w:webHidden/>
          </w:rPr>
        </w:r>
        <w:r>
          <w:rPr>
            <w:noProof/>
            <w:webHidden/>
          </w:rPr>
          <w:fldChar w:fldCharType="separate"/>
        </w:r>
        <w:r w:rsidR="00080D08">
          <w:rPr>
            <w:noProof/>
            <w:webHidden/>
          </w:rPr>
          <w:t>19</w:t>
        </w:r>
        <w:r>
          <w:rPr>
            <w:noProof/>
            <w:webHidden/>
          </w:rPr>
          <w:fldChar w:fldCharType="end"/>
        </w:r>
      </w:hyperlink>
    </w:p>
    <w:p w:rsidR="00DA0AC0" w:rsidRDefault="00E77650">
      <w:pPr>
        <w:pStyle w:val="TOC1"/>
        <w:tabs>
          <w:tab w:val="left" w:pos="440"/>
          <w:tab w:val="right" w:leader="dot" w:pos="9060"/>
        </w:tabs>
        <w:rPr>
          <w:rFonts w:eastAsiaTheme="minorEastAsia"/>
          <w:noProof/>
          <w:lang w:eastAsia="nl-NL"/>
        </w:rPr>
      </w:pPr>
      <w:hyperlink w:anchor="_Toc361526571" w:history="1">
        <w:r w:rsidR="00DA0AC0" w:rsidRPr="002053D9">
          <w:rPr>
            <w:rStyle w:val="Hyperlink"/>
            <w:noProof/>
          </w:rPr>
          <w:t>4.</w:t>
        </w:r>
        <w:r w:rsidR="00DA0AC0">
          <w:rPr>
            <w:rFonts w:eastAsiaTheme="minorEastAsia"/>
            <w:noProof/>
            <w:lang w:eastAsia="nl-NL"/>
          </w:rPr>
          <w:tab/>
        </w:r>
        <w:r w:rsidR="00DA0AC0" w:rsidRPr="002053D9">
          <w:rPr>
            <w:rStyle w:val="Hyperlink"/>
            <w:noProof/>
          </w:rPr>
          <w:t>Resultaten</w:t>
        </w:r>
        <w:r w:rsidR="00DA0AC0">
          <w:rPr>
            <w:noProof/>
            <w:webHidden/>
          </w:rPr>
          <w:tab/>
        </w:r>
        <w:r>
          <w:rPr>
            <w:noProof/>
            <w:webHidden/>
          </w:rPr>
          <w:fldChar w:fldCharType="begin"/>
        </w:r>
        <w:r w:rsidR="00DA0AC0">
          <w:rPr>
            <w:noProof/>
            <w:webHidden/>
          </w:rPr>
          <w:instrText xml:space="preserve"> PAGEREF _Toc361526571 \h </w:instrText>
        </w:r>
        <w:r>
          <w:rPr>
            <w:noProof/>
            <w:webHidden/>
          </w:rPr>
        </w:r>
        <w:r>
          <w:rPr>
            <w:noProof/>
            <w:webHidden/>
          </w:rPr>
          <w:fldChar w:fldCharType="separate"/>
        </w:r>
        <w:r w:rsidR="00080D08">
          <w:rPr>
            <w:noProof/>
            <w:webHidden/>
          </w:rPr>
          <w:t>20</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2" w:history="1">
        <w:r w:rsidR="00DA0AC0" w:rsidRPr="002053D9">
          <w:rPr>
            <w:rStyle w:val="Hyperlink"/>
            <w:noProof/>
          </w:rPr>
          <w:t>4.1</w:t>
        </w:r>
        <w:r w:rsidR="00DA0AC0">
          <w:rPr>
            <w:rFonts w:eastAsiaTheme="minorEastAsia"/>
            <w:noProof/>
            <w:lang w:eastAsia="nl-NL"/>
          </w:rPr>
          <w:tab/>
        </w:r>
        <w:r w:rsidR="00DA0AC0" w:rsidRPr="002053D9">
          <w:rPr>
            <w:rStyle w:val="Hyperlink"/>
            <w:noProof/>
          </w:rPr>
          <w:t>Inleiding</w:t>
        </w:r>
        <w:r w:rsidR="00DA0AC0">
          <w:rPr>
            <w:noProof/>
            <w:webHidden/>
          </w:rPr>
          <w:tab/>
        </w:r>
        <w:r>
          <w:rPr>
            <w:noProof/>
            <w:webHidden/>
          </w:rPr>
          <w:fldChar w:fldCharType="begin"/>
        </w:r>
        <w:r w:rsidR="00DA0AC0">
          <w:rPr>
            <w:noProof/>
            <w:webHidden/>
          </w:rPr>
          <w:instrText xml:space="preserve"> PAGEREF _Toc361526572 \h </w:instrText>
        </w:r>
        <w:r>
          <w:rPr>
            <w:noProof/>
            <w:webHidden/>
          </w:rPr>
        </w:r>
        <w:r>
          <w:rPr>
            <w:noProof/>
            <w:webHidden/>
          </w:rPr>
          <w:fldChar w:fldCharType="separate"/>
        </w:r>
        <w:r w:rsidR="00080D08">
          <w:rPr>
            <w:noProof/>
            <w:webHidden/>
          </w:rPr>
          <w:t>20</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3" w:history="1">
        <w:r w:rsidR="00DA0AC0" w:rsidRPr="002053D9">
          <w:rPr>
            <w:rStyle w:val="Hyperlink"/>
            <w:noProof/>
          </w:rPr>
          <w:t>4.2</w:t>
        </w:r>
        <w:r w:rsidR="00DA0AC0">
          <w:rPr>
            <w:rFonts w:eastAsiaTheme="minorEastAsia"/>
            <w:noProof/>
            <w:lang w:eastAsia="nl-NL"/>
          </w:rPr>
          <w:tab/>
        </w:r>
        <w:r w:rsidR="00DA0AC0" w:rsidRPr="002053D9">
          <w:rPr>
            <w:rStyle w:val="Hyperlink"/>
            <w:noProof/>
          </w:rPr>
          <w:t>Resultaten gehele dataset</w:t>
        </w:r>
        <w:r w:rsidR="00DA0AC0">
          <w:rPr>
            <w:noProof/>
            <w:webHidden/>
          </w:rPr>
          <w:tab/>
        </w:r>
        <w:r>
          <w:rPr>
            <w:noProof/>
            <w:webHidden/>
          </w:rPr>
          <w:fldChar w:fldCharType="begin"/>
        </w:r>
        <w:r w:rsidR="00DA0AC0">
          <w:rPr>
            <w:noProof/>
            <w:webHidden/>
          </w:rPr>
          <w:instrText xml:space="preserve"> PAGEREF _Toc361526573 \h </w:instrText>
        </w:r>
        <w:r>
          <w:rPr>
            <w:noProof/>
            <w:webHidden/>
          </w:rPr>
        </w:r>
        <w:r>
          <w:rPr>
            <w:noProof/>
            <w:webHidden/>
          </w:rPr>
          <w:fldChar w:fldCharType="separate"/>
        </w:r>
        <w:r w:rsidR="00080D08">
          <w:rPr>
            <w:noProof/>
            <w:webHidden/>
          </w:rPr>
          <w:t>20</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4" w:history="1">
        <w:r w:rsidR="00DA0AC0" w:rsidRPr="002053D9">
          <w:rPr>
            <w:rStyle w:val="Hyperlink"/>
            <w:noProof/>
          </w:rPr>
          <w:t>4.3</w:t>
        </w:r>
        <w:r w:rsidR="00DA0AC0">
          <w:rPr>
            <w:rFonts w:eastAsiaTheme="minorEastAsia"/>
            <w:noProof/>
            <w:lang w:eastAsia="nl-NL"/>
          </w:rPr>
          <w:tab/>
        </w:r>
        <w:r w:rsidR="00DA0AC0" w:rsidRPr="002053D9">
          <w:rPr>
            <w:rStyle w:val="Hyperlink"/>
            <w:noProof/>
          </w:rPr>
          <w:t>Het onderzoek naar motieven</w:t>
        </w:r>
        <w:r w:rsidR="00DA0AC0">
          <w:rPr>
            <w:noProof/>
            <w:webHidden/>
          </w:rPr>
          <w:tab/>
        </w:r>
        <w:r>
          <w:rPr>
            <w:noProof/>
            <w:webHidden/>
          </w:rPr>
          <w:fldChar w:fldCharType="begin"/>
        </w:r>
        <w:r w:rsidR="00DA0AC0">
          <w:rPr>
            <w:noProof/>
            <w:webHidden/>
          </w:rPr>
          <w:instrText xml:space="preserve"> PAGEREF _Toc361526574 \h </w:instrText>
        </w:r>
        <w:r>
          <w:rPr>
            <w:noProof/>
            <w:webHidden/>
          </w:rPr>
        </w:r>
        <w:r>
          <w:rPr>
            <w:noProof/>
            <w:webHidden/>
          </w:rPr>
          <w:fldChar w:fldCharType="separate"/>
        </w:r>
        <w:r w:rsidR="00080D08">
          <w:rPr>
            <w:noProof/>
            <w:webHidden/>
          </w:rPr>
          <w:t>22</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5" w:history="1">
        <w:r w:rsidR="00DA0AC0" w:rsidRPr="002053D9">
          <w:rPr>
            <w:rStyle w:val="Hyperlink"/>
            <w:noProof/>
          </w:rPr>
          <w:t>4.4</w:t>
        </w:r>
        <w:r w:rsidR="00DA0AC0">
          <w:rPr>
            <w:rFonts w:eastAsiaTheme="minorEastAsia"/>
            <w:noProof/>
            <w:lang w:eastAsia="nl-NL"/>
          </w:rPr>
          <w:tab/>
        </w:r>
        <w:r w:rsidR="00DA0AC0" w:rsidRPr="002053D9">
          <w:rPr>
            <w:rStyle w:val="Hyperlink"/>
            <w:noProof/>
          </w:rPr>
          <w:t>Omvang van het aandeleninkoopprogramma</w:t>
        </w:r>
        <w:r w:rsidR="00DA0AC0">
          <w:rPr>
            <w:noProof/>
            <w:webHidden/>
          </w:rPr>
          <w:tab/>
        </w:r>
        <w:r>
          <w:rPr>
            <w:noProof/>
            <w:webHidden/>
          </w:rPr>
          <w:fldChar w:fldCharType="begin"/>
        </w:r>
        <w:r w:rsidR="00DA0AC0">
          <w:rPr>
            <w:noProof/>
            <w:webHidden/>
          </w:rPr>
          <w:instrText xml:space="preserve"> PAGEREF _Toc361526575 \h </w:instrText>
        </w:r>
        <w:r>
          <w:rPr>
            <w:noProof/>
            <w:webHidden/>
          </w:rPr>
        </w:r>
        <w:r>
          <w:rPr>
            <w:noProof/>
            <w:webHidden/>
          </w:rPr>
          <w:fldChar w:fldCharType="separate"/>
        </w:r>
        <w:r w:rsidR="00080D08">
          <w:rPr>
            <w:noProof/>
            <w:webHidden/>
          </w:rPr>
          <w:t>24</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6" w:history="1">
        <w:r w:rsidR="00DA0AC0" w:rsidRPr="002053D9">
          <w:rPr>
            <w:rStyle w:val="Hyperlink"/>
            <w:noProof/>
          </w:rPr>
          <w:t>4.5</w:t>
        </w:r>
        <w:r w:rsidR="00DA0AC0">
          <w:rPr>
            <w:rFonts w:eastAsiaTheme="minorEastAsia"/>
            <w:noProof/>
            <w:lang w:eastAsia="nl-NL"/>
          </w:rPr>
          <w:tab/>
        </w:r>
        <w:r w:rsidR="00DA0AC0" w:rsidRPr="002053D9">
          <w:rPr>
            <w:rStyle w:val="Hyperlink"/>
            <w:noProof/>
          </w:rPr>
          <w:t>Belangrijke gebeurtenissen anders dan het aandeleninkoopprogramma op de dag van aankondiging</w:t>
        </w:r>
        <w:r w:rsidR="00DA0AC0">
          <w:rPr>
            <w:noProof/>
            <w:webHidden/>
          </w:rPr>
          <w:tab/>
        </w:r>
        <w:r>
          <w:rPr>
            <w:noProof/>
            <w:webHidden/>
          </w:rPr>
          <w:fldChar w:fldCharType="begin"/>
        </w:r>
        <w:r w:rsidR="00DA0AC0">
          <w:rPr>
            <w:noProof/>
            <w:webHidden/>
          </w:rPr>
          <w:instrText xml:space="preserve"> PAGEREF _Toc361526576 \h </w:instrText>
        </w:r>
        <w:r>
          <w:rPr>
            <w:noProof/>
            <w:webHidden/>
          </w:rPr>
        </w:r>
        <w:r>
          <w:rPr>
            <w:noProof/>
            <w:webHidden/>
          </w:rPr>
          <w:fldChar w:fldCharType="separate"/>
        </w:r>
        <w:r w:rsidR="00080D08">
          <w:rPr>
            <w:noProof/>
            <w:webHidden/>
          </w:rPr>
          <w:t>26</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7" w:history="1">
        <w:r w:rsidR="00DA0AC0" w:rsidRPr="002053D9">
          <w:rPr>
            <w:rStyle w:val="Hyperlink"/>
            <w:noProof/>
          </w:rPr>
          <w:t>4.6</w:t>
        </w:r>
        <w:r w:rsidR="00DA0AC0">
          <w:rPr>
            <w:rFonts w:eastAsiaTheme="minorEastAsia"/>
            <w:noProof/>
            <w:lang w:eastAsia="nl-NL"/>
          </w:rPr>
          <w:tab/>
        </w:r>
        <w:r w:rsidR="00DA0AC0" w:rsidRPr="002053D9">
          <w:rPr>
            <w:rStyle w:val="Hyperlink"/>
            <w:noProof/>
          </w:rPr>
          <w:t>Het abnormaal rendement verklaren middels regressiemodellen</w:t>
        </w:r>
        <w:r w:rsidR="00DA0AC0">
          <w:rPr>
            <w:noProof/>
            <w:webHidden/>
          </w:rPr>
          <w:tab/>
        </w:r>
        <w:r>
          <w:rPr>
            <w:noProof/>
            <w:webHidden/>
          </w:rPr>
          <w:fldChar w:fldCharType="begin"/>
        </w:r>
        <w:r w:rsidR="00DA0AC0">
          <w:rPr>
            <w:noProof/>
            <w:webHidden/>
          </w:rPr>
          <w:instrText xml:space="preserve"> PAGEREF _Toc361526577 \h </w:instrText>
        </w:r>
        <w:r>
          <w:rPr>
            <w:noProof/>
            <w:webHidden/>
          </w:rPr>
        </w:r>
        <w:r>
          <w:rPr>
            <w:noProof/>
            <w:webHidden/>
          </w:rPr>
          <w:fldChar w:fldCharType="separate"/>
        </w:r>
        <w:r w:rsidR="00080D08">
          <w:rPr>
            <w:noProof/>
            <w:webHidden/>
          </w:rPr>
          <w:t>30</w:t>
        </w:r>
        <w:r>
          <w:rPr>
            <w:noProof/>
            <w:webHidden/>
          </w:rPr>
          <w:fldChar w:fldCharType="end"/>
        </w:r>
      </w:hyperlink>
    </w:p>
    <w:p w:rsidR="00DA0AC0" w:rsidRDefault="00E77650">
      <w:pPr>
        <w:pStyle w:val="TOC2"/>
        <w:tabs>
          <w:tab w:val="left" w:pos="880"/>
          <w:tab w:val="right" w:leader="dot" w:pos="9060"/>
        </w:tabs>
        <w:rPr>
          <w:rFonts w:eastAsiaTheme="minorEastAsia"/>
          <w:noProof/>
          <w:lang w:eastAsia="nl-NL"/>
        </w:rPr>
      </w:pPr>
      <w:hyperlink w:anchor="_Toc361526578" w:history="1">
        <w:r w:rsidR="00DA0AC0" w:rsidRPr="002053D9">
          <w:rPr>
            <w:rStyle w:val="Hyperlink"/>
            <w:noProof/>
          </w:rPr>
          <w:t>4.7</w:t>
        </w:r>
        <w:r w:rsidR="00DA0AC0">
          <w:rPr>
            <w:rFonts w:eastAsiaTheme="minorEastAsia"/>
            <w:noProof/>
            <w:lang w:eastAsia="nl-NL"/>
          </w:rPr>
          <w:tab/>
        </w:r>
        <w:r w:rsidR="00DA0AC0" w:rsidRPr="002053D9">
          <w:rPr>
            <w:rStyle w:val="Hyperlink"/>
            <w:noProof/>
          </w:rPr>
          <w:t>Samenvatting</w:t>
        </w:r>
        <w:r w:rsidR="00DA0AC0">
          <w:rPr>
            <w:noProof/>
            <w:webHidden/>
          </w:rPr>
          <w:tab/>
        </w:r>
        <w:r>
          <w:rPr>
            <w:noProof/>
            <w:webHidden/>
          </w:rPr>
          <w:fldChar w:fldCharType="begin"/>
        </w:r>
        <w:r w:rsidR="00DA0AC0">
          <w:rPr>
            <w:noProof/>
            <w:webHidden/>
          </w:rPr>
          <w:instrText xml:space="preserve"> PAGEREF _Toc361526578 \h </w:instrText>
        </w:r>
        <w:r>
          <w:rPr>
            <w:noProof/>
            <w:webHidden/>
          </w:rPr>
        </w:r>
        <w:r>
          <w:rPr>
            <w:noProof/>
            <w:webHidden/>
          </w:rPr>
          <w:fldChar w:fldCharType="separate"/>
        </w:r>
        <w:r w:rsidR="00080D08">
          <w:rPr>
            <w:noProof/>
            <w:webHidden/>
          </w:rPr>
          <w:t>32</w:t>
        </w:r>
        <w:r>
          <w:rPr>
            <w:noProof/>
            <w:webHidden/>
          </w:rPr>
          <w:fldChar w:fldCharType="end"/>
        </w:r>
      </w:hyperlink>
    </w:p>
    <w:p w:rsidR="00DA0AC0" w:rsidRDefault="00E77650">
      <w:pPr>
        <w:pStyle w:val="TOC1"/>
        <w:tabs>
          <w:tab w:val="left" w:pos="440"/>
          <w:tab w:val="right" w:leader="dot" w:pos="9060"/>
        </w:tabs>
        <w:rPr>
          <w:rFonts w:eastAsiaTheme="minorEastAsia"/>
          <w:noProof/>
          <w:lang w:eastAsia="nl-NL"/>
        </w:rPr>
      </w:pPr>
      <w:hyperlink w:anchor="_Toc361526579" w:history="1">
        <w:r w:rsidR="00DA0AC0" w:rsidRPr="002053D9">
          <w:rPr>
            <w:rStyle w:val="Hyperlink"/>
            <w:noProof/>
          </w:rPr>
          <w:t>5.</w:t>
        </w:r>
        <w:r w:rsidR="00DA0AC0">
          <w:rPr>
            <w:rFonts w:eastAsiaTheme="minorEastAsia"/>
            <w:noProof/>
            <w:lang w:eastAsia="nl-NL"/>
          </w:rPr>
          <w:tab/>
        </w:r>
        <w:r w:rsidR="00DA0AC0" w:rsidRPr="002053D9">
          <w:rPr>
            <w:rStyle w:val="Hyperlink"/>
            <w:noProof/>
          </w:rPr>
          <w:t>Conclusie</w:t>
        </w:r>
        <w:r w:rsidR="00DA0AC0">
          <w:rPr>
            <w:noProof/>
            <w:webHidden/>
          </w:rPr>
          <w:tab/>
        </w:r>
        <w:r>
          <w:rPr>
            <w:noProof/>
            <w:webHidden/>
          </w:rPr>
          <w:fldChar w:fldCharType="begin"/>
        </w:r>
        <w:r w:rsidR="00DA0AC0">
          <w:rPr>
            <w:noProof/>
            <w:webHidden/>
          </w:rPr>
          <w:instrText xml:space="preserve"> PAGEREF _Toc361526579 \h </w:instrText>
        </w:r>
        <w:r>
          <w:rPr>
            <w:noProof/>
            <w:webHidden/>
          </w:rPr>
        </w:r>
        <w:r>
          <w:rPr>
            <w:noProof/>
            <w:webHidden/>
          </w:rPr>
          <w:fldChar w:fldCharType="separate"/>
        </w:r>
        <w:r w:rsidR="00080D08">
          <w:rPr>
            <w:noProof/>
            <w:webHidden/>
          </w:rPr>
          <w:t>33</w:t>
        </w:r>
        <w:r>
          <w:rPr>
            <w:noProof/>
            <w:webHidden/>
          </w:rPr>
          <w:fldChar w:fldCharType="end"/>
        </w:r>
      </w:hyperlink>
    </w:p>
    <w:p w:rsidR="00DA0AC0" w:rsidRDefault="00E77650">
      <w:pPr>
        <w:pStyle w:val="TOC1"/>
        <w:tabs>
          <w:tab w:val="right" w:leader="dot" w:pos="9060"/>
        </w:tabs>
        <w:rPr>
          <w:rFonts w:eastAsiaTheme="minorEastAsia"/>
          <w:noProof/>
          <w:lang w:eastAsia="nl-NL"/>
        </w:rPr>
      </w:pPr>
      <w:hyperlink w:anchor="_Toc361526580" w:history="1">
        <w:r w:rsidR="00DA0AC0" w:rsidRPr="002053D9">
          <w:rPr>
            <w:rStyle w:val="Hyperlink"/>
            <w:noProof/>
          </w:rPr>
          <w:t>Bijlages</w:t>
        </w:r>
        <w:r w:rsidR="00DA0AC0">
          <w:rPr>
            <w:noProof/>
            <w:webHidden/>
          </w:rPr>
          <w:tab/>
        </w:r>
        <w:r>
          <w:rPr>
            <w:noProof/>
            <w:webHidden/>
          </w:rPr>
          <w:fldChar w:fldCharType="begin"/>
        </w:r>
        <w:r w:rsidR="00DA0AC0">
          <w:rPr>
            <w:noProof/>
            <w:webHidden/>
          </w:rPr>
          <w:instrText xml:space="preserve"> PAGEREF _Toc361526580 \h </w:instrText>
        </w:r>
        <w:r>
          <w:rPr>
            <w:noProof/>
            <w:webHidden/>
          </w:rPr>
        </w:r>
        <w:r>
          <w:rPr>
            <w:noProof/>
            <w:webHidden/>
          </w:rPr>
          <w:fldChar w:fldCharType="separate"/>
        </w:r>
        <w:r w:rsidR="00080D08">
          <w:rPr>
            <w:noProof/>
            <w:webHidden/>
          </w:rPr>
          <w:t>35</w:t>
        </w:r>
        <w:r>
          <w:rPr>
            <w:noProof/>
            <w:webHidden/>
          </w:rPr>
          <w:fldChar w:fldCharType="end"/>
        </w:r>
      </w:hyperlink>
    </w:p>
    <w:p w:rsidR="00DA0AC0" w:rsidRDefault="00E77650">
      <w:pPr>
        <w:pStyle w:val="TOC1"/>
        <w:tabs>
          <w:tab w:val="right" w:leader="dot" w:pos="9060"/>
        </w:tabs>
        <w:rPr>
          <w:rFonts w:eastAsiaTheme="minorEastAsia"/>
          <w:noProof/>
          <w:lang w:eastAsia="nl-NL"/>
        </w:rPr>
      </w:pPr>
      <w:hyperlink w:anchor="_Toc361526581" w:history="1">
        <w:r w:rsidR="00DA0AC0" w:rsidRPr="002053D9">
          <w:rPr>
            <w:rStyle w:val="Hyperlink"/>
            <w:noProof/>
          </w:rPr>
          <w:t>Literatuurlijst</w:t>
        </w:r>
        <w:r w:rsidR="00DA0AC0">
          <w:rPr>
            <w:noProof/>
            <w:webHidden/>
          </w:rPr>
          <w:tab/>
        </w:r>
        <w:r>
          <w:rPr>
            <w:noProof/>
            <w:webHidden/>
          </w:rPr>
          <w:fldChar w:fldCharType="begin"/>
        </w:r>
        <w:r w:rsidR="00DA0AC0">
          <w:rPr>
            <w:noProof/>
            <w:webHidden/>
          </w:rPr>
          <w:instrText xml:space="preserve"> PAGEREF _Toc361526581 \h </w:instrText>
        </w:r>
        <w:r>
          <w:rPr>
            <w:noProof/>
            <w:webHidden/>
          </w:rPr>
        </w:r>
        <w:r>
          <w:rPr>
            <w:noProof/>
            <w:webHidden/>
          </w:rPr>
          <w:fldChar w:fldCharType="separate"/>
        </w:r>
        <w:r w:rsidR="00080D08">
          <w:rPr>
            <w:noProof/>
            <w:webHidden/>
          </w:rPr>
          <w:t>45</w:t>
        </w:r>
        <w:r>
          <w:rPr>
            <w:noProof/>
            <w:webHidden/>
          </w:rPr>
          <w:fldChar w:fldCharType="end"/>
        </w:r>
      </w:hyperlink>
    </w:p>
    <w:p w:rsidR="00C20DA3" w:rsidRDefault="00E77650" w:rsidP="006F5F53">
      <w:pPr>
        <w:pStyle w:val="TOC1"/>
        <w:tabs>
          <w:tab w:val="left" w:pos="440"/>
          <w:tab w:val="right" w:leader="dot" w:pos="9060"/>
        </w:tabs>
        <w:rPr>
          <w:rFonts w:eastAsia="Times New Roman" w:cs="Arial"/>
          <w:sz w:val="24"/>
          <w:szCs w:val="24"/>
          <w:lang w:eastAsia="nl-NL"/>
        </w:rPr>
      </w:pPr>
      <w:r>
        <w:rPr>
          <w:rFonts w:eastAsia="Times New Roman" w:cs="Arial"/>
          <w:sz w:val="24"/>
          <w:szCs w:val="24"/>
          <w:lang w:eastAsia="nl-NL"/>
        </w:rPr>
        <w:fldChar w:fldCharType="end"/>
      </w:r>
    </w:p>
    <w:p w:rsidR="003F5485" w:rsidRPr="003F5485" w:rsidRDefault="003F5485" w:rsidP="003F5485">
      <w:pPr>
        <w:rPr>
          <w:lang w:eastAsia="nl-NL"/>
        </w:rPr>
      </w:pPr>
    </w:p>
    <w:p w:rsidR="005D52B1" w:rsidRPr="00D52FC8" w:rsidRDefault="00847540" w:rsidP="00D52FC8">
      <w:pPr>
        <w:pStyle w:val="Heading1"/>
        <w:numPr>
          <w:ilvl w:val="0"/>
          <w:numId w:val="1"/>
        </w:numPr>
        <w:rPr>
          <w:rFonts w:eastAsia="Times New Roman"/>
          <w:color w:val="auto"/>
          <w:lang w:eastAsia="nl-NL"/>
        </w:rPr>
      </w:pPr>
      <w:bookmarkStart w:id="1" w:name="_Toc361526554"/>
      <w:r>
        <w:rPr>
          <w:rFonts w:eastAsia="Times New Roman"/>
          <w:color w:val="auto"/>
          <w:lang w:eastAsia="nl-NL"/>
        </w:rPr>
        <w:lastRenderedPageBreak/>
        <w:t>I</w:t>
      </w:r>
      <w:r w:rsidR="001F7D2D" w:rsidRPr="001F7D2D">
        <w:rPr>
          <w:rFonts w:eastAsia="Times New Roman"/>
          <w:color w:val="auto"/>
          <w:lang w:eastAsia="nl-NL"/>
        </w:rPr>
        <w:t>nleiding</w:t>
      </w:r>
      <w:bookmarkEnd w:id="1"/>
    </w:p>
    <w:p w:rsidR="00C7334F" w:rsidRDefault="00110241" w:rsidP="009965EB">
      <w:pPr>
        <w:pStyle w:val="NoSpacing"/>
        <w:spacing w:before="120"/>
        <w:jc w:val="both"/>
      </w:pPr>
      <w:r>
        <w:t xml:space="preserve">Een </w:t>
      </w:r>
      <w:proofErr w:type="spellStart"/>
      <w:r>
        <w:t>aandeleninkoopprogramma</w:t>
      </w:r>
      <w:proofErr w:type="spellEnd"/>
      <w:r>
        <w:t xml:space="preserve"> is een financieringsinstrument, waarbij </w:t>
      </w:r>
      <w:r w:rsidR="004B0EE4">
        <w:t>een</w:t>
      </w:r>
      <w:r>
        <w:t xml:space="preserve"> beursgenoteerde onderneming overgaat tot het inkopen van eigen aandelen</w:t>
      </w:r>
      <w:r w:rsidR="001C74CC">
        <w:t>. In de Verenigde Staten</w:t>
      </w:r>
      <w:r w:rsidR="007E05AD">
        <w:t xml:space="preserve"> </w:t>
      </w:r>
      <w:r w:rsidR="00AD48F8">
        <w:t xml:space="preserve">zijn </w:t>
      </w:r>
      <w:proofErr w:type="spellStart"/>
      <w:r w:rsidR="00AD48F8">
        <w:t>aandeleninkoopprogramma’s</w:t>
      </w:r>
      <w:proofErr w:type="spellEnd"/>
      <w:r w:rsidR="00AD48F8">
        <w:t xml:space="preserve"> al</w:t>
      </w:r>
      <w:r w:rsidR="00A30AE9">
        <w:t xml:space="preserve"> decen</w:t>
      </w:r>
      <w:r w:rsidR="00BB073B">
        <w:t>n</w:t>
      </w:r>
      <w:r w:rsidR="00A30AE9">
        <w:t>ia lang populair.</w:t>
      </w:r>
      <w:r w:rsidR="00344B51">
        <w:t xml:space="preserve"> </w:t>
      </w:r>
      <w:r w:rsidR="001C74CC">
        <w:t xml:space="preserve">In </w:t>
      </w:r>
      <w:r w:rsidR="007E05AD">
        <w:t xml:space="preserve">continentaal </w:t>
      </w:r>
      <w:r w:rsidR="001C74CC">
        <w:t xml:space="preserve">Europa </w:t>
      </w:r>
      <w:r w:rsidR="00AD48F8">
        <w:t>werd dit financieringsinstrument tot 1998 nauwelijks toegepast</w:t>
      </w:r>
      <w:r w:rsidR="00A30AE9">
        <w:t>, doordat h</w:t>
      </w:r>
      <w:r w:rsidR="0088535E">
        <w:t xml:space="preserve">et inkopen van eigen aandelen verboden was of fiscaal nadelig werd behandeld </w:t>
      </w:r>
      <w:r w:rsidR="00344B51">
        <w:t>(</w:t>
      </w:r>
      <w:proofErr w:type="spellStart"/>
      <w:r w:rsidR="00344B51">
        <w:t>Rau</w:t>
      </w:r>
      <w:proofErr w:type="spellEnd"/>
      <w:r w:rsidR="00344B51">
        <w:t xml:space="preserve">, </w:t>
      </w:r>
      <w:proofErr w:type="spellStart"/>
      <w:r w:rsidR="00344B51">
        <w:t>Vermaelen</w:t>
      </w:r>
      <w:proofErr w:type="spellEnd"/>
      <w:r w:rsidR="00344B51">
        <w:t>, 2002)</w:t>
      </w:r>
      <w:r w:rsidR="007E05AD">
        <w:t>.</w:t>
      </w:r>
      <w:r w:rsidR="004D7E7D">
        <w:t xml:space="preserve"> Inmiddels behoort het inkopen van eigen aandelen ook in Europa tot de standaard financieringsinstrumenten</w:t>
      </w:r>
      <w:r w:rsidR="00A30AE9">
        <w:t xml:space="preserve"> (Boot &amp; </w:t>
      </w:r>
      <w:proofErr w:type="spellStart"/>
      <w:r w:rsidR="00A30AE9">
        <w:t>Cools</w:t>
      </w:r>
      <w:proofErr w:type="spellEnd"/>
      <w:r w:rsidR="00A30AE9">
        <w:t>, 2013)</w:t>
      </w:r>
      <w:r w:rsidR="004D7E7D">
        <w:t xml:space="preserve">. </w:t>
      </w:r>
      <w:r w:rsidR="00344B51">
        <w:t xml:space="preserve"> </w:t>
      </w:r>
      <w:r w:rsidR="001C74CC">
        <w:t xml:space="preserve"> </w:t>
      </w:r>
    </w:p>
    <w:p w:rsidR="00110241" w:rsidRDefault="00110241" w:rsidP="009965EB">
      <w:pPr>
        <w:pStyle w:val="NoSpacing"/>
        <w:jc w:val="both"/>
      </w:pPr>
    </w:p>
    <w:p w:rsidR="003F5485" w:rsidRDefault="003F5485" w:rsidP="009965EB">
      <w:pPr>
        <w:pStyle w:val="NoSpacing"/>
        <w:jc w:val="both"/>
      </w:pPr>
      <w:r>
        <w:t xml:space="preserve">Voor </w:t>
      </w:r>
      <w:r w:rsidR="00D4639A">
        <w:t xml:space="preserve">het management van </w:t>
      </w:r>
      <w:r>
        <w:t xml:space="preserve">een onderneming is het </w:t>
      </w:r>
      <w:r w:rsidR="00D4639A">
        <w:t>belangrijk</w:t>
      </w:r>
      <w:r>
        <w:t xml:space="preserve"> om te weten of aandeelhouders </w:t>
      </w:r>
      <w:r w:rsidR="00A30AE9">
        <w:t>waarde hechten aan het inkopen van eigen aandelen</w:t>
      </w:r>
      <w:r w:rsidR="00D4639A">
        <w:t>. Het management is immers ingehuurd om de belangen van de aandeelhouders te behar</w:t>
      </w:r>
      <w:r w:rsidR="00DA2C67">
        <w:t>t</w:t>
      </w:r>
      <w:r w:rsidR="00D4639A">
        <w:t>igen</w:t>
      </w:r>
      <w:r w:rsidR="00FF48C6">
        <w:t xml:space="preserve"> (Merchant &amp; Van der Stede, </w:t>
      </w:r>
      <w:r w:rsidR="003813B9">
        <w:t>2012)</w:t>
      </w:r>
      <w:r>
        <w:t>. Er zijn diverse onderzoeken geweest die de koersreactie op en rondom de dag van aankondiging onderzo</w:t>
      </w:r>
      <w:r w:rsidR="00DA2C67">
        <w:t>cht</w:t>
      </w:r>
      <w:r w:rsidR="003043D9">
        <w:t xml:space="preserve"> hebben</w:t>
      </w:r>
      <w:r w:rsidR="004B650F">
        <w:t xml:space="preserve">, om </w:t>
      </w:r>
      <w:r w:rsidR="00D57AB7">
        <w:t xml:space="preserve">zo </w:t>
      </w:r>
      <w:r w:rsidR="004B650F">
        <w:t xml:space="preserve">te </w:t>
      </w:r>
      <w:r w:rsidR="00D57AB7">
        <w:t xml:space="preserve">kunnen </w:t>
      </w:r>
      <w:r w:rsidR="004B650F">
        <w:t xml:space="preserve">bepalen of er sprake is van </w:t>
      </w:r>
      <w:proofErr w:type="spellStart"/>
      <w:r w:rsidR="004B650F">
        <w:t>aandeelhouderswaardecreatie</w:t>
      </w:r>
      <w:proofErr w:type="spellEnd"/>
      <w:r>
        <w:t xml:space="preserve">. </w:t>
      </w:r>
      <w:r w:rsidR="00056BFF">
        <w:t xml:space="preserve">De </w:t>
      </w:r>
      <w:r w:rsidR="00DA2C67">
        <w:t>koersreactie</w:t>
      </w:r>
      <w:r w:rsidR="00056BFF">
        <w:t xml:space="preserve"> wordt hierbij uitgedr</w:t>
      </w:r>
      <w:r w:rsidR="00D57AB7">
        <w:t xml:space="preserve">ukt in het abnormaal rendement. Dit is </w:t>
      </w:r>
      <w:r w:rsidR="00056BFF">
        <w:t xml:space="preserve">het rendement </w:t>
      </w:r>
      <w:r w:rsidR="00D57AB7">
        <w:t>wat boven het normaal rendement wordt behaald.</w:t>
      </w:r>
      <w:r w:rsidR="00DA2C67">
        <w:t xml:space="preserve"> Er is sprake van </w:t>
      </w:r>
      <w:proofErr w:type="spellStart"/>
      <w:r w:rsidR="00DA2C67">
        <w:t>aandeelhouderswaardecreatie</w:t>
      </w:r>
      <w:proofErr w:type="spellEnd"/>
      <w:r w:rsidR="00DA2C67">
        <w:t xml:space="preserve"> indien een positief abno</w:t>
      </w:r>
      <w:r w:rsidR="003043D9">
        <w:t xml:space="preserve">rmaal rendement wordt behaald. </w:t>
      </w:r>
      <w:r>
        <w:t xml:space="preserve">In de Verenigde Staten vinden </w:t>
      </w:r>
      <w:proofErr w:type="spellStart"/>
      <w:r>
        <w:t>Ikenberry</w:t>
      </w:r>
      <w:proofErr w:type="spellEnd"/>
      <w:r>
        <w:t xml:space="preserve"> et al</w:t>
      </w:r>
      <w:r w:rsidR="00BC1E03">
        <w:t>.</w:t>
      </w:r>
      <w:r>
        <w:t xml:space="preserve"> (1995) een abnormaal rendement van 3,54% rondom de dag van aankondiging. </w:t>
      </w:r>
      <w:proofErr w:type="spellStart"/>
      <w:r>
        <w:t>Stephens</w:t>
      </w:r>
      <w:proofErr w:type="spellEnd"/>
      <w:r>
        <w:t xml:space="preserve"> &amp; </w:t>
      </w:r>
      <w:proofErr w:type="spellStart"/>
      <w:r>
        <w:t>Weisbach</w:t>
      </w:r>
      <w:proofErr w:type="spellEnd"/>
      <w:r>
        <w:t xml:space="preserve"> </w:t>
      </w:r>
      <w:r w:rsidR="002C162B">
        <w:t xml:space="preserve">(1998) en </w:t>
      </w:r>
      <w:proofErr w:type="spellStart"/>
      <w:r w:rsidR="002C162B">
        <w:t>Liano</w:t>
      </w:r>
      <w:proofErr w:type="spellEnd"/>
      <w:r w:rsidR="002C162B">
        <w:t xml:space="preserve"> et al</w:t>
      </w:r>
      <w:r w:rsidR="00BC1E03">
        <w:t>.</w:t>
      </w:r>
      <w:r w:rsidR="002C162B">
        <w:t xml:space="preserve"> (2003)</w:t>
      </w:r>
      <w:r w:rsidR="00C2755C">
        <w:t xml:space="preserve"> </w:t>
      </w:r>
      <w:r>
        <w:t xml:space="preserve">vinden een abnormaal rendement van </w:t>
      </w:r>
      <w:r w:rsidR="00BF1E4E">
        <w:t xml:space="preserve">respectievelijk </w:t>
      </w:r>
      <w:r>
        <w:t>2,69%</w:t>
      </w:r>
      <w:r w:rsidR="002C162B">
        <w:t xml:space="preserve"> en 2,96%.</w:t>
      </w:r>
      <w:r>
        <w:t xml:space="preserve"> </w:t>
      </w:r>
    </w:p>
    <w:p w:rsidR="00215077" w:rsidRDefault="003F5485" w:rsidP="009965EB">
      <w:pPr>
        <w:pStyle w:val="NoSpacing"/>
        <w:jc w:val="both"/>
      </w:pPr>
      <w:r>
        <w:t xml:space="preserve">Het abnormaal rendement </w:t>
      </w:r>
      <w:r w:rsidR="00BF1E4E">
        <w:t xml:space="preserve">bij het inkopen van eigen aandelen is </w:t>
      </w:r>
      <w:r>
        <w:t xml:space="preserve">ook in Europa onderzocht. </w:t>
      </w:r>
      <w:proofErr w:type="spellStart"/>
      <w:r>
        <w:t>Lasfer</w:t>
      </w:r>
      <w:proofErr w:type="spellEnd"/>
      <w:r>
        <w:t xml:space="preserve"> (2001) vind</w:t>
      </w:r>
      <w:r w:rsidR="00FB146F">
        <w:t>t</w:t>
      </w:r>
      <w:r>
        <w:t xml:space="preserve"> </w:t>
      </w:r>
      <w:r w:rsidR="00BB073B">
        <w:t>in continent</w:t>
      </w:r>
      <w:r w:rsidR="00D66877">
        <w:t xml:space="preserve">aal Europa </w:t>
      </w:r>
      <w:r>
        <w:t>op de dag van aankondi</w:t>
      </w:r>
      <w:r w:rsidR="00D66877">
        <w:t xml:space="preserve">ging een abnormaal </w:t>
      </w:r>
      <w:r w:rsidR="00D4639A">
        <w:t xml:space="preserve">rendement </w:t>
      </w:r>
      <w:r w:rsidR="00D66877">
        <w:t>van 1,06%</w:t>
      </w:r>
      <w:r w:rsidR="00D4639A">
        <w:t xml:space="preserve">. In </w:t>
      </w:r>
      <w:r w:rsidR="00D66877">
        <w:t>het Verenigd Konin</w:t>
      </w:r>
      <w:r w:rsidR="00FF33CA">
        <w:t xml:space="preserve">krijk </w:t>
      </w:r>
      <w:r w:rsidR="00D4639A">
        <w:t>vind</w:t>
      </w:r>
      <w:r w:rsidR="00FB146F">
        <w:t>t</w:t>
      </w:r>
      <w:r w:rsidR="00D4639A">
        <w:t xml:space="preserve"> hij </w:t>
      </w:r>
      <w:r w:rsidR="00FF33CA">
        <w:t>een abnormaal ren</w:t>
      </w:r>
      <w:r w:rsidR="00D66877">
        <w:t>dement van 1,64</w:t>
      </w:r>
      <w:r w:rsidR="00FF33CA">
        <w:t>%</w:t>
      </w:r>
      <w:r w:rsidR="00D66877">
        <w:t xml:space="preserve">. </w:t>
      </w:r>
      <w:proofErr w:type="spellStart"/>
      <w:r w:rsidR="00D66877">
        <w:t>Seifert</w:t>
      </w:r>
      <w:proofErr w:type="spellEnd"/>
      <w:r w:rsidR="00D66877">
        <w:t xml:space="preserve"> &amp; </w:t>
      </w:r>
      <w:proofErr w:type="spellStart"/>
      <w:r w:rsidR="00D66877">
        <w:t>Stehle</w:t>
      </w:r>
      <w:proofErr w:type="spellEnd"/>
      <w:r w:rsidR="00D66877">
        <w:t xml:space="preserve"> (2003) vinden in Duitsland rondom de dag van aankondiging een abno</w:t>
      </w:r>
      <w:r w:rsidR="00215077">
        <w:t>rmaal rendement van 5,87</w:t>
      </w:r>
      <w:r w:rsidR="00AD48F8">
        <w:t>%. Lee et al.</w:t>
      </w:r>
      <w:r w:rsidR="00D66877">
        <w:t xml:space="preserve"> (2010) onderzoeken het abnormaal rendement</w:t>
      </w:r>
      <w:r w:rsidR="00811B8F">
        <w:t xml:space="preserve"> rondom de </w:t>
      </w:r>
      <w:proofErr w:type="spellStart"/>
      <w:r w:rsidR="00811B8F">
        <w:t>aankondigingsdag</w:t>
      </w:r>
      <w:proofErr w:type="spellEnd"/>
      <w:r w:rsidR="00D66877">
        <w:t xml:space="preserve"> in Duitsland, Italië</w:t>
      </w:r>
      <w:r w:rsidR="00C2755C">
        <w:t>, Frankrijk en het Verenigd Koninkrijk.</w:t>
      </w:r>
      <w:r w:rsidR="00811B8F">
        <w:t xml:space="preserve"> Zij vinden in Duitsland een abnormaal rendement van </w:t>
      </w:r>
      <w:r w:rsidR="00056BFF">
        <w:t>3,58%, in Italië een abnormaal rendement</w:t>
      </w:r>
      <w:r w:rsidR="00C2755C">
        <w:t xml:space="preserve"> </w:t>
      </w:r>
      <w:r w:rsidR="00056BFF">
        <w:t xml:space="preserve">van 1,93%, in het Verenigd Koninkrijk een abnormaal rendement van 0,82% en in Frankrijk een abnormaal rendement van 0,21%. </w:t>
      </w:r>
    </w:p>
    <w:p w:rsidR="00252DF3" w:rsidRDefault="00C7334F" w:rsidP="009965EB">
      <w:pPr>
        <w:pStyle w:val="NoSpacing"/>
        <w:jc w:val="both"/>
      </w:pPr>
      <w:r>
        <w:t xml:space="preserve">Het enige </w:t>
      </w:r>
      <w:r w:rsidR="00215077">
        <w:t>onderzoek</w:t>
      </w:r>
      <w:r>
        <w:t xml:space="preserve"> </w:t>
      </w:r>
      <w:r w:rsidR="003043D9">
        <w:t>d</w:t>
      </w:r>
      <w:r w:rsidR="00AC4F56">
        <w:t xml:space="preserve">at betrekking heeft op Nederland, </w:t>
      </w:r>
      <w:r>
        <w:t xml:space="preserve">is </w:t>
      </w:r>
      <w:r w:rsidR="00215077">
        <w:t>verricht</w:t>
      </w:r>
      <w:r>
        <w:t xml:space="preserve"> door Baltus &amp; Schauten (2000). Zij vinden een abnormaal rendement op de dag van aankondiging van </w:t>
      </w:r>
      <w:r w:rsidR="00E467D8">
        <w:t>1,98</w:t>
      </w:r>
      <w:r>
        <w:t xml:space="preserve">%. </w:t>
      </w:r>
      <w:r w:rsidR="00AC4F56">
        <w:t xml:space="preserve">De door hen onderzochte </w:t>
      </w:r>
      <w:proofErr w:type="spellStart"/>
      <w:r w:rsidR="00AC4F56">
        <w:t>aandeleninkoopprogramma’s</w:t>
      </w:r>
      <w:proofErr w:type="spellEnd"/>
      <w:r w:rsidR="00AC4F56">
        <w:t xml:space="preserve"> zijn aangekondigd tussen januari 1985 en maart </w:t>
      </w:r>
      <w:r>
        <w:t>1999</w:t>
      </w:r>
      <w:r w:rsidR="00E467D8">
        <w:t>.</w:t>
      </w:r>
      <w:r>
        <w:t xml:space="preserve"> Sindsdien </w:t>
      </w:r>
      <w:r w:rsidR="00056BFF">
        <w:t>zijn er</w:t>
      </w:r>
      <w:r>
        <w:t xml:space="preserve"> twee belangrijke ontwikkelingen in Nederland</w:t>
      </w:r>
      <w:r w:rsidR="00056BFF">
        <w:t xml:space="preserve"> geweest</w:t>
      </w:r>
      <w:r>
        <w:t xml:space="preserve">. Allereerst is het </w:t>
      </w:r>
      <w:r w:rsidR="00056BFF">
        <w:t>bedrag dat Nederland</w:t>
      </w:r>
      <w:r w:rsidR="00AD48F8">
        <w:t>se</w:t>
      </w:r>
      <w:r w:rsidR="00056BFF">
        <w:t xml:space="preserve"> beursfondsen besteden aan het inkopen van eigen aandelen </w:t>
      </w:r>
      <w:r w:rsidR="00D4639A">
        <w:t>tussen</w:t>
      </w:r>
      <w:r w:rsidR="00056BFF">
        <w:t xml:space="preserve"> 2000 en 2012 vertienvoudigd </w:t>
      </w:r>
      <w:r>
        <w:t xml:space="preserve">(Boot &amp; </w:t>
      </w:r>
      <w:proofErr w:type="spellStart"/>
      <w:r>
        <w:t>Cools</w:t>
      </w:r>
      <w:proofErr w:type="spellEnd"/>
      <w:r>
        <w:t xml:space="preserve">, 2013). Daarnaast is </w:t>
      </w:r>
      <w:r w:rsidR="00D4639A">
        <w:t xml:space="preserve">het sinds 2001 </w:t>
      </w:r>
      <w:r>
        <w:t>voor ondernemingen</w:t>
      </w:r>
      <w:r w:rsidR="00E467D8">
        <w:t xml:space="preserve"> </w:t>
      </w:r>
      <w:r>
        <w:t>fiscaal voordeliger geworden om eigen aandelen in te kopen (Schippers, 2007)</w:t>
      </w:r>
      <w:r w:rsidR="00E467D8">
        <w:t>. De invloed van deze ontwikkelingen is onbekend</w:t>
      </w:r>
      <w:r w:rsidR="00AC4F56">
        <w:t>.</w:t>
      </w:r>
    </w:p>
    <w:p w:rsidR="00E467D8" w:rsidRDefault="00811B8F" w:rsidP="009965EB">
      <w:pPr>
        <w:pStyle w:val="NoSpacing"/>
        <w:jc w:val="both"/>
      </w:pPr>
      <w:r>
        <w:t xml:space="preserve">In </w:t>
      </w:r>
      <w:r w:rsidR="00BA18FF">
        <w:t>dit onderzoek</w:t>
      </w:r>
      <w:r>
        <w:t xml:space="preserve"> </w:t>
      </w:r>
      <w:r w:rsidR="008962A7">
        <w:t>worden</w:t>
      </w:r>
      <w:r>
        <w:t xml:space="preserve"> de </w:t>
      </w:r>
      <w:proofErr w:type="spellStart"/>
      <w:r w:rsidR="00E467D8">
        <w:t>aandeleninkoopprogramma</w:t>
      </w:r>
      <w:r w:rsidR="00215077">
        <w:t>’s</w:t>
      </w:r>
      <w:proofErr w:type="spellEnd"/>
      <w:r w:rsidR="00E467D8">
        <w:t xml:space="preserve"> </w:t>
      </w:r>
      <w:r>
        <w:t xml:space="preserve">die </w:t>
      </w:r>
      <w:r w:rsidR="00E467D8">
        <w:t xml:space="preserve">op de AEX </w:t>
      </w:r>
      <w:r w:rsidR="00215077">
        <w:t>zijn</w:t>
      </w:r>
      <w:r>
        <w:t xml:space="preserve"> a</w:t>
      </w:r>
      <w:r w:rsidR="00D4639A">
        <w:t xml:space="preserve">angekondigd tussen januari 2001 </w:t>
      </w:r>
      <w:r>
        <w:t xml:space="preserve">en maart </w:t>
      </w:r>
      <w:r w:rsidR="00E467D8">
        <w:t>2013 onderzocht.</w:t>
      </w:r>
      <w:r>
        <w:t xml:space="preserve"> Hierbij wordt gekeken naar de koersreacties op en rondom de dag van aankondiging. Daarnaast </w:t>
      </w:r>
      <w:r w:rsidR="008962A7">
        <w:t>wordt gekeken</w:t>
      </w:r>
      <w:r>
        <w:t xml:space="preserve"> </w:t>
      </w:r>
      <w:r w:rsidR="00056BFF">
        <w:t>naar</w:t>
      </w:r>
      <w:r>
        <w:t xml:space="preserve"> de invloed </w:t>
      </w:r>
      <w:r w:rsidR="008962A7">
        <w:t xml:space="preserve">op het abnormaal rendement </w:t>
      </w:r>
      <w:r>
        <w:t xml:space="preserve">van het theoretisch motief om </w:t>
      </w:r>
      <w:r w:rsidR="00056BFF">
        <w:t xml:space="preserve">eigen </w:t>
      </w:r>
      <w:r>
        <w:t xml:space="preserve">aandelen in te kopen, de omvang van het </w:t>
      </w:r>
      <w:proofErr w:type="spellStart"/>
      <w:r>
        <w:t>aandeleninkoopprogramma</w:t>
      </w:r>
      <w:proofErr w:type="spellEnd"/>
      <w:r>
        <w:t xml:space="preserve"> en belangrijke gebeurtenis</w:t>
      </w:r>
      <w:r w:rsidR="00AD48F8">
        <w:t>sen op de dag van aankondiging.</w:t>
      </w:r>
      <w:r w:rsidR="00C7334F">
        <w:t xml:space="preserve"> </w:t>
      </w:r>
      <w:r>
        <w:t xml:space="preserve">Hierbij wordt onder belangrijke gebeurtenissen het presenteren van de </w:t>
      </w:r>
      <w:proofErr w:type="spellStart"/>
      <w:r>
        <w:t>kwartaal-</w:t>
      </w:r>
      <w:proofErr w:type="spellEnd"/>
      <w:r>
        <w:t>, half(jaarcijfers) of een a</w:t>
      </w:r>
      <w:r w:rsidR="00BB073B">
        <w:t>c</w:t>
      </w:r>
      <w:r>
        <w:t xml:space="preserve">quisitie verstaan. </w:t>
      </w:r>
      <w:r w:rsidR="008962A7">
        <w:t>Het</w:t>
      </w:r>
      <w:r>
        <w:t xml:space="preserve"> </w:t>
      </w:r>
      <w:r w:rsidR="008962A7">
        <w:t>norma</w:t>
      </w:r>
      <w:r w:rsidR="00D4639A">
        <w:t>al</w:t>
      </w:r>
      <w:r>
        <w:t xml:space="preserve"> rendement</w:t>
      </w:r>
      <w:r w:rsidR="008962A7">
        <w:t xml:space="preserve">, dat nodig </w:t>
      </w:r>
      <w:r w:rsidR="00D4639A">
        <w:t>is</w:t>
      </w:r>
      <w:r w:rsidR="008962A7">
        <w:t xml:space="preserve"> om het ab</w:t>
      </w:r>
      <w:r w:rsidR="00BB073B">
        <w:t>n</w:t>
      </w:r>
      <w:r w:rsidR="008962A7">
        <w:t>orma</w:t>
      </w:r>
      <w:r w:rsidR="00D4639A">
        <w:t xml:space="preserve">al </w:t>
      </w:r>
      <w:r w:rsidR="008962A7">
        <w:t xml:space="preserve">rendement te kunnen bepalen, </w:t>
      </w:r>
      <w:r>
        <w:t>word</w:t>
      </w:r>
      <w:r w:rsidR="008962A7">
        <w:t>t gemeten</w:t>
      </w:r>
      <w:r>
        <w:t xml:space="preserve"> met zowel het </w:t>
      </w:r>
      <w:proofErr w:type="spellStart"/>
      <w:r>
        <w:t>Market</w:t>
      </w:r>
      <w:r w:rsidR="00056BFF">
        <w:t>-</w:t>
      </w:r>
      <w:r>
        <w:t>Adjusted</w:t>
      </w:r>
      <w:proofErr w:type="spellEnd"/>
      <w:r>
        <w:t xml:space="preserve"> Return Model </w:t>
      </w:r>
      <w:r w:rsidR="00D4639A">
        <w:t>als</w:t>
      </w:r>
      <w:r>
        <w:t xml:space="preserve"> het Markt Model.  </w:t>
      </w:r>
    </w:p>
    <w:p w:rsidR="007E05AD" w:rsidRDefault="007E05AD" w:rsidP="009965EB">
      <w:pPr>
        <w:pStyle w:val="NoSpacing"/>
        <w:jc w:val="both"/>
      </w:pPr>
    </w:p>
    <w:p w:rsidR="00DC5004" w:rsidRDefault="00E467D8" w:rsidP="009965EB">
      <w:pPr>
        <w:pStyle w:val="NoSpacing"/>
        <w:jc w:val="both"/>
      </w:pPr>
      <w:r>
        <w:t xml:space="preserve">De opbouw van </w:t>
      </w:r>
      <w:r w:rsidR="00BA18FF">
        <w:t>dit onderzoek</w:t>
      </w:r>
      <w:r>
        <w:t xml:space="preserve"> is als volgt. In hoofdstuk 2 </w:t>
      </w:r>
      <w:r w:rsidR="00BF1E4E">
        <w:t>word</w:t>
      </w:r>
      <w:r w:rsidR="007E05AD">
        <w:t>en</w:t>
      </w:r>
      <w:r w:rsidR="00BF1E4E">
        <w:t xml:space="preserve"> </w:t>
      </w:r>
      <w:r w:rsidR="00736012">
        <w:t xml:space="preserve">de </w:t>
      </w:r>
      <w:r w:rsidR="00BC1E03">
        <w:t xml:space="preserve">theorieën en de </w:t>
      </w:r>
      <w:r w:rsidR="00736012">
        <w:t>bevindingen van eerder verricht onderzoek besproken</w:t>
      </w:r>
      <w:r w:rsidR="00BF1E4E">
        <w:t>.</w:t>
      </w:r>
      <w:r w:rsidR="007E05AD">
        <w:t xml:space="preserve"> In hoofdstuk 3 </w:t>
      </w:r>
      <w:r w:rsidR="00D4639A">
        <w:t>staan</w:t>
      </w:r>
      <w:r w:rsidR="007E05AD">
        <w:t xml:space="preserve"> de methode van </w:t>
      </w:r>
      <w:r w:rsidR="00D4639A">
        <w:t xml:space="preserve">aanpak, de </w:t>
      </w:r>
      <w:r w:rsidR="00BC1E03">
        <w:t>hypotheses</w:t>
      </w:r>
      <w:r w:rsidR="007E05AD">
        <w:t xml:space="preserve"> en de </w:t>
      </w:r>
      <w:r w:rsidR="00736012">
        <w:t xml:space="preserve">onderzochte </w:t>
      </w:r>
      <w:r w:rsidR="007E05AD">
        <w:t xml:space="preserve">dataset </w:t>
      </w:r>
      <w:r w:rsidR="00D4639A">
        <w:t xml:space="preserve">centraal. </w:t>
      </w:r>
      <w:r w:rsidR="00FB146F">
        <w:t>V</w:t>
      </w:r>
      <w:r w:rsidR="007E05AD">
        <w:t xml:space="preserve">ervolgens </w:t>
      </w:r>
      <w:r w:rsidR="00FB146F">
        <w:t xml:space="preserve">worden in hoofdstuk 4 </w:t>
      </w:r>
      <w:r w:rsidR="007E05AD">
        <w:t xml:space="preserve">de resultaten van het onderzoek weergeven, waarna in hoofdstuk 5 de conclusie volgt. </w:t>
      </w:r>
    </w:p>
    <w:p w:rsidR="00A30AE9" w:rsidRDefault="00A30AE9" w:rsidP="00E467D8">
      <w:pPr>
        <w:pStyle w:val="NoSpacing"/>
      </w:pPr>
    </w:p>
    <w:p w:rsidR="00A30AE9" w:rsidRPr="00470942" w:rsidRDefault="00A30AE9" w:rsidP="00E467D8">
      <w:pPr>
        <w:pStyle w:val="NoSpacing"/>
      </w:pPr>
    </w:p>
    <w:p w:rsidR="001F7D2D" w:rsidRDefault="00470942" w:rsidP="001F71F2">
      <w:pPr>
        <w:pStyle w:val="Heading1"/>
        <w:numPr>
          <w:ilvl w:val="0"/>
          <w:numId w:val="1"/>
        </w:numPr>
        <w:jc w:val="both"/>
        <w:rPr>
          <w:rFonts w:eastAsia="Times New Roman"/>
          <w:color w:val="auto"/>
          <w:lang w:eastAsia="nl-NL"/>
        </w:rPr>
      </w:pPr>
      <w:bookmarkStart w:id="2" w:name="_Toc361526555"/>
      <w:r>
        <w:rPr>
          <w:rFonts w:eastAsia="Times New Roman"/>
          <w:color w:val="auto"/>
          <w:lang w:eastAsia="nl-NL"/>
        </w:rPr>
        <w:lastRenderedPageBreak/>
        <w:t xml:space="preserve">Theorie en eerder verricht </w:t>
      </w:r>
      <w:r w:rsidR="00BC1E03">
        <w:rPr>
          <w:rFonts w:eastAsia="Times New Roman"/>
          <w:color w:val="auto"/>
          <w:lang w:eastAsia="nl-NL"/>
        </w:rPr>
        <w:t xml:space="preserve">empirisch </w:t>
      </w:r>
      <w:r>
        <w:rPr>
          <w:rFonts w:eastAsia="Times New Roman"/>
          <w:color w:val="auto"/>
          <w:lang w:eastAsia="nl-NL"/>
        </w:rPr>
        <w:t>onderzoek</w:t>
      </w:r>
      <w:bookmarkEnd w:id="2"/>
    </w:p>
    <w:p w:rsidR="008143B1" w:rsidRPr="00A16C92" w:rsidRDefault="00B67457" w:rsidP="008143B1">
      <w:pPr>
        <w:pStyle w:val="Heading2"/>
        <w:numPr>
          <w:ilvl w:val="1"/>
          <w:numId w:val="1"/>
        </w:numPr>
        <w:jc w:val="both"/>
        <w:rPr>
          <w:color w:val="auto"/>
        </w:rPr>
      </w:pPr>
      <w:bookmarkStart w:id="3" w:name="_Toc361526556"/>
      <w:r>
        <w:rPr>
          <w:color w:val="auto"/>
        </w:rPr>
        <w:t>Inleiding</w:t>
      </w:r>
      <w:bookmarkEnd w:id="3"/>
    </w:p>
    <w:p w:rsidR="00B67457" w:rsidRPr="00B67457" w:rsidRDefault="00D4639A" w:rsidP="009965EB">
      <w:pPr>
        <w:pStyle w:val="NoSpacing"/>
        <w:spacing w:before="120"/>
        <w:jc w:val="both"/>
      </w:pPr>
      <w:r>
        <w:t>Er is in de literatuur</w:t>
      </w:r>
      <w:r w:rsidR="00FA4DA1">
        <w:t xml:space="preserve"> veel onderzoek </w:t>
      </w:r>
      <w:r>
        <w:t>verricht</w:t>
      </w:r>
      <w:r w:rsidR="00FA4DA1">
        <w:t xml:space="preserve"> naar het inkopen van eigen aandelen, wat verscheidende inzichten heeft opgelever</w:t>
      </w:r>
      <w:r w:rsidR="00BB073B">
        <w:t>d</w:t>
      </w:r>
      <w:r w:rsidR="00FA4DA1">
        <w:t xml:space="preserve">. </w:t>
      </w:r>
      <w:r w:rsidR="008143B1">
        <w:t>Deze inzichten staan centraal in dit hoofdstuk</w:t>
      </w:r>
      <w:r w:rsidR="00FA4DA1">
        <w:t>. In paragraaf 2.2. wordt getoond dat in een perfecte vermogensmarkt</w:t>
      </w:r>
      <w:r>
        <w:t xml:space="preserve"> een </w:t>
      </w:r>
      <w:proofErr w:type="spellStart"/>
      <w:r>
        <w:t>aandeleninkoopprogramma</w:t>
      </w:r>
      <w:proofErr w:type="spellEnd"/>
      <w:r w:rsidR="00FA4DA1">
        <w:t xml:space="preserve"> geen waarde creëert. In paragraaf 2.3 wordt overgegaan naar de realiteit, waarin marktimperfecties</w:t>
      </w:r>
      <w:r>
        <w:t xml:space="preserve"> een rol spelen</w:t>
      </w:r>
      <w:r w:rsidR="00FA4DA1">
        <w:t xml:space="preserve">. Er worden </w:t>
      </w:r>
      <w:r w:rsidR="00BC1E03">
        <w:t>zeven</w:t>
      </w:r>
      <w:r w:rsidR="00FA4DA1">
        <w:t xml:space="preserve"> theoretische motieven besproken die de abnormale koersreacties rondom de dag van aankondiging kunnen verklaren. In paragraaf 2.4 worden vervolgens </w:t>
      </w:r>
      <w:r w:rsidR="00BC1E03">
        <w:t>vijf</w:t>
      </w:r>
      <w:r w:rsidR="00026B0D">
        <w:t xml:space="preserve"> </w:t>
      </w:r>
      <w:r w:rsidR="00FA4DA1">
        <w:t xml:space="preserve">factoren die </w:t>
      </w:r>
      <w:r w:rsidR="00026B0D">
        <w:t xml:space="preserve">(mogelijk) </w:t>
      </w:r>
      <w:r w:rsidR="00FA4DA1">
        <w:t>invloed hebben op de hoogte van het</w:t>
      </w:r>
      <w:r w:rsidR="008143B1">
        <w:t xml:space="preserve"> abnormaal rendement besproken, waarna in paragraaf 2.5 een samenvatting volgt.</w:t>
      </w:r>
    </w:p>
    <w:p w:rsidR="008143B1" w:rsidRPr="00A16C92" w:rsidRDefault="00470942" w:rsidP="008143B1">
      <w:pPr>
        <w:pStyle w:val="Heading2"/>
        <w:numPr>
          <w:ilvl w:val="1"/>
          <w:numId w:val="1"/>
        </w:numPr>
        <w:jc w:val="both"/>
        <w:rPr>
          <w:color w:val="auto"/>
        </w:rPr>
      </w:pPr>
      <w:bookmarkStart w:id="4" w:name="_Toc361526557"/>
      <w:r>
        <w:rPr>
          <w:color w:val="auto"/>
        </w:rPr>
        <w:t>Perfecte vermogensmarkt</w:t>
      </w:r>
      <w:bookmarkEnd w:id="4"/>
    </w:p>
    <w:p w:rsidR="00793412" w:rsidRDefault="00793412" w:rsidP="009965EB">
      <w:pPr>
        <w:pStyle w:val="NoSpacing"/>
        <w:spacing w:before="120"/>
        <w:jc w:val="both"/>
      </w:pPr>
      <w:proofErr w:type="spellStart"/>
      <w:r>
        <w:t>Modgliani</w:t>
      </w:r>
      <w:proofErr w:type="spellEnd"/>
      <w:r>
        <w:t xml:space="preserve"> en Miller toonde in 1958 dat in een perfecte vermogensmarkt</w:t>
      </w:r>
      <w:r>
        <w:rPr>
          <w:rStyle w:val="FootnoteReference"/>
        </w:rPr>
        <w:footnoteReference w:id="1"/>
      </w:r>
      <w:r>
        <w:t xml:space="preserve"> veranderingen in de verm</w:t>
      </w:r>
      <w:r w:rsidR="003E4763">
        <w:t>ogensstructuur geen waarde creë</w:t>
      </w:r>
      <w:r>
        <w:t xml:space="preserve">ren. Bij het inkopen van eigen aandelen is dit het geval; het eigen vermogen (EV) daalt immers. Wat er feitelijk gebeurt bij een </w:t>
      </w:r>
      <w:proofErr w:type="spellStart"/>
      <w:r>
        <w:t>aandeleninkoopprogramma</w:t>
      </w:r>
      <w:proofErr w:type="spellEnd"/>
      <w:r>
        <w:t xml:space="preserve"> is dat zowel de winst per aandeel (WPA) als het marktrisico stijgt. Dit zal nu geïllustreerd worden met een voorbeeld</w:t>
      </w:r>
      <w:r>
        <w:rPr>
          <w:rStyle w:val="FootnoteReference"/>
        </w:rPr>
        <w:footnoteReference w:id="2"/>
      </w:r>
      <w:r>
        <w:t xml:space="preserve">. In dit voorbeeld wordt eerst de situatie voor </w:t>
      </w:r>
      <w:r w:rsidR="00026B0D">
        <w:t xml:space="preserve">het </w:t>
      </w:r>
      <w:proofErr w:type="spellStart"/>
      <w:r>
        <w:t>aandeleninkoopprogramma</w:t>
      </w:r>
      <w:proofErr w:type="spellEnd"/>
      <w:r>
        <w:t xml:space="preserve"> toegelicht, waarna de onderneming vervolgens haar eigen aandelen inkoopt. De balans op basis van marktwaarde voor het inkopen van eigen aandelen is te zien in </w:t>
      </w:r>
      <w:r w:rsidRPr="001749DE">
        <w:t>figuur 1.</w:t>
      </w:r>
      <w:r>
        <w:t xml:space="preserve"> </w:t>
      </w:r>
    </w:p>
    <w:p w:rsidR="005F310D" w:rsidRDefault="005F310D" w:rsidP="00793412">
      <w:pPr>
        <w:pStyle w:val="NoSpacing"/>
      </w:pPr>
    </w:p>
    <w:p w:rsidR="00793412" w:rsidRDefault="00A80B12" w:rsidP="00A80B12">
      <w:pPr>
        <w:pStyle w:val="NoSpacing"/>
      </w:pPr>
      <w:r>
        <w:object w:dxaOrig="6114" w:dyaOrig="1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75pt" o:ole="">
            <v:imagedata r:id="rId9" o:title=""/>
          </v:shape>
          <o:OLEObject Type="Embed" ProgID="Excel.Sheet.12" ShapeID="_x0000_i1025" DrawAspect="Content" ObjectID="_1435651681" r:id="rId10"/>
        </w:object>
      </w:r>
    </w:p>
    <w:p w:rsidR="00793412" w:rsidRDefault="00793412" w:rsidP="00AD3231">
      <w:pPr>
        <w:pStyle w:val="Caption"/>
        <w:jc w:val="both"/>
      </w:pPr>
      <w:r>
        <w:t xml:space="preserve">Figuur </w:t>
      </w:r>
      <w:r w:rsidR="00E77650">
        <w:fldChar w:fldCharType="begin"/>
      </w:r>
      <w:r w:rsidR="00780B1D">
        <w:instrText xml:space="preserve"> SEQ Figuur \* ARABIC </w:instrText>
      </w:r>
      <w:r w:rsidR="00E77650">
        <w:fldChar w:fldCharType="separate"/>
      </w:r>
      <w:r w:rsidR="00080D08">
        <w:rPr>
          <w:noProof/>
        </w:rPr>
        <w:t>1</w:t>
      </w:r>
      <w:r w:rsidR="00E77650">
        <w:fldChar w:fldCharType="end"/>
      </w:r>
      <w:r>
        <w:t>: Balans (gebaseerd op marktwaarden) voor inkopen eigen aandelen van onderneming X</w:t>
      </w:r>
      <w:r w:rsidR="00AD3231">
        <w:t>.</w:t>
      </w:r>
      <w:r>
        <w:t xml:space="preserve"> </w:t>
      </w:r>
    </w:p>
    <w:p w:rsidR="00A719F6" w:rsidRDefault="00A719F6" w:rsidP="00793412">
      <w:pPr>
        <w:pStyle w:val="NoSpacing"/>
        <w:rPr>
          <w:b/>
          <w:sz w:val="24"/>
          <w:szCs w:val="24"/>
        </w:rPr>
      </w:pPr>
    </w:p>
    <w:p w:rsidR="00793412" w:rsidRPr="00DA7450" w:rsidRDefault="00793412" w:rsidP="009965EB">
      <w:pPr>
        <w:pStyle w:val="NoSpacing"/>
        <w:jc w:val="both"/>
        <w:rPr>
          <w:b/>
          <w:sz w:val="24"/>
          <w:szCs w:val="24"/>
        </w:rPr>
      </w:pPr>
      <w:r w:rsidRPr="00DA7450">
        <w:rPr>
          <w:b/>
          <w:sz w:val="24"/>
          <w:szCs w:val="24"/>
        </w:rPr>
        <w:t>Voor inkopen eigen aandelen</w:t>
      </w:r>
    </w:p>
    <w:p w:rsidR="00E467D8" w:rsidRDefault="00E467D8" w:rsidP="009965EB">
      <w:pPr>
        <w:pStyle w:val="NoSpacing"/>
        <w:jc w:val="both"/>
      </w:pPr>
      <w:r>
        <w:t>De marktwaarde</w:t>
      </w:r>
      <w:r w:rsidR="00D4639A">
        <w:t>n</w:t>
      </w:r>
      <w:r>
        <w:t xml:space="preserve"> van de activa</w:t>
      </w:r>
      <w:r w:rsidR="003043D9">
        <w:t>-</w:t>
      </w:r>
      <w:r>
        <w:t xml:space="preserve"> en passivakant van de balans zullen nu verklaard worden. </w:t>
      </w:r>
    </w:p>
    <w:p w:rsidR="00A719F6" w:rsidRDefault="00A719F6" w:rsidP="009965EB">
      <w:pPr>
        <w:pStyle w:val="NoSpacing"/>
        <w:jc w:val="both"/>
        <w:rPr>
          <w:i/>
        </w:rPr>
      </w:pPr>
    </w:p>
    <w:p w:rsidR="006C6A2C" w:rsidRPr="008143B1" w:rsidRDefault="00793412" w:rsidP="009965EB">
      <w:pPr>
        <w:pStyle w:val="NoSpacing"/>
        <w:jc w:val="both"/>
        <w:rPr>
          <w:i/>
        </w:rPr>
      </w:pPr>
      <w:r>
        <w:rPr>
          <w:i/>
        </w:rPr>
        <w:t>Verklaring marktwaarde activakant balans</w:t>
      </w:r>
    </w:p>
    <w:p w:rsidR="00A719F6" w:rsidRDefault="00793412" w:rsidP="009965EB">
      <w:pPr>
        <w:pStyle w:val="NoSpacing"/>
        <w:jc w:val="both"/>
      </w:pPr>
      <w:r>
        <w:t xml:space="preserve">Onderneming X ontleent haar bestaansrecht aan </w:t>
      </w:r>
      <w:r w:rsidR="00BC1E03">
        <w:t>twee</w:t>
      </w:r>
      <w:r>
        <w:t xml:space="preserve"> activiteiten, namelijk activiteit</w:t>
      </w:r>
      <w:r w:rsidR="00026B0D">
        <w:t>en</w:t>
      </w:r>
      <w:r>
        <w:t xml:space="preserve"> A en B. Daarnaast heeft deze onderneming 200 euro aan liquide middelen, die jaarlijks 10 euro genereren</w:t>
      </w:r>
      <w:r>
        <w:rPr>
          <w:rStyle w:val="FootnoteReference"/>
        </w:rPr>
        <w:footnoteReference w:id="3"/>
      </w:r>
      <w:r>
        <w:t>. Activiteit A genereert naar verwachting jaarlijks 60 euro en heeft een bèta</w:t>
      </w:r>
      <w:r>
        <w:rPr>
          <w:rStyle w:val="FootnoteReference"/>
        </w:rPr>
        <w:footnoteReference w:id="4"/>
      </w:r>
      <w:r>
        <w:t xml:space="preserve"> van 3. Activiteit B genereert naar verwachting jaarlijks 50 euro en heeft een bèta  van 1. Het risicovrije rendement (</w:t>
      </w:r>
      <w:proofErr w:type="spellStart"/>
      <w:r>
        <w:t>r</w:t>
      </w:r>
      <w:r w:rsidRPr="00997E60">
        <w:rPr>
          <w:vertAlign w:val="subscript"/>
        </w:rPr>
        <w:t>f</w:t>
      </w:r>
      <w:proofErr w:type="spellEnd"/>
      <w:r>
        <w:t>)</w:t>
      </w:r>
      <w:r w:rsidR="00A719F6">
        <w:t xml:space="preserve"> </w:t>
      </w:r>
      <w:r>
        <w:t>bedraagt 5% en het verwachte marktrendement (</w:t>
      </w:r>
      <w:proofErr w:type="spellStart"/>
      <w:r>
        <w:t>R</w:t>
      </w:r>
      <w:r>
        <w:rPr>
          <w:vertAlign w:val="subscript"/>
        </w:rPr>
        <w:t>m</w:t>
      </w:r>
      <w:proofErr w:type="spellEnd"/>
      <w:r>
        <w:t xml:space="preserve">) is 10%. De </w:t>
      </w:r>
      <w:proofErr w:type="spellStart"/>
      <w:r>
        <w:t>opportunitykosten</w:t>
      </w:r>
      <w:proofErr w:type="spellEnd"/>
      <w:r>
        <w:t xml:space="preserve"> van activiteiten A en B en de liquide middelen bedragen dan respectievelijk 20%, 10% en 5%:</w:t>
      </w:r>
    </w:p>
    <w:p w:rsidR="006C6A2C" w:rsidRDefault="006C6A2C" w:rsidP="00A719F6">
      <w:pPr>
        <w:pStyle w:val="NoSpacing"/>
      </w:pPr>
    </w:p>
    <w:p w:rsidR="00793412" w:rsidRDefault="00E77650" w:rsidP="00793412">
      <w:pPr>
        <w:pStyle w:val="NoSpacing"/>
        <w:rPr>
          <w:rFonts w:eastAsiaTheme="minorEastAsia"/>
          <w:i/>
        </w:rPr>
      </w:pPr>
      <m:oMath>
        <m:sSub>
          <m:sSubPr>
            <m:ctrlPr>
              <w:rPr>
                <w:rFonts w:ascii="Cambria Math" w:hAnsi="Cambria Math"/>
                <w:i/>
              </w:rPr>
            </m:ctrlPr>
          </m:sSubPr>
          <m:e>
            <m:r>
              <w:rPr>
                <w:rFonts w:ascii="Cambria Math" w:hAnsi="Cambria Math"/>
              </w:rPr>
              <m:t>Opportunitykosten</m:t>
            </m:r>
          </m:e>
          <m:sub>
            <m:r>
              <w:rPr>
                <w:rFonts w:ascii="Cambria Math" w:hAnsi="Cambria Math"/>
              </w:rPr>
              <m:t>activiteit A</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=5%+</m:t>
        </m:r>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10-5</m:t>
            </m:r>
          </m:e>
        </m:d>
        <m:r>
          <w:rPr>
            <w:rFonts w:ascii="Cambria Math" w:eastAsiaTheme="minorEastAsia" w:hAnsi="Cambria Math"/>
          </w:rPr>
          <m:t>%=20%</m:t>
        </m:r>
      </m:oMath>
      <w:r w:rsidR="00793412">
        <w:rPr>
          <w:rFonts w:eastAsiaTheme="minorEastAsia"/>
          <w:i/>
        </w:rPr>
        <w:t xml:space="preserve"> </w:t>
      </w:r>
    </w:p>
    <w:p w:rsidR="00793412" w:rsidRDefault="00E77650" w:rsidP="00793412">
      <w:pPr>
        <w:pStyle w:val="NoSpacing"/>
        <w:rPr>
          <w:rFonts w:eastAsiaTheme="minorEastAsia"/>
          <w:i/>
        </w:rPr>
      </w:pPr>
      <m:oMath>
        <m:sSub>
          <m:sSubPr>
            <m:ctrlPr>
              <w:rPr>
                <w:rFonts w:ascii="Cambria Math" w:eastAsiaTheme="minorEastAsia" w:hAnsi="Cambria Math"/>
                <w:i/>
              </w:rPr>
            </m:ctrlPr>
          </m:sSubPr>
          <m:e>
            <m:r>
              <w:rPr>
                <w:rFonts w:ascii="Cambria Math" w:eastAsiaTheme="minorEastAsia" w:hAnsi="Cambria Math"/>
              </w:rPr>
              <m:t>Opportunitykosten</m:t>
            </m:r>
          </m:e>
          <m:sub>
            <m:r>
              <w:rPr>
                <w:rFonts w:ascii="Cambria Math" w:eastAsiaTheme="minorEastAsia" w:hAnsi="Cambria Math"/>
              </w:rPr>
              <m:t>activiteit 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B</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rPr>
          <m:t>=5%+1*5%=10%</m:t>
        </m:r>
      </m:oMath>
      <w:r w:rsidR="00793412">
        <w:rPr>
          <w:rFonts w:eastAsiaTheme="minorEastAsia"/>
          <w:i/>
        </w:rPr>
        <w:t xml:space="preserve"> </w:t>
      </w:r>
    </w:p>
    <w:p w:rsidR="00A719F6" w:rsidRDefault="00E77650" w:rsidP="00FA4DA1">
      <w:pPr>
        <w:pStyle w:val="NoSpacing"/>
        <w:rPr>
          <w:rFonts w:eastAsiaTheme="minorEastAsia"/>
          <w:i/>
        </w:rPr>
      </w:pPr>
      <m:oMath>
        <m:sSub>
          <m:sSubPr>
            <m:ctrlPr>
              <w:rPr>
                <w:rFonts w:ascii="Cambria Math" w:eastAsiaTheme="minorEastAsia" w:hAnsi="Cambria Math"/>
                <w:i/>
              </w:rPr>
            </m:ctrlPr>
          </m:sSubPr>
          <m:e>
            <m:r>
              <w:rPr>
                <w:rFonts w:ascii="Cambria Math" w:eastAsiaTheme="minorEastAsia" w:hAnsi="Cambria Math"/>
              </w:rPr>
              <m:t>Opportunitykosten</m:t>
            </m:r>
          </m:e>
          <m:sub>
            <m:r>
              <w:rPr>
                <w:rFonts w:ascii="Cambria Math" w:eastAsiaTheme="minorEastAsia" w:hAnsi="Cambria Math"/>
              </w:rPr>
              <m:t>liquide middelen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lm</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rPr>
          <m:t>=5%+0*5%=5%</m:t>
        </m:r>
      </m:oMath>
      <w:r w:rsidR="00793412">
        <w:rPr>
          <w:rFonts w:eastAsiaTheme="minorEastAsia"/>
          <w:i/>
        </w:rPr>
        <w:t xml:space="preserve"> </w:t>
      </w:r>
    </w:p>
    <w:p w:rsidR="00793412" w:rsidRDefault="00793412" w:rsidP="009965EB">
      <w:pPr>
        <w:pStyle w:val="NoSpacing"/>
        <w:jc w:val="both"/>
        <w:rPr>
          <w:rFonts w:eastAsiaTheme="minorEastAsia"/>
        </w:rPr>
      </w:pPr>
      <w:r w:rsidRPr="00997E60">
        <w:rPr>
          <w:rFonts w:eastAsiaTheme="minorEastAsia"/>
        </w:rPr>
        <w:lastRenderedPageBreak/>
        <w:t>De markt</w:t>
      </w:r>
      <w:r>
        <w:rPr>
          <w:rFonts w:eastAsiaTheme="minorEastAsia"/>
        </w:rPr>
        <w:t>waarde</w:t>
      </w:r>
      <w:r w:rsidR="00D4639A">
        <w:rPr>
          <w:rFonts w:eastAsiaTheme="minorEastAsia"/>
        </w:rPr>
        <w:t>n</w:t>
      </w:r>
      <w:r>
        <w:rPr>
          <w:rFonts w:eastAsiaTheme="minorEastAsia"/>
        </w:rPr>
        <w:t xml:space="preserve"> van activiteiten A en B k</w:t>
      </w:r>
      <w:r w:rsidR="00D4639A">
        <w:rPr>
          <w:rFonts w:eastAsiaTheme="minorEastAsia"/>
        </w:rPr>
        <w:t>unnen</w:t>
      </w:r>
      <w:r>
        <w:rPr>
          <w:rFonts w:eastAsiaTheme="minorEastAsia"/>
        </w:rPr>
        <w:t xml:space="preserve"> vervolgens worden bepaald door de eeuwigdurende jaarlijkse kasstroom te delen door de </w:t>
      </w:r>
      <w:proofErr w:type="spellStart"/>
      <w:r>
        <w:rPr>
          <w:rFonts w:eastAsiaTheme="minorEastAsia"/>
        </w:rPr>
        <w:t>opportunitykosten</w:t>
      </w:r>
      <w:proofErr w:type="spellEnd"/>
      <w:r>
        <w:rPr>
          <w:rFonts w:eastAsiaTheme="minorEastAsia"/>
        </w:rPr>
        <w:t>. De marktwaarde van activiteit A bedraagt hiermee 300 euro</w:t>
      </w:r>
      <w:r w:rsidR="002F7B66">
        <w:rPr>
          <w:rFonts w:eastAsiaTheme="minorEastAsia"/>
        </w:rPr>
        <w:t xml:space="preserve"> (=60/0,2)</w:t>
      </w:r>
      <w:r>
        <w:rPr>
          <w:rFonts w:eastAsiaTheme="minorEastAsia"/>
        </w:rPr>
        <w:t xml:space="preserve"> en de m</w:t>
      </w:r>
      <w:r w:rsidR="00D4639A">
        <w:rPr>
          <w:rFonts w:eastAsiaTheme="minorEastAsia"/>
        </w:rPr>
        <w:t xml:space="preserve">arktwaarde van activiteit B 500 </w:t>
      </w:r>
      <w:r>
        <w:rPr>
          <w:rFonts w:eastAsiaTheme="minorEastAsia"/>
        </w:rPr>
        <w:t>euro</w:t>
      </w:r>
      <w:r w:rsidR="002F7B66">
        <w:rPr>
          <w:rFonts w:eastAsiaTheme="minorEastAsia"/>
        </w:rPr>
        <w:t xml:space="preserve"> (=50/0,1)</w:t>
      </w:r>
      <w:r>
        <w:rPr>
          <w:rFonts w:eastAsiaTheme="minorEastAsia"/>
        </w:rPr>
        <w:t>. De marktwaarde van de liquide middelen is gelijk aan 200</w:t>
      </w:r>
      <w:r w:rsidR="00AD48F8">
        <w:rPr>
          <w:rFonts w:eastAsiaTheme="minorEastAsia"/>
        </w:rPr>
        <w:t xml:space="preserve"> euro</w:t>
      </w:r>
      <w:r w:rsidR="002F7B66">
        <w:rPr>
          <w:rFonts w:eastAsiaTheme="minorEastAsia"/>
        </w:rPr>
        <w:t xml:space="preserve"> (=10/0,05)</w:t>
      </w:r>
      <w:r>
        <w:rPr>
          <w:rFonts w:eastAsiaTheme="minorEastAsia"/>
        </w:rPr>
        <w:t xml:space="preserve">. Dit is te zien in </w:t>
      </w:r>
      <w:r w:rsidRPr="001749DE">
        <w:rPr>
          <w:rFonts w:eastAsiaTheme="minorEastAsia"/>
        </w:rPr>
        <w:t>figuur 1.</w:t>
      </w:r>
      <w:r>
        <w:rPr>
          <w:rFonts w:eastAsiaTheme="minorEastAsia"/>
        </w:rPr>
        <w:t xml:space="preserve"> </w:t>
      </w:r>
    </w:p>
    <w:p w:rsidR="00793412" w:rsidRDefault="00793412" w:rsidP="009965EB">
      <w:pPr>
        <w:pStyle w:val="NoSpacing"/>
        <w:jc w:val="both"/>
        <w:rPr>
          <w:rFonts w:eastAsiaTheme="minorEastAsia"/>
        </w:rPr>
      </w:pPr>
    </w:p>
    <w:p w:rsidR="006C6A2C" w:rsidRPr="00A719F6" w:rsidRDefault="00793412" w:rsidP="009965EB">
      <w:pPr>
        <w:pStyle w:val="NoSpacing"/>
        <w:jc w:val="both"/>
        <w:rPr>
          <w:i/>
        </w:rPr>
      </w:pPr>
      <w:r>
        <w:rPr>
          <w:i/>
        </w:rPr>
        <w:t>Verklaring marktwaarde passivakant balans</w:t>
      </w:r>
    </w:p>
    <w:p w:rsidR="00793412" w:rsidRDefault="00793412" w:rsidP="009965EB">
      <w:pPr>
        <w:pStyle w:val="NoSpacing"/>
        <w:jc w:val="both"/>
        <w:rPr>
          <w:rFonts w:eastAsiaTheme="minorEastAsia"/>
        </w:rPr>
      </w:pPr>
      <w:r>
        <w:rPr>
          <w:rFonts w:eastAsiaTheme="minorEastAsia"/>
        </w:rPr>
        <w:t>De onderneming wordt gefinancierd door eigen vermogen (EV) en vreemd vermogen (VV). Het EV is hierbij verdeeld over 60 uitstaande aandelen.</w:t>
      </w:r>
      <w:r w:rsidR="002F7B66">
        <w:rPr>
          <w:rFonts w:eastAsiaTheme="minorEastAsia"/>
        </w:rPr>
        <w:t xml:space="preserve"> De prijs per aandeel </w:t>
      </w:r>
      <w:r w:rsidR="00026B0D">
        <w:rPr>
          <w:rFonts w:eastAsiaTheme="minorEastAsia"/>
        </w:rPr>
        <w:t xml:space="preserve">bedraagt </w:t>
      </w:r>
      <w:r w:rsidR="002F7B66">
        <w:rPr>
          <w:rFonts w:eastAsiaTheme="minorEastAsia"/>
        </w:rPr>
        <w:t>10 euro.</w:t>
      </w:r>
    </w:p>
    <w:p w:rsidR="00793412" w:rsidRDefault="00793412" w:rsidP="009965EB">
      <w:pPr>
        <w:pStyle w:val="NoSpacing"/>
        <w:jc w:val="both"/>
      </w:pPr>
      <w:r>
        <w:t>De eerste stap om de marktwaarde</w:t>
      </w:r>
      <w:r w:rsidR="00D4639A">
        <w:t xml:space="preserve">n van het EV en </w:t>
      </w:r>
      <w:r>
        <w:t xml:space="preserve">VV te bepalen is het geëiste rendement op beide te </w:t>
      </w:r>
      <w:r w:rsidR="00026B0D">
        <w:t>berekenen</w:t>
      </w:r>
      <w:r>
        <w:t xml:space="preserve">. </w:t>
      </w:r>
      <w:r w:rsidR="00D4639A">
        <w:t xml:space="preserve">Er wordt hierbij verondersteld </w:t>
      </w:r>
      <w:r>
        <w:t xml:space="preserve">dat de bèta van het vreemd vermogen gelijk is aan 0,5. </w:t>
      </w:r>
      <w:r w:rsidR="00026B0D">
        <w:t>Eerst wordt</w:t>
      </w:r>
      <w:r>
        <w:t xml:space="preserve"> de bèta van de activakant berekend. Deze is gelijk aan de gewogen gemiddelde bèta van alle activiteiten en bedraagt 1,4:</w:t>
      </w:r>
    </w:p>
    <w:p w:rsidR="00793412" w:rsidRDefault="00793412" w:rsidP="00793412">
      <w:pPr>
        <w:pStyle w:val="NoSpacing"/>
      </w:pPr>
    </w:p>
    <w:p w:rsidR="00793412" w:rsidRDefault="00E77650" w:rsidP="00793412">
      <w:pPr>
        <w:pStyle w:val="NoSpacing"/>
        <w:rPr>
          <w:rFonts w:eastAsiaTheme="minorEastAsia"/>
        </w:rPr>
      </w:pPr>
      <m:oMath>
        <m:sSub>
          <m:sSubPr>
            <m:ctrlPr>
              <w:rPr>
                <w:rFonts w:ascii="Cambria Math" w:hAnsi="Cambria Math"/>
                <w:i/>
              </w:rPr>
            </m:ctrlPr>
          </m:sSubPr>
          <m:e>
            <m:r>
              <w:rPr>
                <w:rFonts w:ascii="Cambria Math" w:hAnsi="Cambria Math"/>
              </w:rPr>
              <m:t>β</m:t>
            </m:r>
          </m:e>
          <m:sub>
            <m:r>
              <w:rPr>
                <w:rFonts w:ascii="Cambria Math" w:hAnsi="Cambria Math"/>
              </w:rPr>
              <m:t>activa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A</m:t>
            </m:r>
          </m:sub>
        </m:sSub>
        <m:f>
          <m:fPr>
            <m:ctrlPr>
              <w:rPr>
                <w:rFonts w:ascii="Cambria Math" w:hAnsi="Cambria Math"/>
                <w:i/>
              </w:rPr>
            </m:ctrlPr>
          </m:fPr>
          <m:num>
            <m:r>
              <w:rPr>
                <w:rFonts w:ascii="Cambria Math" w:hAnsi="Cambria Math"/>
              </w:rPr>
              <m:t>300</m:t>
            </m:r>
          </m:num>
          <m:den>
            <m:r>
              <w:rPr>
                <w:rFonts w:ascii="Cambria Math" w:hAnsi="Cambria Math"/>
              </w:rPr>
              <m:t>1000</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f>
          <m:fPr>
            <m:ctrlPr>
              <w:rPr>
                <w:rFonts w:ascii="Cambria Math" w:hAnsi="Cambria Math"/>
                <w:i/>
              </w:rPr>
            </m:ctrlPr>
          </m:fPr>
          <m:num>
            <m:r>
              <w:rPr>
                <w:rFonts w:ascii="Cambria Math" w:hAnsi="Cambria Math"/>
              </w:rPr>
              <m:t>500</m:t>
            </m:r>
          </m:num>
          <m:den>
            <m:r>
              <w:rPr>
                <w:rFonts w:ascii="Cambria Math" w:hAnsi="Cambria Math"/>
              </w:rPr>
              <m:t>1000</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lm</m:t>
            </m:r>
          </m:sub>
        </m:sSub>
        <m:f>
          <m:fPr>
            <m:ctrlPr>
              <w:rPr>
                <w:rFonts w:ascii="Cambria Math" w:hAnsi="Cambria Math"/>
                <w:i/>
              </w:rPr>
            </m:ctrlPr>
          </m:fPr>
          <m:num>
            <m:r>
              <w:rPr>
                <w:rFonts w:ascii="Cambria Math" w:hAnsi="Cambria Math"/>
              </w:rPr>
              <m:t>200</m:t>
            </m:r>
          </m:num>
          <m:den>
            <m:r>
              <w:rPr>
                <w:rFonts w:ascii="Cambria Math" w:hAnsi="Cambria Math"/>
              </w:rPr>
              <m:t>1000</m:t>
            </m:r>
          </m:den>
        </m:f>
        <m:r>
          <w:rPr>
            <w:rFonts w:ascii="Cambria Math" w:hAnsi="Cambria Math"/>
          </w:rPr>
          <m:t>=3</m:t>
        </m:r>
        <m:f>
          <m:fPr>
            <m:ctrlPr>
              <w:rPr>
                <w:rFonts w:ascii="Cambria Math" w:hAnsi="Cambria Math"/>
                <w:i/>
              </w:rPr>
            </m:ctrlPr>
          </m:fPr>
          <m:num>
            <m:r>
              <w:rPr>
                <w:rFonts w:ascii="Cambria Math" w:hAnsi="Cambria Math"/>
              </w:rPr>
              <m:t>300</m:t>
            </m:r>
          </m:num>
          <m:den>
            <m:r>
              <w:rPr>
                <w:rFonts w:ascii="Cambria Math" w:hAnsi="Cambria Math"/>
              </w:rPr>
              <m:t>1000</m:t>
            </m:r>
          </m:den>
        </m:f>
        <m:r>
          <w:rPr>
            <w:rFonts w:ascii="Cambria Math" w:hAnsi="Cambria Math"/>
          </w:rPr>
          <m:t>+1</m:t>
        </m:r>
        <m:f>
          <m:fPr>
            <m:ctrlPr>
              <w:rPr>
                <w:rFonts w:ascii="Cambria Math" w:hAnsi="Cambria Math"/>
                <w:i/>
              </w:rPr>
            </m:ctrlPr>
          </m:fPr>
          <m:num>
            <m:r>
              <w:rPr>
                <w:rFonts w:ascii="Cambria Math" w:hAnsi="Cambria Math"/>
              </w:rPr>
              <m:t>500</m:t>
            </m:r>
          </m:num>
          <m:den>
            <m:r>
              <w:rPr>
                <w:rFonts w:ascii="Cambria Math" w:hAnsi="Cambria Math"/>
              </w:rPr>
              <m:t>1000</m:t>
            </m:r>
          </m:den>
        </m:f>
        <m:r>
          <w:rPr>
            <w:rFonts w:ascii="Cambria Math" w:hAnsi="Cambria Math"/>
          </w:rPr>
          <m:t>+0</m:t>
        </m:r>
        <m:f>
          <m:fPr>
            <m:ctrlPr>
              <w:rPr>
                <w:rFonts w:ascii="Cambria Math" w:hAnsi="Cambria Math"/>
                <w:i/>
              </w:rPr>
            </m:ctrlPr>
          </m:fPr>
          <m:num>
            <m:r>
              <w:rPr>
                <w:rFonts w:ascii="Cambria Math" w:hAnsi="Cambria Math"/>
              </w:rPr>
              <m:t>200</m:t>
            </m:r>
          </m:num>
          <m:den>
            <m:r>
              <w:rPr>
                <w:rFonts w:ascii="Cambria Math" w:hAnsi="Cambria Math"/>
              </w:rPr>
              <m:t>1000</m:t>
            </m:r>
          </m:den>
        </m:f>
        <m:r>
          <w:rPr>
            <w:rFonts w:ascii="Cambria Math" w:hAnsi="Cambria Math"/>
          </w:rPr>
          <m:t>=1,4</m:t>
        </m:r>
      </m:oMath>
      <w:r w:rsidR="004D2E96">
        <w:rPr>
          <w:rFonts w:eastAsiaTheme="minorEastAsia"/>
        </w:rPr>
        <w:t xml:space="preserve"> </w:t>
      </w:r>
    </w:p>
    <w:p w:rsidR="00793412" w:rsidRDefault="00793412" w:rsidP="00793412">
      <w:pPr>
        <w:pStyle w:val="NoSpacing"/>
      </w:pPr>
    </w:p>
    <w:p w:rsidR="00793412" w:rsidRDefault="00793412" w:rsidP="009965EB">
      <w:pPr>
        <w:pStyle w:val="NoSpacing"/>
        <w:jc w:val="both"/>
      </w:pPr>
      <w:r>
        <w:t>De bèta van de activakant moet gelijk zijn aan de bèta van de passivakant. Met deze kennis kan de bèta van het eigen vermogen berekend worden</w:t>
      </w:r>
      <w:r>
        <w:rPr>
          <w:rStyle w:val="FootnoteReference"/>
        </w:rPr>
        <w:footnoteReference w:id="5"/>
      </w:r>
      <w:r>
        <w:t>:</w:t>
      </w:r>
    </w:p>
    <w:p w:rsidR="00793412" w:rsidRDefault="00793412" w:rsidP="00793412">
      <w:pPr>
        <w:pStyle w:val="NoSpacing"/>
      </w:pPr>
    </w:p>
    <w:p w:rsidR="00793412" w:rsidRPr="00793412" w:rsidRDefault="00E77650" w:rsidP="00793412">
      <w:pPr>
        <w:pStyle w:val="NoSpacing"/>
      </w:pPr>
      <m:oMath>
        <m:sSub>
          <m:sSubPr>
            <m:ctrlPr>
              <w:rPr>
                <w:rFonts w:ascii="Cambria Math" w:hAnsi="Cambria Math"/>
                <w:i/>
              </w:rPr>
            </m:ctrlPr>
          </m:sSubPr>
          <m:e>
            <m:r>
              <w:rPr>
                <w:rFonts w:ascii="Cambria Math" w:hAnsi="Cambria Math"/>
              </w:rPr>
              <m:t>β</m:t>
            </m:r>
          </m:e>
          <m:sub>
            <m:r>
              <w:rPr>
                <w:rFonts w:ascii="Cambria Math" w:hAnsi="Cambria Math"/>
              </w:rPr>
              <m:t>EV</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passiva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VV</m:t>
                </m:r>
              </m:sub>
            </m:sSub>
            <m:f>
              <m:fPr>
                <m:ctrlPr>
                  <w:rPr>
                    <w:rFonts w:ascii="Cambria Math" w:hAnsi="Cambria Math"/>
                    <w:i/>
                  </w:rPr>
                </m:ctrlPr>
              </m:fPr>
              <m:num>
                <m:r>
                  <w:rPr>
                    <w:rFonts w:ascii="Cambria Math" w:hAnsi="Cambria Math"/>
                  </w:rPr>
                  <m:t>400</m:t>
                </m:r>
              </m:num>
              <m:den>
                <m:r>
                  <w:rPr>
                    <w:rFonts w:ascii="Cambria Math" w:hAnsi="Cambria Math"/>
                  </w:rPr>
                  <m:t>1000</m:t>
                </m:r>
              </m:den>
            </m:f>
          </m:e>
        </m:d>
        <m:f>
          <m:fPr>
            <m:ctrlPr>
              <w:rPr>
                <w:rFonts w:ascii="Cambria Math" w:hAnsi="Cambria Math"/>
                <w:i/>
              </w:rPr>
            </m:ctrlPr>
          </m:fPr>
          <m:num>
            <m:r>
              <w:rPr>
                <w:rFonts w:ascii="Cambria Math" w:hAnsi="Cambria Math"/>
              </w:rPr>
              <m:t>1000</m:t>
            </m:r>
          </m:num>
          <m:den>
            <m:r>
              <w:rPr>
                <w:rFonts w:ascii="Cambria Math" w:hAnsi="Cambria Math"/>
              </w:rPr>
              <m:t>600</m:t>
            </m:r>
          </m:den>
        </m:f>
        <m:r>
          <w:rPr>
            <w:rFonts w:ascii="Cambria Math" w:hAnsi="Cambria Math"/>
          </w:rPr>
          <m:t>=</m:t>
        </m:r>
        <m:d>
          <m:dPr>
            <m:ctrlPr>
              <w:rPr>
                <w:rFonts w:ascii="Cambria Math" w:hAnsi="Cambria Math"/>
                <w:i/>
              </w:rPr>
            </m:ctrlPr>
          </m:dPr>
          <m:e>
            <m:r>
              <w:rPr>
                <w:rFonts w:ascii="Cambria Math" w:hAnsi="Cambria Math"/>
              </w:rPr>
              <m:t>1,4-0,5</m:t>
            </m:r>
            <m:f>
              <m:fPr>
                <m:ctrlPr>
                  <w:rPr>
                    <w:rFonts w:ascii="Cambria Math" w:hAnsi="Cambria Math"/>
                    <w:i/>
                  </w:rPr>
                </m:ctrlPr>
              </m:fPr>
              <m:num>
                <m:r>
                  <w:rPr>
                    <w:rFonts w:ascii="Cambria Math" w:hAnsi="Cambria Math"/>
                  </w:rPr>
                  <m:t>400</m:t>
                </m:r>
              </m:num>
              <m:den>
                <m:r>
                  <w:rPr>
                    <w:rFonts w:ascii="Cambria Math" w:hAnsi="Cambria Math"/>
                  </w:rPr>
                  <m:t>1000</m:t>
                </m:r>
              </m:den>
            </m:f>
          </m:e>
        </m:d>
        <m:f>
          <m:fPr>
            <m:ctrlPr>
              <w:rPr>
                <w:rFonts w:ascii="Cambria Math" w:hAnsi="Cambria Math"/>
                <w:i/>
              </w:rPr>
            </m:ctrlPr>
          </m:fPr>
          <m:num>
            <m:r>
              <w:rPr>
                <w:rFonts w:ascii="Cambria Math" w:hAnsi="Cambria Math"/>
              </w:rPr>
              <m:t>1000</m:t>
            </m:r>
          </m:num>
          <m:den>
            <m:r>
              <w:rPr>
                <w:rFonts w:ascii="Cambria Math" w:hAnsi="Cambria Math"/>
              </w:rPr>
              <m:t>600</m:t>
            </m:r>
          </m:den>
        </m:f>
        <m:r>
          <w:rPr>
            <w:rFonts w:ascii="Cambria Math" w:hAnsi="Cambria Math"/>
          </w:rPr>
          <m:t>=2</m:t>
        </m:r>
      </m:oMath>
      <w:r w:rsidR="00793412">
        <w:t xml:space="preserve"> </w:t>
      </w:r>
    </w:p>
    <w:p w:rsidR="00793412" w:rsidRDefault="00793412" w:rsidP="004D2E96">
      <w:pPr>
        <w:pStyle w:val="NoSpacing"/>
        <w:rPr>
          <w:rFonts w:eastAsiaTheme="minorEastAsia"/>
        </w:rPr>
      </w:pPr>
    </w:p>
    <w:p w:rsidR="00793412" w:rsidRDefault="00793412" w:rsidP="009965EB">
      <w:pPr>
        <w:pStyle w:val="NoSpacing"/>
        <w:jc w:val="both"/>
        <w:rPr>
          <w:rFonts w:eastAsiaTheme="minorEastAsia"/>
        </w:rPr>
      </w:pPr>
      <w:r>
        <w:rPr>
          <w:rFonts w:eastAsiaTheme="minorEastAsia"/>
        </w:rPr>
        <w:t>Met behulp van de berekende bèta’s kan vervolgens het geëiste rendement op het eigen en vreemd vermogen worden</w:t>
      </w:r>
      <w:r w:rsidRPr="00AC2D49">
        <w:rPr>
          <w:rFonts w:eastAsiaTheme="minorEastAsia"/>
        </w:rPr>
        <w:t xml:space="preserve"> </w:t>
      </w:r>
      <w:r>
        <w:rPr>
          <w:rFonts w:eastAsiaTheme="minorEastAsia"/>
        </w:rPr>
        <w:t>bepaald. Deze bedragen respectievelijk 7,5 en 15 procent:</w:t>
      </w:r>
    </w:p>
    <w:p w:rsidR="00793412" w:rsidRDefault="00793412" w:rsidP="009965EB">
      <w:pPr>
        <w:pStyle w:val="NoSpacing"/>
        <w:ind w:left="720"/>
        <w:jc w:val="both"/>
        <w:rPr>
          <w:rFonts w:eastAsiaTheme="minorEastAsia"/>
        </w:rPr>
      </w:pPr>
    </w:p>
    <w:p w:rsidR="00793412" w:rsidRDefault="00E77650" w:rsidP="00793412">
      <w:pPr>
        <w:pStyle w:val="NoSpacing"/>
        <w:rPr>
          <w:rFonts w:eastAsiaTheme="minorEastAsia"/>
        </w:rPr>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VV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vv</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rPr>
          <m:t>=5%+0,5*5%=7,5%</m:t>
        </m:r>
      </m:oMath>
      <w:r w:rsidR="00793412">
        <w:rPr>
          <w:rFonts w:eastAsiaTheme="minorEastAsia"/>
        </w:rPr>
        <w:t xml:space="preserve"> </w:t>
      </w:r>
    </w:p>
    <w:p w:rsidR="00793412" w:rsidRDefault="00E77650" w:rsidP="00793412">
      <w:pPr>
        <w:pStyle w:val="NoSpacing"/>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EV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ev</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rPr>
          <m:t>=5%+2*5%=15%</m:t>
        </m:r>
      </m:oMath>
      <w:r w:rsidR="00793412">
        <w:t xml:space="preserve"> </w:t>
      </w:r>
    </w:p>
    <w:p w:rsidR="00793412" w:rsidRDefault="00793412" w:rsidP="00793412">
      <w:pPr>
        <w:pStyle w:val="NoSpacing"/>
        <w:ind w:left="720"/>
      </w:pPr>
    </w:p>
    <w:p w:rsidR="00793412" w:rsidRDefault="00793412" w:rsidP="009965EB">
      <w:pPr>
        <w:pStyle w:val="NoSpacing"/>
        <w:jc w:val="both"/>
      </w:pPr>
      <w:r>
        <w:t>De onderneming  genereert naar verwachting jaarlijks een kasstroom van 120 euro</w:t>
      </w:r>
      <w:r>
        <w:rPr>
          <w:rStyle w:val="FootnoteReference"/>
        </w:rPr>
        <w:footnoteReference w:id="6"/>
      </w:r>
      <w:r>
        <w:t>. Van deze totale jaarlijkse kasstroom gaat jaarlij</w:t>
      </w:r>
      <w:r w:rsidR="00026B0D">
        <w:t>ks 7,5% * €400 =</w:t>
      </w:r>
      <w:r w:rsidR="00AD48F8">
        <w:t>€</w:t>
      </w:r>
      <w:r w:rsidR="00026B0D">
        <w:t xml:space="preserve">30 naar de bank. De </w:t>
      </w:r>
      <w:r>
        <w:t>rest wordt (als winst) uitgekeerd aan de aandeelhouders.</w:t>
      </w:r>
    </w:p>
    <w:p w:rsidR="00793412" w:rsidRDefault="00793412" w:rsidP="009965EB">
      <w:pPr>
        <w:pStyle w:val="NoSpacing"/>
        <w:jc w:val="both"/>
      </w:pPr>
      <w:r>
        <w:t>De winst per aandeel (WPA) is in dit geval gelijk aan €1,50:</w:t>
      </w:r>
    </w:p>
    <w:p w:rsidR="00793412" w:rsidRDefault="00793412" w:rsidP="00793412">
      <w:pPr>
        <w:pStyle w:val="NoSpacing"/>
        <w:ind w:left="720"/>
      </w:pPr>
    </w:p>
    <w:p w:rsidR="00793412" w:rsidRDefault="00793412" w:rsidP="00793412">
      <w:pPr>
        <w:pStyle w:val="NoSpacing"/>
      </w:pPr>
      <m:oMath>
        <m:r>
          <w:rPr>
            <w:rFonts w:ascii="Cambria Math" w:hAnsi="Cambria Math"/>
          </w:rPr>
          <m:t>WPA=</m:t>
        </m:r>
        <m:f>
          <m:fPr>
            <m:ctrlPr>
              <w:rPr>
                <w:rFonts w:ascii="Cambria Math" w:hAnsi="Cambria Math"/>
                <w:i/>
              </w:rPr>
            </m:ctrlPr>
          </m:fPr>
          <m:num>
            <m:r>
              <w:rPr>
                <w:rFonts w:ascii="Cambria Math" w:hAnsi="Cambria Math"/>
              </w:rPr>
              <m:t>winst</m:t>
            </m:r>
          </m:num>
          <m:den>
            <m:r>
              <w:rPr>
                <w:rFonts w:ascii="Cambria Math" w:hAnsi="Cambria Math"/>
              </w:rPr>
              <m:t>aantal uitstaande aandelen</m:t>
            </m:r>
          </m:den>
        </m:f>
        <m:r>
          <w:rPr>
            <w:rFonts w:ascii="Cambria Math" w:eastAsiaTheme="minorEastAsia" w:hAnsi="Cambria Math"/>
          </w:rPr>
          <m:t>=</m:t>
        </m:r>
        <m:f>
          <m:fPr>
            <m:ctrlPr>
              <w:rPr>
                <w:rFonts w:ascii="Cambria Math" w:hAnsi="Cambria Math"/>
                <w:i/>
              </w:rPr>
            </m:ctrlPr>
          </m:fPr>
          <m:num>
            <m:d>
              <m:dPr>
                <m:ctrlPr>
                  <w:rPr>
                    <w:rFonts w:ascii="Cambria Math" w:hAnsi="Cambria Math"/>
                    <w:i/>
                  </w:rPr>
                </m:ctrlPr>
              </m:dPr>
              <m:e>
                <m:r>
                  <w:rPr>
                    <w:rFonts w:ascii="Cambria Math" w:hAnsi="Cambria Math"/>
                  </w:rPr>
                  <m:t>120-30</m:t>
                </m:r>
              </m:e>
            </m:d>
          </m:num>
          <m:den>
            <m:r>
              <w:rPr>
                <w:rFonts w:ascii="Cambria Math" w:hAnsi="Cambria Math"/>
              </w:rPr>
              <m:t>60</m:t>
            </m:r>
          </m:den>
        </m:f>
        <m:r>
          <w:rPr>
            <w:rFonts w:ascii="Cambria Math" w:hAnsi="Cambria Math"/>
          </w:rPr>
          <m:t>=€1,50</m:t>
        </m:r>
      </m:oMath>
      <w:r>
        <w:t xml:space="preserve"> </w:t>
      </w:r>
    </w:p>
    <w:p w:rsidR="00793412" w:rsidRDefault="00793412" w:rsidP="00793412">
      <w:pPr>
        <w:pStyle w:val="NoSpacing"/>
        <w:ind w:left="720"/>
        <w:rPr>
          <w:b/>
        </w:rPr>
      </w:pPr>
    </w:p>
    <w:p w:rsidR="00793412" w:rsidRDefault="00793412" w:rsidP="009965EB">
      <w:pPr>
        <w:pStyle w:val="NoSpacing"/>
        <w:jc w:val="both"/>
      </w:pPr>
      <w:r>
        <w:t>De marktwaarde</w:t>
      </w:r>
      <w:r w:rsidR="00D4639A">
        <w:t>n</w:t>
      </w:r>
      <w:r>
        <w:t xml:space="preserve"> van het EV en VV kan vervolgens bepaald worden door diens jaarlijkse kasstroom te delen door het geëiste rendement:</w:t>
      </w:r>
    </w:p>
    <w:p w:rsidR="00793412" w:rsidRDefault="00793412" w:rsidP="00793412">
      <w:pPr>
        <w:pStyle w:val="NoSpacing"/>
        <w:ind w:left="720"/>
      </w:pPr>
    </w:p>
    <w:p w:rsidR="00793412" w:rsidRDefault="00E77650" w:rsidP="00793412">
      <w:pPr>
        <w:pStyle w:val="NoSpacing"/>
        <w:rPr>
          <w:rFonts w:eastAsiaTheme="minorEastAsia"/>
        </w:rPr>
      </w:pPr>
      <m:oMath>
        <m:sSub>
          <m:sSubPr>
            <m:ctrlPr>
              <w:rPr>
                <w:rFonts w:ascii="Cambria Math" w:hAnsi="Cambria Math"/>
                <w:i/>
              </w:rPr>
            </m:ctrlPr>
          </m:sSubPr>
          <m:e>
            <m:r>
              <w:rPr>
                <w:rFonts w:ascii="Cambria Math" w:hAnsi="Cambria Math"/>
              </w:rPr>
              <m:t>Marktwaarde</m:t>
            </m:r>
          </m:e>
          <m:sub>
            <m:r>
              <w:rPr>
                <w:rFonts w:ascii="Cambria Math" w:hAnsi="Cambria Math"/>
              </w:rPr>
              <m:t>VV</m:t>
            </m:r>
          </m:sub>
        </m:sSub>
        <m:r>
          <w:rPr>
            <w:rFonts w:ascii="Cambria Math" w:hAnsi="Cambria Math"/>
          </w:rPr>
          <m:t>=</m:t>
        </m:r>
        <m:f>
          <m:fPr>
            <m:ctrlPr>
              <w:rPr>
                <w:rFonts w:ascii="Cambria Math" w:hAnsi="Cambria Math"/>
                <w:i/>
              </w:rPr>
            </m:ctrlPr>
          </m:fPr>
          <m:num>
            <m:r>
              <w:rPr>
                <w:rFonts w:ascii="Cambria Math" w:hAnsi="Cambria Math"/>
              </w:rPr>
              <m:t>30</m:t>
            </m:r>
          </m:num>
          <m:den>
            <m:r>
              <w:rPr>
                <w:rFonts w:ascii="Cambria Math" w:hAnsi="Cambria Math"/>
              </w:rPr>
              <m:t>0,075</m:t>
            </m:r>
          </m:den>
        </m:f>
        <m:r>
          <w:rPr>
            <w:rFonts w:ascii="Cambria Math" w:hAnsi="Cambria Math"/>
          </w:rPr>
          <m:t>=€400,00</m:t>
        </m:r>
      </m:oMath>
      <w:r w:rsidR="00793412">
        <w:rPr>
          <w:rFonts w:eastAsiaTheme="minorEastAsia"/>
        </w:rPr>
        <w:t xml:space="preserve"> </w:t>
      </w:r>
    </w:p>
    <w:p w:rsidR="00793412" w:rsidRDefault="00E77650" w:rsidP="008143B1">
      <w:pPr>
        <w:pStyle w:val="NoSpacing"/>
      </w:pPr>
      <m:oMath>
        <m:sSub>
          <m:sSubPr>
            <m:ctrlPr>
              <w:rPr>
                <w:rFonts w:ascii="Cambria Math" w:eastAsiaTheme="minorEastAsia" w:hAnsi="Cambria Math"/>
                <w:i/>
              </w:rPr>
            </m:ctrlPr>
          </m:sSubPr>
          <m:e>
            <m:r>
              <w:rPr>
                <w:rFonts w:ascii="Cambria Math" w:eastAsiaTheme="minorEastAsia" w:hAnsi="Cambria Math"/>
              </w:rPr>
              <m:t>Markt</m:t>
            </m:r>
            <m:r>
              <w:rPr>
                <w:rFonts w:ascii="Cambria Math" w:eastAsiaTheme="minorEastAsia" w:hAnsi="Cambria Math"/>
              </w:rPr>
              <m:t>waarde</m:t>
            </m:r>
          </m:e>
          <m:sub>
            <m:r>
              <w:rPr>
                <w:rFonts w:ascii="Cambria Math" w:eastAsiaTheme="minorEastAsia" w:hAnsi="Cambria Math"/>
              </w:rPr>
              <m:t>EV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90</m:t>
            </m:r>
          </m:num>
          <m:den>
            <m:r>
              <w:rPr>
                <w:rFonts w:ascii="Cambria Math" w:eastAsiaTheme="minorEastAsia" w:hAnsi="Cambria Math"/>
              </w:rPr>
              <m:t>0,15</m:t>
            </m:r>
          </m:den>
        </m:f>
        <m:r>
          <w:rPr>
            <w:rFonts w:ascii="Cambria Math" w:eastAsiaTheme="minorEastAsia" w:hAnsi="Cambria Math"/>
          </w:rPr>
          <m:t>=€600,00</m:t>
        </m:r>
      </m:oMath>
      <w:r w:rsidR="00793412">
        <w:t xml:space="preserve"> </w:t>
      </w:r>
    </w:p>
    <w:p w:rsidR="00A719F6" w:rsidRDefault="00A719F6" w:rsidP="008143B1">
      <w:pPr>
        <w:pStyle w:val="NoSpacing"/>
      </w:pPr>
    </w:p>
    <w:p w:rsidR="00793412" w:rsidRPr="008143B1" w:rsidRDefault="00793412" w:rsidP="009965EB">
      <w:pPr>
        <w:pStyle w:val="NoSpacing"/>
        <w:jc w:val="both"/>
      </w:pPr>
      <w:r>
        <w:t>De marktwaarde</w:t>
      </w:r>
      <w:r w:rsidR="00600730">
        <w:t>n</w:t>
      </w:r>
      <w:r>
        <w:t xml:space="preserve"> van het EV en VV komen overeen met </w:t>
      </w:r>
      <w:r w:rsidRPr="001749DE">
        <w:t>figuur 1.</w:t>
      </w:r>
    </w:p>
    <w:p w:rsidR="006C6A2C" w:rsidRDefault="006C6A2C" w:rsidP="00793412">
      <w:pPr>
        <w:pStyle w:val="NoSpacing"/>
        <w:rPr>
          <w:b/>
          <w:sz w:val="24"/>
          <w:szCs w:val="24"/>
        </w:rPr>
      </w:pPr>
    </w:p>
    <w:p w:rsidR="006C6A2C" w:rsidRDefault="006C6A2C" w:rsidP="00793412">
      <w:pPr>
        <w:pStyle w:val="NoSpacing"/>
        <w:rPr>
          <w:b/>
          <w:sz w:val="24"/>
          <w:szCs w:val="24"/>
        </w:rPr>
      </w:pPr>
    </w:p>
    <w:p w:rsidR="006C6A2C" w:rsidRDefault="006C6A2C" w:rsidP="00793412">
      <w:pPr>
        <w:pStyle w:val="NoSpacing"/>
        <w:rPr>
          <w:b/>
          <w:sz w:val="24"/>
          <w:szCs w:val="24"/>
        </w:rPr>
      </w:pPr>
    </w:p>
    <w:p w:rsidR="006C6A2C" w:rsidRDefault="006C6A2C" w:rsidP="00793412">
      <w:pPr>
        <w:pStyle w:val="NoSpacing"/>
        <w:rPr>
          <w:b/>
          <w:sz w:val="24"/>
          <w:szCs w:val="24"/>
        </w:rPr>
      </w:pPr>
    </w:p>
    <w:p w:rsidR="006C6A2C" w:rsidRDefault="006C6A2C" w:rsidP="00793412">
      <w:pPr>
        <w:pStyle w:val="NoSpacing"/>
        <w:rPr>
          <w:b/>
          <w:sz w:val="24"/>
          <w:szCs w:val="24"/>
        </w:rPr>
      </w:pPr>
    </w:p>
    <w:p w:rsidR="00793412" w:rsidRPr="00DA7450" w:rsidRDefault="00793412" w:rsidP="009965EB">
      <w:pPr>
        <w:pStyle w:val="NoSpacing"/>
        <w:jc w:val="both"/>
        <w:rPr>
          <w:b/>
          <w:i/>
          <w:sz w:val="24"/>
          <w:szCs w:val="24"/>
        </w:rPr>
      </w:pPr>
      <w:r w:rsidRPr="00DA7450">
        <w:rPr>
          <w:b/>
          <w:sz w:val="24"/>
          <w:szCs w:val="24"/>
        </w:rPr>
        <w:lastRenderedPageBreak/>
        <w:t>Na inkopen eigen aandelen</w:t>
      </w:r>
    </w:p>
    <w:p w:rsidR="00793412" w:rsidRDefault="00793412" w:rsidP="009965EB">
      <w:pPr>
        <w:pStyle w:val="NoSpacing"/>
        <w:jc w:val="both"/>
      </w:pPr>
      <w:r>
        <w:t xml:space="preserve">De onderneming ziet geen nieuwe investeringsmogelijkheden en besluit om het overtollige kasgeld (200 euro) op de balans te gebruiken om haar eigen aandelen in te kopen. De onderneming koopt met dit overtollig kasgeld 20 aandelen à 10 euro in. Hierdoor daalt het </w:t>
      </w:r>
      <w:r w:rsidR="00026B0D">
        <w:t xml:space="preserve">aantal </w:t>
      </w:r>
      <w:r>
        <w:t>uitstaande aandelen naar 40</w:t>
      </w:r>
      <w:r>
        <w:rPr>
          <w:rStyle w:val="FootnoteReference"/>
        </w:rPr>
        <w:footnoteReference w:id="7"/>
      </w:r>
      <w:r>
        <w:t xml:space="preserve">. De aandeelhouders die hun aandelen aan de onderneming hebben verkocht zullen in het vervolg “uitgekochte aandeelhouders” genoemd worden. De aandeelhouders die hun aandelen niet verkopen worden “huidige aandeelhouders” genoemd. </w:t>
      </w:r>
    </w:p>
    <w:p w:rsidR="00793412" w:rsidRDefault="00793412" w:rsidP="009965EB">
      <w:pPr>
        <w:pStyle w:val="NoSpacing"/>
        <w:jc w:val="both"/>
      </w:pPr>
      <w:r>
        <w:t>Doordat de onderneming de overtollige kasgelden gebruikt heeft om haar eigen aandelen in te kopen, is de verwachte jaarlijkse kasstroom nu gelijk aan 110 euro</w:t>
      </w:r>
      <w:r>
        <w:rPr>
          <w:rStyle w:val="FootnoteReference"/>
        </w:rPr>
        <w:footnoteReference w:id="8"/>
      </w:r>
      <w:r>
        <w:t>. De inkoop van eigen aand</w:t>
      </w:r>
      <w:r w:rsidR="00600730">
        <w:t>elen heeft immers geen invloed o</w:t>
      </w:r>
      <w:r>
        <w:t>p activiteit</w:t>
      </w:r>
      <w:r w:rsidR="00026B0D">
        <w:t>en</w:t>
      </w:r>
      <w:r>
        <w:t xml:space="preserve"> A en B. De onderneming moet nog steeds jaarlijks 30 euro aan de verschaffers van het vreemd vermogen betalen. </w:t>
      </w:r>
    </w:p>
    <w:p w:rsidR="00793412" w:rsidRDefault="00793412" w:rsidP="009965EB">
      <w:pPr>
        <w:pStyle w:val="NoSpacing"/>
        <w:jc w:val="both"/>
        <w:rPr>
          <w:rFonts w:eastAsiaTheme="minorEastAsia"/>
        </w:rPr>
      </w:pPr>
      <w:r>
        <w:rPr>
          <w:rFonts w:eastAsiaTheme="minorEastAsia"/>
        </w:rPr>
        <w:t xml:space="preserve">Het gevolg van het </w:t>
      </w:r>
      <w:proofErr w:type="spellStart"/>
      <w:r>
        <w:rPr>
          <w:rFonts w:eastAsiaTheme="minorEastAsia"/>
        </w:rPr>
        <w:t>aandeleninkoopprogramma</w:t>
      </w:r>
      <w:proofErr w:type="spellEnd"/>
      <w:r>
        <w:rPr>
          <w:rFonts w:eastAsiaTheme="minorEastAsia"/>
        </w:rPr>
        <w:t xml:space="preserve"> is dat de winst per aandeel stijgt naar €2,00:</w:t>
      </w:r>
    </w:p>
    <w:p w:rsidR="00793412" w:rsidRDefault="00793412" w:rsidP="004D2E96">
      <w:pPr>
        <w:pStyle w:val="NoSpacing"/>
        <w:rPr>
          <w:rFonts w:eastAsiaTheme="minorEastAsia"/>
        </w:rPr>
      </w:pPr>
    </w:p>
    <w:p w:rsidR="00793412" w:rsidRDefault="00793412" w:rsidP="00793412">
      <w:pPr>
        <w:pStyle w:val="NoSpacing"/>
      </w:pPr>
      <m:oMath>
        <m:r>
          <w:rPr>
            <w:rFonts w:ascii="Cambria Math" w:hAnsi="Cambria Math"/>
          </w:rPr>
          <m:t>WPA=</m:t>
        </m:r>
        <m:f>
          <m:fPr>
            <m:ctrlPr>
              <w:rPr>
                <w:rFonts w:ascii="Cambria Math" w:hAnsi="Cambria Math"/>
                <w:i/>
              </w:rPr>
            </m:ctrlPr>
          </m:fPr>
          <m:num>
            <m:r>
              <w:rPr>
                <w:rFonts w:ascii="Cambria Math" w:hAnsi="Cambria Math"/>
              </w:rPr>
              <m:t>winst</m:t>
            </m:r>
          </m:num>
          <m:den>
            <m:r>
              <w:rPr>
                <w:rFonts w:ascii="Cambria Math" w:hAnsi="Cambria Math"/>
              </w:rPr>
              <m:t>aantal uitstaande aandelen</m:t>
            </m:r>
          </m:den>
        </m:f>
        <m:r>
          <w:rPr>
            <w:rFonts w:ascii="Cambria Math" w:eastAsiaTheme="minorEastAsia" w:hAnsi="Cambria Math"/>
          </w:rPr>
          <m:t>=</m:t>
        </m:r>
        <m:f>
          <m:fPr>
            <m:ctrlPr>
              <w:rPr>
                <w:rFonts w:ascii="Cambria Math" w:hAnsi="Cambria Math"/>
                <w:i/>
              </w:rPr>
            </m:ctrlPr>
          </m:fPr>
          <m:num>
            <m:d>
              <m:dPr>
                <m:ctrlPr>
                  <w:rPr>
                    <w:rFonts w:ascii="Cambria Math" w:hAnsi="Cambria Math"/>
                    <w:i/>
                  </w:rPr>
                </m:ctrlPr>
              </m:dPr>
              <m:e>
                <m:r>
                  <w:rPr>
                    <w:rFonts w:ascii="Cambria Math" w:hAnsi="Cambria Math"/>
                  </w:rPr>
                  <m:t>110-30</m:t>
                </m:r>
              </m:e>
            </m:d>
          </m:num>
          <m:den>
            <m:r>
              <w:rPr>
                <w:rFonts w:ascii="Cambria Math" w:hAnsi="Cambria Math"/>
              </w:rPr>
              <m:t>40</m:t>
            </m:r>
          </m:den>
        </m:f>
        <m:r>
          <w:rPr>
            <w:rFonts w:ascii="Cambria Math" w:hAnsi="Cambria Math"/>
          </w:rPr>
          <m:t>=€2,00</m:t>
        </m:r>
      </m:oMath>
      <w:r>
        <w:t xml:space="preserve"> </w:t>
      </w:r>
    </w:p>
    <w:p w:rsidR="00793412" w:rsidRDefault="00793412" w:rsidP="004D2E96">
      <w:pPr>
        <w:pStyle w:val="NoSpacing"/>
      </w:pPr>
    </w:p>
    <w:p w:rsidR="00793412" w:rsidRDefault="00793412" w:rsidP="009965EB">
      <w:pPr>
        <w:pStyle w:val="NoSpacing"/>
        <w:jc w:val="both"/>
      </w:pPr>
      <w:r>
        <w:t xml:space="preserve">Door het wegvallen van </w:t>
      </w:r>
      <w:r w:rsidR="00AD48F8">
        <w:t>de risicovrije liquide middel</w:t>
      </w:r>
      <w:r>
        <w:t>en neemt echter het marktrisico van de totale onderneming ook toe:</w:t>
      </w:r>
    </w:p>
    <w:p w:rsidR="00793412" w:rsidRDefault="00793412" w:rsidP="004D2E96">
      <w:pPr>
        <w:pStyle w:val="NoSpacing"/>
      </w:pPr>
    </w:p>
    <w:p w:rsidR="00793412" w:rsidRDefault="00E77650" w:rsidP="00793412">
      <w:pPr>
        <w:pStyle w:val="NoSpacing"/>
      </w:pPr>
      <m:oMath>
        <m:sSub>
          <m:sSubPr>
            <m:ctrlPr>
              <w:rPr>
                <w:rFonts w:ascii="Cambria Math" w:hAnsi="Cambria Math"/>
                <w:i/>
              </w:rPr>
            </m:ctrlPr>
          </m:sSubPr>
          <m:e>
            <m:r>
              <w:rPr>
                <w:rFonts w:ascii="Cambria Math" w:hAnsi="Cambria Math"/>
              </w:rPr>
              <m:t>β</m:t>
            </m:r>
          </m:e>
          <m:sub>
            <m:r>
              <w:rPr>
                <w:rFonts w:ascii="Cambria Math" w:hAnsi="Cambria Math"/>
              </w:rPr>
              <m:t>activa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A</m:t>
            </m:r>
          </m:sub>
        </m:sSub>
        <m:f>
          <m:fPr>
            <m:ctrlPr>
              <w:rPr>
                <w:rFonts w:ascii="Cambria Math" w:hAnsi="Cambria Math"/>
                <w:i/>
              </w:rPr>
            </m:ctrlPr>
          </m:fPr>
          <m:num>
            <m:r>
              <w:rPr>
                <w:rFonts w:ascii="Cambria Math" w:hAnsi="Cambria Math"/>
              </w:rPr>
              <m:t>300</m:t>
            </m:r>
          </m:num>
          <m:den>
            <m:r>
              <w:rPr>
                <w:rFonts w:ascii="Cambria Math" w:hAnsi="Cambria Math"/>
              </w:rPr>
              <m:t>800</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f>
          <m:fPr>
            <m:ctrlPr>
              <w:rPr>
                <w:rFonts w:ascii="Cambria Math" w:hAnsi="Cambria Math"/>
                <w:i/>
              </w:rPr>
            </m:ctrlPr>
          </m:fPr>
          <m:num>
            <m:r>
              <w:rPr>
                <w:rFonts w:ascii="Cambria Math" w:hAnsi="Cambria Math"/>
              </w:rPr>
              <m:t>500</m:t>
            </m:r>
          </m:num>
          <m:den>
            <m:r>
              <w:rPr>
                <w:rFonts w:ascii="Cambria Math" w:hAnsi="Cambria Math"/>
              </w:rPr>
              <m:t>800</m:t>
            </m:r>
          </m:den>
        </m:f>
        <m:r>
          <w:rPr>
            <w:rFonts w:ascii="Cambria Math" w:hAnsi="Cambria Math"/>
          </w:rPr>
          <m:t>=3</m:t>
        </m:r>
        <m:f>
          <m:fPr>
            <m:ctrlPr>
              <w:rPr>
                <w:rFonts w:ascii="Cambria Math" w:hAnsi="Cambria Math"/>
                <w:i/>
              </w:rPr>
            </m:ctrlPr>
          </m:fPr>
          <m:num>
            <m:r>
              <w:rPr>
                <w:rFonts w:ascii="Cambria Math" w:hAnsi="Cambria Math"/>
              </w:rPr>
              <m:t>300</m:t>
            </m:r>
          </m:num>
          <m:den>
            <m:r>
              <w:rPr>
                <w:rFonts w:ascii="Cambria Math" w:hAnsi="Cambria Math"/>
              </w:rPr>
              <m:t>800</m:t>
            </m:r>
          </m:den>
        </m:f>
        <m:r>
          <w:rPr>
            <w:rFonts w:ascii="Cambria Math" w:hAnsi="Cambria Math"/>
          </w:rPr>
          <m:t>+1</m:t>
        </m:r>
        <m:f>
          <m:fPr>
            <m:ctrlPr>
              <w:rPr>
                <w:rFonts w:ascii="Cambria Math" w:hAnsi="Cambria Math"/>
                <w:i/>
              </w:rPr>
            </m:ctrlPr>
          </m:fPr>
          <m:num>
            <m:r>
              <w:rPr>
                <w:rFonts w:ascii="Cambria Math" w:hAnsi="Cambria Math"/>
              </w:rPr>
              <m:t>500</m:t>
            </m:r>
          </m:num>
          <m:den>
            <m:r>
              <w:rPr>
                <w:rFonts w:ascii="Cambria Math" w:hAnsi="Cambria Math"/>
              </w:rPr>
              <m:t>800</m:t>
            </m:r>
          </m:den>
        </m:f>
        <m:r>
          <w:rPr>
            <w:rFonts w:ascii="Cambria Math" w:hAnsi="Cambria Math"/>
          </w:rPr>
          <m:t>=1,75</m:t>
        </m:r>
      </m:oMath>
      <w:r w:rsidR="00793412">
        <w:t xml:space="preserve"> </w:t>
      </w:r>
    </w:p>
    <w:p w:rsidR="00793412" w:rsidRDefault="00793412" w:rsidP="004D2E96">
      <w:pPr>
        <w:pStyle w:val="NoSpacing"/>
      </w:pPr>
    </w:p>
    <w:p w:rsidR="00793412" w:rsidRDefault="00793412" w:rsidP="009965EB">
      <w:pPr>
        <w:pStyle w:val="NoSpacing"/>
        <w:jc w:val="both"/>
      </w:pPr>
      <w:r>
        <w:t>Het gevolg hiervan is het geëiste rendement op EV stijgt naar 20%:</w:t>
      </w:r>
    </w:p>
    <w:p w:rsidR="00793412" w:rsidRDefault="00793412" w:rsidP="004D2E96">
      <w:pPr>
        <w:pStyle w:val="NoSpacing"/>
      </w:pPr>
    </w:p>
    <w:p w:rsidR="00793412" w:rsidRDefault="00E77650" w:rsidP="00793412">
      <w:pPr>
        <w:pStyle w:val="NoSpacing"/>
        <w:rPr>
          <w:rFonts w:eastAsiaTheme="minorEastAsia"/>
        </w:rPr>
      </w:pPr>
      <m:oMath>
        <m:sSub>
          <m:sSubPr>
            <m:ctrlPr>
              <w:rPr>
                <w:rFonts w:ascii="Cambria Math" w:hAnsi="Cambria Math"/>
                <w:i/>
              </w:rPr>
            </m:ctrlPr>
          </m:sSubPr>
          <m:e>
            <m:r>
              <w:rPr>
                <w:rFonts w:ascii="Cambria Math" w:hAnsi="Cambria Math"/>
              </w:rPr>
              <m:t>β</m:t>
            </m:r>
          </m:e>
          <m:sub>
            <m:r>
              <w:rPr>
                <w:rFonts w:ascii="Cambria Math" w:hAnsi="Cambria Math"/>
              </w:rPr>
              <m:t>EV</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passiva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VV</m:t>
                </m:r>
              </m:sub>
            </m:sSub>
            <m:f>
              <m:fPr>
                <m:ctrlPr>
                  <w:rPr>
                    <w:rFonts w:ascii="Cambria Math" w:hAnsi="Cambria Math"/>
                    <w:i/>
                  </w:rPr>
                </m:ctrlPr>
              </m:fPr>
              <m:num>
                <m:r>
                  <w:rPr>
                    <w:rFonts w:ascii="Cambria Math" w:hAnsi="Cambria Math"/>
                  </w:rPr>
                  <m:t>400</m:t>
                </m:r>
              </m:num>
              <m:den>
                <m:r>
                  <w:rPr>
                    <w:rFonts w:ascii="Cambria Math" w:hAnsi="Cambria Math"/>
                  </w:rPr>
                  <m:t>800</m:t>
                </m:r>
              </m:den>
            </m:f>
          </m:e>
        </m:d>
        <m:f>
          <m:fPr>
            <m:ctrlPr>
              <w:rPr>
                <w:rFonts w:ascii="Cambria Math" w:hAnsi="Cambria Math"/>
                <w:i/>
              </w:rPr>
            </m:ctrlPr>
          </m:fPr>
          <m:num>
            <m:r>
              <w:rPr>
                <w:rFonts w:ascii="Cambria Math" w:hAnsi="Cambria Math"/>
              </w:rPr>
              <m:t>800</m:t>
            </m:r>
          </m:num>
          <m:den>
            <m:r>
              <w:rPr>
                <w:rFonts w:ascii="Cambria Math" w:hAnsi="Cambria Math"/>
              </w:rPr>
              <m:t>400</m:t>
            </m:r>
          </m:den>
        </m:f>
        <m:r>
          <w:rPr>
            <w:rFonts w:ascii="Cambria Math" w:hAnsi="Cambria Math"/>
          </w:rPr>
          <m:t>=</m:t>
        </m:r>
        <m:d>
          <m:dPr>
            <m:ctrlPr>
              <w:rPr>
                <w:rFonts w:ascii="Cambria Math" w:hAnsi="Cambria Math"/>
                <w:i/>
              </w:rPr>
            </m:ctrlPr>
          </m:dPr>
          <m:e>
            <m:r>
              <w:rPr>
                <w:rFonts w:ascii="Cambria Math" w:hAnsi="Cambria Math"/>
              </w:rPr>
              <m:t>1,75-0,5</m:t>
            </m:r>
            <m:f>
              <m:fPr>
                <m:ctrlPr>
                  <w:rPr>
                    <w:rFonts w:ascii="Cambria Math" w:hAnsi="Cambria Math"/>
                    <w:i/>
                  </w:rPr>
                </m:ctrlPr>
              </m:fPr>
              <m:num>
                <m:r>
                  <w:rPr>
                    <w:rFonts w:ascii="Cambria Math" w:hAnsi="Cambria Math"/>
                  </w:rPr>
                  <m:t>400</m:t>
                </m:r>
              </m:num>
              <m:den>
                <m:r>
                  <w:rPr>
                    <w:rFonts w:ascii="Cambria Math" w:hAnsi="Cambria Math"/>
                  </w:rPr>
                  <m:t>800</m:t>
                </m:r>
              </m:den>
            </m:f>
          </m:e>
        </m:d>
        <m:f>
          <m:fPr>
            <m:ctrlPr>
              <w:rPr>
                <w:rFonts w:ascii="Cambria Math" w:hAnsi="Cambria Math"/>
                <w:i/>
              </w:rPr>
            </m:ctrlPr>
          </m:fPr>
          <m:num>
            <m:r>
              <w:rPr>
                <w:rFonts w:ascii="Cambria Math" w:hAnsi="Cambria Math"/>
              </w:rPr>
              <m:t>800</m:t>
            </m:r>
          </m:num>
          <m:den>
            <m:r>
              <w:rPr>
                <w:rFonts w:ascii="Cambria Math" w:hAnsi="Cambria Math"/>
              </w:rPr>
              <m:t>400</m:t>
            </m:r>
          </m:den>
        </m:f>
        <m:r>
          <w:rPr>
            <w:rFonts w:ascii="Cambria Math" w:hAnsi="Cambria Math"/>
          </w:rPr>
          <m:t>=3</m:t>
        </m:r>
      </m:oMath>
      <w:r w:rsidR="00793412">
        <w:rPr>
          <w:rFonts w:eastAsiaTheme="minorEastAsia"/>
        </w:rPr>
        <w:t xml:space="preserve"> </w:t>
      </w:r>
    </w:p>
    <w:p w:rsidR="00793412" w:rsidRDefault="00E77650" w:rsidP="00793412">
      <w:pPr>
        <w:pStyle w:val="NoSpacing"/>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EV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EV</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rPr>
          <m:t>=5%+3*5%=20%</m:t>
        </m:r>
      </m:oMath>
      <w:r w:rsidR="00793412">
        <w:t xml:space="preserve"> </w:t>
      </w:r>
    </w:p>
    <w:p w:rsidR="00793412" w:rsidRDefault="00793412" w:rsidP="004D2E96">
      <w:pPr>
        <w:pStyle w:val="NoSpacing"/>
      </w:pPr>
    </w:p>
    <w:p w:rsidR="00793412" w:rsidRDefault="00793412" w:rsidP="009965EB">
      <w:pPr>
        <w:pStyle w:val="NoSpacing"/>
        <w:jc w:val="both"/>
      </w:pPr>
      <w:r>
        <w:t>De marktwaarde van het eigen vermogen is na het inkopen van eigen aandelen gelijk aan 400 euro:</w:t>
      </w:r>
    </w:p>
    <w:p w:rsidR="00793412" w:rsidRDefault="00793412" w:rsidP="004D2E96">
      <w:pPr>
        <w:pStyle w:val="NoSpacing"/>
      </w:pPr>
    </w:p>
    <w:p w:rsidR="00793412" w:rsidRDefault="00E77650" w:rsidP="00793412">
      <w:pPr>
        <w:pStyle w:val="NoSpacing"/>
      </w:pPr>
      <m:oMath>
        <m:sSub>
          <m:sSubPr>
            <m:ctrlPr>
              <w:rPr>
                <w:rFonts w:ascii="Cambria Math" w:eastAsiaTheme="minorEastAsia" w:hAnsi="Cambria Math"/>
                <w:i/>
              </w:rPr>
            </m:ctrlPr>
          </m:sSubPr>
          <m:e>
            <m:r>
              <w:rPr>
                <w:rFonts w:ascii="Cambria Math" w:eastAsiaTheme="minorEastAsia" w:hAnsi="Cambria Math"/>
              </w:rPr>
              <m:t>Marktwaarde</m:t>
            </m:r>
          </m:e>
          <m:sub>
            <m:r>
              <w:rPr>
                <w:rFonts w:ascii="Cambria Math" w:eastAsiaTheme="minorEastAsia" w:hAnsi="Cambria Math"/>
              </w:rPr>
              <m:t>EV</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110-30</m:t>
                </m:r>
              </m:e>
            </m:d>
          </m:num>
          <m:den>
            <m:r>
              <w:rPr>
                <w:rFonts w:ascii="Cambria Math" w:eastAsiaTheme="minorEastAsia" w:hAnsi="Cambria Math"/>
              </w:rPr>
              <m:t>0,2</m:t>
            </m:r>
          </m:den>
        </m:f>
        <m:r>
          <w:rPr>
            <w:rFonts w:ascii="Cambria Math" w:eastAsiaTheme="minorEastAsia" w:hAnsi="Cambria Math"/>
          </w:rPr>
          <m:t>=€400,00</m:t>
        </m:r>
      </m:oMath>
      <w:r w:rsidR="00793412">
        <w:t xml:space="preserve"> </w:t>
      </w:r>
    </w:p>
    <w:p w:rsidR="00793412" w:rsidRDefault="00793412" w:rsidP="004D2E96">
      <w:pPr>
        <w:pStyle w:val="NoSpacing"/>
      </w:pPr>
    </w:p>
    <w:p w:rsidR="00793412" w:rsidRDefault="00793412" w:rsidP="009965EB">
      <w:pPr>
        <w:pStyle w:val="NoSpacing"/>
        <w:jc w:val="both"/>
      </w:pPr>
      <w:r>
        <w:t>De balans na het inkopen van eigen aandelen ziet er als volgt uit:</w:t>
      </w:r>
    </w:p>
    <w:p w:rsidR="00A80B12" w:rsidRDefault="00A80B12" w:rsidP="00793412">
      <w:pPr>
        <w:pStyle w:val="NoSpacing"/>
      </w:pPr>
    </w:p>
    <w:p w:rsidR="00793412" w:rsidRDefault="00A80B12" w:rsidP="00A80B12">
      <w:pPr>
        <w:pStyle w:val="NoSpacing"/>
      </w:pPr>
      <w:r>
        <w:object w:dxaOrig="6114" w:dyaOrig="1210">
          <v:shape id="_x0000_i1026" type="#_x0000_t75" style="width:306pt;height:60.75pt" o:ole="">
            <v:imagedata r:id="rId11" o:title=""/>
          </v:shape>
          <o:OLEObject Type="Embed" ProgID="Excel.Sheet.12" ShapeID="_x0000_i1026" DrawAspect="Content" ObjectID="_1435651682" r:id="rId12"/>
        </w:object>
      </w:r>
    </w:p>
    <w:p w:rsidR="00793412" w:rsidRDefault="00793412" w:rsidP="00AD3231">
      <w:pPr>
        <w:pStyle w:val="Caption"/>
        <w:jc w:val="both"/>
      </w:pPr>
      <w:r>
        <w:t xml:space="preserve">Figuur </w:t>
      </w:r>
      <w:r w:rsidR="00E77650">
        <w:fldChar w:fldCharType="begin"/>
      </w:r>
      <w:r w:rsidR="00780B1D">
        <w:instrText xml:space="preserve"> SEQ Figuur \* ARABIC </w:instrText>
      </w:r>
      <w:r w:rsidR="00E77650">
        <w:fldChar w:fldCharType="separate"/>
      </w:r>
      <w:r w:rsidR="00080D08">
        <w:rPr>
          <w:noProof/>
        </w:rPr>
        <w:t>2</w:t>
      </w:r>
      <w:r w:rsidR="00E77650">
        <w:fldChar w:fldCharType="end"/>
      </w:r>
      <w:r w:rsidR="00AD3231">
        <w:t>:</w:t>
      </w:r>
      <w:r>
        <w:t xml:space="preserve"> Balans (gebaseerd op marktwaarden) na inkopen eigen aandelen van onderneming X</w:t>
      </w:r>
      <w:r w:rsidR="00AD3231">
        <w:t>.</w:t>
      </w:r>
    </w:p>
    <w:p w:rsidR="00793412" w:rsidRDefault="00793412" w:rsidP="00A80B12">
      <w:pPr>
        <w:pStyle w:val="NoSpacing"/>
        <w:rPr>
          <w:b/>
        </w:rPr>
      </w:pPr>
    </w:p>
    <w:p w:rsidR="00793412" w:rsidRPr="00DA7450" w:rsidRDefault="00793412" w:rsidP="009965EB">
      <w:pPr>
        <w:pStyle w:val="NoSpacing"/>
        <w:jc w:val="both"/>
        <w:rPr>
          <w:b/>
          <w:sz w:val="24"/>
          <w:szCs w:val="24"/>
        </w:rPr>
      </w:pPr>
      <w:r w:rsidRPr="00DA7450">
        <w:rPr>
          <w:b/>
          <w:sz w:val="24"/>
          <w:szCs w:val="24"/>
        </w:rPr>
        <w:t xml:space="preserve">Effect </w:t>
      </w:r>
      <w:proofErr w:type="spellStart"/>
      <w:r w:rsidRPr="00DA7450">
        <w:rPr>
          <w:b/>
          <w:sz w:val="24"/>
          <w:szCs w:val="24"/>
        </w:rPr>
        <w:t>aandeleninkoopprogramma</w:t>
      </w:r>
      <w:proofErr w:type="spellEnd"/>
    </w:p>
    <w:p w:rsidR="00793412" w:rsidRDefault="00793412" w:rsidP="009965EB">
      <w:pPr>
        <w:pStyle w:val="NoSpacing"/>
        <w:jc w:val="both"/>
      </w:pPr>
      <w:r>
        <w:t xml:space="preserve">Voor het inkopen van de eigen aandelen was de marktwaarde van het eigen vermogen gelijk aan 600 euro. Indien het </w:t>
      </w:r>
      <w:proofErr w:type="spellStart"/>
      <w:r>
        <w:t>aandeleninkoopprogramma</w:t>
      </w:r>
      <w:proofErr w:type="spellEnd"/>
      <w:r>
        <w:t xml:space="preserve"> waarde zo</w:t>
      </w:r>
      <w:r w:rsidR="004C051E">
        <w:t>u creë</w:t>
      </w:r>
      <w:r>
        <w:t>ren zou de som van de marktwaarde</w:t>
      </w:r>
      <w:r w:rsidR="00B528B5">
        <w:t>n</w:t>
      </w:r>
      <w:r>
        <w:t xml:space="preserve"> van de uitgekochte aandeelhouders en het EV van de huidige aandeelhouders hoger moeten zijn dan 600</w:t>
      </w:r>
      <w:r w:rsidR="00EC161B">
        <w:t xml:space="preserve"> euro</w:t>
      </w:r>
      <w:r>
        <w:t xml:space="preserve">. Dit is niet het geval. De uitgekochte aandeelhouders hebben 200 euro gekregen voor het verkopen van hun eigen aandelen, wat gelijk is aan de marktwaarde op de transactiedatum. De marktwaarde van het EV van de huidige aandeelhouders bedraagt 400 euro (zie </w:t>
      </w:r>
      <w:r w:rsidRPr="001749DE">
        <w:t>figuur 2</w:t>
      </w:r>
      <w:r>
        <w:t xml:space="preserve">), waardoor de som van beiden gelijk is aan 600 euro. De winst per aandeel is voor de huidige aandeelhouders </w:t>
      </w:r>
      <w:r>
        <w:lastRenderedPageBreak/>
        <w:t>weliswaar gestegen van 1,50 naar 2,00 euro, maar dit is slechts een compensatie voor het toegenomen marktrisico.</w:t>
      </w:r>
    </w:p>
    <w:p w:rsidR="00A80B12" w:rsidRPr="00793412" w:rsidRDefault="00793412" w:rsidP="009965EB">
      <w:pPr>
        <w:pStyle w:val="NoSpacing"/>
        <w:jc w:val="both"/>
      </w:pPr>
      <w:r>
        <w:t xml:space="preserve">Een </w:t>
      </w:r>
      <w:proofErr w:type="spellStart"/>
      <w:r>
        <w:t>aandeleninkoopprogramma</w:t>
      </w:r>
      <w:proofErr w:type="spellEnd"/>
      <w:r>
        <w:t xml:space="preserve"> creëert in een perfecte vermogensmarkt dus geen waarde. </w:t>
      </w:r>
    </w:p>
    <w:p w:rsidR="00F82D91" w:rsidRPr="008143B1" w:rsidRDefault="00793412" w:rsidP="00F82D91">
      <w:pPr>
        <w:pStyle w:val="Heading2"/>
        <w:numPr>
          <w:ilvl w:val="1"/>
          <w:numId w:val="1"/>
        </w:numPr>
        <w:jc w:val="both"/>
        <w:rPr>
          <w:color w:val="auto"/>
        </w:rPr>
      </w:pPr>
      <w:bookmarkStart w:id="5" w:name="_Toc361526558"/>
      <w:r>
        <w:rPr>
          <w:color w:val="auto"/>
        </w:rPr>
        <w:t>De praktijk met markimperfecties</w:t>
      </w:r>
      <w:bookmarkEnd w:id="5"/>
    </w:p>
    <w:p w:rsidR="00F82D91" w:rsidRDefault="00F82D91" w:rsidP="009965EB">
      <w:pPr>
        <w:pStyle w:val="NoSpacing"/>
        <w:spacing w:before="120"/>
        <w:jc w:val="both"/>
      </w:pPr>
      <w:r>
        <w:t xml:space="preserve">In theorie wordt er met een </w:t>
      </w:r>
      <w:proofErr w:type="spellStart"/>
      <w:r>
        <w:t>aandeleninkoopprogramma</w:t>
      </w:r>
      <w:proofErr w:type="spellEnd"/>
      <w:r>
        <w:t xml:space="preserve"> dus geen aandeelhouderswaarde gecreëerd. In de wetenschappelijke literatuur wordt er desondanks een positief abnormaal rendement gevonden tussen de 2,0 en 4,5 procent rond de dag van een aankondiging. Het inkopen van eigen aandelen wordt door de markt dus als goed nieuws bestempeld (Steenbeek, 2004). De verklaring hiervoor kan worden gezocht in het feit dat we niet leven in een perfecte markt en te kampen hebben met marktimperfecties. </w:t>
      </w:r>
    </w:p>
    <w:p w:rsidR="00F82D91" w:rsidRDefault="00F82D91" w:rsidP="009965EB">
      <w:pPr>
        <w:pStyle w:val="NoSpacing"/>
        <w:jc w:val="both"/>
      </w:pPr>
      <w:r>
        <w:t xml:space="preserve">De volgende  </w:t>
      </w:r>
      <w:r w:rsidR="00404BDE">
        <w:t>7</w:t>
      </w:r>
      <w:r>
        <w:t xml:space="preserve"> theoretische motieven die betrekking hebben op de marktimperfecties zullen nu kort  besproken worden:</w:t>
      </w:r>
    </w:p>
    <w:p w:rsidR="00F82D91" w:rsidRDefault="00B60005" w:rsidP="009965EB">
      <w:pPr>
        <w:pStyle w:val="NoSpacing"/>
        <w:numPr>
          <w:ilvl w:val="0"/>
          <w:numId w:val="4"/>
        </w:numPr>
        <w:jc w:val="both"/>
      </w:pPr>
      <w:proofErr w:type="spellStart"/>
      <w:r>
        <w:t>Undervaluation</w:t>
      </w:r>
      <w:proofErr w:type="spellEnd"/>
      <w:r>
        <w:t xml:space="preserve"> hypothese</w:t>
      </w:r>
    </w:p>
    <w:p w:rsidR="00B60005" w:rsidRDefault="00B60005" w:rsidP="009965EB">
      <w:pPr>
        <w:pStyle w:val="NoSpacing"/>
        <w:numPr>
          <w:ilvl w:val="0"/>
          <w:numId w:val="4"/>
        </w:numPr>
        <w:jc w:val="both"/>
      </w:pPr>
      <w:r>
        <w:t>Free cash</w:t>
      </w:r>
      <w:r w:rsidR="00404BDE">
        <w:t xml:space="preserve"> </w:t>
      </w:r>
      <w:proofErr w:type="spellStart"/>
      <w:r>
        <w:t>flow</w:t>
      </w:r>
      <w:proofErr w:type="spellEnd"/>
      <w:r>
        <w:t xml:space="preserve"> hypothese</w:t>
      </w:r>
    </w:p>
    <w:p w:rsidR="00F82D91" w:rsidRDefault="00EC161B" w:rsidP="009965EB">
      <w:pPr>
        <w:pStyle w:val="NoSpacing"/>
        <w:numPr>
          <w:ilvl w:val="0"/>
          <w:numId w:val="4"/>
        </w:numPr>
        <w:jc w:val="both"/>
      </w:pPr>
      <w:r>
        <w:t>D</w:t>
      </w:r>
      <w:r w:rsidR="00F82D91">
        <w:t>ividend hypothese</w:t>
      </w:r>
    </w:p>
    <w:p w:rsidR="00F82D91" w:rsidRDefault="00EC161B" w:rsidP="009965EB">
      <w:pPr>
        <w:pStyle w:val="NoSpacing"/>
        <w:numPr>
          <w:ilvl w:val="0"/>
          <w:numId w:val="4"/>
        </w:numPr>
        <w:jc w:val="both"/>
      </w:pPr>
      <w:proofErr w:type="spellStart"/>
      <w:r>
        <w:t>L</w:t>
      </w:r>
      <w:r w:rsidR="00F82D91">
        <w:t>everage</w:t>
      </w:r>
      <w:proofErr w:type="spellEnd"/>
      <w:r w:rsidR="00F82D91">
        <w:t xml:space="preserve"> hypothese</w:t>
      </w:r>
    </w:p>
    <w:p w:rsidR="00F82D91" w:rsidRDefault="00EC161B" w:rsidP="009965EB">
      <w:pPr>
        <w:pStyle w:val="NoSpacing"/>
        <w:numPr>
          <w:ilvl w:val="0"/>
          <w:numId w:val="4"/>
        </w:numPr>
        <w:jc w:val="both"/>
      </w:pPr>
      <w:proofErr w:type="spellStart"/>
      <w:r>
        <w:t>T</w:t>
      </w:r>
      <w:r w:rsidR="00F82D91">
        <w:t>ake-over</w:t>
      </w:r>
      <w:proofErr w:type="spellEnd"/>
      <w:r w:rsidR="00F82D91">
        <w:t xml:space="preserve"> </w:t>
      </w:r>
      <w:proofErr w:type="spellStart"/>
      <w:r w:rsidR="00F82D91">
        <w:t>de</w:t>
      </w:r>
      <w:r w:rsidR="00BB073B">
        <w:t>f</w:t>
      </w:r>
      <w:r w:rsidR="00F82D91">
        <w:t>en</w:t>
      </w:r>
      <w:r w:rsidR="00BB073B">
        <w:t>s</w:t>
      </w:r>
      <w:r w:rsidR="00F82D91">
        <w:t>e</w:t>
      </w:r>
      <w:proofErr w:type="spellEnd"/>
      <w:r w:rsidR="00F82D91">
        <w:t xml:space="preserve"> hypothese</w:t>
      </w:r>
    </w:p>
    <w:p w:rsidR="00F82D91" w:rsidRDefault="00EC161B" w:rsidP="009965EB">
      <w:pPr>
        <w:pStyle w:val="NoSpacing"/>
        <w:numPr>
          <w:ilvl w:val="0"/>
          <w:numId w:val="4"/>
        </w:numPr>
        <w:jc w:val="both"/>
      </w:pPr>
      <w:r>
        <w:t>M</w:t>
      </w:r>
      <w:r w:rsidR="00F82D91">
        <w:t xml:space="preserve">anagement </w:t>
      </w:r>
      <w:proofErr w:type="spellStart"/>
      <w:r w:rsidR="00F82D91">
        <w:t>incentive</w:t>
      </w:r>
      <w:proofErr w:type="spellEnd"/>
      <w:r w:rsidR="00F82D91">
        <w:t xml:space="preserve"> hypothese</w:t>
      </w:r>
    </w:p>
    <w:p w:rsidR="00F82D91" w:rsidRDefault="00EC161B" w:rsidP="009965EB">
      <w:pPr>
        <w:pStyle w:val="NoSpacing"/>
        <w:numPr>
          <w:ilvl w:val="0"/>
          <w:numId w:val="4"/>
        </w:numPr>
        <w:jc w:val="both"/>
      </w:pPr>
      <w:proofErr w:type="spellStart"/>
      <w:r>
        <w:t>A</w:t>
      </w:r>
      <w:r w:rsidR="00F82D91">
        <w:t>gency</w:t>
      </w:r>
      <w:proofErr w:type="spellEnd"/>
      <w:r w:rsidR="00F82D91">
        <w:t xml:space="preserve"> </w:t>
      </w:r>
      <w:proofErr w:type="spellStart"/>
      <w:r w:rsidR="00F82D91">
        <w:t>cost</w:t>
      </w:r>
      <w:r w:rsidR="003375B8">
        <w:t>s</w:t>
      </w:r>
      <w:proofErr w:type="spellEnd"/>
      <w:r w:rsidR="00F82D91">
        <w:t xml:space="preserve"> hypothese</w:t>
      </w:r>
    </w:p>
    <w:p w:rsidR="00F82D91" w:rsidRDefault="00F82D91" w:rsidP="00F82D91">
      <w:pPr>
        <w:pStyle w:val="NoSpacing"/>
      </w:pPr>
    </w:p>
    <w:p w:rsidR="00F82D91" w:rsidRDefault="00B60005" w:rsidP="009965EB">
      <w:pPr>
        <w:pStyle w:val="NoSpacing"/>
        <w:ind w:left="720"/>
        <w:jc w:val="both"/>
      </w:pPr>
      <w:proofErr w:type="spellStart"/>
      <w:r>
        <w:rPr>
          <w:b/>
        </w:rPr>
        <w:t>Undervaluation</w:t>
      </w:r>
      <w:proofErr w:type="spellEnd"/>
      <w:r>
        <w:rPr>
          <w:b/>
        </w:rPr>
        <w:t xml:space="preserve"> en free cash </w:t>
      </w:r>
      <w:proofErr w:type="spellStart"/>
      <w:r>
        <w:rPr>
          <w:b/>
        </w:rPr>
        <w:t>flow</w:t>
      </w:r>
      <w:proofErr w:type="spellEnd"/>
      <w:r>
        <w:rPr>
          <w:b/>
        </w:rPr>
        <w:t xml:space="preserve"> hypotheses</w:t>
      </w:r>
    </w:p>
    <w:p w:rsidR="00F82D91" w:rsidRDefault="00F82D91" w:rsidP="009965EB">
      <w:pPr>
        <w:pStyle w:val="NoSpacing"/>
        <w:jc w:val="both"/>
      </w:pPr>
      <w:r>
        <w:t xml:space="preserve">Een onderneming kan door </w:t>
      </w:r>
      <w:r w:rsidR="00B60005">
        <w:t xml:space="preserve">haar eigen </w:t>
      </w:r>
      <w:r>
        <w:t>aandelen in te kopen een signaal af geven aan de markt. De betekenis van het signaal is echter dubieus.</w:t>
      </w:r>
    </w:p>
    <w:p w:rsidR="00EC161B" w:rsidRDefault="00F82D91" w:rsidP="009965EB">
      <w:pPr>
        <w:pStyle w:val="NoSpacing"/>
        <w:jc w:val="both"/>
      </w:pPr>
      <w:r>
        <w:t xml:space="preserve">Het kan zijn dat </w:t>
      </w:r>
      <w:r w:rsidR="00EC161B">
        <w:t>het management van mening is dat haar onderneming ondergewaardeerd is</w:t>
      </w:r>
      <w:r w:rsidR="00B60005">
        <w:t xml:space="preserve"> (</w:t>
      </w:r>
      <w:proofErr w:type="spellStart"/>
      <w:r w:rsidR="00B60005">
        <w:t>undervaluation</w:t>
      </w:r>
      <w:proofErr w:type="spellEnd"/>
      <w:r w:rsidR="00B60005">
        <w:t xml:space="preserve"> hypothese)</w:t>
      </w:r>
      <w:r w:rsidR="00EC161B">
        <w:t>. Doordat het management als insider meer informatie tot haar beschikking heeft, zou de markt hier positief op moeten reageren (</w:t>
      </w:r>
      <w:proofErr w:type="spellStart"/>
      <w:r w:rsidR="00EC161B">
        <w:t>Vermaelen</w:t>
      </w:r>
      <w:proofErr w:type="spellEnd"/>
      <w:r w:rsidR="00EC161B">
        <w:t xml:space="preserve">, 1981). </w:t>
      </w:r>
      <w:r w:rsidR="006C6A2C">
        <w:t xml:space="preserve">De waardecreatie van het </w:t>
      </w:r>
      <w:proofErr w:type="spellStart"/>
      <w:r w:rsidR="006C6A2C">
        <w:t>a</w:t>
      </w:r>
      <w:r w:rsidR="00026B0D">
        <w:t>andeleninkoopprogramma</w:t>
      </w:r>
      <w:proofErr w:type="spellEnd"/>
      <w:r w:rsidR="00026B0D">
        <w:t xml:space="preserve"> is in dit geval gelijk aan het verschil tussen de koers voor aankondiging en </w:t>
      </w:r>
      <w:r w:rsidR="0096157F">
        <w:t xml:space="preserve">de koers na aankondiging (Baltus &amp; Schauten, 2000). </w:t>
      </w:r>
      <w:r w:rsidR="00EC161B">
        <w:t xml:space="preserve">Uit empirisch onderzoek van Vermalen (1981), </w:t>
      </w:r>
      <w:proofErr w:type="spellStart"/>
      <w:r w:rsidR="00DB5A44">
        <w:t>Comment</w:t>
      </w:r>
      <w:proofErr w:type="spellEnd"/>
      <w:r w:rsidR="00DB5A44">
        <w:t xml:space="preserve"> &amp; </w:t>
      </w:r>
      <w:proofErr w:type="spellStart"/>
      <w:r w:rsidR="00DB5A44">
        <w:t>Jarrell</w:t>
      </w:r>
      <w:proofErr w:type="spellEnd"/>
      <w:r w:rsidR="00DB5A44">
        <w:t xml:space="preserve"> (1991), </w:t>
      </w:r>
      <w:proofErr w:type="spellStart"/>
      <w:r w:rsidR="00DB5A44">
        <w:t>Stephens</w:t>
      </w:r>
      <w:proofErr w:type="spellEnd"/>
      <w:r w:rsidR="00DB5A44">
        <w:t xml:space="preserve"> &amp; </w:t>
      </w:r>
      <w:proofErr w:type="spellStart"/>
      <w:r w:rsidR="00DB5A44">
        <w:t>Weisbach</w:t>
      </w:r>
      <w:proofErr w:type="spellEnd"/>
      <w:r w:rsidR="00DB5A44">
        <w:t xml:space="preserve"> (1998), </w:t>
      </w:r>
      <w:proofErr w:type="spellStart"/>
      <w:r w:rsidR="00DB5A44">
        <w:t>Dittmar</w:t>
      </w:r>
      <w:proofErr w:type="spellEnd"/>
      <w:r w:rsidR="00DB5A44">
        <w:t xml:space="preserve"> (2000) en </w:t>
      </w:r>
      <w:r w:rsidR="00EC161B">
        <w:t xml:space="preserve">Lee et all (2010) wordt de laatste hypothese ondersteund. </w:t>
      </w:r>
      <w:proofErr w:type="spellStart"/>
      <w:r w:rsidR="00DB5A44">
        <w:t>Grullon</w:t>
      </w:r>
      <w:proofErr w:type="spellEnd"/>
      <w:r w:rsidR="00DB5A44">
        <w:t xml:space="preserve"> &amp; </w:t>
      </w:r>
      <w:proofErr w:type="spellStart"/>
      <w:r w:rsidR="00DB5A44">
        <w:t>Michealy</w:t>
      </w:r>
      <w:proofErr w:type="spellEnd"/>
      <w:r w:rsidR="00DB5A44">
        <w:t xml:space="preserve"> (2004) vinden in hun onderzoek geen ondersteuning voor deze hypothese. </w:t>
      </w:r>
    </w:p>
    <w:p w:rsidR="00F82D91" w:rsidRDefault="00EC161B" w:rsidP="009965EB">
      <w:pPr>
        <w:pStyle w:val="NoSpacing"/>
        <w:jc w:val="both"/>
      </w:pPr>
      <w:r>
        <w:t xml:space="preserve">Een andere verklaring is dat </w:t>
      </w:r>
      <w:r w:rsidR="00F82D91">
        <w:t>een onderneming geen winstgevende aanwendingsmogelijkheden heeft voor intern gegeneerde middelen door een gebrek aan groeimogelijkheden (Baltus &amp; Schauten, 200</w:t>
      </w:r>
      <w:r w:rsidR="00877459">
        <w:t>0</w:t>
      </w:r>
      <w:r w:rsidR="00F82D91">
        <w:t xml:space="preserve">, </w:t>
      </w:r>
      <w:proofErr w:type="spellStart"/>
      <w:r w:rsidR="00F82D91">
        <w:t>Vermaelen</w:t>
      </w:r>
      <w:proofErr w:type="spellEnd"/>
      <w:r w:rsidR="00F82D91">
        <w:t>, 1981). Een onderneming gebruikt dan haar overtollige kasgeld om haar eigen aandelen in te kopen. Het overtollig kasgeld wordt gebruikt, aangezien managers de neiging (</w:t>
      </w:r>
      <w:proofErr w:type="spellStart"/>
      <w:r w:rsidR="00F82D91">
        <w:t>incentive</w:t>
      </w:r>
      <w:proofErr w:type="spellEnd"/>
      <w:r w:rsidR="00F82D91">
        <w:t>) hebben om over te investeren in projecten. Hierbij investeren managers in projecten met een negatieve netto contante waarde (</w:t>
      </w:r>
      <w:proofErr w:type="spellStart"/>
      <w:r w:rsidR="00F82D91">
        <w:t>Jensen</w:t>
      </w:r>
      <w:proofErr w:type="spellEnd"/>
      <w:r w:rsidR="00F82D91">
        <w:t xml:space="preserve">, 1986). </w:t>
      </w:r>
      <w:r w:rsidR="00380D5B">
        <w:t xml:space="preserve">Onderzoeken van </w:t>
      </w:r>
      <w:proofErr w:type="spellStart"/>
      <w:r w:rsidR="00380D5B">
        <w:t>Dittmar</w:t>
      </w:r>
      <w:proofErr w:type="spellEnd"/>
      <w:r w:rsidR="00380D5B">
        <w:t xml:space="preserve"> (2000) en </w:t>
      </w:r>
      <w:proofErr w:type="spellStart"/>
      <w:r w:rsidR="00380D5B">
        <w:t>Grullon</w:t>
      </w:r>
      <w:proofErr w:type="spellEnd"/>
      <w:r w:rsidR="00380D5B">
        <w:t xml:space="preserve"> &amp; </w:t>
      </w:r>
      <w:proofErr w:type="spellStart"/>
      <w:r w:rsidR="00380D5B">
        <w:t>Mich</w:t>
      </w:r>
      <w:r w:rsidR="003375B8">
        <w:t>ealy</w:t>
      </w:r>
      <w:proofErr w:type="spellEnd"/>
      <w:r w:rsidR="003375B8">
        <w:t xml:space="preserve"> (2004) ondersteunen deze free cash </w:t>
      </w:r>
      <w:proofErr w:type="spellStart"/>
      <w:r w:rsidR="003375B8">
        <w:t>flow</w:t>
      </w:r>
      <w:proofErr w:type="spellEnd"/>
      <w:r w:rsidR="00380D5B">
        <w:t xml:space="preserve"> hypothese van </w:t>
      </w:r>
      <w:proofErr w:type="spellStart"/>
      <w:r w:rsidR="00380D5B">
        <w:t>Jensen</w:t>
      </w:r>
      <w:proofErr w:type="spellEnd"/>
      <w:r w:rsidR="00380D5B">
        <w:t>.</w:t>
      </w:r>
      <w:r w:rsidR="00AD48F8">
        <w:t xml:space="preserve"> Lee et al.</w:t>
      </w:r>
      <w:r w:rsidR="00DB5A44">
        <w:t xml:space="preserve"> (2010) vinden geen ondersteuning voor deze hypothese. </w:t>
      </w:r>
    </w:p>
    <w:p w:rsidR="00F82D91" w:rsidRDefault="00F82D91" w:rsidP="009965EB">
      <w:pPr>
        <w:pStyle w:val="NoSpacing"/>
        <w:jc w:val="both"/>
      </w:pPr>
    </w:p>
    <w:p w:rsidR="00F82D91" w:rsidRPr="0091110E" w:rsidRDefault="00F82D91" w:rsidP="009965EB">
      <w:pPr>
        <w:pStyle w:val="NoSpacing"/>
        <w:ind w:firstLine="708"/>
        <w:jc w:val="both"/>
      </w:pPr>
      <w:r>
        <w:rPr>
          <w:b/>
        </w:rPr>
        <w:t xml:space="preserve"> Dividendhypothese</w:t>
      </w:r>
    </w:p>
    <w:p w:rsidR="006C6A2C" w:rsidRDefault="00F82D91" w:rsidP="009965EB">
      <w:pPr>
        <w:pStyle w:val="NoSpacing"/>
        <w:jc w:val="both"/>
      </w:pPr>
      <w:r>
        <w:t xml:space="preserve">Wanneer het kapitaal van een onderneming groter is dan de investeringsmogelijkheden, dan kan een bedrijf haar overtollige kasgelden behouden of distribueren aan de aandeelhouders. Een aandeleninkoop is net zoals dividend een methode om overtollige kapitaal te distribueren. Er zijn 2 redenen waarom een onderneming toch een voorkeur kan hebben voor een </w:t>
      </w:r>
      <w:proofErr w:type="spellStart"/>
      <w:r>
        <w:t>aandeleninkoopprogramma</w:t>
      </w:r>
      <w:proofErr w:type="spellEnd"/>
      <w:r>
        <w:t xml:space="preserve"> (</w:t>
      </w:r>
      <w:proofErr w:type="spellStart"/>
      <w:r>
        <w:t>Dittmar</w:t>
      </w:r>
      <w:proofErr w:type="spellEnd"/>
      <w:r>
        <w:t>, 2000):</w:t>
      </w:r>
    </w:p>
    <w:p w:rsidR="00F82D91" w:rsidRDefault="00F82D91" w:rsidP="009965EB">
      <w:pPr>
        <w:pStyle w:val="NoSpacing"/>
        <w:numPr>
          <w:ilvl w:val="0"/>
          <w:numId w:val="5"/>
        </w:numPr>
        <w:jc w:val="both"/>
      </w:pPr>
      <w:r>
        <w:t>Meer flexibiliteit</w:t>
      </w:r>
    </w:p>
    <w:p w:rsidR="006C6A2C" w:rsidRDefault="00F82D91" w:rsidP="009965EB">
      <w:pPr>
        <w:pStyle w:val="NoSpacing"/>
        <w:jc w:val="both"/>
      </w:pPr>
      <w:r>
        <w:t xml:space="preserve">Wanneer een onderneming dividend uitkeert, dan is er de verwachting van de markt dat de onderneming dit de volgende periodes ook zal doen. Bij een </w:t>
      </w:r>
      <w:proofErr w:type="spellStart"/>
      <w:r>
        <w:t>aandeleninkoopprogramma</w:t>
      </w:r>
      <w:proofErr w:type="spellEnd"/>
      <w:r>
        <w:t xml:space="preserve"> is de druk van de markt kleiner. </w:t>
      </w:r>
      <w:r w:rsidR="00BF5387">
        <w:t xml:space="preserve">Onderzoek van </w:t>
      </w:r>
      <w:proofErr w:type="spellStart"/>
      <w:r w:rsidR="00BF5387">
        <w:t>Stephens</w:t>
      </w:r>
      <w:proofErr w:type="spellEnd"/>
      <w:r w:rsidR="00BF5387">
        <w:t xml:space="preserve"> en </w:t>
      </w:r>
      <w:proofErr w:type="spellStart"/>
      <w:r w:rsidR="00BF5387">
        <w:t>Weisbach</w:t>
      </w:r>
      <w:proofErr w:type="spellEnd"/>
      <w:r w:rsidR="00BF5387">
        <w:t xml:space="preserve"> (1998) ondersteunt dit motief.</w:t>
      </w:r>
    </w:p>
    <w:p w:rsidR="00F82D91" w:rsidRDefault="00F82D91" w:rsidP="009965EB">
      <w:pPr>
        <w:pStyle w:val="NoSpacing"/>
        <w:numPr>
          <w:ilvl w:val="0"/>
          <w:numId w:val="5"/>
        </w:numPr>
        <w:jc w:val="both"/>
      </w:pPr>
      <w:r>
        <w:lastRenderedPageBreak/>
        <w:t>Belastingvoordeel</w:t>
      </w:r>
    </w:p>
    <w:p w:rsidR="00F82D91" w:rsidRDefault="00F82D91" w:rsidP="009965EB">
      <w:pPr>
        <w:pStyle w:val="NoSpacing"/>
        <w:jc w:val="both"/>
      </w:pPr>
      <w:r>
        <w:t xml:space="preserve">Dividend wordt zwaarder belast dan een </w:t>
      </w:r>
      <w:proofErr w:type="spellStart"/>
      <w:r>
        <w:t>aandeleninkoopprogramma</w:t>
      </w:r>
      <w:proofErr w:type="spellEnd"/>
      <w:r>
        <w:t xml:space="preserve"> (</w:t>
      </w:r>
      <w:proofErr w:type="spellStart"/>
      <w:r>
        <w:t>Bagwell</w:t>
      </w:r>
      <w:proofErr w:type="spellEnd"/>
      <w:r>
        <w:t xml:space="preserve"> &amp; </w:t>
      </w:r>
      <w:proofErr w:type="spellStart"/>
      <w:r>
        <w:t>Shoven</w:t>
      </w:r>
      <w:proofErr w:type="spellEnd"/>
      <w:r>
        <w:t>, 1992). Vanaf 2001 is het in Nederland fiscaal veel gunstiger geworden om eigen aandelen in t</w:t>
      </w:r>
      <w:r w:rsidR="00080D08">
        <w:t>e kopen. Voor deze periode werd</w:t>
      </w:r>
      <w:r>
        <w:t xml:space="preserve"> het inkopen van eigen aandelen als een verkapte dividen</w:t>
      </w:r>
      <w:r w:rsidR="006D7535">
        <w:t>d</w:t>
      </w:r>
      <w:r>
        <w:t>uitkering gezien, waarover 15% dividendbelasting over betaald moest worden. Sinds 2001 moge</w:t>
      </w:r>
      <w:r w:rsidR="00BB073B">
        <w:t>n ondernemingen echter incident</w:t>
      </w:r>
      <w:r>
        <w:t>eel eigen aandelen inkopen zonder dividendbelasting te betalen (Schippers, 2007).</w:t>
      </w:r>
    </w:p>
    <w:p w:rsidR="00F82D91" w:rsidRPr="00303FCC" w:rsidRDefault="00BF5387" w:rsidP="009965EB">
      <w:pPr>
        <w:pStyle w:val="NoSpacing"/>
        <w:jc w:val="both"/>
      </w:pPr>
      <w:r>
        <w:t xml:space="preserve">Onderzoek van </w:t>
      </w:r>
      <w:proofErr w:type="spellStart"/>
      <w:r>
        <w:t>Rau</w:t>
      </w:r>
      <w:proofErr w:type="spellEnd"/>
      <w:r>
        <w:t xml:space="preserve"> &amp; Vermalen (2002) toont aan dat veranderingen in het belastingspercentage een grote invloed </w:t>
      </w:r>
      <w:r w:rsidR="003375B8">
        <w:t>hebben</w:t>
      </w:r>
      <w:r>
        <w:t xml:space="preserve"> op het aantal </w:t>
      </w:r>
      <w:proofErr w:type="spellStart"/>
      <w:r>
        <w:t>aandeleninkoopprogramma’s</w:t>
      </w:r>
      <w:proofErr w:type="spellEnd"/>
      <w:r>
        <w:t xml:space="preserve">. </w:t>
      </w:r>
      <w:proofErr w:type="spellStart"/>
      <w:r w:rsidR="00303FCC">
        <w:t>Vermaelen</w:t>
      </w:r>
      <w:proofErr w:type="spellEnd"/>
      <w:r w:rsidR="00303FCC">
        <w:t xml:space="preserve"> </w:t>
      </w:r>
      <w:r w:rsidR="00DB5A44">
        <w:t xml:space="preserve">(1981), </w:t>
      </w:r>
      <w:proofErr w:type="spellStart"/>
      <w:r w:rsidR="00DB5A44">
        <w:t>Bagwell</w:t>
      </w:r>
      <w:proofErr w:type="spellEnd"/>
      <w:r w:rsidR="00DB5A44">
        <w:t xml:space="preserve"> &amp; </w:t>
      </w:r>
      <w:proofErr w:type="spellStart"/>
      <w:r w:rsidR="00DB5A44">
        <w:t>Shoven</w:t>
      </w:r>
      <w:proofErr w:type="spellEnd"/>
      <w:r w:rsidR="00DB5A44">
        <w:t xml:space="preserve"> (1989), </w:t>
      </w:r>
      <w:proofErr w:type="spellStart"/>
      <w:r w:rsidR="00303FCC">
        <w:t>Dittmar</w:t>
      </w:r>
      <w:proofErr w:type="spellEnd"/>
      <w:r w:rsidR="00303FCC">
        <w:t xml:space="preserve"> (2000)</w:t>
      </w:r>
      <w:r w:rsidR="00AD48F8">
        <w:t xml:space="preserve"> en Lee et al.</w:t>
      </w:r>
      <w:r w:rsidR="00DB5A44">
        <w:t xml:space="preserve"> (2010)</w:t>
      </w:r>
      <w:r w:rsidR="00303FCC">
        <w:t xml:space="preserve"> vinden in hun onderzoeken echter geen ondersteuning voor de dividendhypothese. </w:t>
      </w:r>
    </w:p>
    <w:p w:rsidR="00F82D91" w:rsidRDefault="00F82D91" w:rsidP="009965EB">
      <w:pPr>
        <w:pStyle w:val="NoSpacing"/>
        <w:jc w:val="both"/>
        <w:rPr>
          <w:b/>
        </w:rPr>
      </w:pPr>
    </w:p>
    <w:p w:rsidR="00F82D91" w:rsidRDefault="00F82D91" w:rsidP="009965EB">
      <w:pPr>
        <w:pStyle w:val="NoSpacing"/>
        <w:ind w:firstLine="708"/>
        <w:jc w:val="both"/>
        <w:rPr>
          <w:b/>
        </w:rPr>
      </w:pPr>
      <w:proofErr w:type="spellStart"/>
      <w:r>
        <w:rPr>
          <w:b/>
        </w:rPr>
        <w:t>Leverage</w:t>
      </w:r>
      <w:proofErr w:type="spellEnd"/>
      <w:r>
        <w:rPr>
          <w:b/>
        </w:rPr>
        <w:t xml:space="preserve"> hypothese</w:t>
      </w:r>
    </w:p>
    <w:p w:rsidR="00303FCC" w:rsidRDefault="00F82D91" w:rsidP="009965EB">
      <w:pPr>
        <w:pStyle w:val="NoSpacing"/>
        <w:jc w:val="both"/>
      </w:pPr>
      <w:r>
        <w:t>Wanneer een onderneming haar eigen aandelen inkoopt, verandert ook de (relatieve) vermogensstructuur van de onderneming (</w:t>
      </w:r>
      <w:proofErr w:type="spellStart"/>
      <w:r>
        <w:t>Vermaelen</w:t>
      </w:r>
      <w:proofErr w:type="spellEnd"/>
      <w:r>
        <w:t xml:space="preserve"> 1984, </w:t>
      </w:r>
      <w:proofErr w:type="spellStart"/>
      <w:r>
        <w:t>Dittmar</w:t>
      </w:r>
      <w:proofErr w:type="spellEnd"/>
      <w:r>
        <w:t xml:space="preserve"> 2000). Indien een onderneming streeft naar een optimale vermogensstructuur met meer </w:t>
      </w:r>
      <w:r w:rsidR="00F80C87">
        <w:t>vreemd vermogen</w:t>
      </w:r>
      <w:r>
        <w:t xml:space="preserve">, dan </w:t>
      </w:r>
      <w:r w:rsidR="00DA71AB">
        <w:t xml:space="preserve">kan zij ervoor kiezen om het </w:t>
      </w:r>
      <w:proofErr w:type="spellStart"/>
      <w:r w:rsidR="00DA71AB">
        <w:t>aandeleninkoopprogramma</w:t>
      </w:r>
      <w:proofErr w:type="spellEnd"/>
      <w:r w:rsidR="00DA71AB">
        <w:t xml:space="preserve"> te financieren met het uitgeven van schulden</w:t>
      </w:r>
      <w:r>
        <w:t xml:space="preserve">. </w:t>
      </w:r>
      <w:r w:rsidR="00C10289">
        <w:t>Deze financieringssubstitutie is fiscaal aantrekkelijk, omdat</w:t>
      </w:r>
      <w:r w:rsidR="003375B8">
        <w:t xml:space="preserve"> </w:t>
      </w:r>
      <w:r w:rsidR="00DA71AB">
        <w:t xml:space="preserve">de kosten </w:t>
      </w:r>
      <w:r w:rsidR="00C10289">
        <w:t>van vreemd vermogen</w:t>
      </w:r>
      <w:r w:rsidR="00DA71AB">
        <w:t xml:space="preserve">, in tegenstelling tot </w:t>
      </w:r>
      <w:r w:rsidR="00C10289">
        <w:t>de kosten van</w:t>
      </w:r>
      <w:r w:rsidR="00DA71AB">
        <w:t xml:space="preserve"> eigen vermogen, fiscaal aftrekbaar zijn. </w:t>
      </w:r>
      <w:r w:rsidR="00C10289" w:rsidRPr="0096157F">
        <w:t xml:space="preserve">Door dit fiscale voordeel wordt een zogenaamd </w:t>
      </w:r>
      <w:r w:rsidRPr="0096157F">
        <w:t xml:space="preserve">“belastingschild” </w:t>
      </w:r>
      <w:r w:rsidR="00C10289" w:rsidRPr="0096157F">
        <w:t>opgebouwd</w:t>
      </w:r>
      <w:r w:rsidR="00DA71AB" w:rsidRPr="0096157F">
        <w:t xml:space="preserve">, wat </w:t>
      </w:r>
      <w:r w:rsidRPr="0096157F">
        <w:t>ten goede komt aan de verschaffers van het eigen vermogen. De toename van de aandeelhouderswaarde is volgens deze hypothese gelijk aan de toename van de waarde van het “belastingschild</w:t>
      </w:r>
      <w:r w:rsidRPr="000D7E32">
        <w:rPr>
          <w:i/>
        </w:rPr>
        <w:t>”</w:t>
      </w:r>
      <w:r>
        <w:t xml:space="preserve"> (Baltus &amp; Schauten, 2000).</w:t>
      </w:r>
      <w:r w:rsidR="00C10289">
        <w:t xml:space="preserve"> De </w:t>
      </w:r>
      <w:proofErr w:type="spellStart"/>
      <w:r w:rsidR="00C10289">
        <w:t>leverage</w:t>
      </w:r>
      <w:proofErr w:type="spellEnd"/>
      <w:r w:rsidR="00C10289">
        <w:t xml:space="preserve"> hypothese </w:t>
      </w:r>
      <w:r w:rsidR="00303FCC">
        <w:t>wordt door emp</w:t>
      </w:r>
      <w:r w:rsidR="0096157F">
        <w:t>i</w:t>
      </w:r>
      <w:r w:rsidR="00303FCC">
        <w:t>risch</w:t>
      </w:r>
      <w:r w:rsidR="00C10289">
        <w:t>e</w:t>
      </w:r>
      <w:r w:rsidR="00303FCC">
        <w:t xml:space="preserve"> onderzoeken van </w:t>
      </w:r>
      <w:proofErr w:type="spellStart"/>
      <w:r w:rsidR="00303FCC">
        <w:t>Hovakimian</w:t>
      </w:r>
      <w:proofErr w:type="spellEnd"/>
      <w:r w:rsidR="00303FCC">
        <w:t xml:space="preserve">, </w:t>
      </w:r>
      <w:proofErr w:type="spellStart"/>
      <w:r w:rsidR="00303FCC">
        <w:t>Opler</w:t>
      </w:r>
      <w:proofErr w:type="spellEnd"/>
      <w:r w:rsidR="00303FCC">
        <w:t xml:space="preserve"> &amp; </w:t>
      </w:r>
      <w:proofErr w:type="spellStart"/>
      <w:r w:rsidR="00303FCC">
        <w:t>Titman</w:t>
      </w:r>
      <w:proofErr w:type="spellEnd"/>
      <w:r w:rsidR="00303FCC">
        <w:t xml:space="preserve"> (2001), Baltus &amp; Schauten (2000) en </w:t>
      </w:r>
      <w:proofErr w:type="spellStart"/>
      <w:r w:rsidR="00303FCC">
        <w:t>Dittmar</w:t>
      </w:r>
      <w:proofErr w:type="spellEnd"/>
      <w:r w:rsidR="00303FCC">
        <w:t xml:space="preserve"> (2000) ondersteunt. </w:t>
      </w:r>
      <w:r w:rsidR="00C10289">
        <w:t xml:space="preserve">De bevindingen van </w:t>
      </w:r>
      <w:r w:rsidR="00AD48F8">
        <w:t>Lee et al.</w:t>
      </w:r>
      <w:r w:rsidR="00DB5A44">
        <w:t xml:space="preserve"> (2010)</w:t>
      </w:r>
      <w:r w:rsidR="00C10289">
        <w:t xml:space="preserve"> zijn niet consistent met deze hypothese</w:t>
      </w:r>
      <w:r w:rsidR="00DB5A44">
        <w:t xml:space="preserve"> . </w:t>
      </w:r>
    </w:p>
    <w:p w:rsidR="00F82D91" w:rsidRDefault="00F82D91" w:rsidP="009965EB">
      <w:pPr>
        <w:pStyle w:val="NoSpacing"/>
        <w:jc w:val="both"/>
      </w:pPr>
    </w:p>
    <w:p w:rsidR="00F82D91" w:rsidRPr="00B178B1" w:rsidRDefault="00F82D91" w:rsidP="009965EB">
      <w:pPr>
        <w:pStyle w:val="NoSpacing"/>
        <w:ind w:firstLine="708"/>
        <w:jc w:val="both"/>
        <w:rPr>
          <w:b/>
        </w:rPr>
      </w:pPr>
      <w:r>
        <w:rPr>
          <w:b/>
        </w:rPr>
        <w:t xml:space="preserve"> </w:t>
      </w:r>
      <w:proofErr w:type="spellStart"/>
      <w:r>
        <w:rPr>
          <w:b/>
        </w:rPr>
        <w:t>Take-over</w:t>
      </w:r>
      <w:proofErr w:type="spellEnd"/>
      <w:r>
        <w:rPr>
          <w:b/>
        </w:rPr>
        <w:t xml:space="preserve"> </w:t>
      </w:r>
      <w:proofErr w:type="spellStart"/>
      <w:r>
        <w:rPr>
          <w:b/>
        </w:rPr>
        <w:t>de</w:t>
      </w:r>
      <w:r w:rsidR="00BB073B">
        <w:rPr>
          <w:b/>
        </w:rPr>
        <w:t>fens</w:t>
      </w:r>
      <w:r>
        <w:rPr>
          <w:b/>
        </w:rPr>
        <w:t>e</w:t>
      </w:r>
      <w:proofErr w:type="spellEnd"/>
      <w:r>
        <w:rPr>
          <w:b/>
        </w:rPr>
        <w:t xml:space="preserve"> hypothese </w:t>
      </w:r>
    </w:p>
    <w:p w:rsidR="00F82D91" w:rsidRPr="00370106" w:rsidRDefault="00F82D91" w:rsidP="009965EB">
      <w:pPr>
        <w:pStyle w:val="NoSpacing"/>
        <w:jc w:val="both"/>
      </w:pPr>
      <w:r w:rsidRPr="00370106">
        <w:t>Deze hypothese heeft betrekking op een mogelijke vijandige overname van de onderneming. Het management wil zich hiertegen beschermen. De hypothese gaat ervan uit dat aandeelhouders bereid zijn om hun aandelen tegen zeer uitlopende prijzen te verkopen. Dit impliceert dat ondernemingen geconfronteerd worden met een significant stijgende aanbodcurve van de aandelenprijs. Wanneer de onderneming de aandelen van de aanbieders die de laagste prijs vragen zelf opkopen, dan stijgen de totale kosten voor de overvaller. Hierdoor kan een onderneming zichzelf beschermen tegen een vijandelijke overname (</w:t>
      </w:r>
      <w:proofErr w:type="spellStart"/>
      <w:r w:rsidRPr="00370106">
        <w:t>Bagwell</w:t>
      </w:r>
      <w:proofErr w:type="spellEnd"/>
      <w:r w:rsidRPr="00370106">
        <w:t>, 1991).</w:t>
      </w:r>
      <w:r w:rsidR="00303FCC">
        <w:t xml:space="preserve"> Empirisch onderzoek van </w:t>
      </w:r>
      <w:proofErr w:type="spellStart"/>
      <w:r w:rsidR="00303FCC">
        <w:t>Bagwell</w:t>
      </w:r>
      <w:proofErr w:type="spellEnd"/>
      <w:r w:rsidR="00303FCC">
        <w:t xml:space="preserve"> (1992) bevestigd deze stijgende aanbodcurve van de aandelenprijs. </w:t>
      </w:r>
      <w:r w:rsidR="00DB5A44">
        <w:t>Daarnaast zijn de resultaten van</w:t>
      </w:r>
      <w:r w:rsidR="003375B8">
        <w:t xml:space="preserve"> de onderzoeken van</w:t>
      </w:r>
      <w:r w:rsidR="00B528B5">
        <w:t xml:space="preserve"> </w:t>
      </w:r>
      <w:proofErr w:type="spellStart"/>
      <w:r w:rsidR="00B528B5">
        <w:t>Dittmar</w:t>
      </w:r>
      <w:proofErr w:type="spellEnd"/>
      <w:r w:rsidR="00B528B5">
        <w:t xml:space="preserve"> (2000) </w:t>
      </w:r>
      <w:r w:rsidR="00AD48F8">
        <w:t>en Lee et al.</w:t>
      </w:r>
      <w:r w:rsidR="00DB5A44">
        <w:t xml:space="preserve"> (2010) consistent met de </w:t>
      </w:r>
      <w:proofErr w:type="spellStart"/>
      <w:r w:rsidR="00DB5A44">
        <w:t>take-over</w:t>
      </w:r>
      <w:proofErr w:type="spellEnd"/>
      <w:r w:rsidR="00DB5A44">
        <w:t xml:space="preserve"> </w:t>
      </w:r>
      <w:proofErr w:type="spellStart"/>
      <w:r w:rsidR="00DB5A44">
        <w:t>de</w:t>
      </w:r>
      <w:r w:rsidR="00BB073B">
        <w:t>f</w:t>
      </w:r>
      <w:r w:rsidR="00DB5A44">
        <w:t>en</w:t>
      </w:r>
      <w:r w:rsidR="00BB073B">
        <w:t>s</w:t>
      </w:r>
      <w:r w:rsidR="00DB5A44">
        <w:t>e</w:t>
      </w:r>
      <w:proofErr w:type="spellEnd"/>
      <w:r w:rsidR="00DB5A44">
        <w:t xml:space="preserve"> hypothese.</w:t>
      </w:r>
    </w:p>
    <w:p w:rsidR="00F82D91" w:rsidRDefault="00F82D91" w:rsidP="009965EB">
      <w:pPr>
        <w:pStyle w:val="NoSpacing"/>
        <w:jc w:val="both"/>
        <w:rPr>
          <w:b/>
        </w:rPr>
      </w:pPr>
    </w:p>
    <w:p w:rsidR="00F82D91" w:rsidRDefault="00DA71AB" w:rsidP="009965EB">
      <w:pPr>
        <w:pStyle w:val="NoSpacing"/>
        <w:ind w:firstLine="708"/>
        <w:jc w:val="both"/>
        <w:rPr>
          <w:b/>
        </w:rPr>
      </w:pPr>
      <w:r>
        <w:rPr>
          <w:b/>
        </w:rPr>
        <w:t xml:space="preserve">Management </w:t>
      </w:r>
      <w:proofErr w:type="spellStart"/>
      <w:r>
        <w:rPr>
          <w:b/>
        </w:rPr>
        <w:t>incentive</w:t>
      </w:r>
      <w:proofErr w:type="spellEnd"/>
      <w:r>
        <w:rPr>
          <w:b/>
        </w:rPr>
        <w:t xml:space="preserve"> hypothese</w:t>
      </w:r>
    </w:p>
    <w:p w:rsidR="00F82D91" w:rsidRDefault="00F82D91" w:rsidP="009965EB">
      <w:pPr>
        <w:pStyle w:val="NoSpacing"/>
        <w:jc w:val="both"/>
      </w:pPr>
      <w:r>
        <w:t xml:space="preserve">Het beloningssysteem van een manager kan ervoor zorgen dat hij/zij een voorkeur heeft voor het inkopen van eigen aandelen t.o.v. dividend uitkeren. Dit kan allereerst komen doordat de manager </w:t>
      </w:r>
      <w:proofErr w:type="spellStart"/>
      <w:r>
        <w:t>call-opties</w:t>
      </w:r>
      <w:proofErr w:type="spellEnd"/>
      <w:r>
        <w:t xml:space="preserve"> in de onderneming bezit. Wanneer een onderneming dividend uitkeert, dan daalt de waarde van het aandeel met de hoeveelheid uitgekeerde dividend.  Hiermee daalt de waarde van de opties. Een </w:t>
      </w:r>
      <w:proofErr w:type="spellStart"/>
      <w:r>
        <w:t>aandeleninkoopprogramma</w:t>
      </w:r>
      <w:proofErr w:type="spellEnd"/>
      <w:r>
        <w:t xml:space="preserve"> kampt niet met dit probleem (Steenbeek, 2004).</w:t>
      </w:r>
    </w:p>
    <w:p w:rsidR="00F82D91" w:rsidRDefault="00F82D91" w:rsidP="009965EB">
      <w:pPr>
        <w:pStyle w:val="NoSpacing"/>
        <w:jc w:val="both"/>
      </w:pPr>
      <w:r>
        <w:t xml:space="preserve">Een manager zal ook een voorkeur hebben voor een </w:t>
      </w:r>
      <w:proofErr w:type="spellStart"/>
      <w:r>
        <w:t>aandeleninkoopprogramma</w:t>
      </w:r>
      <w:proofErr w:type="spellEnd"/>
      <w:r>
        <w:t xml:space="preserve"> indien de beloning van de manager afhangt van de winst per aandeel (WPA). Een </w:t>
      </w:r>
      <w:proofErr w:type="spellStart"/>
      <w:r>
        <w:t>aandeleninkoopprogramma</w:t>
      </w:r>
      <w:proofErr w:type="spellEnd"/>
      <w:r>
        <w:t xml:space="preserve"> verhoogt de WPA, een dividendprogramma doet dit niet (Steenbeek, 2004). In paragraaf 2.</w:t>
      </w:r>
      <w:r w:rsidR="00AD48F8">
        <w:t>2</w:t>
      </w:r>
      <w:r>
        <w:t xml:space="preserve"> is dit geïllustreerd met een voorbeeld. </w:t>
      </w:r>
    </w:p>
    <w:p w:rsidR="006C6A2C" w:rsidRDefault="00303FCC" w:rsidP="009965EB">
      <w:pPr>
        <w:pStyle w:val="NoSpacing"/>
        <w:jc w:val="both"/>
      </w:pPr>
      <w:r>
        <w:t>Uit emp</w:t>
      </w:r>
      <w:r w:rsidR="003375B8">
        <w:t>i</w:t>
      </w:r>
      <w:r>
        <w:t xml:space="preserve">risch onderzoek van </w:t>
      </w:r>
      <w:proofErr w:type="spellStart"/>
      <w:r>
        <w:t>Fenn</w:t>
      </w:r>
      <w:proofErr w:type="spellEnd"/>
      <w:r>
        <w:t xml:space="preserve"> &amp; Liang (2001) blijkt dat aandelenopties de </w:t>
      </w:r>
      <w:proofErr w:type="spellStart"/>
      <w:r>
        <w:t>payout</w:t>
      </w:r>
      <w:proofErr w:type="spellEnd"/>
      <w:r>
        <w:t xml:space="preserve"> ratio beïnvloeden. In ondernemingen met aandelenopties vindt er substitutie plaats tussen dividend en </w:t>
      </w:r>
      <w:proofErr w:type="spellStart"/>
      <w:r>
        <w:t>aandeleninkoopprogramma’s</w:t>
      </w:r>
      <w:proofErr w:type="spellEnd"/>
      <w:r>
        <w:t xml:space="preserve">. </w:t>
      </w:r>
      <w:proofErr w:type="spellStart"/>
      <w:r>
        <w:t>Kahl</w:t>
      </w:r>
      <w:r w:rsidR="00AD48F8">
        <w:t>e</w:t>
      </w:r>
      <w:proofErr w:type="spellEnd"/>
      <w:r w:rsidR="000B0F7E">
        <w:t xml:space="preserve"> (2001) </w:t>
      </w:r>
      <w:r>
        <w:t xml:space="preserve">vindt daarnaast </w:t>
      </w:r>
      <w:r w:rsidR="000B0F7E">
        <w:t>een positieve relatie tussen het aantal ingekochte aandelen en de totale uitoefenbare opties van werknemers</w:t>
      </w:r>
      <w:r w:rsidR="00DA71AB">
        <w:t xml:space="preserve">. Het onderzoek van </w:t>
      </w:r>
      <w:proofErr w:type="spellStart"/>
      <w:r w:rsidR="00DA71AB">
        <w:t>Dittmar</w:t>
      </w:r>
      <w:proofErr w:type="spellEnd"/>
      <w:r w:rsidR="00DA71AB">
        <w:t xml:space="preserve"> (2000) ondersteunt ook de management </w:t>
      </w:r>
      <w:proofErr w:type="spellStart"/>
      <w:r w:rsidR="00DA71AB">
        <w:t>incentive</w:t>
      </w:r>
      <w:proofErr w:type="spellEnd"/>
      <w:r w:rsidR="00DA71AB">
        <w:t xml:space="preserve"> hypothese</w:t>
      </w:r>
      <w:r w:rsidR="000B0F7E">
        <w:t xml:space="preserve"> </w:t>
      </w:r>
      <w:r w:rsidR="00DA71AB">
        <w:t>.</w:t>
      </w:r>
    </w:p>
    <w:p w:rsidR="006C6A2C" w:rsidRPr="006C6A2C" w:rsidRDefault="006C6A2C" w:rsidP="009965EB">
      <w:pPr>
        <w:pStyle w:val="NoSpacing"/>
        <w:jc w:val="both"/>
      </w:pPr>
    </w:p>
    <w:p w:rsidR="00F82D91" w:rsidRDefault="00F82D91" w:rsidP="009965EB">
      <w:pPr>
        <w:pStyle w:val="NoSpacing"/>
        <w:ind w:firstLine="708"/>
        <w:jc w:val="both"/>
        <w:rPr>
          <w:b/>
        </w:rPr>
      </w:pPr>
      <w:proofErr w:type="spellStart"/>
      <w:r>
        <w:rPr>
          <w:b/>
        </w:rPr>
        <w:lastRenderedPageBreak/>
        <w:t>Agency</w:t>
      </w:r>
      <w:proofErr w:type="spellEnd"/>
      <w:r>
        <w:rPr>
          <w:b/>
        </w:rPr>
        <w:t xml:space="preserve"> </w:t>
      </w:r>
      <w:proofErr w:type="spellStart"/>
      <w:r w:rsidR="003375B8">
        <w:rPr>
          <w:b/>
        </w:rPr>
        <w:t>costs</w:t>
      </w:r>
      <w:proofErr w:type="spellEnd"/>
      <w:r>
        <w:rPr>
          <w:b/>
        </w:rPr>
        <w:t xml:space="preserve"> hypothese</w:t>
      </w:r>
    </w:p>
    <w:p w:rsidR="00F82D91" w:rsidRDefault="00F82D91" w:rsidP="009965EB">
      <w:pPr>
        <w:pStyle w:val="NoSpacing"/>
        <w:jc w:val="both"/>
        <w:rPr>
          <w:b/>
        </w:rPr>
      </w:pPr>
      <w:r>
        <w:t>De belangen van aandeelhouders en managers van een onderneming komen niet overeen. Wanneer  het management een groter eigendomsbelang heeft in de onderneming zullen deze tegen</w:t>
      </w:r>
      <w:r w:rsidR="00BB073B">
        <w:t>ge</w:t>
      </w:r>
      <w:r>
        <w:t>stelde belangen afnemen. Het management wordt dan immers in gro</w:t>
      </w:r>
      <w:r w:rsidR="00BB073B">
        <w:t>tere mate beloond voor het creë</w:t>
      </w:r>
      <w:r>
        <w:t>ren van waarde voor de onderneming, waardoor de motivatie zal stijgen. Bij de inkoop van aandelen neemt het relatief belang van het management toe</w:t>
      </w:r>
      <w:r>
        <w:rPr>
          <w:rStyle w:val="FootnoteReference"/>
        </w:rPr>
        <w:footnoteReference w:id="9"/>
      </w:r>
      <w:r>
        <w:t xml:space="preserve">, waardoor de </w:t>
      </w:r>
      <w:proofErr w:type="spellStart"/>
      <w:r>
        <w:t>agencyproblemen</w:t>
      </w:r>
      <w:proofErr w:type="spellEnd"/>
      <w:r>
        <w:t xml:space="preserve"> zullen afnemen. Dit leidt tot la</w:t>
      </w:r>
      <w:r w:rsidR="00AD48F8">
        <w:t xml:space="preserve">gere </w:t>
      </w:r>
      <w:proofErr w:type="spellStart"/>
      <w:r w:rsidR="00AD48F8">
        <w:t>agencykosten</w:t>
      </w:r>
      <w:proofErr w:type="spellEnd"/>
      <w:r w:rsidR="00AD48F8">
        <w:t>, waardoor de markt</w:t>
      </w:r>
      <w:r>
        <w:t>waarde van de onderneming zal stijgen (Baltus &amp; Schauten, 2000).</w:t>
      </w:r>
    </w:p>
    <w:p w:rsidR="00B67457" w:rsidRPr="00A16C92" w:rsidRDefault="00B67457" w:rsidP="00B67457">
      <w:pPr>
        <w:pStyle w:val="Heading2"/>
        <w:numPr>
          <w:ilvl w:val="1"/>
          <w:numId w:val="1"/>
        </w:numPr>
        <w:jc w:val="both"/>
        <w:rPr>
          <w:color w:val="auto"/>
        </w:rPr>
      </w:pPr>
      <w:bookmarkStart w:id="6" w:name="_Toc361526559"/>
      <w:r>
        <w:rPr>
          <w:color w:val="auto"/>
        </w:rPr>
        <w:t>Determinanten van het abnorma</w:t>
      </w:r>
      <w:r w:rsidR="00467EFB">
        <w:rPr>
          <w:color w:val="auto"/>
        </w:rPr>
        <w:t>al</w:t>
      </w:r>
      <w:r>
        <w:rPr>
          <w:color w:val="auto"/>
        </w:rPr>
        <w:t xml:space="preserve"> rendement</w:t>
      </w:r>
      <w:bookmarkEnd w:id="6"/>
    </w:p>
    <w:p w:rsidR="0008143F" w:rsidRDefault="00B67457" w:rsidP="009965EB">
      <w:pPr>
        <w:pStyle w:val="NoSpacing"/>
        <w:spacing w:before="120"/>
        <w:jc w:val="both"/>
      </w:pPr>
      <w:r>
        <w:t xml:space="preserve">Het gevonden abnormale rendement op de dag van aankondiging kan verklaard worden door de </w:t>
      </w:r>
      <w:r w:rsidR="00362145">
        <w:t>zeven</w:t>
      </w:r>
      <w:r>
        <w:t xml:space="preserve"> besproken theoretische motieven. In eerder verricht onderzoek blijkt dat de hoogte van het abnormaal </w:t>
      </w:r>
      <w:r w:rsidR="00467EFB">
        <w:t xml:space="preserve">rendement </w:t>
      </w:r>
      <w:r>
        <w:t xml:space="preserve">substantieel verschilt. Bij </w:t>
      </w:r>
      <w:proofErr w:type="spellStart"/>
      <w:r w:rsidR="008143B1">
        <w:t>Seifert</w:t>
      </w:r>
      <w:proofErr w:type="spellEnd"/>
      <w:r w:rsidR="008143B1">
        <w:t xml:space="preserve"> &amp; </w:t>
      </w:r>
      <w:proofErr w:type="spellStart"/>
      <w:r w:rsidR="008143B1">
        <w:t>Stehle</w:t>
      </w:r>
      <w:proofErr w:type="spellEnd"/>
      <w:r w:rsidR="008143B1">
        <w:t xml:space="preserve"> (2003</w:t>
      </w:r>
      <w:r w:rsidR="002B7369">
        <w:t>)</w:t>
      </w:r>
      <w:r>
        <w:t xml:space="preserve"> wordt bijvoorbeeld een abnormaal rendement van</w:t>
      </w:r>
      <w:r w:rsidR="008143B1">
        <w:t xml:space="preserve"> 5,87</w:t>
      </w:r>
      <w:r>
        <w:t xml:space="preserve">% gevonden, terwijl </w:t>
      </w:r>
      <w:proofErr w:type="spellStart"/>
      <w:r w:rsidR="008143B1">
        <w:t>Lasfer</w:t>
      </w:r>
      <w:proofErr w:type="spellEnd"/>
      <w:r w:rsidR="008143B1">
        <w:t xml:space="preserve"> (2001)</w:t>
      </w:r>
      <w:r w:rsidR="0008143F">
        <w:t xml:space="preserve"> een abnormaal rendement van </w:t>
      </w:r>
      <w:r w:rsidR="008143B1">
        <w:t>1,06</w:t>
      </w:r>
      <w:r w:rsidR="009D4407">
        <w:t>%</w:t>
      </w:r>
      <w:r w:rsidR="0008143F">
        <w:t xml:space="preserve"> vind</w:t>
      </w:r>
      <w:r w:rsidR="008143B1">
        <w:t>t</w:t>
      </w:r>
      <w:r w:rsidR="0008143F">
        <w:t xml:space="preserve">. In de literatuur wordt dit verschil verklaard door onderscheid te maken tussen </w:t>
      </w:r>
      <w:r w:rsidR="00362145">
        <w:t xml:space="preserve">vier </w:t>
      </w:r>
      <w:r w:rsidR="0008143F">
        <w:t>factoren die de hoogte van het abnorma</w:t>
      </w:r>
      <w:r w:rsidR="00467EFB">
        <w:t>al</w:t>
      </w:r>
      <w:r w:rsidR="0008143F">
        <w:t xml:space="preserve"> rendement beïnvloeden:</w:t>
      </w:r>
    </w:p>
    <w:p w:rsidR="0008143F" w:rsidRDefault="00EC161B" w:rsidP="009965EB">
      <w:pPr>
        <w:pStyle w:val="NoSpacing"/>
        <w:numPr>
          <w:ilvl w:val="0"/>
          <w:numId w:val="10"/>
        </w:numPr>
        <w:jc w:val="both"/>
      </w:pPr>
      <w:r>
        <w:t>h</w:t>
      </w:r>
      <w:r w:rsidR="0008143F">
        <w:t>et theoretisch motief</w:t>
      </w:r>
    </w:p>
    <w:p w:rsidR="0008143F" w:rsidRDefault="00EC161B" w:rsidP="009965EB">
      <w:pPr>
        <w:pStyle w:val="NoSpacing"/>
        <w:numPr>
          <w:ilvl w:val="0"/>
          <w:numId w:val="10"/>
        </w:numPr>
        <w:jc w:val="both"/>
      </w:pPr>
      <w:r>
        <w:t>d</w:t>
      </w:r>
      <w:r w:rsidR="0008143F">
        <w:t>e methode van inkoop</w:t>
      </w:r>
    </w:p>
    <w:p w:rsidR="0008143F" w:rsidRDefault="00EC161B" w:rsidP="009965EB">
      <w:pPr>
        <w:pStyle w:val="NoSpacing"/>
        <w:numPr>
          <w:ilvl w:val="0"/>
          <w:numId w:val="10"/>
        </w:numPr>
        <w:jc w:val="both"/>
      </w:pPr>
      <w:r>
        <w:t>d</w:t>
      </w:r>
      <w:r w:rsidR="0008143F">
        <w:t xml:space="preserve">e omvang van het </w:t>
      </w:r>
      <w:proofErr w:type="spellStart"/>
      <w:r w:rsidR="0008143F">
        <w:t>aandeleninkoopprogramma</w:t>
      </w:r>
      <w:proofErr w:type="spellEnd"/>
    </w:p>
    <w:p w:rsidR="0008143F" w:rsidRDefault="003375B8" w:rsidP="009965EB">
      <w:pPr>
        <w:pStyle w:val="NoSpacing"/>
        <w:numPr>
          <w:ilvl w:val="0"/>
          <w:numId w:val="10"/>
        </w:numPr>
        <w:jc w:val="both"/>
      </w:pPr>
      <w:r>
        <w:t xml:space="preserve">de </w:t>
      </w:r>
      <w:r w:rsidR="00EC161B">
        <w:t>i</w:t>
      </w:r>
      <w:r w:rsidR="0008143F">
        <w:t>nstitutionele factoren</w:t>
      </w:r>
    </w:p>
    <w:p w:rsidR="0008143F" w:rsidRDefault="0008143F" w:rsidP="009965EB">
      <w:pPr>
        <w:pStyle w:val="NoSpacing"/>
        <w:jc w:val="both"/>
      </w:pPr>
    </w:p>
    <w:p w:rsidR="0008143F" w:rsidRDefault="0008143F" w:rsidP="009965EB">
      <w:pPr>
        <w:pStyle w:val="NoSpacing"/>
        <w:jc w:val="both"/>
      </w:pPr>
      <w:r>
        <w:t>Deze factoren zullen nu kort besproken worden</w:t>
      </w:r>
      <w:r w:rsidR="008143B1">
        <w:t>.</w:t>
      </w:r>
    </w:p>
    <w:p w:rsidR="0008143F" w:rsidRDefault="0008143F" w:rsidP="009965EB">
      <w:pPr>
        <w:pStyle w:val="NoSpacing"/>
        <w:jc w:val="both"/>
      </w:pPr>
    </w:p>
    <w:p w:rsidR="0008143F" w:rsidRDefault="0008143F" w:rsidP="009965EB">
      <w:pPr>
        <w:pStyle w:val="NoSpacing"/>
        <w:ind w:firstLine="708"/>
        <w:jc w:val="both"/>
        <w:rPr>
          <w:b/>
        </w:rPr>
      </w:pPr>
      <w:r>
        <w:rPr>
          <w:b/>
        </w:rPr>
        <w:t>Theoretisch motief</w:t>
      </w:r>
    </w:p>
    <w:p w:rsidR="0008143F" w:rsidRDefault="003375B8" w:rsidP="009965EB">
      <w:pPr>
        <w:pStyle w:val="NoSpacing"/>
        <w:jc w:val="both"/>
      </w:pPr>
      <w:r>
        <w:t xml:space="preserve">De </w:t>
      </w:r>
      <w:r w:rsidR="0008143F">
        <w:t>hoogte van het abnormale rendement kan afhangen van theoretisch motief om eigen aandelen in te kopen</w:t>
      </w:r>
      <w:r w:rsidR="00BF1E4E">
        <w:t xml:space="preserve"> (Baltus &amp; Schauten, 2000)</w:t>
      </w:r>
      <w:r w:rsidR="0008143F">
        <w:t>.</w:t>
      </w:r>
      <w:r w:rsidR="00BF1E4E">
        <w:t xml:space="preserve"> In de vorige paragraaf is de waardecreatie per theoretisch motief reeds besproken. Baltus &amp; Schauten (2000)</w:t>
      </w:r>
      <w:r w:rsidR="0008143F">
        <w:t xml:space="preserve"> leiden</w:t>
      </w:r>
      <w:r w:rsidR="00BF1E4E">
        <w:t xml:space="preserve"> in hun onderzoek</w:t>
      </w:r>
      <w:r w:rsidR="0008143F">
        <w:t xml:space="preserve"> het theoretisch motief af van het persbericht</w:t>
      </w:r>
      <w:r w:rsidR="00794CD4">
        <w:t xml:space="preserve"> in het Financieel Dagblad</w:t>
      </w:r>
      <w:r w:rsidR="0008143F">
        <w:t xml:space="preserve"> waarin het </w:t>
      </w:r>
      <w:proofErr w:type="spellStart"/>
      <w:r w:rsidR="0008143F">
        <w:t>aandeleninkoopprogramma</w:t>
      </w:r>
      <w:proofErr w:type="spellEnd"/>
      <w:r w:rsidR="0008143F">
        <w:t xml:space="preserve"> wordt aangekondigd. In hun onderzoek vinden zij </w:t>
      </w:r>
      <w:r w:rsidR="0096157F">
        <w:t>alleen</w:t>
      </w:r>
      <w:r w:rsidR="0008143F">
        <w:t xml:space="preserve"> een significant abnormaal rendement bij de </w:t>
      </w:r>
      <w:proofErr w:type="spellStart"/>
      <w:r w:rsidR="0008143F">
        <w:t>leverage</w:t>
      </w:r>
      <w:proofErr w:type="spellEnd"/>
      <w:r>
        <w:t xml:space="preserve"> </w:t>
      </w:r>
      <w:r w:rsidR="0008143F">
        <w:t xml:space="preserve">hypothese.  </w:t>
      </w:r>
    </w:p>
    <w:p w:rsidR="008B4D92" w:rsidRPr="0008143F" w:rsidRDefault="008B4D92" w:rsidP="009965EB">
      <w:pPr>
        <w:pStyle w:val="NoSpacing"/>
        <w:jc w:val="both"/>
        <w:rPr>
          <w:b/>
        </w:rPr>
      </w:pPr>
    </w:p>
    <w:p w:rsidR="00B67457" w:rsidRPr="008B4D92" w:rsidRDefault="0008143F" w:rsidP="009965EB">
      <w:pPr>
        <w:pStyle w:val="NoSpacing"/>
        <w:ind w:firstLine="708"/>
        <w:jc w:val="both"/>
        <w:rPr>
          <w:b/>
        </w:rPr>
      </w:pPr>
      <w:r w:rsidRPr="0008143F">
        <w:rPr>
          <w:b/>
        </w:rPr>
        <w:t>De methode van inkoop</w:t>
      </w:r>
    </w:p>
    <w:p w:rsidR="008B4D92" w:rsidRDefault="0096157F" w:rsidP="009965EB">
      <w:pPr>
        <w:pStyle w:val="NoSpacing"/>
        <w:jc w:val="both"/>
      </w:pPr>
      <w:r>
        <w:t>De</w:t>
      </w:r>
      <w:r w:rsidR="008B4D92">
        <w:t xml:space="preserve"> methode van het inkopen van eigen aandelen </w:t>
      </w:r>
      <w:r w:rsidR="003375B8">
        <w:t xml:space="preserve">heeft ook </w:t>
      </w:r>
      <w:r w:rsidR="008B4D92">
        <w:t>invloed op de hoogte van het abnorma</w:t>
      </w:r>
      <w:r>
        <w:t>al</w:t>
      </w:r>
      <w:r w:rsidR="008B4D92">
        <w:t xml:space="preserve"> rendement. Er kan onderscheid gemaakt worden tussen 4 methodes om eigen aandelen in te kopen:</w:t>
      </w:r>
    </w:p>
    <w:p w:rsidR="008B4D92" w:rsidRDefault="008B4D92" w:rsidP="009965EB">
      <w:pPr>
        <w:pStyle w:val="NoSpacing"/>
        <w:numPr>
          <w:ilvl w:val="0"/>
          <w:numId w:val="11"/>
        </w:numPr>
        <w:jc w:val="both"/>
      </w:pPr>
      <w:r>
        <w:t xml:space="preserve">De open </w:t>
      </w:r>
      <w:proofErr w:type="spellStart"/>
      <w:r>
        <w:t>market</w:t>
      </w:r>
      <w:proofErr w:type="spellEnd"/>
      <w:r>
        <w:t xml:space="preserve"> </w:t>
      </w:r>
      <w:proofErr w:type="spellStart"/>
      <w:r>
        <w:t>repurchase</w:t>
      </w:r>
      <w:proofErr w:type="spellEnd"/>
      <w:r>
        <w:t xml:space="preserve"> methode</w:t>
      </w:r>
    </w:p>
    <w:p w:rsidR="0096157F" w:rsidRDefault="008B4D92" w:rsidP="009965EB">
      <w:pPr>
        <w:pStyle w:val="NoSpacing"/>
        <w:jc w:val="both"/>
      </w:pPr>
      <w:r>
        <w:t>Hierbij koopt de onderneming geleidelijk kleine hoeveelheden aandelen van dag tot dag terug in de open markt. Hierdoor weet de verkopende aandeelhouder niet dat hij zijn aandelen verkoopt aan de onderneming. De prijs die voor de inkoop van eigen aandelen tot stand komt, is de marktprijs op het moment van aankoop (Baltus &amp; Schauten, 2000)</w:t>
      </w:r>
    </w:p>
    <w:p w:rsidR="008B4D92" w:rsidRDefault="008B4D92" w:rsidP="009965EB">
      <w:pPr>
        <w:pStyle w:val="NoSpacing"/>
        <w:numPr>
          <w:ilvl w:val="0"/>
          <w:numId w:val="11"/>
        </w:numPr>
        <w:jc w:val="both"/>
      </w:pPr>
      <w:r>
        <w:t xml:space="preserve">Direct </w:t>
      </w:r>
      <w:proofErr w:type="spellStart"/>
      <w:r>
        <w:t>repurchase</w:t>
      </w:r>
      <w:proofErr w:type="spellEnd"/>
      <w:r>
        <w:t xml:space="preserve"> methode</w:t>
      </w:r>
    </w:p>
    <w:p w:rsidR="008143B1" w:rsidRDefault="008B4D92" w:rsidP="009965EB">
      <w:pPr>
        <w:pStyle w:val="NoSpacing"/>
        <w:jc w:val="both"/>
      </w:pPr>
      <w:r>
        <w:t>De onderneming koopt hierbij een pakket aandelen van een aandeelhouder door direct met haar te onderhandelen</w:t>
      </w:r>
      <w:r w:rsidR="00430803">
        <w:t xml:space="preserve"> (Baltus &amp; Schauten, 2000)</w:t>
      </w:r>
      <w:r>
        <w:t xml:space="preserve">. </w:t>
      </w:r>
    </w:p>
    <w:p w:rsidR="008B4D92" w:rsidRDefault="00430803" w:rsidP="009965EB">
      <w:pPr>
        <w:pStyle w:val="NoSpacing"/>
        <w:numPr>
          <w:ilvl w:val="0"/>
          <w:numId w:val="11"/>
        </w:numPr>
        <w:jc w:val="both"/>
      </w:pPr>
      <w:proofErr w:type="spellStart"/>
      <w:r>
        <w:t>Fixed-price</w:t>
      </w:r>
      <w:proofErr w:type="spellEnd"/>
      <w:r>
        <w:t xml:space="preserve"> offer methode</w:t>
      </w:r>
    </w:p>
    <w:p w:rsidR="00430803" w:rsidRDefault="00616E96" w:rsidP="009965EB">
      <w:pPr>
        <w:pStyle w:val="NoSpacing"/>
        <w:jc w:val="both"/>
      </w:pPr>
      <w:r>
        <w:t>Bij deze methode geeft de onderneming van tevoren de prijs en de hoeveelheid aandelen die zij wil kopen van haar aandeel</w:t>
      </w:r>
      <w:r w:rsidR="003375B8">
        <w:t>houders. De onderneming biedt hierbij</w:t>
      </w:r>
      <w:r>
        <w:t xml:space="preserve"> een prijs die boven de huidige marktprijs ligt. Aandeelhouders kunnen vervolgens, binnen een vastgestelde periode, aan de onderneming aangeven dat zij bereid zijn om </w:t>
      </w:r>
      <w:r w:rsidR="003375B8">
        <w:t>hun</w:t>
      </w:r>
      <w:r>
        <w:t xml:space="preserve"> aandelen tegen de vastgestelde prijs te verkopen (</w:t>
      </w:r>
      <w:proofErr w:type="spellStart"/>
      <w:r>
        <w:t>Comment</w:t>
      </w:r>
      <w:proofErr w:type="spellEnd"/>
      <w:r>
        <w:t xml:space="preserve"> &amp; </w:t>
      </w:r>
      <w:proofErr w:type="spellStart"/>
      <w:r>
        <w:t>Jarrell</w:t>
      </w:r>
      <w:proofErr w:type="spellEnd"/>
      <w:r>
        <w:t xml:space="preserve">, 1991). </w:t>
      </w:r>
    </w:p>
    <w:p w:rsidR="003375B8" w:rsidRDefault="003375B8" w:rsidP="009965EB">
      <w:pPr>
        <w:pStyle w:val="NoSpacing"/>
        <w:jc w:val="both"/>
      </w:pPr>
    </w:p>
    <w:p w:rsidR="008B4D92" w:rsidRDefault="00616E96" w:rsidP="009965EB">
      <w:pPr>
        <w:pStyle w:val="NoSpacing"/>
        <w:numPr>
          <w:ilvl w:val="0"/>
          <w:numId w:val="11"/>
        </w:numPr>
        <w:jc w:val="both"/>
      </w:pPr>
      <w:proofErr w:type="spellStart"/>
      <w:r>
        <w:lastRenderedPageBreak/>
        <w:t>Dutch-auction</w:t>
      </w:r>
      <w:proofErr w:type="spellEnd"/>
      <w:r>
        <w:t xml:space="preserve"> methode</w:t>
      </w:r>
    </w:p>
    <w:p w:rsidR="00616E96" w:rsidRDefault="00616E96" w:rsidP="009965EB">
      <w:pPr>
        <w:pStyle w:val="NoSpacing"/>
        <w:jc w:val="both"/>
      </w:pPr>
      <w:r>
        <w:t xml:space="preserve">Bij deze methode geeft de onderneming, net zoals bij de </w:t>
      </w:r>
      <w:proofErr w:type="spellStart"/>
      <w:r>
        <w:t>fixed-price</w:t>
      </w:r>
      <w:proofErr w:type="spellEnd"/>
      <w:r>
        <w:t xml:space="preserve"> offer methode, van tevoren aan hoeveel aandelen zij wenst te kopen van haar aandeelhouders. </w:t>
      </w:r>
      <w:r w:rsidR="0096157F">
        <w:t>Het verschil met de vorige methode is dat</w:t>
      </w:r>
      <w:r>
        <w:t xml:space="preserve"> onderneming een prijsrange aan</w:t>
      </w:r>
      <w:r w:rsidR="0096157F">
        <w:t>geeft</w:t>
      </w:r>
      <w:r>
        <w:t xml:space="preserve"> waarbinnen aandeelhouders kunnen bieden</w:t>
      </w:r>
      <w:r w:rsidR="0096157F">
        <w:t xml:space="preserve">. Er is dus </w:t>
      </w:r>
      <w:r w:rsidR="00D70D58">
        <w:t>geen</w:t>
      </w:r>
      <w:r w:rsidR="0096157F">
        <w:t xml:space="preserve"> sprake van één vastgestelde prijs </w:t>
      </w:r>
      <w:r>
        <w:t>(</w:t>
      </w:r>
      <w:proofErr w:type="spellStart"/>
      <w:r>
        <w:t>Comment</w:t>
      </w:r>
      <w:proofErr w:type="spellEnd"/>
      <w:r>
        <w:t xml:space="preserve"> &amp; </w:t>
      </w:r>
      <w:proofErr w:type="spellStart"/>
      <w:r>
        <w:t>Jarrell</w:t>
      </w:r>
      <w:proofErr w:type="spellEnd"/>
      <w:r>
        <w:t>, 1991).</w:t>
      </w:r>
    </w:p>
    <w:p w:rsidR="00616E96" w:rsidRDefault="00616E96" w:rsidP="009965EB">
      <w:pPr>
        <w:pStyle w:val="NoSpacing"/>
        <w:jc w:val="both"/>
      </w:pPr>
    </w:p>
    <w:p w:rsidR="00616E96" w:rsidRDefault="00616E96" w:rsidP="009965EB">
      <w:pPr>
        <w:pStyle w:val="NoSpacing"/>
        <w:jc w:val="both"/>
      </w:pPr>
      <w:proofErr w:type="spellStart"/>
      <w:r>
        <w:t>Comment</w:t>
      </w:r>
      <w:proofErr w:type="spellEnd"/>
      <w:r>
        <w:t xml:space="preserve"> &amp; </w:t>
      </w:r>
      <w:proofErr w:type="spellStart"/>
      <w:r>
        <w:t>Jarrell</w:t>
      </w:r>
      <w:proofErr w:type="spellEnd"/>
      <w:r w:rsidR="004F280C">
        <w:t xml:space="preserve"> (1991)</w:t>
      </w:r>
      <w:r>
        <w:t xml:space="preserve"> onderzoeken het verschil in </w:t>
      </w:r>
      <w:r w:rsidR="003375B8">
        <w:t xml:space="preserve">het </w:t>
      </w:r>
      <w:r>
        <w:t>abnormaal rend</w:t>
      </w:r>
      <w:r w:rsidR="00EF266E">
        <w:t xml:space="preserve">ement tussen de open </w:t>
      </w:r>
      <w:proofErr w:type="spellStart"/>
      <w:r w:rsidR="00EF266E">
        <w:t>market</w:t>
      </w:r>
      <w:proofErr w:type="spellEnd"/>
      <w:r w:rsidR="00EF266E">
        <w:t xml:space="preserve"> </w:t>
      </w:r>
      <w:proofErr w:type="spellStart"/>
      <w:r w:rsidR="00EF266E">
        <w:t>rep</w:t>
      </w:r>
      <w:r>
        <w:t>u</w:t>
      </w:r>
      <w:r w:rsidR="00EF266E">
        <w:t>r</w:t>
      </w:r>
      <w:r>
        <w:t>chase</w:t>
      </w:r>
      <w:proofErr w:type="spellEnd"/>
      <w:r>
        <w:t xml:space="preserve">, de </w:t>
      </w:r>
      <w:proofErr w:type="spellStart"/>
      <w:r>
        <w:t>fixed-price</w:t>
      </w:r>
      <w:proofErr w:type="spellEnd"/>
      <w:r>
        <w:t xml:space="preserve"> </w:t>
      </w:r>
      <w:proofErr w:type="spellStart"/>
      <w:r>
        <w:t>self</w:t>
      </w:r>
      <w:proofErr w:type="spellEnd"/>
      <w:r>
        <w:t xml:space="preserve"> tender offer</w:t>
      </w:r>
      <w:r w:rsidR="00F40384">
        <w:t xml:space="preserve"> en de </w:t>
      </w:r>
      <w:proofErr w:type="spellStart"/>
      <w:r w:rsidR="00F40384">
        <w:t>dutch-auction</w:t>
      </w:r>
      <w:proofErr w:type="spellEnd"/>
      <w:r w:rsidR="00F40384">
        <w:t xml:space="preserve"> methode. </w:t>
      </w:r>
      <w:r w:rsidR="00BE7F7D">
        <w:t xml:space="preserve">Zij vinden bij de </w:t>
      </w:r>
      <w:proofErr w:type="spellStart"/>
      <w:r w:rsidR="00BE7F7D">
        <w:t>fixed</w:t>
      </w:r>
      <w:proofErr w:type="spellEnd"/>
      <w:r w:rsidR="00BE7F7D">
        <w:t xml:space="preserve"> </w:t>
      </w:r>
      <w:proofErr w:type="spellStart"/>
      <w:r w:rsidR="00BE7F7D">
        <w:t>price</w:t>
      </w:r>
      <w:proofErr w:type="spellEnd"/>
      <w:r w:rsidR="00BE7F7D">
        <w:t xml:space="preserve"> </w:t>
      </w:r>
      <w:proofErr w:type="spellStart"/>
      <w:r w:rsidR="00BE7F7D">
        <w:t>self</w:t>
      </w:r>
      <w:proofErr w:type="spellEnd"/>
      <w:r w:rsidR="00BE7F7D">
        <w:t xml:space="preserve"> tender offer</w:t>
      </w:r>
      <w:r w:rsidR="00D70D58">
        <w:t xml:space="preserve"> (11%) en de </w:t>
      </w:r>
      <w:proofErr w:type="spellStart"/>
      <w:r w:rsidR="00D70D58">
        <w:t>dutch</w:t>
      </w:r>
      <w:proofErr w:type="spellEnd"/>
      <w:r w:rsidR="00D70D58">
        <w:t xml:space="preserve"> </w:t>
      </w:r>
      <w:proofErr w:type="spellStart"/>
      <w:r w:rsidR="00D70D58">
        <w:t>auction</w:t>
      </w:r>
      <w:proofErr w:type="spellEnd"/>
      <w:r w:rsidR="00D70D58">
        <w:t xml:space="preserve"> methode (8%) een veel hoger abnormaal rendement dan bij </w:t>
      </w:r>
      <w:r w:rsidR="0027016C">
        <w:t xml:space="preserve">de open </w:t>
      </w:r>
      <w:proofErr w:type="spellStart"/>
      <w:r w:rsidR="00BE7F7D">
        <w:t>market</w:t>
      </w:r>
      <w:proofErr w:type="spellEnd"/>
      <w:r w:rsidR="00BE7F7D">
        <w:t xml:space="preserve"> </w:t>
      </w:r>
      <w:proofErr w:type="spellStart"/>
      <w:r w:rsidR="00BE7F7D">
        <w:t>repurchase</w:t>
      </w:r>
      <w:proofErr w:type="spellEnd"/>
      <w:r w:rsidR="00BE7F7D">
        <w:t xml:space="preserve"> methode </w:t>
      </w:r>
      <w:r w:rsidR="00D70D58">
        <w:t>(</w:t>
      </w:r>
      <w:r w:rsidR="00BE7F7D">
        <w:t>2%</w:t>
      </w:r>
      <w:r w:rsidR="00D70D58">
        <w:t>)</w:t>
      </w:r>
      <w:r w:rsidR="00BE7F7D">
        <w:t>.</w:t>
      </w:r>
      <w:r w:rsidR="004F280C" w:rsidRPr="004F280C">
        <w:t xml:space="preserve"> </w:t>
      </w:r>
      <w:r w:rsidR="004F280C">
        <w:t>De verklaring die voor het lage abnorma</w:t>
      </w:r>
      <w:r w:rsidR="003375B8">
        <w:t>al</w:t>
      </w:r>
      <w:r w:rsidR="004F280C">
        <w:t xml:space="preserve"> rendement </w:t>
      </w:r>
      <w:r w:rsidR="00D70D58">
        <w:t>bij</w:t>
      </w:r>
      <w:r w:rsidR="004F280C">
        <w:t xml:space="preserve"> de open </w:t>
      </w:r>
      <w:proofErr w:type="spellStart"/>
      <w:r w:rsidR="004F280C">
        <w:t>market</w:t>
      </w:r>
      <w:proofErr w:type="spellEnd"/>
      <w:r w:rsidR="004F280C">
        <w:t xml:space="preserve"> </w:t>
      </w:r>
      <w:proofErr w:type="spellStart"/>
      <w:r w:rsidR="004F280C">
        <w:t>repurchase</w:t>
      </w:r>
      <w:proofErr w:type="spellEnd"/>
      <w:r w:rsidR="004F280C">
        <w:t xml:space="preserve"> methode wordt gegeven, is dat de signaalfunctie van deze methode veel kleiner is dan bij de andere methodes. Bij de open </w:t>
      </w:r>
      <w:proofErr w:type="spellStart"/>
      <w:r w:rsidR="004F280C">
        <w:t>market</w:t>
      </w:r>
      <w:proofErr w:type="spellEnd"/>
      <w:r w:rsidR="004F280C">
        <w:t xml:space="preserve"> </w:t>
      </w:r>
      <w:proofErr w:type="spellStart"/>
      <w:r w:rsidR="004F280C">
        <w:t>repurchase</w:t>
      </w:r>
      <w:proofErr w:type="spellEnd"/>
      <w:r w:rsidR="004F280C">
        <w:t xml:space="preserve"> methode is de prijs namelijk gelijk aan de geldende marktprijs op het moment van inkoop, terwijl bij de andere methodes de prijs hoger ligt dan de geldende marktprijs. </w:t>
      </w:r>
    </w:p>
    <w:p w:rsidR="00BE7F7D" w:rsidRDefault="00BE7F7D" w:rsidP="009965EB">
      <w:pPr>
        <w:pStyle w:val="NoSpacing"/>
        <w:jc w:val="both"/>
      </w:pPr>
    </w:p>
    <w:p w:rsidR="00BE7F7D" w:rsidRPr="009A6165" w:rsidRDefault="00BE7F7D" w:rsidP="009965EB">
      <w:pPr>
        <w:pStyle w:val="NoSpacing"/>
        <w:ind w:firstLine="708"/>
        <w:jc w:val="both"/>
        <w:rPr>
          <w:b/>
        </w:rPr>
      </w:pPr>
      <w:r w:rsidRPr="009A6165">
        <w:rPr>
          <w:b/>
        </w:rPr>
        <w:t xml:space="preserve">De omvang van het </w:t>
      </w:r>
      <w:proofErr w:type="spellStart"/>
      <w:r w:rsidRPr="009A6165">
        <w:rPr>
          <w:b/>
        </w:rPr>
        <w:t>aandeleninkoopprogramma</w:t>
      </w:r>
      <w:proofErr w:type="spellEnd"/>
    </w:p>
    <w:p w:rsidR="004F280C" w:rsidRDefault="009A6165" w:rsidP="009965EB">
      <w:pPr>
        <w:pStyle w:val="NoSpacing"/>
        <w:jc w:val="both"/>
      </w:pPr>
      <w:r>
        <w:t xml:space="preserve">De hoogte van het abnormale rendement kan ook afhangen van de omvang van het </w:t>
      </w:r>
      <w:proofErr w:type="spellStart"/>
      <w:r>
        <w:t>aandeleninkoopprogramma</w:t>
      </w:r>
      <w:proofErr w:type="spellEnd"/>
      <w:r>
        <w:t xml:space="preserve">. </w:t>
      </w:r>
      <w:proofErr w:type="spellStart"/>
      <w:r w:rsidR="004F280C">
        <w:t>Vermaelen</w:t>
      </w:r>
      <w:proofErr w:type="spellEnd"/>
      <w:r w:rsidR="004F280C">
        <w:t xml:space="preserve"> (198</w:t>
      </w:r>
      <w:r w:rsidR="0091733D">
        <w:t>1</w:t>
      </w:r>
      <w:r w:rsidR="004F280C">
        <w:t xml:space="preserve">) vond in zijn onderzoek een positieve correlatie tussen abnormale koersreacties en het percentage dat wordt aangekondigd bij de inkoop. Hieruit concludeerde hij dat het inkoopprogramma een factor is die de </w:t>
      </w:r>
      <w:proofErr w:type="spellStart"/>
      <w:r w:rsidR="004F280C">
        <w:t>value</w:t>
      </w:r>
      <w:proofErr w:type="spellEnd"/>
      <w:r w:rsidR="004F280C">
        <w:t xml:space="preserve"> of </w:t>
      </w:r>
      <w:proofErr w:type="spellStart"/>
      <w:r w:rsidR="004F280C">
        <w:t>information</w:t>
      </w:r>
      <w:proofErr w:type="spellEnd"/>
      <w:r w:rsidR="004F280C">
        <w:t xml:space="preserve"> verklaard (Baltus &amp; Schauten, 2000). </w:t>
      </w:r>
    </w:p>
    <w:p w:rsidR="00BE7F7D" w:rsidRDefault="00BE7F7D" w:rsidP="009965EB">
      <w:pPr>
        <w:pStyle w:val="NoSpacing"/>
        <w:jc w:val="both"/>
      </w:pPr>
    </w:p>
    <w:p w:rsidR="008B4D92" w:rsidRPr="009A6165" w:rsidRDefault="009A6165" w:rsidP="009965EB">
      <w:pPr>
        <w:pStyle w:val="NoSpacing"/>
        <w:ind w:left="720"/>
        <w:jc w:val="both"/>
        <w:rPr>
          <w:b/>
        </w:rPr>
      </w:pPr>
      <w:r w:rsidRPr="009A6165">
        <w:rPr>
          <w:b/>
        </w:rPr>
        <w:t>Institutionele factoren</w:t>
      </w:r>
    </w:p>
    <w:p w:rsidR="009A6165" w:rsidRDefault="009A6165" w:rsidP="009965EB">
      <w:pPr>
        <w:pStyle w:val="NoSpacing"/>
        <w:jc w:val="both"/>
      </w:pPr>
      <w:r>
        <w:t>Uit onderzoek van Lee et al</w:t>
      </w:r>
      <w:r w:rsidR="00362145">
        <w:t>.</w:t>
      </w:r>
      <w:r>
        <w:t xml:space="preserve"> (20</w:t>
      </w:r>
      <w:r w:rsidR="000A57BE">
        <w:t>10</w:t>
      </w:r>
      <w:r>
        <w:t xml:space="preserve">) en </w:t>
      </w:r>
      <w:proofErr w:type="spellStart"/>
      <w:r>
        <w:t>Rau</w:t>
      </w:r>
      <w:proofErr w:type="spellEnd"/>
      <w:r>
        <w:t xml:space="preserve"> &amp; </w:t>
      </w:r>
      <w:proofErr w:type="spellStart"/>
      <w:r>
        <w:t>Vermaelen</w:t>
      </w:r>
      <w:proofErr w:type="spellEnd"/>
      <w:r>
        <w:t xml:space="preserve"> (2002) blijkt d</w:t>
      </w:r>
      <w:r w:rsidR="000A7CD2">
        <w:t>at de hoogte van het abnormaal</w:t>
      </w:r>
      <w:r>
        <w:t xml:space="preserve"> rendement afhankelijk is van institutionele kenmerken. De wetgeving en het fiscale regime betreffende</w:t>
      </w:r>
      <w:r w:rsidR="003375B8">
        <w:t xml:space="preserve"> </w:t>
      </w:r>
      <w:proofErr w:type="spellStart"/>
      <w:r w:rsidR="003375B8">
        <w:t>aandeleninkoopprogramma</w:t>
      </w:r>
      <w:proofErr w:type="spellEnd"/>
      <w:r w:rsidR="003375B8">
        <w:t xml:space="preserve"> </w:t>
      </w:r>
      <w:r>
        <w:t>verschillen namelijk per land, wat invloed heeft op de hoogte van het abnorma</w:t>
      </w:r>
      <w:r w:rsidR="003375B8">
        <w:t>al</w:t>
      </w:r>
      <w:r>
        <w:t xml:space="preserve"> rendement. </w:t>
      </w:r>
      <w:r w:rsidR="008C2820">
        <w:t xml:space="preserve">In sommige landen zijn er wettelijke restricties die </w:t>
      </w:r>
      <w:proofErr w:type="spellStart"/>
      <w:r w:rsidR="008C2820">
        <w:t>aandeleninkoopprogramma’s</w:t>
      </w:r>
      <w:proofErr w:type="spellEnd"/>
      <w:r w:rsidR="008C2820">
        <w:t xml:space="preserve"> ontmoedigen. In andere landen wordt het</w:t>
      </w:r>
      <w:r>
        <w:t xml:space="preserve"> inkopen van eigen aandelen </w:t>
      </w:r>
      <w:r w:rsidR="008C2820">
        <w:t xml:space="preserve">fiscaal ontmoedigd. </w:t>
      </w:r>
    </w:p>
    <w:p w:rsidR="009A6165" w:rsidRDefault="009A6165" w:rsidP="009965EB">
      <w:pPr>
        <w:pStyle w:val="NoSpacing"/>
        <w:jc w:val="both"/>
      </w:pPr>
    </w:p>
    <w:p w:rsidR="00026B0D" w:rsidRPr="00026B0D" w:rsidRDefault="00026B0D" w:rsidP="009965EB">
      <w:pPr>
        <w:pStyle w:val="NoSpacing"/>
        <w:jc w:val="both"/>
        <w:rPr>
          <w:b/>
        </w:rPr>
      </w:pPr>
      <w:r>
        <w:tab/>
      </w:r>
      <w:r>
        <w:rPr>
          <w:b/>
        </w:rPr>
        <w:t>Andere belangrijke gebeurtenissen op de dag van aankondiging</w:t>
      </w:r>
    </w:p>
    <w:p w:rsidR="004E1FD7" w:rsidRDefault="004E1FD7" w:rsidP="009965EB">
      <w:pPr>
        <w:pStyle w:val="NoSpacing"/>
        <w:jc w:val="both"/>
      </w:pPr>
      <w:r>
        <w:t xml:space="preserve">Wat verder opvalt, is dat er in de literatuur </w:t>
      </w:r>
      <w:r w:rsidR="002C162B">
        <w:t xml:space="preserve">vrijwel </w:t>
      </w:r>
      <w:r>
        <w:t>geen aandacht wordt geschonken aan andere</w:t>
      </w:r>
      <w:r w:rsidR="00026B0D">
        <w:t xml:space="preserve"> belangrijke</w:t>
      </w:r>
      <w:r>
        <w:t xml:space="preserve"> gebeurtenissen op de dag van aankondiging</w:t>
      </w:r>
      <w:r>
        <w:rPr>
          <w:rStyle w:val="FootnoteReference"/>
        </w:rPr>
        <w:footnoteReference w:id="10"/>
      </w:r>
      <w:r>
        <w:t xml:space="preserve">. Hierbij wordt onder belangrijke gebeurtenissen het presenteren van de </w:t>
      </w:r>
      <w:proofErr w:type="spellStart"/>
      <w:r>
        <w:t>kwartaal-</w:t>
      </w:r>
      <w:proofErr w:type="spellEnd"/>
      <w:r>
        <w:t>, half(jaarcijfers) of een a</w:t>
      </w:r>
      <w:r w:rsidR="00BB073B">
        <w:t>c</w:t>
      </w:r>
      <w:r>
        <w:t>quisitie verstaan. Indien de gepresenteerde resultaten of a</w:t>
      </w:r>
      <w:r w:rsidR="00BB073B">
        <w:t>c</w:t>
      </w:r>
      <w:r>
        <w:t xml:space="preserve">quisities onverwacht zijn, dan reageert de markt hierop. Er is dan immers sprake van nieuwe informatie.  Door geen rekening te houden met de mogelijke invloed van deze gebeurtenissen, wordt impliciet veronderstelt dat deze geen invloed heeft op de hoogte van de gevonden abnormale rendementen. </w:t>
      </w:r>
    </w:p>
    <w:p w:rsidR="009D4407" w:rsidRDefault="009D4407" w:rsidP="004E1FD7">
      <w:pPr>
        <w:pStyle w:val="NoSpacing"/>
      </w:pPr>
    </w:p>
    <w:p w:rsidR="006C6A2C" w:rsidRDefault="006C6A2C" w:rsidP="004E1FD7">
      <w:pPr>
        <w:pStyle w:val="NoSpacing"/>
      </w:pPr>
    </w:p>
    <w:p w:rsidR="003375B8" w:rsidRDefault="003375B8" w:rsidP="004E1FD7">
      <w:pPr>
        <w:pStyle w:val="NoSpacing"/>
      </w:pPr>
    </w:p>
    <w:p w:rsidR="003375B8" w:rsidRDefault="003375B8" w:rsidP="004E1FD7">
      <w:pPr>
        <w:pStyle w:val="NoSpacing"/>
      </w:pPr>
    </w:p>
    <w:p w:rsidR="003375B8" w:rsidRDefault="003375B8" w:rsidP="004E1FD7">
      <w:pPr>
        <w:pStyle w:val="NoSpacing"/>
      </w:pPr>
    </w:p>
    <w:p w:rsidR="006C6A2C" w:rsidRPr="00793412" w:rsidRDefault="006C6A2C" w:rsidP="004E1FD7">
      <w:pPr>
        <w:pStyle w:val="NoSpacing"/>
      </w:pPr>
    </w:p>
    <w:p w:rsidR="009A6165" w:rsidRDefault="009A6165" w:rsidP="001F71F2">
      <w:pPr>
        <w:pStyle w:val="Heading2"/>
        <w:numPr>
          <w:ilvl w:val="1"/>
          <w:numId w:val="1"/>
        </w:numPr>
        <w:jc w:val="both"/>
        <w:rPr>
          <w:color w:val="auto"/>
        </w:rPr>
      </w:pPr>
      <w:bookmarkStart w:id="7" w:name="_Toc361526560"/>
      <w:r>
        <w:rPr>
          <w:color w:val="auto"/>
        </w:rPr>
        <w:lastRenderedPageBreak/>
        <w:t>Samenvatting</w:t>
      </w:r>
      <w:bookmarkEnd w:id="7"/>
    </w:p>
    <w:p w:rsidR="00D70D58" w:rsidRDefault="007D72B4" w:rsidP="009965EB">
      <w:pPr>
        <w:pStyle w:val="NoSpacing"/>
        <w:spacing w:before="120"/>
        <w:jc w:val="both"/>
      </w:pPr>
      <w:r>
        <w:t xml:space="preserve">Een </w:t>
      </w:r>
      <w:proofErr w:type="spellStart"/>
      <w:r w:rsidR="00D70D58">
        <w:t>aandeleninkoopprogramma</w:t>
      </w:r>
      <w:proofErr w:type="spellEnd"/>
      <w:r w:rsidR="00D70D58">
        <w:t xml:space="preserve"> creëert in een perfecte vermogensmarkt geen aandeelhouderswaarde. </w:t>
      </w:r>
      <w:r>
        <w:t>V</w:t>
      </w:r>
      <w:r w:rsidR="00D70D58">
        <w:t xml:space="preserve">oor de huidige aandeelhouders stijgt </w:t>
      </w:r>
      <w:r>
        <w:t xml:space="preserve">de winst per aandeel </w:t>
      </w:r>
      <w:r w:rsidR="00D70D58">
        <w:t>weliswaar, maar dit is slechts een compensatie voor het toegenomen marktrisico.</w:t>
      </w:r>
      <w:r w:rsidR="005534C9">
        <w:t xml:space="preserve"> In de </w:t>
      </w:r>
      <w:r w:rsidR="003375B8">
        <w:t>wetenschappelijke literatuur</w:t>
      </w:r>
      <w:r w:rsidR="005534C9">
        <w:t xml:space="preserve"> wordt</w:t>
      </w:r>
      <w:r w:rsidR="003375B8">
        <w:t xml:space="preserve"> desondanks</w:t>
      </w:r>
      <w:r w:rsidR="005534C9">
        <w:t xml:space="preserve"> een abnormaal rendement van tussen de 2 en 4,5 procent gevonden. D</w:t>
      </w:r>
      <w:r w:rsidR="003375B8">
        <w:t xml:space="preserve">e verklaring hiervoor </w:t>
      </w:r>
      <w:r>
        <w:t>kan worden gezocht in het feit dat we niet leven in een</w:t>
      </w:r>
      <w:r w:rsidR="003375B8">
        <w:t xml:space="preserve"> perfecte markt en te kampen hebben met marktimperfecties</w:t>
      </w:r>
      <w:r w:rsidR="005534C9">
        <w:t xml:space="preserve">. Er zijn </w:t>
      </w:r>
      <w:r w:rsidR="000A7CD2">
        <w:t>zeven</w:t>
      </w:r>
      <w:r w:rsidR="005534C9">
        <w:t xml:space="preserve"> theoretische motieven die betrekking hebben op marktimperfecties die het inkopen van eigen aandelen kunnen verklaren. Dit zijn de </w:t>
      </w:r>
      <w:proofErr w:type="spellStart"/>
      <w:r w:rsidR="005534C9">
        <w:t>undervaluation</w:t>
      </w:r>
      <w:proofErr w:type="spellEnd"/>
      <w:r w:rsidR="005534C9">
        <w:t xml:space="preserve">, </w:t>
      </w:r>
      <w:r>
        <w:t xml:space="preserve">de </w:t>
      </w:r>
      <w:r w:rsidR="005534C9">
        <w:t xml:space="preserve">free cash </w:t>
      </w:r>
      <w:proofErr w:type="spellStart"/>
      <w:r w:rsidR="005534C9">
        <w:t>flow</w:t>
      </w:r>
      <w:proofErr w:type="spellEnd"/>
      <w:r w:rsidR="005534C9">
        <w:t xml:space="preserve">, </w:t>
      </w:r>
      <w:r>
        <w:t xml:space="preserve">de </w:t>
      </w:r>
      <w:r w:rsidR="005534C9">
        <w:t xml:space="preserve">dividend, </w:t>
      </w:r>
      <w:r>
        <w:t xml:space="preserve">de </w:t>
      </w:r>
      <w:proofErr w:type="spellStart"/>
      <w:r w:rsidR="005534C9">
        <w:t>l</w:t>
      </w:r>
      <w:r w:rsidR="003375B8">
        <w:t>everage</w:t>
      </w:r>
      <w:proofErr w:type="spellEnd"/>
      <w:r w:rsidR="003375B8">
        <w:t xml:space="preserve">, </w:t>
      </w:r>
      <w:r>
        <w:t xml:space="preserve">de </w:t>
      </w:r>
      <w:proofErr w:type="spellStart"/>
      <w:r w:rsidR="003375B8">
        <w:t>take-over</w:t>
      </w:r>
      <w:proofErr w:type="spellEnd"/>
      <w:r w:rsidR="003375B8">
        <w:t xml:space="preserve"> </w:t>
      </w:r>
      <w:proofErr w:type="spellStart"/>
      <w:r w:rsidR="003375B8">
        <w:t>de</w:t>
      </w:r>
      <w:r w:rsidR="00BB073B">
        <w:t>fense</w:t>
      </w:r>
      <w:proofErr w:type="spellEnd"/>
      <w:r w:rsidR="003375B8">
        <w:t xml:space="preserve">, </w:t>
      </w:r>
      <w:r w:rsidR="005534C9">
        <w:t>de m</w:t>
      </w:r>
      <w:r w:rsidR="00866D1B">
        <w:t xml:space="preserve">anagement </w:t>
      </w:r>
      <w:proofErr w:type="spellStart"/>
      <w:r w:rsidR="00866D1B">
        <w:t>incentive</w:t>
      </w:r>
      <w:proofErr w:type="spellEnd"/>
      <w:r w:rsidR="00BB073B">
        <w:t xml:space="preserve"> </w:t>
      </w:r>
      <w:r w:rsidR="003375B8">
        <w:t xml:space="preserve">en de </w:t>
      </w:r>
      <w:proofErr w:type="spellStart"/>
      <w:r w:rsidR="003375B8">
        <w:t>agency</w:t>
      </w:r>
      <w:proofErr w:type="spellEnd"/>
      <w:r w:rsidR="003375B8">
        <w:t xml:space="preserve"> </w:t>
      </w:r>
      <w:proofErr w:type="spellStart"/>
      <w:r w:rsidR="003375B8">
        <w:t>costs</w:t>
      </w:r>
      <w:proofErr w:type="spellEnd"/>
      <w:r w:rsidR="00866D1B">
        <w:t xml:space="preserve"> hypotheses. Een overzicht van </w:t>
      </w:r>
      <w:r w:rsidR="003375B8">
        <w:t xml:space="preserve">de </w:t>
      </w:r>
      <w:r w:rsidR="00866D1B">
        <w:t>eerder verricht onderzoek</w:t>
      </w:r>
      <w:r w:rsidR="003375B8">
        <w:t>en</w:t>
      </w:r>
      <w:r w:rsidR="00866D1B">
        <w:t xml:space="preserve"> betreffende deze hypothese</w:t>
      </w:r>
      <w:r w:rsidR="003375B8">
        <w:t>s</w:t>
      </w:r>
      <w:r w:rsidR="00866D1B">
        <w:t xml:space="preserve"> is te vinden in </w:t>
      </w:r>
      <w:r w:rsidR="00866D1B" w:rsidRPr="001749DE">
        <w:t>tabel 1</w:t>
      </w:r>
      <w:r w:rsidR="00866D1B">
        <w:t xml:space="preserve">. </w:t>
      </w:r>
      <w:r w:rsidR="000A57BE">
        <w:t xml:space="preserve">Uit eerder verricht onderzoek is daarnaast gebleken dat de hoogte van het abnormaal rendement afhangt van </w:t>
      </w:r>
      <w:r w:rsidR="000A7CD2">
        <w:t>vier</w:t>
      </w:r>
      <w:r w:rsidR="000A57BE">
        <w:t xml:space="preserve"> factoren, namelijk het theoretisch motief, de methode van inkoop, de omvang van het </w:t>
      </w:r>
      <w:proofErr w:type="spellStart"/>
      <w:r w:rsidR="000A57BE">
        <w:t>aandeleninkoopprogramma</w:t>
      </w:r>
      <w:proofErr w:type="spellEnd"/>
      <w:r w:rsidR="000A57BE">
        <w:t xml:space="preserve"> en </w:t>
      </w:r>
      <w:r>
        <w:t xml:space="preserve">de </w:t>
      </w:r>
      <w:r w:rsidR="000A57BE">
        <w:t>inst</w:t>
      </w:r>
      <w:r w:rsidR="00BB073B">
        <w:t>it</w:t>
      </w:r>
      <w:r w:rsidR="000A57BE">
        <w:t xml:space="preserve">utionele factoren. Het onderzoek van Baltus &amp; Schauten (2000) vindt ondersteuning voor de invloed van het theoretisch motief. </w:t>
      </w:r>
      <w:proofErr w:type="spellStart"/>
      <w:r w:rsidR="000A57BE">
        <w:t>Comment</w:t>
      </w:r>
      <w:proofErr w:type="spellEnd"/>
      <w:r w:rsidR="000A57BE">
        <w:t xml:space="preserve"> &amp; </w:t>
      </w:r>
      <w:proofErr w:type="spellStart"/>
      <w:r w:rsidR="000A57BE">
        <w:t>Jarrel</w:t>
      </w:r>
      <w:proofErr w:type="spellEnd"/>
      <w:r w:rsidR="000A57BE">
        <w:t xml:space="preserve"> (1991) vinden een verschil in de hoogte van het abnormaal rendement per methode van inkoop. </w:t>
      </w:r>
      <w:r w:rsidR="007F5451">
        <w:t xml:space="preserve">Onderzoek van </w:t>
      </w:r>
      <w:proofErr w:type="spellStart"/>
      <w:r w:rsidR="007F5451">
        <w:t>Vermaelen</w:t>
      </w:r>
      <w:proofErr w:type="spellEnd"/>
      <w:r w:rsidR="007F5451">
        <w:t xml:space="preserve"> (1981) ondersteunt de invloed van de omvang van het </w:t>
      </w:r>
      <w:proofErr w:type="spellStart"/>
      <w:r w:rsidR="007F5451">
        <w:t>aandeleninkoopprogramma</w:t>
      </w:r>
      <w:proofErr w:type="spellEnd"/>
      <w:r w:rsidR="007F5451">
        <w:t xml:space="preserve"> en onderzoeken van </w:t>
      </w:r>
      <w:r w:rsidR="000A57BE">
        <w:t>Lee et al</w:t>
      </w:r>
      <w:r>
        <w:t>.</w:t>
      </w:r>
      <w:r w:rsidR="000A57BE">
        <w:t xml:space="preserve"> (2010) en </w:t>
      </w:r>
      <w:proofErr w:type="spellStart"/>
      <w:r w:rsidR="000A57BE">
        <w:t>Vermaelen</w:t>
      </w:r>
      <w:proofErr w:type="spellEnd"/>
      <w:r w:rsidR="000A57BE">
        <w:t xml:space="preserve"> (1981)</w:t>
      </w:r>
      <w:r w:rsidR="007F5451">
        <w:t xml:space="preserve"> ondersteun</w:t>
      </w:r>
      <w:r w:rsidR="003375B8">
        <w:t>en</w:t>
      </w:r>
      <w:r w:rsidR="007F5451">
        <w:t xml:space="preserve"> de invloed van</w:t>
      </w:r>
      <w:r w:rsidR="000A57BE">
        <w:t xml:space="preserve"> </w:t>
      </w:r>
      <w:r w:rsidR="007F5451">
        <w:t>inst</w:t>
      </w:r>
      <w:r w:rsidR="00BB073B">
        <w:t>it</w:t>
      </w:r>
      <w:r w:rsidR="007F5451">
        <w:t>utionele factoren. Wat verder opval</w:t>
      </w:r>
      <w:r w:rsidR="00B150D4">
        <w:t xml:space="preserve">t </w:t>
      </w:r>
      <w:r w:rsidR="007F5451">
        <w:t xml:space="preserve">is dat er in de literatuur </w:t>
      </w:r>
      <w:r w:rsidR="003375B8">
        <w:t>geen</w:t>
      </w:r>
      <w:r w:rsidR="007F5451">
        <w:t xml:space="preserve"> aandacht wordt besteed aan de </w:t>
      </w:r>
      <w:r w:rsidR="003375B8">
        <w:t xml:space="preserve">mogelijke </w:t>
      </w:r>
      <w:r w:rsidR="007F5451">
        <w:t xml:space="preserve">invloed van andere gebeurtenissen op de hoogte van het gevonden abnormaal rendement. </w:t>
      </w:r>
    </w:p>
    <w:p w:rsidR="009D4407" w:rsidRDefault="009D4407" w:rsidP="009D4407">
      <w:pPr>
        <w:pStyle w:val="NoSpacing"/>
      </w:pPr>
    </w:p>
    <w:tbl>
      <w:tblPr>
        <w:tblStyle w:val="TableGrid"/>
        <w:tblW w:w="9180" w:type="dxa"/>
        <w:tblLayout w:type="fixed"/>
        <w:tblLook w:val="04A0"/>
      </w:tblPr>
      <w:tblGrid>
        <w:gridCol w:w="1384"/>
        <w:gridCol w:w="709"/>
        <w:gridCol w:w="1559"/>
        <w:gridCol w:w="1276"/>
        <w:gridCol w:w="992"/>
        <w:gridCol w:w="992"/>
        <w:gridCol w:w="1134"/>
        <w:gridCol w:w="1134"/>
      </w:tblGrid>
      <w:tr w:rsidR="009D4407" w:rsidRPr="00E12EA0" w:rsidTr="00D7060D">
        <w:tc>
          <w:tcPr>
            <w:tcW w:w="1384" w:type="dxa"/>
            <w:shd w:val="clear" w:color="auto" w:fill="0070C0"/>
          </w:tcPr>
          <w:p w:rsidR="009D4407" w:rsidRPr="007F5451" w:rsidRDefault="009D4407" w:rsidP="00D7060D">
            <w:pPr>
              <w:pStyle w:val="NoSpacing"/>
              <w:rPr>
                <w:b/>
                <w:color w:val="FFFFFF" w:themeColor="background1"/>
                <w:sz w:val="18"/>
                <w:szCs w:val="18"/>
              </w:rPr>
            </w:pPr>
            <w:r w:rsidRPr="007F5451">
              <w:rPr>
                <w:b/>
                <w:color w:val="FFFFFF" w:themeColor="background1"/>
                <w:sz w:val="18"/>
                <w:szCs w:val="18"/>
              </w:rPr>
              <w:t>Onderzoek</w:t>
            </w:r>
          </w:p>
        </w:tc>
        <w:tc>
          <w:tcPr>
            <w:tcW w:w="709" w:type="dxa"/>
            <w:shd w:val="clear" w:color="auto" w:fill="0070C0"/>
          </w:tcPr>
          <w:p w:rsidR="009D4407" w:rsidRPr="007F5451" w:rsidRDefault="009D4407" w:rsidP="00D7060D">
            <w:pPr>
              <w:pStyle w:val="NoSpacing"/>
              <w:rPr>
                <w:b/>
                <w:color w:val="FFFFFF" w:themeColor="background1"/>
                <w:sz w:val="18"/>
                <w:szCs w:val="18"/>
              </w:rPr>
            </w:pPr>
            <w:r w:rsidRPr="007F5451">
              <w:rPr>
                <w:b/>
                <w:color w:val="FFFFFF" w:themeColor="background1"/>
                <w:sz w:val="18"/>
                <w:szCs w:val="18"/>
              </w:rPr>
              <w:t xml:space="preserve">Land </w:t>
            </w:r>
          </w:p>
        </w:tc>
        <w:tc>
          <w:tcPr>
            <w:tcW w:w="1559" w:type="dxa"/>
            <w:shd w:val="clear" w:color="auto" w:fill="0070C0"/>
          </w:tcPr>
          <w:p w:rsidR="009D4407" w:rsidRPr="007F5451" w:rsidRDefault="009D4407" w:rsidP="00D7060D">
            <w:pPr>
              <w:pStyle w:val="NoSpacing"/>
              <w:rPr>
                <w:b/>
                <w:color w:val="FFFFFF" w:themeColor="background1"/>
                <w:sz w:val="18"/>
                <w:szCs w:val="18"/>
              </w:rPr>
            </w:pPr>
            <w:proofErr w:type="spellStart"/>
            <w:r w:rsidRPr="007F5451">
              <w:rPr>
                <w:b/>
                <w:color w:val="FFFFFF" w:themeColor="background1"/>
                <w:sz w:val="18"/>
                <w:szCs w:val="18"/>
              </w:rPr>
              <w:t>Undervaluation</w:t>
            </w:r>
            <w:proofErr w:type="spellEnd"/>
          </w:p>
        </w:tc>
        <w:tc>
          <w:tcPr>
            <w:tcW w:w="1276" w:type="dxa"/>
            <w:shd w:val="clear" w:color="auto" w:fill="0070C0"/>
          </w:tcPr>
          <w:p w:rsidR="009D4407" w:rsidRPr="007F5451" w:rsidRDefault="009D4407" w:rsidP="00D7060D">
            <w:pPr>
              <w:pStyle w:val="NoSpacing"/>
              <w:rPr>
                <w:b/>
                <w:color w:val="FFFFFF" w:themeColor="background1"/>
                <w:sz w:val="18"/>
                <w:szCs w:val="18"/>
              </w:rPr>
            </w:pPr>
            <w:r w:rsidRPr="007F5451">
              <w:rPr>
                <w:b/>
                <w:color w:val="FFFFFF" w:themeColor="background1"/>
                <w:sz w:val="18"/>
                <w:szCs w:val="18"/>
              </w:rPr>
              <w:t xml:space="preserve">Free cash </w:t>
            </w:r>
            <w:proofErr w:type="spellStart"/>
            <w:r w:rsidRPr="007F5451">
              <w:rPr>
                <w:b/>
                <w:color w:val="FFFFFF" w:themeColor="background1"/>
                <w:sz w:val="18"/>
                <w:szCs w:val="18"/>
              </w:rPr>
              <w:t>flow</w:t>
            </w:r>
            <w:proofErr w:type="spellEnd"/>
          </w:p>
        </w:tc>
        <w:tc>
          <w:tcPr>
            <w:tcW w:w="992" w:type="dxa"/>
            <w:shd w:val="clear" w:color="auto" w:fill="0070C0"/>
          </w:tcPr>
          <w:p w:rsidR="009D4407" w:rsidRPr="007F5451" w:rsidRDefault="009D4407" w:rsidP="00D7060D">
            <w:pPr>
              <w:pStyle w:val="NoSpacing"/>
              <w:rPr>
                <w:b/>
                <w:color w:val="FFFFFF" w:themeColor="background1"/>
                <w:sz w:val="18"/>
                <w:szCs w:val="18"/>
              </w:rPr>
            </w:pPr>
            <w:r w:rsidRPr="007F5451">
              <w:rPr>
                <w:b/>
                <w:color w:val="FFFFFF" w:themeColor="background1"/>
                <w:sz w:val="18"/>
                <w:szCs w:val="18"/>
              </w:rPr>
              <w:t>Dividend</w:t>
            </w:r>
          </w:p>
        </w:tc>
        <w:tc>
          <w:tcPr>
            <w:tcW w:w="992" w:type="dxa"/>
            <w:shd w:val="clear" w:color="auto" w:fill="0070C0"/>
          </w:tcPr>
          <w:p w:rsidR="009D4407" w:rsidRPr="007F5451" w:rsidRDefault="009D4407" w:rsidP="00D7060D">
            <w:pPr>
              <w:pStyle w:val="NoSpacing"/>
              <w:rPr>
                <w:b/>
                <w:color w:val="FFFFFF" w:themeColor="background1"/>
                <w:sz w:val="18"/>
                <w:szCs w:val="18"/>
              </w:rPr>
            </w:pPr>
            <w:proofErr w:type="spellStart"/>
            <w:r w:rsidRPr="007F5451">
              <w:rPr>
                <w:b/>
                <w:color w:val="FFFFFF" w:themeColor="background1"/>
                <w:sz w:val="18"/>
                <w:szCs w:val="18"/>
              </w:rPr>
              <w:t>Leverage</w:t>
            </w:r>
            <w:proofErr w:type="spellEnd"/>
          </w:p>
        </w:tc>
        <w:tc>
          <w:tcPr>
            <w:tcW w:w="1134" w:type="dxa"/>
            <w:shd w:val="clear" w:color="auto" w:fill="0070C0"/>
          </w:tcPr>
          <w:p w:rsidR="009D4407" w:rsidRPr="007F5451" w:rsidRDefault="009D4407" w:rsidP="00D7060D">
            <w:pPr>
              <w:pStyle w:val="NoSpacing"/>
              <w:rPr>
                <w:b/>
                <w:color w:val="FFFFFF" w:themeColor="background1"/>
                <w:sz w:val="18"/>
                <w:szCs w:val="18"/>
              </w:rPr>
            </w:pPr>
            <w:proofErr w:type="spellStart"/>
            <w:r w:rsidRPr="007F5451">
              <w:rPr>
                <w:b/>
                <w:color w:val="FFFFFF" w:themeColor="background1"/>
                <w:sz w:val="18"/>
                <w:szCs w:val="18"/>
              </w:rPr>
              <w:t>Take-over</w:t>
            </w:r>
            <w:proofErr w:type="spellEnd"/>
            <w:r w:rsidRPr="007F5451">
              <w:rPr>
                <w:b/>
                <w:color w:val="FFFFFF" w:themeColor="background1"/>
                <w:sz w:val="18"/>
                <w:szCs w:val="18"/>
              </w:rPr>
              <w:t xml:space="preserve"> </w:t>
            </w:r>
            <w:proofErr w:type="spellStart"/>
            <w:r w:rsidRPr="007F5451">
              <w:rPr>
                <w:b/>
                <w:color w:val="FFFFFF" w:themeColor="background1"/>
                <w:sz w:val="18"/>
                <w:szCs w:val="18"/>
              </w:rPr>
              <w:t>de</w:t>
            </w:r>
            <w:r w:rsidR="00BB073B">
              <w:rPr>
                <w:b/>
                <w:color w:val="FFFFFF" w:themeColor="background1"/>
                <w:sz w:val="18"/>
                <w:szCs w:val="18"/>
              </w:rPr>
              <w:t>fense</w:t>
            </w:r>
            <w:proofErr w:type="spellEnd"/>
          </w:p>
        </w:tc>
        <w:tc>
          <w:tcPr>
            <w:tcW w:w="1134" w:type="dxa"/>
            <w:shd w:val="clear" w:color="auto" w:fill="0070C0"/>
          </w:tcPr>
          <w:p w:rsidR="009D4407" w:rsidRPr="007F5451" w:rsidRDefault="009D4407" w:rsidP="00D7060D">
            <w:pPr>
              <w:pStyle w:val="NoSpacing"/>
              <w:rPr>
                <w:b/>
                <w:color w:val="FFFFFF" w:themeColor="background1"/>
                <w:sz w:val="18"/>
                <w:szCs w:val="18"/>
              </w:rPr>
            </w:pPr>
            <w:proofErr w:type="spellStart"/>
            <w:r w:rsidRPr="007F5451">
              <w:rPr>
                <w:b/>
                <w:color w:val="FFFFFF" w:themeColor="background1"/>
                <w:sz w:val="18"/>
                <w:szCs w:val="18"/>
              </w:rPr>
              <w:t>Managem</w:t>
            </w:r>
            <w:proofErr w:type="spellEnd"/>
            <w:r w:rsidRPr="007F5451">
              <w:rPr>
                <w:b/>
                <w:color w:val="FFFFFF" w:themeColor="background1"/>
                <w:sz w:val="18"/>
                <w:szCs w:val="18"/>
              </w:rPr>
              <w:t>.</w:t>
            </w:r>
          </w:p>
          <w:p w:rsidR="009D4407" w:rsidRPr="007F5451" w:rsidRDefault="009D4407" w:rsidP="00D7060D">
            <w:pPr>
              <w:pStyle w:val="NoSpacing"/>
              <w:rPr>
                <w:b/>
                <w:color w:val="FFFFFF" w:themeColor="background1"/>
                <w:sz w:val="18"/>
                <w:szCs w:val="18"/>
              </w:rPr>
            </w:pPr>
            <w:proofErr w:type="spellStart"/>
            <w:r w:rsidRPr="007F5451">
              <w:rPr>
                <w:b/>
                <w:color w:val="FFFFFF" w:themeColor="background1"/>
                <w:sz w:val="18"/>
                <w:szCs w:val="18"/>
              </w:rPr>
              <w:t>incentive</w:t>
            </w:r>
            <w:proofErr w:type="spellEnd"/>
          </w:p>
        </w:tc>
      </w:tr>
      <w:tr w:rsidR="009D4407" w:rsidRPr="00E12EA0"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Vermaelen</w:t>
            </w:r>
            <w:proofErr w:type="spellEnd"/>
            <w:r w:rsidRPr="007F5451">
              <w:rPr>
                <w:sz w:val="18"/>
                <w:szCs w:val="18"/>
              </w:rPr>
              <w:t xml:space="preserve"> (1981)</w:t>
            </w:r>
          </w:p>
        </w:tc>
        <w:tc>
          <w:tcPr>
            <w:tcW w:w="709" w:type="dxa"/>
          </w:tcPr>
          <w:p w:rsidR="009D4407" w:rsidRPr="007F5451" w:rsidRDefault="009D4407" w:rsidP="00D7060D">
            <w:pPr>
              <w:pStyle w:val="NoSpacing"/>
              <w:rPr>
                <w:sz w:val="18"/>
                <w:szCs w:val="18"/>
              </w:rPr>
            </w:pPr>
            <w:r w:rsidRPr="007F5451">
              <w:rPr>
                <w:sz w:val="18"/>
                <w:szCs w:val="18"/>
              </w:rPr>
              <w:t>VS</w:t>
            </w:r>
          </w:p>
          <w:p w:rsidR="009D4407" w:rsidRPr="007F5451" w:rsidRDefault="009D4407" w:rsidP="00D7060D">
            <w:pPr>
              <w:pStyle w:val="NoSpacing"/>
              <w:rPr>
                <w:sz w:val="18"/>
                <w:szCs w:val="18"/>
              </w:rPr>
            </w:pPr>
          </w:p>
        </w:tc>
        <w:tc>
          <w:tcPr>
            <w:tcW w:w="1559" w:type="dxa"/>
          </w:tcPr>
          <w:p w:rsidR="009D4407" w:rsidRPr="007F5451" w:rsidRDefault="009D4407" w:rsidP="00B659E1">
            <w:pPr>
              <w:pStyle w:val="NoSpacing"/>
              <w:jc w:val="center"/>
              <w:rPr>
                <w:sz w:val="18"/>
                <w:szCs w:val="18"/>
              </w:rPr>
            </w:pPr>
            <w:r w:rsidRPr="007F5451">
              <w:rPr>
                <w:sz w:val="18"/>
                <w:szCs w:val="18"/>
              </w:rPr>
              <w:t>+</w:t>
            </w: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RPr="00E12EA0"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Bagwell</w:t>
            </w:r>
            <w:proofErr w:type="spellEnd"/>
            <w:r w:rsidRPr="007F5451">
              <w:rPr>
                <w:sz w:val="18"/>
                <w:szCs w:val="18"/>
              </w:rPr>
              <w:t xml:space="preserve"> &amp; </w:t>
            </w:r>
            <w:proofErr w:type="spellStart"/>
            <w:r w:rsidRPr="007F5451">
              <w:rPr>
                <w:sz w:val="18"/>
                <w:szCs w:val="18"/>
              </w:rPr>
              <w:t>Shoven</w:t>
            </w:r>
            <w:proofErr w:type="spellEnd"/>
            <w:r w:rsidRPr="007F5451">
              <w:rPr>
                <w:sz w:val="18"/>
                <w:szCs w:val="18"/>
              </w:rPr>
              <w:t xml:space="preserve"> (1989)</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RPr="00E12EA0"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Comment</w:t>
            </w:r>
            <w:proofErr w:type="spellEnd"/>
            <w:r w:rsidRPr="007F5451">
              <w:rPr>
                <w:sz w:val="18"/>
                <w:szCs w:val="18"/>
              </w:rPr>
              <w:t xml:space="preserve"> &amp; </w:t>
            </w:r>
            <w:proofErr w:type="spellStart"/>
            <w:r w:rsidRPr="007F5451">
              <w:rPr>
                <w:sz w:val="18"/>
                <w:szCs w:val="18"/>
              </w:rPr>
              <w:t>Jarrell</w:t>
            </w:r>
            <w:proofErr w:type="spellEnd"/>
            <w:r w:rsidRPr="007F5451">
              <w:rPr>
                <w:sz w:val="18"/>
                <w:szCs w:val="18"/>
              </w:rPr>
              <w:t xml:space="preserve"> (1991)</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r w:rsidRPr="007F5451">
              <w:rPr>
                <w:sz w:val="18"/>
                <w:szCs w:val="18"/>
              </w:rPr>
              <w:t>+</w:t>
            </w: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RPr="00E12EA0"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Bagwell</w:t>
            </w:r>
            <w:proofErr w:type="spellEnd"/>
            <w:r w:rsidRPr="007F5451">
              <w:rPr>
                <w:sz w:val="18"/>
                <w:szCs w:val="18"/>
              </w:rPr>
              <w:t xml:space="preserve"> (1992)</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jc w:val="center"/>
              <w:rPr>
                <w:sz w:val="18"/>
                <w:szCs w:val="18"/>
              </w:rPr>
            </w:pPr>
          </w:p>
        </w:tc>
      </w:tr>
      <w:tr w:rsidR="009D4407" w:rsidRPr="00E12EA0"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Stephens</w:t>
            </w:r>
            <w:proofErr w:type="spellEnd"/>
            <w:r w:rsidRPr="007F5451">
              <w:rPr>
                <w:sz w:val="18"/>
                <w:szCs w:val="18"/>
              </w:rPr>
              <w:t xml:space="preserve"> &amp; </w:t>
            </w:r>
            <w:proofErr w:type="spellStart"/>
            <w:r w:rsidRPr="007F5451">
              <w:rPr>
                <w:sz w:val="18"/>
                <w:szCs w:val="18"/>
              </w:rPr>
              <w:t>Weisbach</w:t>
            </w:r>
            <w:proofErr w:type="spellEnd"/>
            <w:r w:rsidRPr="007F5451">
              <w:rPr>
                <w:sz w:val="18"/>
                <w:szCs w:val="18"/>
              </w:rPr>
              <w:t xml:space="preserve"> (1998)</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r w:rsidRPr="007F5451">
              <w:rPr>
                <w:sz w:val="18"/>
                <w:szCs w:val="18"/>
              </w:rPr>
              <w:t>+</w:t>
            </w: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RPr="00E12EA0"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Dittmar</w:t>
            </w:r>
            <w:proofErr w:type="spellEnd"/>
            <w:r w:rsidRPr="007F5451">
              <w:rPr>
                <w:sz w:val="18"/>
                <w:szCs w:val="18"/>
              </w:rPr>
              <w:t xml:space="preserve"> (2000)</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r w:rsidRPr="007F5451">
              <w:rPr>
                <w:sz w:val="18"/>
                <w:szCs w:val="18"/>
              </w:rPr>
              <w:t>+</w:t>
            </w:r>
          </w:p>
        </w:tc>
        <w:tc>
          <w:tcPr>
            <w:tcW w:w="1276"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jc w:val="center"/>
              <w:rPr>
                <w:sz w:val="18"/>
                <w:szCs w:val="18"/>
              </w:rPr>
            </w:pPr>
            <w:r w:rsidRPr="007F5451">
              <w:rPr>
                <w:sz w:val="18"/>
                <w:szCs w:val="18"/>
              </w:rPr>
              <w:t>+</w:t>
            </w:r>
          </w:p>
        </w:tc>
      </w:tr>
      <w:tr w:rsidR="009D4407" w:rsidTr="00D7060D">
        <w:tc>
          <w:tcPr>
            <w:tcW w:w="1384" w:type="dxa"/>
            <w:shd w:val="clear" w:color="auto" w:fill="D9D9D9" w:themeFill="background1" w:themeFillShade="D9"/>
          </w:tcPr>
          <w:p w:rsidR="009D4407" w:rsidRPr="007F5451" w:rsidRDefault="009D4407" w:rsidP="00D7060D">
            <w:pPr>
              <w:pStyle w:val="NoSpacing"/>
              <w:rPr>
                <w:sz w:val="18"/>
                <w:szCs w:val="18"/>
              </w:rPr>
            </w:pPr>
            <w:r w:rsidRPr="007F5451">
              <w:rPr>
                <w:sz w:val="18"/>
                <w:szCs w:val="18"/>
              </w:rPr>
              <w:t>Baltus &amp; Schauten (2000)</w:t>
            </w:r>
          </w:p>
        </w:tc>
        <w:tc>
          <w:tcPr>
            <w:tcW w:w="709" w:type="dxa"/>
          </w:tcPr>
          <w:p w:rsidR="009D4407" w:rsidRPr="007F5451" w:rsidRDefault="009D4407" w:rsidP="00D7060D">
            <w:pPr>
              <w:pStyle w:val="NoSpacing"/>
              <w:rPr>
                <w:sz w:val="18"/>
                <w:szCs w:val="18"/>
              </w:rPr>
            </w:pPr>
            <w:r w:rsidRPr="007F5451">
              <w:rPr>
                <w:sz w:val="18"/>
                <w:szCs w:val="18"/>
              </w:rPr>
              <w:t>NL</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Hovakimian</w:t>
            </w:r>
            <w:proofErr w:type="spellEnd"/>
          </w:p>
          <w:p w:rsidR="009D4407" w:rsidRPr="007F5451" w:rsidRDefault="009D4407" w:rsidP="007D72B4">
            <w:pPr>
              <w:pStyle w:val="NoSpacing"/>
              <w:rPr>
                <w:sz w:val="18"/>
                <w:szCs w:val="18"/>
              </w:rPr>
            </w:pPr>
            <w:r w:rsidRPr="007F5451">
              <w:rPr>
                <w:sz w:val="18"/>
                <w:szCs w:val="18"/>
              </w:rPr>
              <w:t>et al</w:t>
            </w:r>
            <w:r w:rsidR="007D72B4">
              <w:rPr>
                <w:sz w:val="18"/>
                <w:szCs w:val="18"/>
              </w:rPr>
              <w:t>.</w:t>
            </w:r>
            <w:r w:rsidRPr="007F5451">
              <w:rPr>
                <w:sz w:val="18"/>
                <w:szCs w:val="18"/>
              </w:rPr>
              <w:t xml:space="preserve"> (2001)</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Kahle</w:t>
            </w:r>
            <w:proofErr w:type="spellEnd"/>
            <w:r w:rsidRPr="007F5451">
              <w:rPr>
                <w:sz w:val="18"/>
                <w:szCs w:val="18"/>
              </w:rPr>
              <w:t xml:space="preserve"> (2001)</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r w:rsidRPr="007F5451">
              <w:rPr>
                <w:sz w:val="18"/>
                <w:szCs w:val="18"/>
              </w:rPr>
              <w:t>+</w:t>
            </w:r>
          </w:p>
        </w:tc>
      </w:tr>
      <w:tr w:rsidR="009D4407"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Fenn</w:t>
            </w:r>
            <w:proofErr w:type="spellEnd"/>
            <w:r w:rsidRPr="007F5451">
              <w:rPr>
                <w:sz w:val="18"/>
                <w:szCs w:val="18"/>
              </w:rPr>
              <w:t>, Liang (2001)</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r w:rsidRPr="007F5451">
              <w:rPr>
                <w:sz w:val="18"/>
                <w:szCs w:val="18"/>
              </w:rPr>
              <w:t>+</w:t>
            </w:r>
          </w:p>
        </w:tc>
      </w:tr>
      <w:tr w:rsidR="009D4407"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Rau</w:t>
            </w:r>
            <w:proofErr w:type="spellEnd"/>
            <w:r w:rsidRPr="007F5451">
              <w:rPr>
                <w:sz w:val="18"/>
                <w:szCs w:val="18"/>
              </w:rPr>
              <w:t xml:space="preserve"> &amp; </w:t>
            </w:r>
            <w:proofErr w:type="spellStart"/>
            <w:r w:rsidRPr="007F5451">
              <w:rPr>
                <w:sz w:val="18"/>
                <w:szCs w:val="18"/>
              </w:rPr>
              <w:t>Vermaelen</w:t>
            </w:r>
            <w:proofErr w:type="spellEnd"/>
            <w:r w:rsidRPr="007F5451">
              <w:rPr>
                <w:sz w:val="18"/>
                <w:szCs w:val="18"/>
              </w:rPr>
              <w:t xml:space="preserve"> (2002)</w:t>
            </w:r>
          </w:p>
        </w:tc>
        <w:tc>
          <w:tcPr>
            <w:tcW w:w="709" w:type="dxa"/>
          </w:tcPr>
          <w:p w:rsidR="009D4407" w:rsidRPr="007F5451" w:rsidRDefault="009D4407" w:rsidP="00D7060D">
            <w:pPr>
              <w:pStyle w:val="NoSpacing"/>
              <w:rPr>
                <w:sz w:val="18"/>
                <w:szCs w:val="18"/>
              </w:rPr>
            </w:pPr>
            <w:r w:rsidRPr="007F5451">
              <w:rPr>
                <w:sz w:val="18"/>
                <w:szCs w:val="18"/>
              </w:rPr>
              <w:t>VK</w:t>
            </w:r>
          </w:p>
        </w:tc>
        <w:tc>
          <w:tcPr>
            <w:tcW w:w="1559" w:type="dxa"/>
          </w:tcPr>
          <w:p w:rsidR="009D4407" w:rsidRPr="007F5451" w:rsidRDefault="009D4407" w:rsidP="00B659E1">
            <w:pPr>
              <w:pStyle w:val="NoSpacing"/>
              <w:jc w:val="center"/>
              <w:rPr>
                <w:sz w:val="18"/>
                <w:szCs w:val="18"/>
              </w:rPr>
            </w:pPr>
          </w:p>
        </w:tc>
        <w:tc>
          <w:tcPr>
            <w:tcW w:w="1276"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Tr="00D7060D">
        <w:tc>
          <w:tcPr>
            <w:tcW w:w="1384" w:type="dxa"/>
            <w:shd w:val="clear" w:color="auto" w:fill="D9D9D9" w:themeFill="background1" w:themeFillShade="D9"/>
          </w:tcPr>
          <w:p w:rsidR="009D4407" w:rsidRPr="007F5451" w:rsidRDefault="009D4407" w:rsidP="00D7060D">
            <w:pPr>
              <w:pStyle w:val="NoSpacing"/>
              <w:rPr>
                <w:sz w:val="18"/>
                <w:szCs w:val="18"/>
              </w:rPr>
            </w:pPr>
            <w:proofErr w:type="spellStart"/>
            <w:r w:rsidRPr="007F5451">
              <w:rPr>
                <w:sz w:val="18"/>
                <w:szCs w:val="18"/>
              </w:rPr>
              <w:t>Grullon</w:t>
            </w:r>
            <w:proofErr w:type="spellEnd"/>
            <w:r w:rsidRPr="007F5451">
              <w:rPr>
                <w:sz w:val="18"/>
                <w:szCs w:val="18"/>
              </w:rPr>
              <w:t xml:space="preserve"> &amp; </w:t>
            </w:r>
            <w:proofErr w:type="spellStart"/>
            <w:r w:rsidRPr="007F5451">
              <w:rPr>
                <w:sz w:val="18"/>
                <w:szCs w:val="18"/>
              </w:rPr>
              <w:t>Michaely</w:t>
            </w:r>
            <w:proofErr w:type="spellEnd"/>
            <w:r w:rsidRPr="007F5451">
              <w:rPr>
                <w:sz w:val="18"/>
                <w:szCs w:val="18"/>
              </w:rPr>
              <w:t xml:space="preserve"> (2004)</w:t>
            </w:r>
          </w:p>
        </w:tc>
        <w:tc>
          <w:tcPr>
            <w:tcW w:w="709" w:type="dxa"/>
          </w:tcPr>
          <w:p w:rsidR="009D4407" w:rsidRPr="007F5451" w:rsidRDefault="009D4407" w:rsidP="00D7060D">
            <w:pPr>
              <w:pStyle w:val="NoSpacing"/>
              <w:rPr>
                <w:sz w:val="18"/>
                <w:szCs w:val="18"/>
              </w:rPr>
            </w:pPr>
            <w:r w:rsidRPr="007F5451">
              <w:rPr>
                <w:sz w:val="18"/>
                <w:szCs w:val="18"/>
              </w:rPr>
              <w:t>VS</w:t>
            </w:r>
          </w:p>
        </w:tc>
        <w:tc>
          <w:tcPr>
            <w:tcW w:w="1559" w:type="dxa"/>
          </w:tcPr>
          <w:p w:rsidR="009D4407" w:rsidRPr="007F5451" w:rsidRDefault="009D4407" w:rsidP="00B659E1">
            <w:pPr>
              <w:pStyle w:val="NoSpacing"/>
              <w:jc w:val="center"/>
              <w:rPr>
                <w:sz w:val="18"/>
                <w:szCs w:val="18"/>
              </w:rPr>
            </w:pPr>
            <w:r w:rsidRPr="007F5451">
              <w:rPr>
                <w:sz w:val="18"/>
                <w:szCs w:val="18"/>
              </w:rPr>
              <w:t>-</w:t>
            </w:r>
          </w:p>
        </w:tc>
        <w:tc>
          <w:tcPr>
            <w:tcW w:w="1276"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p>
        </w:tc>
        <w:tc>
          <w:tcPr>
            <w:tcW w:w="992"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c>
          <w:tcPr>
            <w:tcW w:w="1134" w:type="dxa"/>
          </w:tcPr>
          <w:p w:rsidR="009D4407" w:rsidRPr="007F5451" w:rsidRDefault="009D4407" w:rsidP="00B659E1">
            <w:pPr>
              <w:pStyle w:val="NoSpacing"/>
              <w:jc w:val="center"/>
              <w:rPr>
                <w:sz w:val="18"/>
                <w:szCs w:val="18"/>
              </w:rPr>
            </w:pPr>
          </w:p>
        </w:tc>
      </w:tr>
      <w:tr w:rsidR="009D4407" w:rsidTr="00D7060D">
        <w:tc>
          <w:tcPr>
            <w:tcW w:w="1384" w:type="dxa"/>
            <w:shd w:val="clear" w:color="auto" w:fill="D9D9D9" w:themeFill="background1" w:themeFillShade="D9"/>
          </w:tcPr>
          <w:p w:rsidR="009D4407" w:rsidRPr="007F5451" w:rsidRDefault="009D4407" w:rsidP="007D72B4">
            <w:pPr>
              <w:pStyle w:val="NoSpacing"/>
              <w:rPr>
                <w:sz w:val="18"/>
                <w:szCs w:val="18"/>
              </w:rPr>
            </w:pPr>
            <w:r w:rsidRPr="007F5451">
              <w:rPr>
                <w:sz w:val="18"/>
                <w:szCs w:val="18"/>
              </w:rPr>
              <w:t>Lee et al</w:t>
            </w:r>
            <w:r w:rsidR="007D72B4">
              <w:rPr>
                <w:sz w:val="18"/>
                <w:szCs w:val="18"/>
              </w:rPr>
              <w:t>.</w:t>
            </w:r>
            <w:r w:rsidRPr="007F5451">
              <w:rPr>
                <w:sz w:val="18"/>
                <w:szCs w:val="18"/>
              </w:rPr>
              <w:t xml:space="preserve"> (2010)</w:t>
            </w:r>
          </w:p>
        </w:tc>
        <w:tc>
          <w:tcPr>
            <w:tcW w:w="709" w:type="dxa"/>
          </w:tcPr>
          <w:p w:rsidR="009D4407" w:rsidRPr="007F5451" w:rsidRDefault="009D4407" w:rsidP="00D7060D">
            <w:pPr>
              <w:pStyle w:val="NoSpacing"/>
              <w:rPr>
                <w:sz w:val="18"/>
                <w:szCs w:val="18"/>
              </w:rPr>
            </w:pPr>
            <w:r w:rsidRPr="007F5451">
              <w:rPr>
                <w:sz w:val="18"/>
                <w:szCs w:val="18"/>
              </w:rPr>
              <w:t>FR,</w:t>
            </w:r>
          </w:p>
          <w:p w:rsidR="009D4407" w:rsidRPr="007F5451" w:rsidRDefault="009D4407" w:rsidP="00D7060D">
            <w:pPr>
              <w:pStyle w:val="NoSpacing"/>
              <w:rPr>
                <w:sz w:val="18"/>
                <w:szCs w:val="18"/>
              </w:rPr>
            </w:pPr>
            <w:r w:rsidRPr="007F5451">
              <w:rPr>
                <w:sz w:val="18"/>
                <w:szCs w:val="18"/>
              </w:rPr>
              <w:t>DE,</w:t>
            </w:r>
          </w:p>
          <w:p w:rsidR="009D4407" w:rsidRPr="007F5451" w:rsidRDefault="009D4407" w:rsidP="00D7060D">
            <w:pPr>
              <w:pStyle w:val="NoSpacing"/>
              <w:rPr>
                <w:sz w:val="18"/>
                <w:szCs w:val="18"/>
              </w:rPr>
            </w:pPr>
            <w:r w:rsidRPr="007F5451">
              <w:rPr>
                <w:sz w:val="18"/>
                <w:szCs w:val="18"/>
              </w:rPr>
              <w:t>IT &amp;</w:t>
            </w:r>
          </w:p>
          <w:p w:rsidR="009D4407" w:rsidRPr="007F5451" w:rsidRDefault="009D4407" w:rsidP="00D7060D">
            <w:pPr>
              <w:pStyle w:val="NoSpacing"/>
              <w:rPr>
                <w:sz w:val="18"/>
                <w:szCs w:val="18"/>
              </w:rPr>
            </w:pPr>
            <w:r w:rsidRPr="007F5451">
              <w:rPr>
                <w:sz w:val="18"/>
                <w:szCs w:val="18"/>
              </w:rPr>
              <w:t>UK</w:t>
            </w:r>
          </w:p>
        </w:tc>
        <w:tc>
          <w:tcPr>
            <w:tcW w:w="1559" w:type="dxa"/>
          </w:tcPr>
          <w:p w:rsidR="009D4407" w:rsidRPr="007F5451" w:rsidRDefault="009D4407" w:rsidP="00B659E1">
            <w:pPr>
              <w:pStyle w:val="NoSpacing"/>
              <w:jc w:val="center"/>
              <w:rPr>
                <w:sz w:val="18"/>
                <w:szCs w:val="18"/>
              </w:rPr>
            </w:pPr>
            <w:r w:rsidRPr="007F5451">
              <w:rPr>
                <w:sz w:val="18"/>
                <w:szCs w:val="18"/>
              </w:rPr>
              <w:t>+</w:t>
            </w:r>
          </w:p>
        </w:tc>
        <w:tc>
          <w:tcPr>
            <w:tcW w:w="1276"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992"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jc w:val="center"/>
              <w:rPr>
                <w:sz w:val="18"/>
                <w:szCs w:val="18"/>
              </w:rPr>
            </w:pPr>
            <w:r w:rsidRPr="007F5451">
              <w:rPr>
                <w:sz w:val="18"/>
                <w:szCs w:val="18"/>
              </w:rPr>
              <w:t>+</w:t>
            </w:r>
          </w:p>
        </w:tc>
        <w:tc>
          <w:tcPr>
            <w:tcW w:w="1134" w:type="dxa"/>
          </w:tcPr>
          <w:p w:rsidR="009D4407" w:rsidRPr="007F5451" w:rsidRDefault="009D4407" w:rsidP="00B659E1">
            <w:pPr>
              <w:pStyle w:val="NoSpacing"/>
              <w:keepNext/>
              <w:jc w:val="center"/>
              <w:rPr>
                <w:sz w:val="18"/>
                <w:szCs w:val="18"/>
              </w:rPr>
            </w:pPr>
          </w:p>
        </w:tc>
      </w:tr>
    </w:tbl>
    <w:p w:rsidR="009D4407" w:rsidRPr="000B0F7E" w:rsidRDefault="009D4407" w:rsidP="00AD3231">
      <w:pPr>
        <w:pStyle w:val="Caption"/>
        <w:jc w:val="both"/>
      </w:pPr>
      <w:r>
        <w:t xml:space="preserve">Tabel </w:t>
      </w:r>
      <w:fldSimple w:instr=" SEQ Tabel \* ARABIC ">
        <w:r w:rsidR="00080D08">
          <w:rPr>
            <w:noProof/>
          </w:rPr>
          <w:t>1</w:t>
        </w:r>
      </w:fldSimple>
      <w:r>
        <w:t xml:space="preserve">: Overzicht eerder verricht onderzoek van theoretische motieven. Hierbij betekent een + dat het onderzoek het    betreffende theoretisch motief ondersteund. Een –  betekent dat er geen ondersteuning wordt gevonden voor het betreffende theoretisch motief.   </w:t>
      </w:r>
    </w:p>
    <w:p w:rsidR="00A25373" w:rsidRDefault="00A25373" w:rsidP="009D4407"/>
    <w:p w:rsidR="00560D8E" w:rsidRPr="009A6165" w:rsidRDefault="002041B9" w:rsidP="001F71F2">
      <w:pPr>
        <w:pStyle w:val="Heading1"/>
        <w:numPr>
          <w:ilvl w:val="0"/>
          <w:numId w:val="1"/>
        </w:numPr>
        <w:rPr>
          <w:color w:val="auto"/>
        </w:rPr>
      </w:pPr>
      <w:bookmarkStart w:id="8" w:name="_Toc361526561"/>
      <w:r>
        <w:rPr>
          <w:color w:val="auto"/>
        </w:rPr>
        <w:lastRenderedPageBreak/>
        <w:t>Methode van aanpak</w:t>
      </w:r>
      <w:r w:rsidR="002F7B66">
        <w:rPr>
          <w:color w:val="auto"/>
        </w:rPr>
        <w:t xml:space="preserve">, </w:t>
      </w:r>
      <w:r w:rsidR="00BC1E03">
        <w:rPr>
          <w:color w:val="auto"/>
        </w:rPr>
        <w:t>hypotheses</w:t>
      </w:r>
      <w:r w:rsidR="002F7B66">
        <w:rPr>
          <w:color w:val="auto"/>
        </w:rPr>
        <w:t xml:space="preserve"> &amp;</w:t>
      </w:r>
      <w:r w:rsidR="009A6165">
        <w:rPr>
          <w:color w:val="auto"/>
        </w:rPr>
        <w:t xml:space="preserve"> data</w:t>
      </w:r>
      <w:bookmarkEnd w:id="8"/>
    </w:p>
    <w:p w:rsidR="009A6165" w:rsidRDefault="009A6165" w:rsidP="001F71F2">
      <w:pPr>
        <w:pStyle w:val="Heading2"/>
        <w:numPr>
          <w:ilvl w:val="1"/>
          <w:numId w:val="1"/>
        </w:numPr>
        <w:jc w:val="both"/>
        <w:rPr>
          <w:color w:val="auto"/>
        </w:rPr>
      </w:pPr>
      <w:bookmarkStart w:id="9" w:name="_Toc361526562"/>
      <w:r>
        <w:rPr>
          <w:color w:val="auto"/>
        </w:rPr>
        <w:t>Inleiding</w:t>
      </w:r>
      <w:bookmarkEnd w:id="9"/>
    </w:p>
    <w:p w:rsidR="009A6165" w:rsidRPr="009A6165" w:rsidRDefault="003D4887" w:rsidP="009965EB">
      <w:pPr>
        <w:pStyle w:val="NoSpacing"/>
        <w:spacing w:before="120"/>
        <w:jc w:val="both"/>
      </w:pPr>
      <w:r>
        <w:t xml:space="preserve">In dit hoofdstuk worden de methode van aanpak, </w:t>
      </w:r>
      <w:r w:rsidR="00083CC5">
        <w:t xml:space="preserve">de </w:t>
      </w:r>
      <w:r w:rsidR="007D72B4">
        <w:t>hypotheses</w:t>
      </w:r>
      <w:r>
        <w:t xml:space="preserve"> en de </w:t>
      </w:r>
      <w:r w:rsidR="00083CC5">
        <w:t xml:space="preserve">onderzochte </w:t>
      </w:r>
      <w:r>
        <w:t xml:space="preserve">dataset behandeld. In paragraaf 3.2 wordt de onderzoeksmethode beschreven. In paragraaf 3.3 </w:t>
      </w:r>
      <w:r w:rsidR="00083CC5">
        <w:t>worden de verwachte resultaten besproken</w:t>
      </w:r>
      <w:r>
        <w:t>. In paragraaf 3.4. wordt beschreven hoe de dataset tot stand is gekomen en wordt</w:t>
      </w:r>
      <w:r w:rsidR="00294EC8">
        <w:t xml:space="preserve"> deze</w:t>
      </w:r>
      <w:r>
        <w:t xml:space="preserve"> geanalyseerd</w:t>
      </w:r>
      <w:r w:rsidR="00294EC8">
        <w:t xml:space="preserve">. Ten slotte volgt </w:t>
      </w:r>
      <w:r>
        <w:t>in</w:t>
      </w:r>
      <w:r w:rsidR="00294EC8">
        <w:t xml:space="preserve"> paragraaf 3.5. een samenvatting</w:t>
      </w:r>
      <w:r>
        <w:t xml:space="preserve">. </w:t>
      </w:r>
    </w:p>
    <w:p w:rsidR="009A6165" w:rsidRDefault="009A6165" w:rsidP="001F71F2">
      <w:pPr>
        <w:pStyle w:val="Heading2"/>
        <w:numPr>
          <w:ilvl w:val="1"/>
          <w:numId w:val="1"/>
        </w:numPr>
        <w:jc w:val="both"/>
        <w:rPr>
          <w:color w:val="auto"/>
        </w:rPr>
      </w:pPr>
      <w:bookmarkStart w:id="10" w:name="_Toc361526563"/>
      <w:r>
        <w:rPr>
          <w:color w:val="auto"/>
        </w:rPr>
        <w:t>Methode van aanpak</w:t>
      </w:r>
      <w:bookmarkEnd w:id="10"/>
    </w:p>
    <w:p w:rsidR="00D74C3F" w:rsidRDefault="006F359A" w:rsidP="009965EB">
      <w:pPr>
        <w:pStyle w:val="NoSpacing"/>
        <w:spacing w:before="120"/>
        <w:jc w:val="both"/>
      </w:pPr>
      <w:r>
        <w:t>Het empirisch onderzoek richt zich op abnormale rendementen van de inkoop van eigen aandelen</w:t>
      </w:r>
      <w:r w:rsidR="00211EFD">
        <w:t xml:space="preserve"> op en rondom de dag van aankondiging</w:t>
      </w:r>
      <w:r>
        <w:t>.</w:t>
      </w:r>
      <w:r w:rsidR="00083CC5">
        <w:t xml:space="preserve"> </w:t>
      </w:r>
      <w:r w:rsidR="00D74C3F">
        <w:t>De “</w:t>
      </w:r>
      <w:proofErr w:type="spellStart"/>
      <w:r w:rsidR="00D74C3F">
        <w:t>event</w:t>
      </w:r>
      <w:proofErr w:type="spellEnd"/>
      <w:r w:rsidR="00D74C3F">
        <w:t xml:space="preserve"> </w:t>
      </w:r>
      <w:proofErr w:type="spellStart"/>
      <w:r w:rsidR="00D74C3F">
        <w:t>window</w:t>
      </w:r>
      <w:proofErr w:type="spellEnd"/>
      <w:r w:rsidR="00D74C3F">
        <w:t xml:space="preserve">”, de periode waarin </w:t>
      </w:r>
      <w:r w:rsidR="003F619C">
        <w:t>de</w:t>
      </w:r>
      <w:r w:rsidR="00D74C3F">
        <w:t xml:space="preserve"> abnormale rendement</w:t>
      </w:r>
      <w:r w:rsidR="007D72B4">
        <w:t>en</w:t>
      </w:r>
      <w:r w:rsidR="00D74C3F">
        <w:t xml:space="preserve"> onderzocht worden, bedraagt hierbij  </w:t>
      </w:r>
      <w:r w:rsidR="00BC1E03">
        <w:t xml:space="preserve">vijf </w:t>
      </w:r>
      <w:r w:rsidR="00D74C3F">
        <w:t xml:space="preserve"> handelsdagen voor de aankond</w:t>
      </w:r>
      <w:r w:rsidR="00BB073B">
        <w:t>ig</w:t>
      </w:r>
      <w:r w:rsidR="00D74C3F">
        <w:t xml:space="preserve">ing van het </w:t>
      </w:r>
      <w:proofErr w:type="spellStart"/>
      <w:r w:rsidR="00D74C3F">
        <w:t>a</w:t>
      </w:r>
      <w:r w:rsidR="00126EF6">
        <w:t>andelen</w:t>
      </w:r>
      <w:r w:rsidR="00D74C3F">
        <w:t>inkoopprogramma</w:t>
      </w:r>
      <w:proofErr w:type="spellEnd"/>
      <w:r w:rsidR="00D74C3F">
        <w:t xml:space="preserve"> (t=-5) tot en met </w:t>
      </w:r>
      <w:r w:rsidR="00BC1E03">
        <w:t xml:space="preserve">vijf </w:t>
      </w:r>
      <w:r w:rsidR="00D74C3F">
        <w:t xml:space="preserve"> handelsdagen na deze bekendmaking (t=5). </w:t>
      </w:r>
    </w:p>
    <w:p w:rsidR="00F82D91" w:rsidRDefault="00F82D91" w:rsidP="009965EB">
      <w:pPr>
        <w:pStyle w:val="NoSpacing"/>
        <w:jc w:val="both"/>
      </w:pPr>
    </w:p>
    <w:p w:rsidR="00F82D91" w:rsidRDefault="00F82D91" w:rsidP="009965EB">
      <w:pPr>
        <w:pStyle w:val="NoSpacing"/>
        <w:jc w:val="both"/>
      </w:pPr>
      <w:r>
        <w:t>Voordat het abnorma</w:t>
      </w:r>
      <w:r w:rsidR="00083CC5">
        <w:t>al</w:t>
      </w:r>
      <w:r>
        <w:t xml:space="preserve"> rendement bepaald kan worden, is het noodzakelijk om eerst het norma</w:t>
      </w:r>
      <w:r w:rsidR="00083CC5">
        <w:t>al</w:t>
      </w:r>
      <w:r>
        <w:t xml:space="preserve"> rendement te bepalen. Er is in dit onderzoek voor gekozen om het norma</w:t>
      </w:r>
      <w:r w:rsidR="00083CC5">
        <w:t>al</w:t>
      </w:r>
      <w:r>
        <w:t xml:space="preserve"> rendement op </w:t>
      </w:r>
      <w:r w:rsidR="00BC1E03">
        <w:t>twee</w:t>
      </w:r>
      <w:r>
        <w:t xml:space="preserve"> manieren te </w:t>
      </w:r>
      <w:r w:rsidR="00C86211">
        <w:t xml:space="preserve">meten, namelijk via het </w:t>
      </w:r>
      <w:proofErr w:type="spellStart"/>
      <w:r w:rsidR="00C86211">
        <w:t>Market-</w:t>
      </w:r>
      <w:r>
        <w:t>Adjusted</w:t>
      </w:r>
      <w:proofErr w:type="spellEnd"/>
      <w:r>
        <w:t xml:space="preserve"> Return Model en het Markt Model. </w:t>
      </w:r>
    </w:p>
    <w:p w:rsidR="00F82D91" w:rsidRDefault="00F82D91" w:rsidP="00F82D91">
      <w:pPr>
        <w:pStyle w:val="NoSpacing"/>
      </w:pPr>
    </w:p>
    <w:p w:rsidR="00F82D91" w:rsidRDefault="00F82D91" w:rsidP="009965EB">
      <w:pPr>
        <w:pStyle w:val="NoSpacing"/>
        <w:jc w:val="both"/>
        <w:rPr>
          <w:b/>
        </w:rPr>
      </w:pPr>
      <w:proofErr w:type="spellStart"/>
      <w:r>
        <w:rPr>
          <w:b/>
        </w:rPr>
        <w:t>Market-Adjusted</w:t>
      </w:r>
      <w:proofErr w:type="spellEnd"/>
      <w:r>
        <w:rPr>
          <w:b/>
        </w:rPr>
        <w:t xml:space="preserve"> Return Model</w:t>
      </w:r>
    </w:p>
    <w:p w:rsidR="00F82D91" w:rsidRPr="002A7394" w:rsidRDefault="00F82D91" w:rsidP="009965EB">
      <w:pPr>
        <w:pStyle w:val="NoSpacing"/>
        <w:jc w:val="both"/>
        <w:rPr>
          <w:rFonts w:eastAsiaTheme="minorEastAsia"/>
        </w:rPr>
      </w:pPr>
      <w:r>
        <w:t xml:space="preserve">Dit model veronderstelt dat het verwachte rendement van een aandeel gelijk is aan het rendement van de markt </w:t>
      </w:r>
      <w:r w:rsidR="00A53815">
        <w:t>(Fern</w:t>
      </w:r>
      <w:r>
        <w:t>ando</w:t>
      </w:r>
      <w:r w:rsidR="00880755">
        <w:t xml:space="preserve"> &amp; </w:t>
      </w:r>
      <w:proofErr w:type="spellStart"/>
      <w:r>
        <w:t>Guneratne</w:t>
      </w:r>
      <w:proofErr w:type="spellEnd"/>
      <w:r>
        <w:t>, 2009)</w:t>
      </w:r>
      <w:r>
        <w:rPr>
          <w:rFonts w:eastAsiaTheme="minorEastAsia"/>
        </w:rPr>
        <w:t>.</w:t>
      </w:r>
      <w:r w:rsidR="002A7394">
        <w:rPr>
          <w:rFonts w:eastAsiaTheme="minorEastAsia"/>
        </w:rPr>
        <w:t xml:space="preserve"> </w:t>
      </w:r>
      <w:r>
        <w:rPr>
          <w:rFonts w:eastAsiaTheme="minorEastAsia"/>
        </w:rPr>
        <w:t>Dit is de meest simpele methode om het norma</w:t>
      </w:r>
      <w:r w:rsidR="003F619C">
        <w:rPr>
          <w:rFonts w:eastAsiaTheme="minorEastAsia"/>
        </w:rPr>
        <w:t>al</w:t>
      </w:r>
      <w:r>
        <w:rPr>
          <w:rFonts w:eastAsiaTheme="minorEastAsia"/>
        </w:rPr>
        <w:t xml:space="preserve"> rendement te bepalen. Dit model zal vergeleken worden met het </w:t>
      </w:r>
      <w:r w:rsidR="002A7394">
        <w:rPr>
          <w:rFonts w:eastAsiaTheme="minorEastAsia"/>
        </w:rPr>
        <w:t xml:space="preserve">meer </w:t>
      </w:r>
      <w:r>
        <w:rPr>
          <w:rFonts w:eastAsiaTheme="minorEastAsia"/>
        </w:rPr>
        <w:t xml:space="preserve">geavanceerde Markt Model, waarbij gekeken wordt of beide methodes tot dezelfde conclusies leiden. </w:t>
      </w:r>
      <w:r w:rsidR="00083CC5">
        <w:t>De MSCI World Index in euro’s</w:t>
      </w:r>
      <w:r w:rsidR="00083CC5">
        <w:rPr>
          <w:rStyle w:val="FootnoteReference"/>
        </w:rPr>
        <w:footnoteReference w:id="11"/>
      </w:r>
      <w:r w:rsidR="00083CC5">
        <w:t xml:space="preserve"> wordt als marktindex gebruikt. De marktportefeuille bestaat in theorie uit alle bezittingen die </w:t>
      </w:r>
      <w:proofErr w:type="spellStart"/>
      <w:r w:rsidR="00083CC5">
        <w:t>niet-risicovrij</w:t>
      </w:r>
      <w:proofErr w:type="spellEnd"/>
      <w:r w:rsidR="00083CC5">
        <w:t xml:space="preserve"> zijn (Miller, 2000). In de praktijk is dit onmogelijk te meten. De MSCI World Index is als </w:t>
      </w:r>
      <w:proofErr w:type="spellStart"/>
      <w:r w:rsidR="00083CC5">
        <w:t>v</w:t>
      </w:r>
      <w:r w:rsidR="00BB073B">
        <w:t>alue-weighted</w:t>
      </w:r>
      <w:proofErr w:type="spellEnd"/>
      <w:r w:rsidR="00BB073B">
        <w:t>, goed gediversifi</w:t>
      </w:r>
      <w:r w:rsidR="00083CC5">
        <w:t>eerde index een uitstekende proxy voor de marktportefeuille (</w:t>
      </w:r>
      <w:proofErr w:type="spellStart"/>
      <w:r w:rsidR="00083CC5">
        <w:t>Koller</w:t>
      </w:r>
      <w:proofErr w:type="spellEnd"/>
      <w:r w:rsidR="00083CC5">
        <w:t xml:space="preserve"> et all, 2010).</w:t>
      </w:r>
    </w:p>
    <w:p w:rsidR="00F82D91" w:rsidRDefault="00F82D91" w:rsidP="009965EB">
      <w:pPr>
        <w:pStyle w:val="NoSpacing"/>
        <w:jc w:val="both"/>
        <w:rPr>
          <w:rFonts w:eastAsiaTheme="minorEastAsia"/>
          <w:u w:val="single"/>
        </w:rPr>
      </w:pPr>
    </w:p>
    <w:p w:rsidR="00F82D91" w:rsidRDefault="00F82D91" w:rsidP="009965EB">
      <w:pPr>
        <w:pStyle w:val="NoSpacing"/>
        <w:jc w:val="both"/>
        <w:rPr>
          <w:rFonts w:eastAsiaTheme="minorEastAsia"/>
          <w:b/>
        </w:rPr>
      </w:pPr>
      <w:r>
        <w:rPr>
          <w:rFonts w:eastAsiaTheme="minorEastAsia"/>
          <w:b/>
        </w:rPr>
        <w:t>Markt Model</w:t>
      </w:r>
    </w:p>
    <w:p w:rsidR="00F82D91" w:rsidRDefault="00851F40" w:rsidP="009965EB">
      <w:pPr>
        <w:pStyle w:val="NoSpacing"/>
        <w:jc w:val="both"/>
      </w:pPr>
      <w:r>
        <w:t>“</w:t>
      </w:r>
      <w:r w:rsidR="00F82D91" w:rsidRPr="00851F40">
        <w:t>Dit model houdt rekening met zowel de algemene markttrend als het met het systematische risico van elk aandeel</w:t>
      </w:r>
      <w:r>
        <w:t>”</w:t>
      </w:r>
      <w:r w:rsidR="00F82D91" w:rsidRPr="00851F40">
        <w:t xml:space="preserve"> (Baltus &amp; Schauten, 2000</w:t>
      </w:r>
      <w:r>
        <w:t>, p. 38</w:t>
      </w:r>
      <w:r w:rsidR="00F82D91" w:rsidRPr="00851F40">
        <w:t>)</w:t>
      </w:r>
      <w:r w:rsidR="00F82D91">
        <w:t>. Het norma</w:t>
      </w:r>
      <w:r w:rsidR="003F619C">
        <w:t xml:space="preserve">al </w:t>
      </w:r>
      <w:r w:rsidR="00F82D91">
        <w:t>rendement is volgens dit model gelijk aan:</w:t>
      </w:r>
    </w:p>
    <w:p w:rsidR="00F82D91" w:rsidRDefault="00F82D91" w:rsidP="00F82D91">
      <w:pPr>
        <w:pStyle w:val="NoSpacing"/>
      </w:pPr>
    </w:p>
    <w:p w:rsidR="00F82D91" w:rsidRDefault="00E77650" w:rsidP="00F82D91">
      <w:pPr>
        <w:pStyle w:val="NoSpacing"/>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 xml:space="preserve"> (1)</m:t>
          </m:r>
        </m:oMath>
      </m:oMathPara>
    </w:p>
    <w:p w:rsidR="00083CC5" w:rsidRDefault="00083CC5" w:rsidP="00F82D91">
      <w:pPr>
        <w:pStyle w:val="NoSpacing"/>
      </w:pPr>
    </w:p>
    <w:p w:rsidR="00F82D91" w:rsidRDefault="00F82D91" w:rsidP="009965EB">
      <w:pPr>
        <w:pStyle w:val="NoSpacing"/>
        <w:jc w:val="both"/>
      </w:pPr>
      <w:r>
        <w:t>Waarin:</w:t>
      </w:r>
    </w:p>
    <w:p w:rsidR="00F82D91" w:rsidRPr="00236451" w:rsidRDefault="00E77650" w:rsidP="009965EB">
      <w:pPr>
        <w:pStyle w:val="NoSpacing"/>
        <w:jc w:val="both"/>
      </w:pP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F82D91">
        <w:tab/>
        <w:t>= het rendement van aandeel i in periode t. Het rendement is gedefin</w:t>
      </w:r>
      <w:proofErr w:type="spellStart"/>
      <w:r w:rsidR="00BB073B">
        <w:t>i</w:t>
      </w:r>
      <w:r w:rsidR="00F82D91">
        <w:t>eerd</w:t>
      </w:r>
      <w:proofErr w:type="spellEnd"/>
      <w:r w:rsidR="00F82D91">
        <w:t xml:space="preserve"> als (P</w:t>
      </w:r>
      <w:r w:rsidR="00F82D91">
        <w:rPr>
          <w:vertAlign w:val="subscript"/>
        </w:rPr>
        <w:t>t</w:t>
      </w:r>
      <w:r w:rsidR="00F82D91">
        <w:t>-P</w:t>
      </w:r>
      <w:r w:rsidR="00F82D91">
        <w:rPr>
          <w:vertAlign w:val="subscript"/>
        </w:rPr>
        <w:t>t-1</w:t>
      </w:r>
      <w:r w:rsidR="00F82D91">
        <w:t>)/P</w:t>
      </w:r>
      <w:r w:rsidR="00F82D91">
        <w:rPr>
          <w:vertAlign w:val="subscript"/>
        </w:rPr>
        <w:t>t-1</w:t>
      </w:r>
      <w:r w:rsidR="00F82D91">
        <w:t xml:space="preserve">. </w:t>
      </w:r>
    </w:p>
    <w:p w:rsidR="00F82D91" w:rsidRDefault="00F82D91" w:rsidP="009965EB">
      <w:pPr>
        <w:pStyle w:val="NoSpacing"/>
        <w:jc w:val="both"/>
      </w:pPr>
      <w:r>
        <w:t xml:space="preserve">                  Hierbij is P</w:t>
      </w:r>
      <w:r>
        <w:rPr>
          <w:vertAlign w:val="subscript"/>
        </w:rPr>
        <w:t>t</w:t>
      </w:r>
      <w:r>
        <w:t xml:space="preserve"> de koers van het aandeel op dag t en P</w:t>
      </w:r>
      <w:r>
        <w:rPr>
          <w:vertAlign w:val="subscript"/>
        </w:rPr>
        <w:t>t-1</w:t>
      </w:r>
      <w:r>
        <w:t xml:space="preserve"> de koers op dag t-1.</w:t>
      </w:r>
    </w:p>
    <w:p w:rsidR="00F82D91" w:rsidRPr="00CA3645" w:rsidRDefault="00E77650" w:rsidP="009965EB">
      <w:pPr>
        <w:pStyle w:val="NoSpacing"/>
        <w:jc w:val="both"/>
      </w:pPr>
      <m:oMath>
        <m:sSub>
          <m:sSubPr>
            <m:ctrlPr>
              <w:rPr>
                <w:rFonts w:ascii="Cambria Math" w:hAnsi="Cambria Math"/>
                <w:i/>
              </w:rPr>
            </m:ctrlPr>
          </m:sSubPr>
          <m:e>
            <m:r>
              <w:rPr>
                <w:rFonts w:ascii="Cambria Math" w:hAnsi="Cambria Math"/>
              </w:rPr>
              <m:t>R</m:t>
            </m:r>
          </m:e>
          <m:sub>
            <m:r>
              <w:rPr>
                <w:rFonts w:ascii="Cambria Math" w:hAnsi="Cambria Math"/>
              </w:rPr>
              <m:t>m,t</m:t>
            </m:r>
          </m:sub>
        </m:sSub>
      </m:oMath>
      <w:r w:rsidR="00F82D91">
        <w:tab/>
        <w:t xml:space="preserve">= het rendement op de MSCI World Index in euro’s in de periode t. Het rendement is </w:t>
      </w:r>
    </w:p>
    <w:p w:rsidR="00F82D91" w:rsidRDefault="00F82D91" w:rsidP="009965EB">
      <w:pPr>
        <w:pStyle w:val="NoSpacing"/>
        <w:jc w:val="both"/>
      </w:pPr>
      <w:r>
        <w:t xml:space="preserve">                  gedefin</w:t>
      </w:r>
      <w:r w:rsidR="00BB073B">
        <w:t>i</w:t>
      </w:r>
      <w:r>
        <w:t>eerd als (P</w:t>
      </w:r>
      <w:r>
        <w:rPr>
          <w:vertAlign w:val="subscript"/>
        </w:rPr>
        <w:t>t</w:t>
      </w:r>
      <w:r>
        <w:t>-P</w:t>
      </w:r>
      <w:r>
        <w:rPr>
          <w:vertAlign w:val="subscript"/>
        </w:rPr>
        <w:t>t-1</w:t>
      </w:r>
      <w:r>
        <w:t>)/P</w:t>
      </w:r>
      <w:r>
        <w:rPr>
          <w:vertAlign w:val="subscript"/>
        </w:rPr>
        <w:t>t-1</w:t>
      </w:r>
      <w:r>
        <w:t>. Hierbij is P</w:t>
      </w:r>
      <w:r>
        <w:rPr>
          <w:vertAlign w:val="subscript"/>
        </w:rPr>
        <w:t>t</w:t>
      </w:r>
      <w:r>
        <w:t xml:space="preserve"> de waarde van de index op dag t en P</w:t>
      </w:r>
      <w:r>
        <w:rPr>
          <w:vertAlign w:val="subscript"/>
        </w:rPr>
        <w:t>t-1</w:t>
      </w:r>
      <w:r>
        <w:t xml:space="preserve"> de waarde           </w:t>
      </w:r>
    </w:p>
    <w:p w:rsidR="00F82D91" w:rsidRDefault="00F82D91" w:rsidP="009965EB">
      <w:pPr>
        <w:pStyle w:val="NoSpacing"/>
        <w:jc w:val="both"/>
      </w:pPr>
      <w:r>
        <w:t xml:space="preserve">                  op dag t-1.</w:t>
      </w:r>
    </w:p>
    <w:p w:rsidR="00F82D91" w:rsidRDefault="00E77650" w:rsidP="009965EB">
      <w:pPr>
        <w:pStyle w:val="NoSpacing"/>
        <w:jc w:val="both"/>
      </w:pP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F82D91">
        <w:t xml:space="preserve">        </w:t>
      </w:r>
      <w:r w:rsidR="00F82D91">
        <w:tab/>
        <w:t xml:space="preserve">= de tijdsonafhankelijke parameter van de regressieanalyse tussen het rendement van het  </w:t>
      </w:r>
    </w:p>
    <w:p w:rsidR="00F82D91" w:rsidRDefault="00F82D91" w:rsidP="009965EB">
      <w:pPr>
        <w:pStyle w:val="NoSpacing"/>
        <w:jc w:val="both"/>
      </w:pPr>
      <w:r>
        <w:t xml:space="preserve">                  aandeel i en het rendement van de marktindex. De hellingshoek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t xml:space="preserve"> meet de gevoeligheid </w:t>
      </w:r>
    </w:p>
    <w:p w:rsidR="00F82D91" w:rsidRDefault="00F82D91" w:rsidP="009965EB">
      <w:pPr>
        <w:pStyle w:val="NoSpacing"/>
        <w:jc w:val="both"/>
      </w:pPr>
      <w:r>
        <w:t xml:space="preserve">                  van het rendement op aandeel i voor factoren die betrekking hebben op de markt als</w:t>
      </w:r>
    </w:p>
    <w:p w:rsidR="00F82D91" w:rsidRDefault="00F82D91" w:rsidP="009965EB">
      <w:pPr>
        <w:pStyle w:val="NoSpacing"/>
        <w:ind w:firstLine="708"/>
        <w:jc w:val="both"/>
      </w:pPr>
      <w:r>
        <w:t xml:space="preserve">    geheel.</w:t>
      </w:r>
    </w:p>
    <w:p w:rsidR="00F82D91" w:rsidRDefault="00E77650" w:rsidP="009965EB">
      <w:pPr>
        <w:pStyle w:val="NoSpacing"/>
        <w:jc w:val="both"/>
      </w:pP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F82D91">
        <w:t xml:space="preserve">         </w:t>
      </w:r>
      <w:r w:rsidR="00F82D91">
        <w:tab/>
        <w:t xml:space="preserve">= de tijdsonafhankelijke parameter van de regressieanalyse tussen het rendement van het  </w:t>
      </w:r>
    </w:p>
    <w:p w:rsidR="00F82D91" w:rsidRDefault="00F82D91" w:rsidP="009965EB">
      <w:pPr>
        <w:pStyle w:val="NoSpacing"/>
        <w:jc w:val="both"/>
      </w:pPr>
      <w:r>
        <w:t xml:space="preserve">                  aandeel i en het rendement van de marktindex. De constante term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t xml:space="preserve"> wordt beïnvloedt </w:t>
      </w:r>
    </w:p>
    <w:p w:rsidR="00F82D91" w:rsidRDefault="00F82D91" w:rsidP="009965EB">
      <w:pPr>
        <w:pStyle w:val="NoSpacing"/>
        <w:jc w:val="both"/>
      </w:pPr>
      <w:r>
        <w:lastRenderedPageBreak/>
        <w:tab/>
        <w:t xml:space="preserve">    door aandeelspecifieke factoren die lost staan van de ontwikkeling van de aandelenmarkt</w:t>
      </w:r>
    </w:p>
    <w:p w:rsidR="00F82D91" w:rsidRDefault="00F82D91" w:rsidP="009965EB">
      <w:pPr>
        <w:pStyle w:val="NoSpacing"/>
        <w:jc w:val="both"/>
      </w:pPr>
      <w:r>
        <w:tab/>
        <w:t xml:space="preserve">    als geheel.        </w:t>
      </w:r>
    </w:p>
    <w:p w:rsidR="00F82D91" w:rsidRDefault="00E77650" w:rsidP="009965EB">
      <w:pPr>
        <w:pStyle w:val="NoSpacing"/>
        <w:jc w:val="both"/>
      </w:pP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00F82D91">
        <w:t xml:space="preserve">   </w:t>
      </w:r>
      <w:r w:rsidR="00F82D91">
        <w:tab/>
        <w:t xml:space="preserve">= de storingsterm van aandeel i in periode t met een verwachte waarde van 0 en een </w:t>
      </w:r>
    </w:p>
    <w:p w:rsidR="00F82D91" w:rsidRDefault="00F82D91" w:rsidP="009965EB">
      <w:pPr>
        <w:pStyle w:val="NoSpacing"/>
        <w:jc w:val="both"/>
      </w:pPr>
      <w:r>
        <w:tab/>
        <w:t xml:space="preserve">    een constante </w:t>
      </w:r>
      <w:proofErr w:type="spellStart"/>
      <w:r>
        <w:t>variantie</w:t>
      </w:r>
      <w:proofErr w:type="spellEnd"/>
      <w:r>
        <w:rPr>
          <w:rStyle w:val="FootnoteReference"/>
        </w:rPr>
        <w:footnoteReference w:id="12"/>
      </w:r>
      <w:r>
        <w:t xml:space="preserve">. </w:t>
      </w:r>
    </w:p>
    <w:p w:rsidR="00F82D91" w:rsidRDefault="00F82D91" w:rsidP="009965EB">
      <w:pPr>
        <w:pStyle w:val="NoSpacing"/>
        <w:jc w:val="both"/>
      </w:pPr>
    </w:p>
    <w:p w:rsidR="00F82D91" w:rsidRDefault="00F82D91" w:rsidP="009965EB">
      <w:pPr>
        <w:pStyle w:val="NoSpacing"/>
        <w:jc w:val="both"/>
        <w:rPr>
          <w:rFonts w:eastAsiaTheme="minorEastAsia"/>
        </w:rPr>
      </w:pPr>
      <w:r w:rsidRPr="00ED49A0">
        <w:t xml:space="preserve">De parameters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Pr="00ED49A0">
        <w:rPr>
          <w:rFonts w:eastAsiaTheme="minorEastAsia"/>
        </w:rPr>
        <w:t xml:space="preserve"> en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Pr="00ED49A0">
        <w:rPr>
          <w:rFonts w:eastAsiaTheme="minorEastAsia"/>
        </w:rPr>
        <w:t xml:space="preserve"> worden geschat door gebruikt te maken </w:t>
      </w:r>
      <w:r w:rsidR="00AB7CBF">
        <w:rPr>
          <w:rFonts w:eastAsiaTheme="minorEastAsia"/>
        </w:rPr>
        <w:t xml:space="preserve">van </w:t>
      </w:r>
      <w:r w:rsidR="004F717A">
        <w:rPr>
          <w:rFonts w:eastAsiaTheme="minorEastAsia"/>
        </w:rPr>
        <w:t>dagelijkse</w:t>
      </w:r>
      <w:r w:rsidRPr="00ED49A0">
        <w:rPr>
          <w:rFonts w:eastAsiaTheme="minorEastAsia"/>
        </w:rPr>
        <w:t xml:space="preserve"> rendementen</w:t>
      </w:r>
      <w:r w:rsidR="004D56B7">
        <w:rPr>
          <w:rStyle w:val="FootnoteReference"/>
          <w:rFonts w:eastAsiaTheme="minorEastAsia"/>
        </w:rPr>
        <w:footnoteReference w:id="13"/>
      </w:r>
      <w:r>
        <w:rPr>
          <w:rFonts w:eastAsiaTheme="minorEastAsia"/>
        </w:rPr>
        <w:t xml:space="preserve">. </w:t>
      </w:r>
      <w:r w:rsidR="00083CC5">
        <w:rPr>
          <w:rFonts w:eastAsiaTheme="minorEastAsia"/>
        </w:rPr>
        <w:t>Hiervoor</w:t>
      </w:r>
      <w:r>
        <w:rPr>
          <w:rFonts w:eastAsiaTheme="minorEastAsia"/>
        </w:rPr>
        <w:t xml:space="preserve"> worden </w:t>
      </w:r>
      <w:r w:rsidRPr="00ED49A0">
        <w:rPr>
          <w:rFonts w:eastAsiaTheme="minorEastAsia"/>
        </w:rPr>
        <w:t>54</w:t>
      </w:r>
      <w:r w:rsidR="004F717A">
        <w:rPr>
          <w:rFonts w:eastAsiaTheme="minorEastAsia"/>
        </w:rPr>
        <w:t>0</w:t>
      </w:r>
      <w:r w:rsidRPr="00ED49A0">
        <w:rPr>
          <w:rFonts w:eastAsiaTheme="minorEastAsia"/>
        </w:rPr>
        <w:t xml:space="preserve"> datapunten gebruikt</w:t>
      </w:r>
      <w:r w:rsidR="00642B1A">
        <w:rPr>
          <w:rFonts w:eastAsiaTheme="minorEastAsia"/>
        </w:rPr>
        <w:t xml:space="preserve"> (t=-546 tot en met t=-7)</w:t>
      </w:r>
      <w:r w:rsidRPr="00ED49A0">
        <w:rPr>
          <w:rFonts w:eastAsiaTheme="minorEastAsia"/>
        </w:rPr>
        <w:t>.</w:t>
      </w:r>
      <w:r>
        <w:rPr>
          <w:rFonts w:eastAsiaTheme="minorEastAsia"/>
        </w:rPr>
        <w:t xml:space="preserve"> In </w:t>
      </w:r>
      <w:r w:rsidR="001749DE" w:rsidRPr="001749DE">
        <w:rPr>
          <w:rFonts w:eastAsiaTheme="minorEastAsia"/>
        </w:rPr>
        <w:t>f</w:t>
      </w:r>
      <w:r w:rsidRPr="001749DE">
        <w:rPr>
          <w:rFonts w:eastAsiaTheme="minorEastAsia"/>
        </w:rPr>
        <w:t>iguur 2</w:t>
      </w:r>
      <w:r>
        <w:rPr>
          <w:rFonts w:eastAsiaTheme="minorEastAsia"/>
        </w:rPr>
        <w:t xml:space="preserve"> is de gebruikte methode bij het Markt Model schematisch weergeven.</w:t>
      </w:r>
    </w:p>
    <w:p w:rsidR="002A7394" w:rsidRDefault="002A7394" w:rsidP="00F82D91">
      <w:pPr>
        <w:pStyle w:val="NoSpacing"/>
        <w:rPr>
          <w:rFonts w:eastAsiaTheme="minorEastAsia"/>
        </w:rPr>
      </w:pPr>
    </w:p>
    <w:p w:rsidR="00F82D91" w:rsidRDefault="002A7394" w:rsidP="00F82D91">
      <w:pPr>
        <w:pStyle w:val="NoSpacing"/>
        <w:keepNext/>
      </w:pPr>
      <w:r w:rsidRPr="002A7394">
        <w:rPr>
          <w:noProof/>
          <w:lang w:val="en-US"/>
        </w:rPr>
        <w:drawing>
          <wp:inline distT="0" distB="0" distL="0" distR="0">
            <wp:extent cx="5759450" cy="661724"/>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59450" cy="661724"/>
                    </a:xfrm>
                    <a:prstGeom prst="rect">
                      <a:avLst/>
                    </a:prstGeom>
                    <a:noFill/>
                    <a:ln w="9525">
                      <a:noFill/>
                      <a:miter lim="800000"/>
                      <a:headEnd/>
                      <a:tailEnd/>
                    </a:ln>
                  </pic:spPr>
                </pic:pic>
              </a:graphicData>
            </a:graphic>
          </wp:inline>
        </w:drawing>
      </w:r>
    </w:p>
    <w:p w:rsidR="00F82D91" w:rsidRDefault="00F82D91" w:rsidP="00AD3231">
      <w:pPr>
        <w:pStyle w:val="Caption"/>
        <w:jc w:val="both"/>
      </w:pPr>
      <w:r>
        <w:t xml:space="preserve">Figuur 2: De gebruikte methode bij het Markt Model. Hierbij is t=0 gelijk aan de </w:t>
      </w:r>
      <w:proofErr w:type="spellStart"/>
      <w:r>
        <w:t>aankondigingsda</w:t>
      </w:r>
      <w:r w:rsidR="009C3B0C">
        <w:t>g</w:t>
      </w:r>
      <w:proofErr w:type="spellEnd"/>
      <w:r>
        <w:t xml:space="preserve"> van het </w:t>
      </w:r>
      <w:proofErr w:type="spellStart"/>
      <w:r>
        <w:t>aandeleninkoopprogramma</w:t>
      </w:r>
      <w:proofErr w:type="spellEnd"/>
      <w:r>
        <w:t>. De “</w:t>
      </w:r>
      <w:proofErr w:type="spellStart"/>
      <w:r>
        <w:t>estimation</w:t>
      </w:r>
      <w:proofErr w:type="spellEnd"/>
      <w:r>
        <w:t xml:space="preserve"> </w:t>
      </w:r>
      <w:proofErr w:type="spellStart"/>
      <w:r>
        <w:t>window</w:t>
      </w:r>
      <w:proofErr w:type="spellEnd"/>
      <w:r>
        <w:t>” is de periode die gebruikt is om de waarde</w:t>
      </w:r>
      <w:r w:rsidR="000A7CD2">
        <w:t>n</w:t>
      </w:r>
      <w:r>
        <w:t xml:space="preserve"> van α en β te schatten. De “</w:t>
      </w:r>
      <w:proofErr w:type="spellStart"/>
      <w:r>
        <w:t>event</w:t>
      </w:r>
      <w:proofErr w:type="spellEnd"/>
      <w:r>
        <w:t xml:space="preserve"> </w:t>
      </w:r>
      <w:proofErr w:type="spellStart"/>
      <w:r>
        <w:t>window</w:t>
      </w:r>
      <w:proofErr w:type="spellEnd"/>
      <w:r>
        <w:t>” is de periode die beschouwd zal gaan worden (</w:t>
      </w:r>
      <w:proofErr w:type="spellStart"/>
      <w:r>
        <w:t>MacKinlay</w:t>
      </w:r>
      <w:proofErr w:type="spellEnd"/>
      <w:r>
        <w:t>, 1997).</w:t>
      </w:r>
    </w:p>
    <w:p w:rsidR="00F82D91" w:rsidRPr="004602FA" w:rsidRDefault="00F82D91" w:rsidP="009965EB">
      <w:pPr>
        <w:pStyle w:val="NoSpacing"/>
        <w:jc w:val="both"/>
        <w:rPr>
          <w:b/>
        </w:rPr>
      </w:pPr>
      <w:r w:rsidRPr="004602FA">
        <w:rPr>
          <w:b/>
        </w:rPr>
        <w:t>Het abnorma</w:t>
      </w:r>
      <w:r w:rsidR="00880755">
        <w:rPr>
          <w:b/>
        </w:rPr>
        <w:t>al</w:t>
      </w:r>
      <w:r w:rsidRPr="004602FA">
        <w:rPr>
          <w:b/>
        </w:rPr>
        <w:t xml:space="preserve"> rendement</w:t>
      </w:r>
    </w:p>
    <w:p w:rsidR="00F82D91" w:rsidRDefault="00F82D91" w:rsidP="009965EB">
      <w:pPr>
        <w:pStyle w:val="NoSpacing"/>
        <w:jc w:val="both"/>
      </w:pPr>
      <w:r>
        <w:t>Het abnormaal rendement is te bepalen door het rendement van aandeel i te verminderen met het norma</w:t>
      </w:r>
      <w:r w:rsidR="00083CC5">
        <w:t>al</w:t>
      </w:r>
      <w:r>
        <w:t xml:space="preserve"> rendement. In het geval van de </w:t>
      </w:r>
      <w:proofErr w:type="spellStart"/>
      <w:r>
        <w:t>Marke</w:t>
      </w:r>
      <w:r w:rsidR="003F619C">
        <w:t>t-Adjusted</w:t>
      </w:r>
      <w:proofErr w:type="spellEnd"/>
      <w:r w:rsidR="003F619C">
        <w:t xml:space="preserve"> Return Model (MARM) </w:t>
      </w:r>
      <w:r>
        <w:t>is het abnorma</w:t>
      </w:r>
      <w:r w:rsidR="00083CC5">
        <w:t>al</w:t>
      </w:r>
      <w:r>
        <w:t xml:space="preserve"> rendement van aandeel i (</w:t>
      </w:r>
      <w:proofErr w:type="spellStart"/>
      <w:r>
        <w:t>AR</w:t>
      </w:r>
      <w:r>
        <w:rPr>
          <w:vertAlign w:val="subscript"/>
        </w:rPr>
        <w:t>i</w:t>
      </w:r>
      <w:proofErr w:type="spellEnd"/>
      <w:r>
        <w:rPr>
          <w:vertAlign w:val="subscript"/>
        </w:rPr>
        <w:t>,t,</w:t>
      </w:r>
      <w:r>
        <w:t>) gelijk aan:</w:t>
      </w:r>
    </w:p>
    <w:p w:rsidR="00F82D91" w:rsidRDefault="00F82D91" w:rsidP="00F82D91">
      <w:pPr>
        <w:pStyle w:val="NoSpacing"/>
      </w:pPr>
    </w:p>
    <w:p w:rsidR="00F82D91" w:rsidRDefault="00E77650" w:rsidP="00F82D91">
      <w:pPr>
        <w:pStyle w:val="NoSpacing"/>
        <w:rPr>
          <w:rFonts w:eastAsiaTheme="minorEastAsia"/>
        </w:rPr>
      </w:pPr>
      <m:oMathPara>
        <m:oMath>
          <m:sSub>
            <m:sSubPr>
              <m:ctrlPr>
                <w:rPr>
                  <w:rFonts w:ascii="Cambria Math" w:hAnsi="Cambria Math"/>
                </w:rPr>
              </m:ctrlPr>
            </m:sSubPr>
            <m:e>
              <m:r>
                <w:rPr>
                  <w:rFonts w:ascii="Cambria Math" w:hAnsi="Cambria Math"/>
                </w:rPr>
                <m:t>AR</m:t>
              </m:r>
              <m:r>
                <m:rPr>
                  <m:sty m:val="p"/>
                </m:rPr>
                <w:rPr>
                  <w:rFonts w:ascii="Cambria Math" w:hAnsi="Cambria Math"/>
                </w:rPr>
                <m:t>(</m:t>
              </m:r>
              <m:r>
                <w:rPr>
                  <w:rFonts w:ascii="Cambria Math" w:hAnsi="Cambria Math"/>
                </w:rPr>
                <m:t>MARM</m:t>
              </m:r>
              <m:r>
                <m:rPr>
                  <m:sty m:val="p"/>
                </m:rPr>
                <w:rPr>
                  <w:rFonts w:ascii="Cambria Math" w:hAnsi="Cambria Math"/>
                </w:rPr>
                <m:t>)</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m:t>
              </m:r>
              <m:r>
                <m:rPr>
                  <m:sty m:val="p"/>
                </m:rPr>
                <w:rPr>
                  <w:rFonts w:ascii="Cambria Math" w:hAnsi="Cambria Math"/>
                </w:rPr>
                <m:t>,</m:t>
              </m:r>
              <m:r>
                <w:rPr>
                  <w:rFonts w:ascii="Cambria Math" w:hAnsi="Cambria Math"/>
                </w:rPr>
                <m:t>t</m:t>
              </m:r>
            </m:sub>
          </m:sSub>
          <m:r>
            <m:rPr>
              <m:sty m:val="p"/>
            </m:rPr>
            <w:rPr>
              <w:rFonts w:ascii="Cambria Math" w:hAnsi="Cambria Math"/>
            </w:rPr>
            <m:t xml:space="preserve"> (2)</m:t>
          </m:r>
        </m:oMath>
      </m:oMathPara>
      <w:r w:rsidR="00F82D91">
        <w:rPr>
          <w:rFonts w:eastAsiaTheme="minorEastAsia"/>
        </w:rPr>
        <w:br/>
      </w:r>
    </w:p>
    <w:p w:rsidR="00F82D91" w:rsidRDefault="00F82D91" w:rsidP="00F82D91">
      <w:pPr>
        <w:pStyle w:val="NoSpacing"/>
        <w:rPr>
          <w:rFonts w:eastAsiaTheme="minorEastAsia"/>
        </w:rPr>
      </w:pPr>
    </w:p>
    <w:p w:rsidR="00F82D91" w:rsidRDefault="00F82D91" w:rsidP="009965EB">
      <w:pPr>
        <w:pStyle w:val="NoSpacing"/>
        <w:jc w:val="both"/>
      </w:pPr>
      <w:r>
        <w:t>Het abno</w:t>
      </w:r>
      <w:r w:rsidR="00713595">
        <w:t>rma</w:t>
      </w:r>
      <w:r w:rsidR="00083CC5">
        <w:t>al</w:t>
      </w:r>
      <w:r w:rsidR="00713595">
        <w:t xml:space="preserve"> rendement middels de Mark</w:t>
      </w:r>
      <w:r>
        <w:t>t Model (MM) is gelijk aan:</w:t>
      </w:r>
    </w:p>
    <w:p w:rsidR="00F82D91" w:rsidRDefault="00F82D91" w:rsidP="00F82D91">
      <w:pPr>
        <w:pStyle w:val="NoSpacing"/>
      </w:pPr>
    </w:p>
    <w:p w:rsidR="00F82D91" w:rsidRDefault="00E77650" w:rsidP="00F82D91">
      <w:pPr>
        <w:pStyle w:val="NoSpacing"/>
      </w:pPr>
      <m:oMathPara>
        <m:oMath>
          <m:sSub>
            <m:sSubPr>
              <m:ctrlPr>
                <w:rPr>
                  <w:rFonts w:ascii="Cambria Math" w:hAnsi="Cambria Math"/>
                </w:rPr>
              </m:ctrlPr>
            </m:sSubPr>
            <m:e>
              <m:r>
                <w:rPr>
                  <w:rFonts w:ascii="Cambria Math" w:hAnsi="Cambria Math"/>
                </w:rPr>
                <m:t>AR</m:t>
              </m:r>
              <m:r>
                <m:rPr>
                  <m:sty m:val="p"/>
                </m:rPr>
                <w:rPr>
                  <w:rFonts w:ascii="Cambria Math" w:hAnsi="Cambria Math"/>
                </w:rPr>
                <m:t>(</m:t>
              </m:r>
              <m:r>
                <w:rPr>
                  <w:rFonts w:ascii="Cambria Math" w:hAnsi="Cambria Math"/>
                </w:rPr>
                <m:t>MM</m:t>
              </m:r>
              <m:r>
                <m:rPr>
                  <m:sty m:val="p"/>
                </m:rPr>
                <w:rPr>
                  <w:rFonts w:ascii="Cambria Math" w:hAnsi="Cambria Math"/>
                </w:rPr>
                <m:t>)</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α</m:t>
                      </m:r>
                    </m:e>
                  </m:acc>
                  <m:r>
                    <m:rPr>
                      <m:sty m:val="p"/>
                    </m:rPr>
                    <w:rPr>
                      <w:rFonts w:ascii="Cambria Math" w:hAnsi="Cambria Math"/>
                    </w:rPr>
                    <m:t>+</m:t>
                  </m:r>
                  <m:acc>
                    <m:accPr>
                      <m:ctrlPr>
                        <w:rPr>
                          <w:rFonts w:ascii="Cambria Math" w:hAnsi="Cambria Math"/>
                        </w:rPr>
                      </m:ctrlPr>
                    </m:accPr>
                    <m:e>
                      <m:r>
                        <w:rPr>
                          <w:rFonts w:ascii="Cambria Math" w:hAnsi="Cambria Math"/>
                        </w:rPr>
                        <m:t>β</m:t>
                      </m:r>
                    </m:e>
                  </m:acc>
                  <m:r>
                    <w:rPr>
                      <w:rFonts w:ascii="Cambria Math" w:hAnsi="Cambria Math"/>
                    </w:rPr>
                    <m:t>R</m:t>
                  </m:r>
                </m:e>
                <m:sub>
                  <m:r>
                    <w:rPr>
                      <w:rFonts w:ascii="Cambria Math" w:hAnsi="Cambria Math"/>
                    </w:rPr>
                    <m:t>m</m:t>
                  </m:r>
                  <m:r>
                    <m:rPr>
                      <m:sty m:val="p"/>
                    </m:rPr>
                    <w:rPr>
                      <w:rFonts w:ascii="Cambria Math" w:hAnsi="Cambria Math"/>
                    </w:rPr>
                    <m:t>,</m:t>
                  </m:r>
                  <m:r>
                    <w:rPr>
                      <w:rFonts w:ascii="Cambria Math" w:hAnsi="Cambria Math"/>
                    </w:rPr>
                    <m:t>t</m:t>
                  </m:r>
                </m:sub>
              </m:sSub>
            </m:e>
          </m:d>
          <m:r>
            <m:rPr>
              <m:sty m:val="p"/>
            </m:rPr>
            <w:rPr>
              <w:rFonts w:ascii="Cambria Math" w:hAnsi="Cambria Math"/>
            </w:rPr>
            <m:t xml:space="preserve"> (3)</m:t>
          </m:r>
        </m:oMath>
      </m:oMathPara>
    </w:p>
    <w:p w:rsidR="00F82D91" w:rsidRDefault="00F82D91" w:rsidP="00F82D91">
      <w:pPr>
        <w:pStyle w:val="NoSpacing"/>
      </w:pPr>
    </w:p>
    <w:p w:rsidR="006F359A" w:rsidRDefault="00F82D91" w:rsidP="009965EB">
      <w:pPr>
        <w:pStyle w:val="NoSpacing"/>
        <w:jc w:val="both"/>
      </w:pPr>
      <w:r>
        <w:t xml:space="preserve">Om de koersreactie als gevolg van de aankondiging van de inkoop van eigen aandelen te onderzoeken, </w:t>
      </w:r>
      <w:r w:rsidR="00083CC5">
        <w:t>wordt</w:t>
      </w:r>
      <w:r>
        <w:t xml:space="preserve">  eers</w:t>
      </w:r>
      <w:r w:rsidR="00F4063E">
        <w:t xml:space="preserve">t de gehele dataset onderzocht. </w:t>
      </w:r>
      <w:r>
        <w:t>In navolging va</w:t>
      </w:r>
      <w:r w:rsidR="00083CC5">
        <w:t>n o.a. Baltus &amp; Schauten (2000)</w:t>
      </w:r>
      <w:r>
        <w:t xml:space="preserve"> zijn de </w:t>
      </w:r>
      <w:proofErr w:type="spellStart"/>
      <w:r>
        <w:t>t-toets</w:t>
      </w:r>
      <w:proofErr w:type="spellEnd"/>
      <w:r>
        <w:rPr>
          <w:rStyle w:val="FootnoteReference"/>
        </w:rPr>
        <w:footnoteReference w:id="14"/>
      </w:r>
      <w:r>
        <w:t xml:space="preserve"> en de tekentoets</w:t>
      </w:r>
      <w:r>
        <w:rPr>
          <w:rStyle w:val="FootnoteReference"/>
        </w:rPr>
        <w:footnoteReference w:id="15"/>
      </w:r>
      <w:r>
        <w:t xml:space="preserve"> uitgevoerd om te testen of de abnormale rendementen statis</w:t>
      </w:r>
      <w:r w:rsidR="00784B11">
        <w:t>tis</w:t>
      </w:r>
      <w:r>
        <w:t>ch signif</w:t>
      </w:r>
      <w:r w:rsidR="00083CC5">
        <w:t>ica</w:t>
      </w:r>
      <w:r w:rsidR="00A42F94">
        <w:t>nt van nul verschillen</w:t>
      </w:r>
      <w:r>
        <w:t xml:space="preserve">. Als </w:t>
      </w:r>
      <w:r w:rsidR="00F80C87">
        <w:t xml:space="preserve">inderdaad </w:t>
      </w:r>
      <w:r>
        <w:t xml:space="preserve">blijkt dat </w:t>
      </w:r>
      <w:r w:rsidR="00F80C87">
        <w:t>er sprake is van een</w:t>
      </w:r>
      <w:r>
        <w:t xml:space="preserve"> </w:t>
      </w:r>
      <w:r w:rsidR="00F80C87">
        <w:t xml:space="preserve">statistisch significant </w:t>
      </w:r>
      <w:r>
        <w:t xml:space="preserve">abnormale rendement, dan wordt er gekeken naar de economische significantie. </w:t>
      </w:r>
      <w:r w:rsidR="003F619C">
        <w:t>Het</w:t>
      </w:r>
      <w:r w:rsidR="004D56B7">
        <w:t xml:space="preserve"> ab</w:t>
      </w:r>
      <w:r w:rsidR="00083CC5">
        <w:t>n</w:t>
      </w:r>
      <w:r w:rsidR="004D56B7">
        <w:t>orma</w:t>
      </w:r>
      <w:r w:rsidR="003F619C">
        <w:t>al</w:t>
      </w:r>
      <w:r w:rsidR="004D56B7">
        <w:t xml:space="preserve"> rendement </w:t>
      </w:r>
      <w:r w:rsidR="003F619C">
        <w:t>is</w:t>
      </w:r>
      <w:r w:rsidR="004D56B7">
        <w:t xml:space="preserve"> economisch significant indien </w:t>
      </w:r>
      <w:r w:rsidR="00083CC5">
        <w:t>deze hoger</w:t>
      </w:r>
      <w:r w:rsidR="004D56B7">
        <w:t xml:space="preserve"> </w:t>
      </w:r>
      <w:r w:rsidR="003F619C">
        <w:t>is</w:t>
      </w:r>
      <w:r w:rsidR="00083CC5">
        <w:t xml:space="preserve"> </w:t>
      </w:r>
      <w:r w:rsidR="004D56B7">
        <w:t xml:space="preserve">dan de transactiekosten. De goedkoopste broker </w:t>
      </w:r>
      <w:r w:rsidR="00623BBD">
        <w:t>op de Nederlandse markt</w:t>
      </w:r>
      <w:r w:rsidR="004D56B7">
        <w:t xml:space="preserve"> is op </w:t>
      </w:r>
      <w:r w:rsidR="00623BBD">
        <w:t>21</w:t>
      </w:r>
      <w:r w:rsidR="004D56B7">
        <w:t xml:space="preserve"> </w:t>
      </w:r>
      <w:r w:rsidR="00623BBD">
        <w:t>juni</w:t>
      </w:r>
      <w:r w:rsidR="004D56B7">
        <w:t xml:space="preserve"> 2013 Lynx</w:t>
      </w:r>
      <w:r w:rsidR="0098754D">
        <w:t>, waarbij de variabele transactiekosten 0,09% bedragen</w:t>
      </w:r>
      <w:r w:rsidR="0098754D">
        <w:rPr>
          <w:rStyle w:val="FootnoteReference"/>
        </w:rPr>
        <w:footnoteReference w:id="16"/>
      </w:r>
      <w:r w:rsidR="0098754D">
        <w:t xml:space="preserve"> (Beursgorilla, 2013). </w:t>
      </w:r>
    </w:p>
    <w:p w:rsidR="00083CC5" w:rsidRDefault="00083CC5" w:rsidP="009965EB">
      <w:pPr>
        <w:pStyle w:val="NoSpacing"/>
        <w:jc w:val="both"/>
      </w:pPr>
    </w:p>
    <w:p w:rsidR="00642B1A" w:rsidRDefault="00642B1A" w:rsidP="009965EB">
      <w:pPr>
        <w:pStyle w:val="NoSpacing"/>
        <w:jc w:val="both"/>
      </w:pPr>
    </w:p>
    <w:p w:rsidR="00F82D91" w:rsidRDefault="00F82D91" w:rsidP="009965EB">
      <w:pPr>
        <w:pStyle w:val="NoSpacing"/>
        <w:jc w:val="both"/>
      </w:pPr>
      <w:r>
        <w:lastRenderedPageBreak/>
        <w:t xml:space="preserve">Vervolgens </w:t>
      </w:r>
      <w:r w:rsidR="00083CC5">
        <w:t xml:space="preserve">wordt </w:t>
      </w:r>
      <w:r>
        <w:t xml:space="preserve"> onderzocht wat de invloed is op de hoogte van het abnorma</w:t>
      </w:r>
      <w:r w:rsidR="000A7CD2">
        <w:t>al</w:t>
      </w:r>
      <w:r>
        <w:t xml:space="preserve"> rendement van:</w:t>
      </w:r>
    </w:p>
    <w:p w:rsidR="00F82D91" w:rsidRDefault="002F7B66" w:rsidP="009965EB">
      <w:pPr>
        <w:pStyle w:val="NoSpacing"/>
        <w:numPr>
          <w:ilvl w:val="0"/>
          <w:numId w:val="6"/>
        </w:numPr>
        <w:jc w:val="both"/>
      </w:pPr>
      <w:r>
        <w:t>h</w:t>
      </w:r>
      <w:r w:rsidR="00F82D91">
        <w:t xml:space="preserve">et </w:t>
      </w:r>
      <w:r w:rsidR="00294EC8">
        <w:t xml:space="preserve">theoretische </w:t>
      </w:r>
      <w:r w:rsidR="00F82D91">
        <w:t>motief dat aan inkoop ten grondslag ligt</w:t>
      </w:r>
    </w:p>
    <w:p w:rsidR="00F82D91" w:rsidRDefault="002F7B66" w:rsidP="009965EB">
      <w:pPr>
        <w:pStyle w:val="NoSpacing"/>
        <w:numPr>
          <w:ilvl w:val="0"/>
          <w:numId w:val="6"/>
        </w:numPr>
        <w:jc w:val="both"/>
      </w:pPr>
      <w:r>
        <w:t>d</w:t>
      </w:r>
      <w:r w:rsidR="00F82D91">
        <w:t>e omvang van het inkoopprogramma</w:t>
      </w:r>
    </w:p>
    <w:p w:rsidR="00F82D91" w:rsidRDefault="002F7B66" w:rsidP="009965EB">
      <w:pPr>
        <w:pStyle w:val="NoSpacing"/>
        <w:numPr>
          <w:ilvl w:val="0"/>
          <w:numId w:val="6"/>
        </w:numPr>
        <w:jc w:val="both"/>
      </w:pPr>
      <w:r>
        <w:t>b</w:t>
      </w:r>
      <w:r w:rsidR="00F82D91">
        <w:t xml:space="preserve">elangrijke gebeurtenissen anders dan het </w:t>
      </w:r>
      <w:proofErr w:type="spellStart"/>
      <w:r w:rsidR="00F82D91">
        <w:t>aandeleninkoopprogramma</w:t>
      </w:r>
      <w:proofErr w:type="spellEnd"/>
      <w:r w:rsidR="00F82D91">
        <w:t xml:space="preserve"> op de dag van aankondiging</w:t>
      </w:r>
    </w:p>
    <w:p w:rsidR="00F82D91" w:rsidRDefault="00F82D91" w:rsidP="009965EB">
      <w:pPr>
        <w:pStyle w:val="NoSpacing"/>
        <w:jc w:val="both"/>
        <w:rPr>
          <w:rFonts w:eastAsiaTheme="minorEastAsia"/>
        </w:rPr>
      </w:pPr>
    </w:p>
    <w:p w:rsidR="00EC161B" w:rsidRPr="00EC161B" w:rsidRDefault="00EC161B" w:rsidP="009965EB">
      <w:pPr>
        <w:pStyle w:val="NoSpacing"/>
        <w:jc w:val="both"/>
        <w:rPr>
          <w:rFonts w:eastAsiaTheme="minorEastAsia"/>
          <w:b/>
        </w:rPr>
      </w:pPr>
      <w:r>
        <w:rPr>
          <w:rFonts w:eastAsiaTheme="minorEastAsia"/>
          <w:b/>
        </w:rPr>
        <w:t>Het theoretisch</w:t>
      </w:r>
      <w:r w:rsidR="009C4024">
        <w:rPr>
          <w:rFonts w:eastAsiaTheme="minorEastAsia"/>
          <w:b/>
        </w:rPr>
        <w:t xml:space="preserve"> </w:t>
      </w:r>
      <w:r>
        <w:rPr>
          <w:rFonts w:eastAsiaTheme="minorEastAsia"/>
          <w:b/>
        </w:rPr>
        <w:t>motief</w:t>
      </w:r>
    </w:p>
    <w:p w:rsidR="007301C7" w:rsidRDefault="00542310" w:rsidP="009965EB">
      <w:pPr>
        <w:pStyle w:val="NoSpacing"/>
        <w:jc w:val="both"/>
        <w:rPr>
          <w:rFonts w:eastAsiaTheme="minorEastAsia"/>
        </w:rPr>
      </w:pPr>
      <w:r>
        <w:rPr>
          <w:rFonts w:eastAsiaTheme="minorEastAsia"/>
        </w:rPr>
        <w:t xml:space="preserve">In paragraaf 2.4 is besproken dat de hoogte van het abnormale rendement kan afhangen van het theoretisch motief om eigen aandelen in te kopen. </w:t>
      </w:r>
    </w:p>
    <w:p w:rsidR="00E917D8" w:rsidRDefault="007301C7" w:rsidP="009965EB">
      <w:pPr>
        <w:pStyle w:val="NoSpacing"/>
        <w:jc w:val="both"/>
        <w:rPr>
          <w:rFonts w:eastAsiaTheme="minorEastAsia"/>
        </w:rPr>
      </w:pPr>
      <w:r>
        <w:rPr>
          <w:rFonts w:eastAsiaTheme="minorEastAsia"/>
        </w:rPr>
        <w:t>Om deze theorie te kunnen onderzoeken, is</w:t>
      </w:r>
      <w:r w:rsidR="003F619C">
        <w:rPr>
          <w:rFonts w:eastAsiaTheme="minorEastAsia"/>
        </w:rPr>
        <w:t>,</w:t>
      </w:r>
      <w:r>
        <w:rPr>
          <w:rFonts w:eastAsiaTheme="minorEastAsia"/>
        </w:rPr>
        <w:t xml:space="preserve"> in navolging van Baltus &amp; Schauten</w:t>
      </w:r>
      <w:r w:rsidR="004A3036">
        <w:rPr>
          <w:rFonts w:eastAsiaTheme="minorEastAsia"/>
        </w:rPr>
        <w:t xml:space="preserve"> (2000)</w:t>
      </w:r>
      <w:r w:rsidR="003F619C">
        <w:rPr>
          <w:rFonts w:eastAsiaTheme="minorEastAsia"/>
        </w:rPr>
        <w:t>,</w:t>
      </w:r>
      <w:r>
        <w:rPr>
          <w:rFonts w:eastAsiaTheme="minorEastAsia"/>
        </w:rPr>
        <w:t xml:space="preserve"> het </w:t>
      </w:r>
      <w:r w:rsidR="00880755">
        <w:rPr>
          <w:rFonts w:eastAsiaTheme="minorEastAsia"/>
        </w:rPr>
        <w:t>hoofd</w:t>
      </w:r>
      <w:r w:rsidR="00EC161B">
        <w:rPr>
          <w:rFonts w:eastAsiaTheme="minorEastAsia"/>
        </w:rPr>
        <w:t xml:space="preserve">motief van de onderneming om tot inkoop van eigen aandeel over te gaan </w:t>
      </w:r>
      <w:r w:rsidR="00D74C3F">
        <w:rPr>
          <w:rFonts w:eastAsiaTheme="minorEastAsia"/>
        </w:rPr>
        <w:t xml:space="preserve">gehaald </w:t>
      </w:r>
      <w:r w:rsidR="00EC161B">
        <w:rPr>
          <w:rFonts w:eastAsiaTheme="minorEastAsia"/>
        </w:rPr>
        <w:t xml:space="preserve">uit het persbericht waarin de onderneming </w:t>
      </w:r>
      <w:r w:rsidR="00D74C3F">
        <w:rPr>
          <w:rFonts w:eastAsiaTheme="minorEastAsia"/>
        </w:rPr>
        <w:t>aankondig</w:t>
      </w:r>
      <w:r w:rsidR="00083CC5">
        <w:rPr>
          <w:rFonts w:eastAsiaTheme="minorEastAsia"/>
        </w:rPr>
        <w:t>t</w:t>
      </w:r>
      <w:r w:rsidR="00D74C3F">
        <w:rPr>
          <w:rFonts w:eastAsiaTheme="minorEastAsia"/>
        </w:rPr>
        <w:t xml:space="preserve"> om een </w:t>
      </w:r>
      <w:proofErr w:type="spellStart"/>
      <w:r w:rsidR="00D74C3F">
        <w:rPr>
          <w:rFonts w:eastAsiaTheme="minorEastAsia"/>
        </w:rPr>
        <w:t>aandeleninkoopprogramma</w:t>
      </w:r>
      <w:proofErr w:type="spellEnd"/>
      <w:r w:rsidR="00D74C3F">
        <w:rPr>
          <w:rFonts w:eastAsiaTheme="minorEastAsia"/>
        </w:rPr>
        <w:t xml:space="preserve"> te starten</w:t>
      </w:r>
      <w:r w:rsidR="00880755">
        <w:rPr>
          <w:rFonts w:eastAsiaTheme="minorEastAsia"/>
        </w:rPr>
        <w:t xml:space="preserve"> (</w:t>
      </w:r>
      <w:r w:rsidR="00880755" w:rsidRPr="001749DE">
        <w:rPr>
          <w:rFonts w:eastAsiaTheme="minorEastAsia"/>
        </w:rPr>
        <w:t xml:space="preserve">in bijlage </w:t>
      </w:r>
      <w:r w:rsidR="00E35BE8" w:rsidRPr="001749DE">
        <w:rPr>
          <w:rFonts w:eastAsiaTheme="minorEastAsia"/>
        </w:rPr>
        <w:t>10</w:t>
      </w:r>
      <w:r w:rsidR="00880755" w:rsidRPr="001749DE">
        <w:rPr>
          <w:rFonts w:eastAsiaTheme="minorEastAsia"/>
        </w:rPr>
        <w:t xml:space="preserve"> </w:t>
      </w:r>
      <w:r w:rsidR="00083CC5" w:rsidRPr="001749DE">
        <w:rPr>
          <w:rFonts w:eastAsiaTheme="minorEastAsia"/>
        </w:rPr>
        <w:t xml:space="preserve">is de keuze hiervoor uitgebreid </w:t>
      </w:r>
      <w:r w:rsidR="00880755" w:rsidRPr="001749DE">
        <w:rPr>
          <w:rFonts w:eastAsiaTheme="minorEastAsia"/>
        </w:rPr>
        <w:t>gemotiveerd</w:t>
      </w:r>
      <w:r w:rsidR="00880755">
        <w:rPr>
          <w:rFonts w:eastAsiaTheme="minorEastAsia"/>
        </w:rPr>
        <w:t>)</w:t>
      </w:r>
      <w:r w:rsidR="00EC161B">
        <w:rPr>
          <w:rFonts w:eastAsiaTheme="minorEastAsia"/>
        </w:rPr>
        <w:t>.</w:t>
      </w:r>
      <w:r w:rsidR="00F50401">
        <w:rPr>
          <w:rFonts w:eastAsiaTheme="minorEastAsia"/>
        </w:rPr>
        <w:t xml:space="preserve"> </w:t>
      </w:r>
      <w:r w:rsidR="00EC161B">
        <w:rPr>
          <w:rFonts w:eastAsiaTheme="minorEastAsia"/>
        </w:rPr>
        <w:t xml:space="preserve">Deze motieven zijn vervolgens gekoppeld aan de </w:t>
      </w:r>
      <w:r w:rsidR="00D74C3F">
        <w:rPr>
          <w:rFonts w:eastAsiaTheme="minorEastAsia"/>
        </w:rPr>
        <w:t>ze</w:t>
      </w:r>
      <w:r w:rsidR="00083CC5">
        <w:rPr>
          <w:rFonts w:eastAsiaTheme="minorEastAsia"/>
        </w:rPr>
        <w:t>ven</w:t>
      </w:r>
      <w:r w:rsidR="00D74C3F">
        <w:rPr>
          <w:rFonts w:eastAsiaTheme="minorEastAsia"/>
        </w:rPr>
        <w:t xml:space="preserve"> </w:t>
      </w:r>
      <w:r w:rsidR="00EC161B">
        <w:rPr>
          <w:rFonts w:eastAsiaTheme="minorEastAsia"/>
        </w:rPr>
        <w:t xml:space="preserve">theoretische motieven, </w:t>
      </w:r>
      <w:r w:rsidR="00880755">
        <w:rPr>
          <w:rFonts w:eastAsiaTheme="minorEastAsia"/>
        </w:rPr>
        <w:t xml:space="preserve">die </w:t>
      </w:r>
      <w:r w:rsidR="00EC161B">
        <w:rPr>
          <w:rFonts w:eastAsiaTheme="minorEastAsia"/>
        </w:rPr>
        <w:t>besproken</w:t>
      </w:r>
      <w:r w:rsidR="00880755">
        <w:rPr>
          <w:rFonts w:eastAsiaTheme="minorEastAsia"/>
        </w:rPr>
        <w:t xml:space="preserve"> zijn</w:t>
      </w:r>
      <w:r w:rsidR="00EC161B">
        <w:rPr>
          <w:rFonts w:eastAsiaTheme="minorEastAsia"/>
        </w:rPr>
        <w:t xml:space="preserve"> in paragraaf 2.3. </w:t>
      </w:r>
      <w:r w:rsidR="00E917D8">
        <w:rPr>
          <w:rFonts w:eastAsiaTheme="minorEastAsia"/>
        </w:rPr>
        <w:t xml:space="preserve">In paragraaf </w:t>
      </w:r>
      <w:r w:rsidR="00B13A86">
        <w:rPr>
          <w:rFonts w:eastAsiaTheme="minorEastAsia"/>
        </w:rPr>
        <w:t>3.4</w:t>
      </w:r>
      <w:r w:rsidR="002310CA">
        <w:rPr>
          <w:rFonts w:eastAsiaTheme="minorEastAsia"/>
        </w:rPr>
        <w:t xml:space="preserve"> </w:t>
      </w:r>
      <w:r w:rsidR="00E917D8">
        <w:rPr>
          <w:rFonts w:eastAsiaTheme="minorEastAsia"/>
        </w:rPr>
        <w:t xml:space="preserve">zal uitgebreid worden ingegaan op de koppeling tussen het gecommuniceerde en het theoretische motief. </w:t>
      </w:r>
    </w:p>
    <w:p w:rsidR="00F40A0A" w:rsidRDefault="00F40A0A" w:rsidP="004A2CF6">
      <w:pPr>
        <w:pStyle w:val="NoSpacing"/>
        <w:rPr>
          <w:rFonts w:eastAsiaTheme="minorEastAsia"/>
        </w:rPr>
      </w:pPr>
    </w:p>
    <w:p w:rsidR="00D74C3F" w:rsidRPr="00B13A86" w:rsidRDefault="00E917D8" w:rsidP="009965EB">
      <w:pPr>
        <w:pStyle w:val="NoSpacing"/>
        <w:jc w:val="both"/>
        <w:rPr>
          <w:rFonts w:eastAsiaTheme="minorEastAsia"/>
          <w:b/>
        </w:rPr>
      </w:pPr>
      <w:r>
        <w:rPr>
          <w:rFonts w:eastAsiaTheme="minorEastAsia"/>
          <w:b/>
        </w:rPr>
        <w:t xml:space="preserve">Omvang van het </w:t>
      </w:r>
      <w:proofErr w:type="spellStart"/>
      <w:r>
        <w:rPr>
          <w:rFonts w:eastAsiaTheme="minorEastAsia"/>
          <w:b/>
        </w:rPr>
        <w:t>aandeleninkoopprogramma</w:t>
      </w:r>
      <w:proofErr w:type="spellEnd"/>
    </w:p>
    <w:p w:rsidR="00D74C3F" w:rsidRDefault="00E917D8" w:rsidP="009965EB">
      <w:pPr>
        <w:pStyle w:val="NoSpacing"/>
        <w:jc w:val="both"/>
        <w:rPr>
          <w:rFonts w:eastAsiaTheme="minorEastAsia"/>
        </w:rPr>
      </w:pPr>
      <w:r>
        <w:rPr>
          <w:rFonts w:eastAsiaTheme="minorEastAsia"/>
        </w:rPr>
        <w:t xml:space="preserve">De omvang van het </w:t>
      </w:r>
      <w:proofErr w:type="spellStart"/>
      <w:r>
        <w:rPr>
          <w:rFonts w:eastAsiaTheme="minorEastAsia"/>
        </w:rPr>
        <w:t>aandeleninkoopprogramma</w:t>
      </w:r>
      <w:proofErr w:type="spellEnd"/>
      <w:r>
        <w:rPr>
          <w:rFonts w:eastAsiaTheme="minorEastAsia"/>
        </w:rPr>
        <w:t xml:space="preserve"> kan ook invloed hebben op de hoogte van het abnorma</w:t>
      </w:r>
      <w:r w:rsidR="00083CC5">
        <w:rPr>
          <w:rFonts w:eastAsiaTheme="minorEastAsia"/>
        </w:rPr>
        <w:t>al</w:t>
      </w:r>
      <w:r>
        <w:rPr>
          <w:rFonts w:eastAsiaTheme="minorEastAsia"/>
        </w:rPr>
        <w:t xml:space="preserve"> rendement (zie paragraaf 2.4). Om deze theorie te kunnen onderzoeken </w:t>
      </w:r>
      <w:r w:rsidR="002310CA">
        <w:rPr>
          <w:rFonts w:eastAsiaTheme="minorEastAsia"/>
        </w:rPr>
        <w:t>wordt</w:t>
      </w:r>
      <w:r>
        <w:rPr>
          <w:rFonts w:eastAsiaTheme="minorEastAsia"/>
        </w:rPr>
        <w:t xml:space="preserve"> de dataset verdeeld in 3 subgroepen, te weten:</w:t>
      </w:r>
    </w:p>
    <w:p w:rsidR="00AC0142" w:rsidRDefault="00B13A86" w:rsidP="009965EB">
      <w:pPr>
        <w:pStyle w:val="NoSpacing"/>
        <w:numPr>
          <w:ilvl w:val="0"/>
          <w:numId w:val="8"/>
        </w:numPr>
        <w:jc w:val="both"/>
      </w:pPr>
      <w:proofErr w:type="spellStart"/>
      <w:r>
        <w:t>A</w:t>
      </w:r>
      <w:r w:rsidR="00AC0142">
        <w:t>andeleninkoopprogramma’s</w:t>
      </w:r>
      <w:proofErr w:type="spellEnd"/>
      <w:r w:rsidR="00AC0142">
        <w:t xml:space="preserve"> met een percentage van het uitstaande aandelenkapitaal tussen de 0 en 5%</w:t>
      </w:r>
      <w:r w:rsidR="003F619C">
        <w:t>.</w:t>
      </w:r>
      <w:r w:rsidR="00AC0142">
        <w:t xml:space="preserve"> </w:t>
      </w:r>
    </w:p>
    <w:p w:rsidR="00AC0142" w:rsidRDefault="00B13A86" w:rsidP="009965EB">
      <w:pPr>
        <w:pStyle w:val="NoSpacing"/>
        <w:numPr>
          <w:ilvl w:val="0"/>
          <w:numId w:val="8"/>
        </w:numPr>
        <w:jc w:val="both"/>
      </w:pPr>
      <w:proofErr w:type="spellStart"/>
      <w:r>
        <w:t>A</w:t>
      </w:r>
      <w:r w:rsidR="00AC0142">
        <w:t>andeleninkoopprogramma’s</w:t>
      </w:r>
      <w:proofErr w:type="spellEnd"/>
      <w:r w:rsidR="00AC0142">
        <w:t xml:space="preserve"> met een percentage van het uitstaande aandelenkapitaal tussen de 5 en 10%</w:t>
      </w:r>
      <w:r w:rsidR="003F619C">
        <w:t>.</w:t>
      </w:r>
    </w:p>
    <w:p w:rsidR="00AC0142" w:rsidRDefault="00B13A86" w:rsidP="009965EB">
      <w:pPr>
        <w:pStyle w:val="NoSpacing"/>
        <w:numPr>
          <w:ilvl w:val="0"/>
          <w:numId w:val="8"/>
        </w:numPr>
        <w:jc w:val="both"/>
      </w:pPr>
      <w:proofErr w:type="spellStart"/>
      <w:r>
        <w:t>A</w:t>
      </w:r>
      <w:r w:rsidR="00AC0142">
        <w:t>andeleninkoopprogramma’s</w:t>
      </w:r>
      <w:proofErr w:type="spellEnd"/>
      <w:r w:rsidR="00AC0142">
        <w:t xml:space="preserve"> met een percentage van het uitstaande aandelenkapitaal boven de 10%</w:t>
      </w:r>
      <w:r w:rsidR="003F619C">
        <w:t>.</w:t>
      </w:r>
    </w:p>
    <w:p w:rsidR="00E917D8" w:rsidRDefault="00E917D8" w:rsidP="009965EB">
      <w:pPr>
        <w:pStyle w:val="NoSpacing"/>
        <w:jc w:val="both"/>
        <w:rPr>
          <w:rFonts w:eastAsiaTheme="minorEastAsia"/>
        </w:rPr>
      </w:pPr>
    </w:p>
    <w:p w:rsidR="00E917D8" w:rsidRPr="00B70B75" w:rsidRDefault="00B13A86" w:rsidP="009965EB">
      <w:pPr>
        <w:pStyle w:val="NoSpacing"/>
        <w:jc w:val="both"/>
        <w:rPr>
          <w:rFonts w:eastAsiaTheme="minorEastAsia"/>
          <w:b/>
        </w:rPr>
      </w:pPr>
      <w:r>
        <w:rPr>
          <w:rFonts w:eastAsiaTheme="minorEastAsia"/>
          <w:b/>
        </w:rPr>
        <w:t xml:space="preserve">Belangrijke gebeurtenissen anders dan het </w:t>
      </w:r>
      <w:proofErr w:type="spellStart"/>
      <w:r>
        <w:rPr>
          <w:rFonts w:eastAsiaTheme="minorEastAsia"/>
          <w:b/>
        </w:rPr>
        <w:t>aandeleninkoopprogramma</w:t>
      </w:r>
      <w:proofErr w:type="spellEnd"/>
      <w:r>
        <w:rPr>
          <w:rFonts w:eastAsiaTheme="minorEastAsia"/>
          <w:b/>
        </w:rPr>
        <w:t xml:space="preserve"> op de dag van aankondiging</w:t>
      </w:r>
    </w:p>
    <w:p w:rsidR="003935C6" w:rsidRDefault="00D92A1E" w:rsidP="009965EB">
      <w:pPr>
        <w:pStyle w:val="NoSpacing"/>
        <w:jc w:val="both"/>
        <w:rPr>
          <w:rFonts w:eastAsiaTheme="minorEastAsia"/>
        </w:rPr>
      </w:pPr>
      <w:r>
        <w:rPr>
          <w:rFonts w:eastAsiaTheme="minorEastAsia"/>
        </w:rPr>
        <w:t xml:space="preserve">Zoals besproken in paragraaf 2.4 wordt </w:t>
      </w:r>
      <w:r w:rsidR="00880755">
        <w:rPr>
          <w:rFonts w:eastAsiaTheme="minorEastAsia"/>
        </w:rPr>
        <w:t xml:space="preserve">in </w:t>
      </w:r>
      <w:r>
        <w:rPr>
          <w:rFonts w:eastAsiaTheme="minorEastAsia"/>
        </w:rPr>
        <w:t xml:space="preserve">eerder </w:t>
      </w:r>
      <w:r w:rsidR="00FB6B3E">
        <w:rPr>
          <w:rFonts w:eastAsiaTheme="minorEastAsia"/>
        </w:rPr>
        <w:t xml:space="preserve">verricht </w:t>
      </w:r>
      <w:r>
        <w:rPr>
          <w:rFonts w:eastAsiaTheme="minorEastAsia"/>
        </w:rPr>
        <w:t xml:space="preserve">onderzoek geen aandacht besteed aan de invloed van </w:t>
      </w:r>
      <w:r w:rsidR="00083CC5">
        <w:rPr>
          <w:rFonts w:eastAsiaTheme="minorEastAsia"/>
        </w:rPr>
        <w:t>(</w:t>
      </w:r>
      <w:r>
        <w:rPr>
          <w:rFonts w:eastAsiaTheme="minorEastAsia"/>
        </w:rPr>
        <w:t>andere</w:t>
      </w:r>
      <w:r w:rsidR="00083CC5">
        <w:rPr>
          <w:rFonts w:eastAsiaTheme="minorEastAsia"/>
        </w:rPr>
        <w:t>)</w:t>
      </w:r>
      <w:r>
        <w:rPr>
          <w:rFonts w:eastAsiaTheme="minorEastAsia"/>
        </w:rPr>
        <w:t xml:space="preserve"> belangrijke gebeurteni</w:t>
      </w:r>
      <w:r w:rsidR="00CC30E1">
        <w:rPr>
          <w:rFonts w:eastAsiaTheme="minorEastAsia"/>
        </w:rPr>
        <w:t xml:space="preserve">ssen op de dag van aankondiging. </w:t>
      </w:r>
      <w:r w:rsidR="00CC30E1">
        <w:t xml:space="preserve">De andere belangrijke gebeurtenissen zouden </w:t>
      </w:r>
      <w:r w:rsidR="00BC1E03">
        <w:t xml:space="preserve">eventueel </w:t>
      </w:r>
      <w:r w:rsidR="00CC30E1">
        <w:t>een verstorende variabele kunnen zijn</w:t>
      </w:r>
      <w:r w:rsidR="00083CC5">
        <w:t>,</w:t>
      </w:r>
      <w:r w:rsidR="00CC30E1">
        <w:t xml:space="preserve"> die het gevonden abnorma</w:t>
      </w:r>
      <w:r w:rsidR="00083CC5">
        <w:t>le</w:t>
      </w:r>
      <w:r w:rsidR="00CC30E1">
        <w:t xml:space="preserve"> rendement</w:t>
      </w:r>
      <w:r w:rsidR="00083CC5">
        <w:t>en</w:t>
      </w:r>
      <w:r w:rsidR="00CC30E1">
        <w:t xml:space="preserve"> beïnvloed</w:t>
      </w:r>
      <w:r w:rsidR="003F619C">
        <w:t>t</w:t>
      </w:r>
      <w:r w:rsidR="00CC30E1">
        <w:t xml:space="preserve">. </w:t>
      </w:r>
      <w:r>
        <w:rPr>
          <w:rFonts w:eastAsiaTheme="minorEastAsia"/>
        </w:rPr>
        <w:t xml:space="preserve">Om de mogelijke invloed hiervan te onderzoeken wordt er onderscheid gemaakt tussen </w:t>
      </w:r>
      <w:proofErr w:type="spellStart"/>
      <w:r>
        <w:rPr>
          <w:rFonts w:eastAsiaTheme="minorEastAsia"/>
        </w:rPr>
        <w:t>aandeleninkoopprogramma’s</w:t>
      </w:r>
      <w:proofErr w:type="spellEnd"/>
      <w:r>
        <w:rPr>
          <w:rFonts w:eastAsiaTheme="minorEastAsia"/>
        </w:rPr>
        <w:t xml:space="preserve"> zonder belangrijke gebeurtenissen en </w:t>
      </w:r>
      <w:proofErr w:type="spellStart"/>
      <w:r>
        <w:rPr>
          <w:rFonts w:eastAsiaTheme="minorEastAsia"/>
        </w:rPr>
        <w:t>aandeleninkoopprogramma’s</w:t>
      </w:r>
      <w:proofErr w:type="spellEnd"/>
      <w:r>
        <w:rPr>
          <w:rFonts w:eastAsiaTheme="minorEastAsia"/>
        </w:rPr>
        <w:t xml:space="preserve"> met belangrijke gebeurtenissen. Het abnormaal rendement op de dag van aankondiging van </w:t>
      </w:r>
      <w:proofErr w:type="spellStart"/>
      <w:r>
        <w:rPr>
          <w:rFonts w:eastAsiaTheme="minorEastAsia"/>
        </w:rPr>
        <w:t>aandeleninkoopprogramma’s</w:t>
      </w:r>
      <w:proofErr w:type="spellEnd"/>
      <w:r>
        <w:rPr>
          <w:rFonts w:eastAsiaTheme="minorEastAsia"/>
        </w:rPr>
        <w:t xml:space="preserve"> met gebeurtenissen </w:t>
      </w:r>
      <w:r w:rsidR="00147082">
        <w:rPr>
          <w:rFonts w:eastAsiaTheme="minorEastAsia"/>
        </w:rPr>
        <w:t>wordt</w:t>
      </w:r>
      <w:r>
        <w:rPr>
          <w:rFonts w:eastAsiaTheme="minorEastAsia"/>
        </w:rPr>
        <w:t xml:space="preserve"> vervolgens vergeleken met het abnorma</w:t>
      </w:r>
      <w:r w:rsidR="00880755">
        <w:rPr>
          <w:rFonts w:eastAsiaTheme="minorEastAsia"/>
        </w:rPr>
        <w:t>al</w:t>
      </w:r>
      <w:r>
        <w:rPr>
          <w:rFonts w:eastAsiaTheme="minorEastAsia"/>
        </w:rPr>
        <w:t xml:space="preserve"> rendement zonder gebeurtenissen. Hierbij wordt gekeken naar de mogelijke invloed op de gehele dataset, het theoretisch motief en de omvang van het </w:t>
      </w:r>
      <w:proofErr w:type="spellStart"/>
      <w:r>
        <w:rPr>
          <w:rFonts w:eastAsiaTheme="minorEastAsia"/>
        </w:rPr>
        <w:t>aandeleninkoopprogramma’s</w:t>
      </w:r>
      <w:proofErr w:type="spellEnd"/>
      <w:r>
        <w:rPr>
          <w:rFonts w:eastAsiaTheme="minorEastAsia"/>
        </w:rPr>
        <w:t>.</w:t>
      </w:r>
      <w:r w:rsidR="00F50401">
        <w:rPr>
          <w:rFonts w:eastAsiaTheme="minorEastAsia"/>
        </w:rPr>
        <w:t xml:space="preserve"> </w:t>
      </w:r>
      <w:r>
        <w:rPr>
          <w:rFonts w:eastAsiaTheme="minorEastAsia"/>
        </w:rPr>
        <w:t xml:space="preserve">Om te bepalen of </w:t>
      </w:r>
      <w:r w:rsidR="00BC1E03">
        <w:rPr>
          <w:rFonts w:eastAsiaTheme="minorEastAsia"/>
        </w:rPr>
        <w:t>de</w:t>
      </w:r>
      <w:r w:rsidR="00880755">
        <w:rPr>
          <w:rFonts w:eastAsiaTheme="minorEastAsia"/>
        </w:rPr>
        <w:t xml:space="preserve"> abnorma</w:t>
      </w:r>
      <w:r w:rsidR="00BC1E03">
        <w:rPr>
          <w:rFonts w:eastAsiaTheme="minorEastAsia"/>
        </w:rPr>
        <w:t>le</w:t>
      </w:r>
      <w:r w:rsidR="00880755">
        <w:rPr>
          <w:rFonts w:eastAsiaTheme="minorEastAsia"/>
        </w:rPr>
        <w:t xml:space="preserve"> rendement</w:t>
      </w:r>
      <w:r w:rsidR="00BC1E03">
        <w:rPr>
          <w:rFonts w:eastAsiaTheme="minorEastAsia"/>
        </w:rPr>
        <w:t>en</w:t>
      </w:r>
      <w:r>
        <w:rPr>
          <w:rFonts w:eastAsiaTheme="minorEastAsia"/>
        </w:rPr>
        <w:t xml:space="preserve"> significant van elkaar verschillen wordt gebruik gemaakt van de </w:t>
      </w:r>
      <w:proofErr w:type="spellStart"/>
      <w:r>
        <w:rPr>
          <w:rFonts w:eastAsiaTheme="minorEastAsia"/>
        </w:rPr>
        <w:t>two</w:t>
      </w:r>
      <w:proofErr w:type="spellEnd"/>
      <w:r>
        <w:rPr>
          <w:rFonts w:eastAsiaTheme="minorEastAsia"/>
        </w:rPr>
        <w:t xml:space="preserve"> sample </w:t>
      </w:r>
      <w:proofErr w:type="spellStart"/>
      <w:r>
        <w:rPr>
          <w:rFonts w:eastAsiaTheme="minorEastAsia"/>
        </w:rPr>
        <w:t>t-t</w:t>
      </w:r>
      <w:r w:rsidR="00EE353C">
        <w:rPr>
          <w:rFonts w:eastAsiaTheme="minorEastAsia"/>
        </w:rPr>
        <w:t>oets</w:t>
      </w:r>
      <w:proofErr w:type="spellEnd"/>
      <w:r>
        <w:rPr>
          <w:rFonts w:eastAsiaTheme="minorEastAsia"/>
        </w:rPr>
        <w:t xml:space="preserve"> </w:t>
      </w:r>
      <w:r w:rsidR="00847DF0">
        <w:rPr>
          <w:rStyle w:val="FootnoteReference"/>
          <w:rFonts w:eastAsiaTheme="minorEastAsia"/>
        </w:rPr>
        <w:footnoteReference w:id="17"/>
      </w:r>
      <w:r w:rsidR="00A23F15">
        <w:rPr>
          <w:rFonts w:eastAsiaTheme="minorEastAsia"/>
        </w:rPr>
        <w:t>.</w:t>
      </w:r>
      <w:r w:rsidR="00B70B75">
        <w:rPr>
          <w:rFonts w:eastAsiaTheme="minorEastAsia"/>
        </w:rPr>
        <w:t xml:space="preserve"> </w:t>
      </w:r>
    </w:p>
    <w:p w:rsidR="00F82D91" w:rsidRPr="00A16C92" w:rsidRDefault="00BC1E03" w:rsidP="00F82D91">
      <w:pPr>
        <w:pStyle w:val="Heading2"/>
        <w:numPr>
          <w:ilvl w:val="1"/>
          <w:numId w:val="1"/>
        </w:numPr>
        <w:jc w:val="both"/>
        <w:rPr>
          <w:color w:val="auto"/>
        </w:rPr>
      </w:pPr>
      <w:bookmarkStart w:id="11" w:name="_Toc361526564"/>
      <w:r>
        <w:rPr>
          <w:color w:val="auto"/>
        </w:rPr>
        <w:lastRenderedPageBreak/>
        <w:t>Hypotheses</w:t>
      </w:r>
      <w:bookmarkEnd w:id="11"/>
      <w:r>
        <w:rPr>
          <w:color w:val="auto"/>
        </w:rPr>
        <w:t xml:space="preserve"> </w:t>
      </w:r>
    </w:p>
    <w:p w:rsidR="00094BC5" w:rsidRDefault="00C27966" w:rsidP="009965EB">
      <w:pPr>
        <w:pStyle w:val="NoSpacing"/>
        <w:spacing w:before="120"/>
        <w:jc w:val="both"/>
      </w:pPr>
      <w:r>
        <w:t>In lijn met eerder verricht onderzoek verwacht ik dat er op de dag van aankondiging een statistisch en economisch significant abnormaal rendement wordt gevonden</w:t>
      </w:r>
      <w:r w:rsidR="00B17723">
        <w:t>.</w:t>
      </w:r>
      <w:r w:rsidR="00094BC5">
        <w:t xml:space="preserve"> </w:t>
      </w:r>
      <w:r>
        <w:t xml:space="preserve">Op dagen rondom de aankondiging verwacht ik geen statistisch en economisch </w:t>
      </w:r>
      <w:r w:rsidR="00880755">
        <w:t xml:space="preserve">significant </w:t>
      </w:r>
      <w:r>
        <w:t xml:space="preserve">rendement. </w:t>
      </w:r>
      <w:r w:rsidR="008E558E">
        <w:t xml:space="preserve">Dit betekent dat nieuwe informatie direct in de koers wordt </w:t>
      </w:r>
      <w:r w:rsidR="003F619C">
        <w:t xml:space="preserve">verwerkt </w:t>
      </w:r>
      <w:r w:rsidR="008E558E">
        <w:t>en dat er geen sprake is van inside</w:t>
      </w:r>
      <w:r w:rsidR="00880755">
        <w:t>r</w:t>
      </w:r>
      <w:r w:rsidR="008E558E">
        <w:t xml:space="preserve"> trading</w:t>
      </w:r>
      <w:r w:rsidR="00083CC5">
        <w:t xml:space="preserve"> (Baltus &amp; Schauten, 2000)</w:t>
      </w:r>
      <w:r w:rsidR="00B17723">
        <w:t>. Als gekeken wordt naar eerder verricht onderzoek, dan kan het best gekeken worden naar een onderzoek waarbij de inst</w:t>
      </w:r>
      <w:r w:rsidR="00BB073B">
        <w:t>it</w:t>
      </w:r>
      <w:r w:rsidR="00B17723">
        <w:t xml:space="preserve">utionele factoren en de methode van inkoop gelijk zijn aan mijn empirisch onderzoek. In paragraaf 2.4 is immers getoond dat deze factoren invloed hebben op de hoogte van het abnormaal rendement. </w:t>
      </w:r>
      <w:r w:rsidR="00E20815">
        <w:t>In h</w:t>
      </w:r>
      <w:r w:rsidR="00B17723">
        <w:t>et onderzoek van Baltus &amp; Schauten (2000)</w:t>
      </w:r>
      <w:r w:rsidR="00E20815">
        <w:t xml:space="preserve"> zijn deze factoren (ongeveer) te</w:t>
      </w:r>
      <w:r w:rsidR="00BC1E03">
        <w:t xml:space="preserve"> vergelijken met mijn onderzoek</w:t>
      </w:r>
      <w:r w:rsidR="00B17723">
        <w:t>. Zij</w:t>
      </w:r>
      <w:r w:rsidR="00E20815">
        <w:t xml:space="preserve"> </w:t>
      </w:r>
      <w:r w:rsidR="00B17723">
        <w:t>vinden in Nederland</w:t>
      </w:r>
      <w:r w:rsidR="00775C81">
        <w:t>,</w:t>
      </w:r>
      <w:r w:rsidR="00B17723">
        <w:t xml:space="preserve"> </w:t>
      </w:r>
      <w:r w:rsidR="00775C81">
        <w:t xml:space="preserve">bij </w:t>
      </w:r>
      <w:proofErr w:type="spellStart"/>
      <w:r w:rsidR="00775C81">
        <w:t>aandeleninkoopprogramma’s</w:t>
      </w:r>
      <w:proofErr w:type="spellEnd"/>
      <w:r w:rsidR="00775C81">
        <w:t xml:space="preserve"> aangekondig</w:t>
      </w:r>
      <w:r w:rsidR="009C3B0C">
        <w:t>d</w:t>
      </w:r>
      <w:r w:rsidR="00775C81">
        <w:t xml:space="preserve"> </w:t>
      </w:r>
      <w:r w:rsidR="00083CC5">
        <w:t>tussen januari 1985 en maart 1999</w:t>
      </w:r>
      <w:r w:rsidR="00775C81">
        <w:t>,</w:t>
      </w:r>
      <w:r w:rsidR="00E20815">
        <w:t xml:space="preserve"> </w:t>
      </w:r>
      <w:r w:rsidR="00B17723">
        <w:t>een</w:t>
      </w:r>
      <w:r w:rsidR="00E20815">
        <w:t xml:space="preserve"> statistisch significant</w:t>
      </w:r>
      <w:r w:rsidR="00B17723">
        <w:t xml:space="preserve"> abnormaal rendement van 1,98%</w:t>
      </w:r>
      <w:r w:rsidR="00E20815">
        <w:t xml:space="preserve"> op de dag van aankondiging</w:t>
      </w:r>
      <w:r w:rsidR="00775C81">
        <w:t xml:space="preserve"> </w:t>
      </w:r>
      <w:r w:rsidR="00992938">
        <w:t>(</w:t>
      </w:r>
      <w:r w:rsidR="00992938" w:rsidRPr="001749DE">
        <w:t>zie tabel 2</w:t>
      </w:r>
      <w:r w:rsidR="00992938">
        <w:t>)</w:t>
      </w:r>
      <w:r w:rsidR="00B17723">
        <w:t>.</w:t>
      </w:r>
      <w:r w:rsidR="00244B6F">
        <w:t xml:space="preserve"> Zij gebruiken hierbij het Markt Model om het normaal rendement te bepalen. </w:t>
      </w:r>
    </w:p>
    <w:p w:rsidR="00E20815" w:rsidRDefault="00E20815" w:rsidP="009965EB">
      <w:pPr>
        <w:pStyle w:val="NoSpacing"/>
        <w:jc w:val="both"/>
      </w:pPr>
    </w:p>
    <w:p w:rsidR="00E20815" w:rsidRPr="00E20815" w:rsidRDefault="00C27966" w:rsidP="009965EB">
      <w:pPr>
        <w:pStyle w:val="NoSpacing"/>
        <w:jc w:val="both"/>
      </w:pPr>
      <w:r>
        <w:t xml:space="preserve">Daarnaast verwacht ik </w:t>
      </w:r>
      <w:r w:rsidR="0052731F">
        <w:t xml:space="preserve">dat </w:t>
      </w:r>
      <w:r w:rsidR="00775C81">
        <w:t>de</w:t>
      </w:r>
      <w:r w:rsidR="0052731F">
        <w:t xml:space="preserve"> gevonden abnormale rendement</w:t>
      </w:r>
      <w:r w:rsidR="00775C81">
        <w:t>en</w:t>
      </w:r>
      <w:r w:rsidR="0052731F">
        <w:t xml:space="preserve"> bij het </w:t>
      </w:r>
      <w:proofErr w:type="spellStart"/>
      <w:r w:rsidR="0052731F">
        <w:t>Market-Adjusted</w:t>
      </w:r>
      <w:proofErr w:type="spellEnd"/>
      <w:r w:rsidR="0052731F">
        <w:t xml:space="preserve"> Model afwijk</w:t>
      </w:r>
      <w:r w:rsidR="00775C81">
        <w:t>en</w:t>
      </w:r>
      <w:r w:rsidR="0052731F">
        <w:t xml:space="preserve"> van het Markt Model, maar dat de algemene conclusies van beide methodes overeenkomen</w:t>
      </w:r>
      <w:r w:rsidR="000A21F4">
        <w:t xml:space="preserve">. </w:t>
      </w:r>
      <w:proofErr w:type="spellStart"/>
      <w:r w:rsidR="000A21F4">
        <w:t>Ikenberry</w:t>
      </w:r>
      <w:proofErr w:type="spellEnd"/>
      <w:r w:rsidR="000A21F4">
        <w:t xml:space="preserve"> et al</w:t>
      </w:r>
      <w:r w:rsidR="00527D51">
        <w:t xml:space="preserve">. </w:t>
      </w:r>
      <w:r w:rsidR="000A21F4">
        <w:t xml:space="preserve">(1995) betogen dat </w:t>
      </w:r>
      <w:r w:rsidR="00775C81">
        <w:t xml:space="preserve">de </w:t>
      </w:r>
      <w:r w:rsidR="00BC1E03">
        <w:t>resultaten nauwelijks beïnvloed</w:t>
      </w:r>
      <w:r w:rsidR="00775C81">
        <w:t xml:space="preserve"> worden door de gebruikte </w:t>
      </w:r>
      <w:proofErr w:type="spellStart"/>
      <w:r w:rsidR="00775C81">
        <w:t>benchmark</w:t>
      </w:r>
      <w:proofErr w:type="spellEnd"/>
      <w:r w:rsidR="00775C81">
        <w:t xml:space="preserve">, indien </w:t>
      </w:r>
      <w:r w:rsidR="000A21F4">
        <w:t>het abnormaal rendement over een kort</w:t>
      </w:r>
      <w:r w:rsidR="00775C81">
        <w:t>e tijdsinterval wordt berekend.</w:t>
      </w:r>
    </w:p>
    <w:p w:rsidR="00E20815" w:rsidRDefault="00E20815" w:rsidP="009965EB">
      <w:pPr>
        <w:pStyle w:val="NoSpacing"/>
        <w:jc w:val="both"/>
      </w:pPr>
    </w:p>
    <w:p w:rsidR="00E20815" w:rsidRDefault="00C70254" w:rsidP="009965EB">
      <w:pPr>
        <w:pStyle w:val="NoSpacing"/>
        <w:jc w:val="both"/>
      </w:pPr>
      <w:r>
        <w:t xml:space="preserve">In lijn met de theorie van Baltus &amp; Schauten (2000) verwacht ik dat </w:t>
      </w:r>
      <w:r w:rsidR="009C4024">
        <w:t>het theoretisch motief</w:t>
      </w:r>
      <w:r>
        <w:t xml:space="preserve"> </w:t>
      </w:r>
      <w:r w:rsidR="00CA0C79">
        <w:t>invloed hee</w:t>
      </w:r>
      <w:r w:rsidR="00775C81">
        <w:t>ft op de hoogte van het abnormaal</w:t>
      </w:r>
      <w:r w:rsidR="00CA0C79">
        <w:t xml:space="preserve"> rendement.</w:t>
      </w:r>
      <w:r w:rsidR="00A0732E">
        <w:t xml:space="preserve"> </w:t>
      </w:r>
      <w:r>
        <w:t xml:space="preserve">In hun onderzoek vinden zij alleen een statistisch significant abnormaal rendement bij de </w:t>
      </w:r>
      <w:proofErr w:type="spellStart"/>
      <w:r>
        <w:t>leverage</w:t>
      </w:r>
      <w:proofErr w:type="spellEnd"/>
      <w:r>
        <w:t xml:space="preserve"> hypothese. </w:t>
      </w:r>
      <w:r w:rsidR="00527D51">
        <w:t>Daarom verwacht ik</w:t>
      </w:r>
      <w:r>
        <w:t xml:space="preserve"> </w:t>
      </w:r>
      <w:r w:rsidR="00E20815">
        <w:t xml:space="preserve">dat er een positief significant abnormaal rendement wordt gevonden bij de </w:t>
      </w:r>
      <w:proofErr w:type="spellStart"/>
      <w:r w:rsidR="00E20815">
        <w:t>leverage</w:t>
      </w:r>
      <w:proofErr w:type="spellEnd"/>
      <w:r w:rsidR="00E20815">
        <w:t xml:space="preserve"> </w:t>
      </w:r>
      <w:r w:rsidR="009C4024">
        <w:t>hypothese</w:t>
      </w:r>
      <w:r w:rsidR="00E20815">
        <w:t>.</w:t>
      </w:r>
    </w:p>
    <w:p w:rsidR="00E20815" w:rsidRDefault="00E20815" w:rsidP="009965EB">
      <w:pPr>
        <w:pStyle w:val="NoSpacing"/>
        <w:jc w:val="both"/>
        <w:rPr>
          <w:rFonts w:eastAsiaTheme="minorEastAsia"/>
        </w:rPr>
      </w:pPr>
    </w:p>
    <w:p w:rsidR="00256EEE" w:rsidRDefault="00E20815" w:rsidP="009965EB">
      <w:pPr>
        <w:pStyle w:val="NoSpacing"/>
        <w:jc w:val="both"/>
        <w:rPr>
          <w:rFonts w:eastAsiaTheme="minorEastAsia"/>
          <w:i/>
        </w:rPr>
      </w:pPr>
      <w:r>
        <w:rPr>
          <w:rFonts w:eastAsiaTheme="minorEastAsia"/>
        </w:rPr>
        <w:t>Verder</w:t>
      </w:r>
      <w:r w:rsidR="00256EEE">
        <w:rPr>
          <w:rFonts w:eastAsiaTheme="minorEastAsia"/>
        </w:rPr>
        <w:t xml:space="preserve"> verwacht ik, in lijn met de theorie van </w:t>
      </w:r>
      <w:proofErr w:type="spellStart"/>
      <w:r w:rsidR="00256EEE">
        <w:rPr>
          <w:rFonts w:eastAsiaTheme="minorEastAsia"/>
        </w:rPr>
        <w:t>Vermaelen</w:t>
      </w:r>
      <w:proofErr w:type="spellEnd"/>
      <w:r w:rsidR="00256EEE">
        <w:rPr>
          <w:rFonts w:eastAsiaTheme="minorEastAsia"/>
        </w:rPr>
        <w:t xml:space="preserve"> (1981)</w:t>
      </w:r>
      <w:r w:rsidR="005A7EA8">
        <w:rPr>
          <w:rFonts w:eastAsiaTheme="minorEastAsia"/>
        </w:rPr>
        <w:t>,</w:t>
      </w:r>
      <w:r w:rsidR="00256EEE">
        <w:rPr>
          <w:rFonts w:eastAsiaTheme="minorEastAsia"/>
        </w:rPr>
        <w:t xml:space="preserve"> dat de omvang een positief verband hee</w:t>
      </w:r>
      <w:r w:rsidR="00527D51">
        <w:rPr>
          <w:rFonts w:eastAsiaTheme="minorEastAsia"/>
        </w:rPr>
        <w:t>ft op de hoogte van het abnormaal</w:t>
      </w:r>
      <w:r w:rsidR="00256EEE">
        <w:rPr>
          <w:rFonts w:eastAsiaTheme="minorEastAsia"/>
        </w:rPr>
        <w:t xml:space="preserve"> rendement. De subgroep met de grootste omvang heeft naar verwachting een hoger abnorma</w:t>
      </w:r>
      <w:r>
        <w:rPr>
          <w:rFonts w:eastAsiaTheme="minorEastAsia"/>
        </w:rPr>
        <w:t>al</w:t>
      </w:r>
      <w:r w:rsidR="00256EEE">
        <w:rPr>
          <w:rFonts w:eastAsiaTheme="minorEastAsia"/>
        </w:rPr>
        <w:t xml:space="preserve"> ren</w:t>
      </w:r>
      <w:r w:rsidR="009C4024">
        <w:rPr>
          <w:rFonts w:eastAsiaTheme="minorEastAsia"/>
        </w:rPr>
        <w:t>dement dan de andere subgroepen</w:t>
      </w:r>
      <w:r w:rsidR="00256EEE">
        <w:rPr>
          <w:rFonts w:eastAsiaTheme="minorEastAsia"/>
        </w:rPr>
        <w:t xml:space="preserve">. </w:t>
      </w:r>
      <w:r>
        <w:rPr>
          <w:rFonts w:eastAsiaTheme="minorEastAsia"/>
        </w:rPr>
        <w:t xml:space="preserve">Baltus &amp; Schauten </w:t>
      </w:r>
      <w:r w:rsidR="00992938">
        <w:rPr>
          <w:rFonts w:eastAsiaTheme="minorEastAsia"/>
        </w:rPr>
        <w:t xml:space="preserve">(2000) </w:t>
      </w:r>
      <w:r>
        <w:rPr>
          <w:rFonts w:eastAsiaTheme="minorEastAsia"/>
        </w:rPr>
        <w:t xml:space="preserve">vinden in hun onderzoek </w:t>
      </w:r>
      <w:r w:rsidR="00992938">
        <w:rPr>
          <w:rFonts w:eastAsiaTheme="minorEastAsia"/>
        </w:rPr>
        <w:t xml:space="preserve">geen significant abnormaal rendement in de subgroepen met een omvang </w:t>
      </w:r>
      <w:r w:rsidR="00775C81">
        <w:rPr>
          <w:rFonts w:eastAsiaTheme="minorEastAsia"/>
        </w:rPr>
        <w:t xml:space="preserve">tussen de 0 en </w:t>
      </w:r>
      <w:r w:rsidR="00992938">
        <w:rPr>
          <w:rFonts w:eastAsiaTheme="minorEastAsia"/>
        </w:rPr>
        <w:t xml:space="preserve">5 procent </w:t>
      </w:r>
      <w:proofErr w:type="spellStart"/>
      <w:r w:rsidR="00992938">
        <w:rPr>
          <w:rFonts w:eastAsiaTheme="minorEastAsia"/>
        </w:rPr>
        <w:t>én</w:t>
      </w:r>
      <w:proofErr w:type="spellEnd"/>
      <w:r w:rsidR="00992938">
        <w:rPr>
          <w:rFonts w:eastAsiaTheme="minorEastAsia"/>
        </w:rPr>
        <w:t xml:space="preserve"> </w:t>
      </w:r>
      <w:r w:rsidR="00775C81">
        <w:rPr>
          <w:rFonts w:eastAsiaTheme="minorEastAsia"/>
        </w:rPr>
        <w:t xml:space="preserve">tussen de </w:t>
      </w:r>
      <w:r w:rsidR="00992938">
        <w:rPr>
          <w:rFonts w:eastAsiaTheme="minorEastAsia"/>
        </w:rPr>
        <w:t>5</w:t>
      </w:r>
      <w:r w:rsidR="00775C81">
        <w:rPr>
          <w:rFonts w:eastAsiaTheme="minorEastAsia"/>
        </w:rPr>
        <w:t xml:space="preserve"> en </w:t>
      </w:r>
      <w:r w:rsidR="00992938">
        <w:rPr>
          <w:rFonts w:eastAsiaTheme="minorEastAsia"/>
        </w:rPr>
        <w:t xml:space="preserve">10 procent van het uitstaande aandelenkapitaal. In de subgroep met een omvang van </w:t>
      </w:r>
      <w:r w:rsidR="00527D51">
        <w:rPr>
          <w:rFonts w:eastAsiaTheme="minorEastAsia"/>
        </w:rPr>
        <w:t>tenminste</w:t>
      </w:r>
      <w:r w:rsidR="00992938">
        <w:rPr>
          <w:rFonts w:eastAsiaTheme="minorEastAsia"/>
        </w:rPr>
        <w:t xml:space="preserve"> 10 procent van het uitstaande aandelenkapitaal vinden zij een statistisch significant abnormaal rendement van 5,91%</w:t>
      </w:r>
      <w:r w:rsidR="009D4407">
        <w:rPr>
          <w:rFonts w:eastAsiaTheme="minorEastAsia"/>
        </w:rPr>
        <w:t xml:space="preserve"> op de dag van aankondiging</w:t>
      </w:r>
      <w:r w:rsidR="00992938">
        <w:rPr>
          <w:rFonts w:eastAsiaTheme="minorEastAsia"/>
        </w:rPr>
        <w:t xml:space="preserve"> (</w:t>
      </w:r>
      <w:r w:rsidR="00992938" w:rsidRPr="001749DE">
        <w:rPr>
          <w:rFonts w:eastAsiaTheme="minorEastAsia"/>
        </w:rPr>
        <w:t>tabel 2</w:t>
      </w:r>
      <w:r w:rsidR="00992938">
        <w:rPr>
          <w:rFonts w:eastAsiaTheme="minorEastAsia"/>
        </w:rPr>
        <w:t>).</w:t>
      </w:r>
    </w:p>
    <w:p w:rsidR="005A7EA8" w:rsidRDefault="005A7EA8" w:rsidP="009965EB">
      <w:pPr>
        <w:pStyle w:val="NoSpacing"/>
        <w:jc w:val="both"/>
        <w:rPr>
          <w:rFonts w:eastAsiaTheme="minorEastAsia"/>
          <w:i/>
        </w:rPr>
      </w:pPr>
    </w:p>
    <w:p w:rsidR="00C107E5" w:rsidRPr="00C107E5" w:rsidRDefault="005A7EA8" w:rsidP="009965EB">
      <w:pPr>
        <w:pStyle w:val="NoSpacing"/>
        <w:jc w:val="both"/>
        <w:rPr>
          <w:rFonts w:eastAsiaTheme="minorEastAsia"/>
          <w:i/>
        </w:rPr>
      </w:pPr>
      <w:r>
        <w:rPr>
          <w:rFonts w:eastAsiaTheme="minorEastAsia"/>
        </w:rPr>
        <w:t xml:space="preserve">Ten slotte verwacht ik dat belangrijke gebeurtenissen op de dag van aankondiging een positief effect hebben op </w:t>
      </w:r>
      <w:r w:rsidR="009C4024">
        <w:rPr>
          <w:rFonts w:eastAsiaTheme="minorEastAsia"/>
        </w:rPr>
        <w:t>het gevonden abnormaal rendement.</w:t>
      </w:r>
      <w:r w:rsidR="00007EC7">
        <w:rPr>
          <w:rFonts w:eastAsiaTheme="minorEastAsia"/>
        </w:rPr>
        <w:t xml:space="preserve"> </w:t>
      </w:r>
      <w:r w:rsidR="00992938">
        <w:rPr>
          <w:rFonts w:eastAsiaTheme="minorEastAsia"/>
        </w:rPr>
        <w:t xml:space="preserve">Een </w:t>
      </w:r>
      <w:proofErr w:type="spellStart"/>
      <w:r w:rsidR="00992938">
        <w:rPr>
          <w:rFonts w:eastAsiaTheme="minorEastAsia"/>
        </w:rPr>
        <w:t>aandeleninkoopprogramma</w:t>
      </w:r>
      <w:proofErr w:type="spellEnd"/>
      <w:r w:rsidR="00992938">
        <w:rPr>
          <w:rFonts w:eastAsiaTheme="minorEastAsia"/>
        </w:rPr>
        <w:t xml:space="preserve"> kan gefinancierd worden met overtollig kasgeld en dat kan ontstaan doordat de onderneming </w:t>
      </w:r>
      <w:r w:rsidR="00527D51">
        <w:rPr>
          <w:rFonts w:eastAsiaTheme="minorEastAsia"/>
        </w:rPr>
        <w:t>boven verwachting heeft gepres</w:t>
      </w:r>
      <w:r w:rsidR="00992938">
        <w:rPr>
          <w:rFonts w:eastAsiaTheme="minorEastAsia"/>
        </w:rPr>
        <w:t>teerd. Als een onderneming haar jaarcijfers aankondig</w:t>
      </w:r>
      <w:r w:rsidR="00BB073B">
        <w:rPr>
          <w:rFonts w:eastAsiaTheme="minorEastAsia"/>
        </w:rPr>
        <w:t>t</w:t>
      </w:r>
      <w:r w:rsidR="00992938">
        <w:rPr>
          <w:rFonts w:eastAsiaTheme="minorEastAsia"/>
        </w:rPr>
        <w:t xml:space="preserve"> en tegelijk aangeeft een </w:t>
      </w:r>
      <w:proofErr w:type="spellStart"/>
      <w:r w:rsidR="00992938">
        <w:rPr>
          <w:rFonts w:eastAsiaTheme="minorEastAsia"/>
        </w:rPr>
        <w:t>aandeleninkoopprogramma</w:t>
      </w:r>
      <w:proofErr w:type="spellEnd"/>
      <w:r w:rsidR="00992938">
        <w:rPr>
          <w:rFonts w:eastAsiaTheme="minorEastAsia"/>
        </w:rPr>
        <w:t xml:space="preserve"> te beginnen, dan is het </w:t>
      </w:r>
      <w:proofErr w:type="spellStart"/>
      <w:r w:rsidR="00992938">
        <w:rPr>
          <w:rFonts w:eastAsiaTheme="minorEastAsia"/>
        </w:rPr>
        <w:t>het</w:t>
      </w:r>
      <w:proofErr w:type="spellEnd"/>
      <w:r w:rsidR="00992938">
        <w:rPr>
          <w:rFonts w:eastAsiaTheme="minorEastAsia"/>
        </w:rPr>
        <w:t xml:space="preserve"> meest waarschijnlijk dat de</w:t>
      </w:r>
      <w:r w:rsidR="00527D51">
        <w:rPr>
          <w:rFonts w:eastAsiaTheme="minorEastAsia"/>
        </w:rPr>
        <w:t xml:space="preserve"> onderneming goed heeft gepres</w:t>
      </w:r>
      <w:r w:rsidR="00992938">
        <w:rPr>
          <w:rFonts w:eastAsiaTheme="minorEastAsia"/>
        </w:rPr>
        <w:t>teerd. Indien de o</w:t>
      </w:r>
      <w:r w:rsidR="00527D51">
        <w:rPr>
          <w:rFonts w:eastAsiaTheme="minorEastAsia"/>
        </w:rPr>
        <w:t>nderneming slecht heeft gepres</w:t>
      </w:r>
      <w:r w:rsidR="00992938">
        <w:rPr>
          <w:rFonts w:eastAsiaTheme="minorEastAsia"/>
        </w:rPr>
        <w:t>teerd is er</w:t>
      </w:r>
      <w:r w:rsidR="009C4024">
        <w:rPr>
          <w:rFonts w:eastAsiaTheme="minorEastAsia"/>
        </w:rPr>
        <w:t>,</w:t>
      </w:r>
      <w:r w:rsidR="00992938">
        <w:rPr>
          <w:rFonts w:eastAsiaTheme="minorEastAsia"/>
        </w:rPr>
        <w:t xml:space="preserve"> t.o.v. de situatie dat de onde</w:t>
      </w:r>
      <w:r w:rsidR="00527D51">
        <w:rPr>
          <w:rFonts w:eastAsiaTheme="minorEastAsia"/>
        </w:rPr>
        <w:t>rneming goed zou hebben gepres</w:t>
      </w:r>
      <w:r w:rsidR="00992938">
        <w:rPr>
          <w:rFonts w:eastAsiaTheme="minorEastAsia"/>
        </w:rPr>
        <w:t>teerd</w:t>
      </w:r>
      <w:r w:rsidR="009C4024">
        <w:rPr>
          <w:rFonts w:eastAsiaTheme="minorEastAsia"/>
        </w:rPr>
        <w:t>,</w:t>
      </w:r>
      <w:r w:rsidR="00992938">
        <w:rPr>
          <w:rFonts w:eastAsiaTheme="minorEastAsia"/>
        </w:rPr>
        <w:t xml:space="preserve"> </w:t>
      </w:r>
      <w:r w:rsidR="00775C81">
        <w:rPr>
          <w:rFonts w:eastAsiaTheme="minorEastAsia"/>
        </w:rPr>
        <w:t xml:space="preserve">immers </w:t>
      </w:r>
      <w:r w:rsidR="00992938">
        <w:rPr>
          <w:rFonts w:eastAsiaTheme="minorEastAsia"/>
        </w:rPr>
        <w:t>minder kasgeld over om eigen aandelen in te kopen.</w:t>
      </w:r>
      <w:r w:rsidR="00C63037">
        <w:rPr>
          <w:rFonts w:eastAsiaTheme="minorEastAsia"/>
        </w:rPr>
        <w:t xml:space="preserve"> Aan de andere kant kan het ook zijn dat de onderneming kasgeld uitkeer</w:t>
      </w:r>
      <w:r w:rsidR="00BB073B">
        <w:rPr>
          <w:rFonts w:eastAsiaTheme="minorEastAsia"/>
        </w:rPr>
        <w:t>t</w:t>
      </w:r>
      <w:r w:rsidR="00C63037">
        <w:rPr>
          <w:rFonts w:eastAsiaTheme="minorEastAsia"/>
        </w:rPr>
        <w:t xml:space="preserve">, omdat er geen winstgevende investeringsmogelijkheden meer zijn. In dat geval zou het presenteren van negatieve jaarcijfers </w:t>
      </w:r>
      <w:r w:rsidR="00D7060D">
        <w:rPr>
          <w:rFonts w:eastAsiaTheme="minorEastAsia"/>
        </w:rPr>
        <w:t xml:space="preserve">geassocieerd kunnen worden met de aankondiging van een </w:t>
      </w:r>
      <w:proofErr w:type="spellStart"/>
      <w:r w:rsidR="00D7060D">
        <w:rPr>
          <w:rFonts w:eastAsiaTheme="minorEastAsia"/>
        </w:rPr>
        <w:t>aandeleninkoopprogramma</w:t>
      </w:r>
      <w:proofErr w:type="spellEnd"/>
      <w:r w:rsidR="00C63037">
        <w:rPr>
          <w:rFonts w:eastAsiaTheme="minorEastAsia"/>
        </w:rPr>
        <w:t xml:space="preserve">. Toch verwacht ik dat het eerste effect groter is dan het tweede effect. </w:t>
      </w:r>
    </w:p>
    <w:p w:rsidR="00E11BFD" w:rsidRDefault="00F82D91" w:rsidP="00C86211">
      <w:pPr>
        <w:pStyle w:val="NoSpacing"/>
        <w:rPr>
          <w:rFonts w:eastAsiaTheme="minorEastAsia"/>
        </w:rPr>
      </w:pPr>
      <w:r>
        <w:rPr>
          <w:rFonts w:eastAsiaTheme="minorEastAsia"/>
        </w:rPr>
        <w:t xml:space="preserve">  </w:t>
      </w:r>
    </w:p>
    <w:tbl>
      <w:tblPr>
        <w:tblW w:w="4817" w:type="dxa"/>
        <w:tblInd w:w="55" w:type="dxa"/>
        <w:tblCellMar>
          <w:left w:w="70" w:type="dxa"/>
          <w:right w:w="70" w:type="dxa"/>
        </w:tblCellMar>
        <w:tblLook w:val="04A0"/>
      </w:tblPr>
      <w:tblGrid>
        <w:gridCol w:w="2283"/>
        <w:gridCol w:w="2534"/>
      </w:tblGrid>
      <w:tr w:rsidR="00992938" w:rsidRPr="006F1513" w:rsidTr="00992938">
        <w:trPr>
          <w:trHeight w:val="300"/>
        </w:trPr>
        <w:tc>
          <w:tcPr>
            <w:tcW w:w="2283" w:type="dxa"/>
            <w:tcBorders>
              <w:top w:val="nil"/>
              <w:left w:val="nil"/>
              <w:bottom w:val="nil"/>
              <w:right w:val="nil"/>
            </w:tcBorders>
            <w:shd w:val="clear" w:color="000000" w:fill="0070C0"/>
            <w:noWrap/>
            <w:vAlign w:val="bottom"/>
            <w:hideMark/>
          </w:tcPr>
          <w:p w:rsidR="00992938" w:rsidRPr="006F1513" w:rsidRDefault="00992938" w:rsidP="004F2927">
            <w:pPr>
              <w:spacing w:line="240" w:lineRule="auto"/>
              <w:rPr>
                <w:rFonts w:ascii="Calibri" w:eastAsia="Times New Roman" w:hAnsi="Calibri" w:cs="Times New Roman"/>
                <w:b/>
                <w:bCs/>
                <w:color w:val="FFFFFF"/>
                <w:lang w:eastAsia="nl-NL"/>
              </w:rPr>
            </w:pPr>
            <w:r w:rsidRPr="006F1513">
              <w:rPr>
                <w:rFonts w:ascii="Calibri" w:eastAsia="Times New Roman" w:hAnsi="Calibri" w:cs="Times New Roman"/>
                <w:b/>
                <w:bCs/>
                <w:color w:val="FFFFFF"/>
                <w:lang w:eastAsia="nl-NL"/>
              </w:rPr>
              <w:t>Onderzoek</w:t>
            </w:r>
          </w:p>
        </w:tc>
        <w:tc>
          <w:tcPr>
            <w:tcW w:w="2534" w:type="dxa"/>
            <w:tcBorders>
              <w:top w:val="nil"/>
              <w:left w:val="nil"/>
              <w:bottom w:val="nil"/>
              <w:right w:val="nil"/>
            </w:tcBorders>
            <w:shd w:val="clear" w:color="000000" w:fill="0070C0"/>
            <w:noWrap/>
            <w:vAlign w:val="bottom"/>
            <w:hideMark/>
          </w:tcPr>
          <w:p w:rsidR="00992938" w:rsidRPr="006F1513" w:rsidRDefault="00992938" w:rsidP="004F2927">
            <w:pPr>
              <w:spacing w:line="240" w:lineRule="auto"/>
              <w:rPr>
                <w:rFonts w:ascii="Calibri" w:eastAsia="Times New Roman" w:hAnsi="Calibri" w:cs="Times New Roman"/>
                <w:b/>
                <w:bCs/>
                <w:color w:val="FFFFFF"/>
                <w:lang w:eastAsia="nl-NL"/>
              </w:rPr>
            </w:pPr>
            <w:r w:rsidRPr="006F1513">
              <w:rPr>
                <w:rFonts w:ascii="Calibri" w:eastAsia="Times New Roman" w:hAnsi="Calibri" w:cs="Times New Roman"/>
                <w:b/>
                <w:bCs/>
                <w:color w:val="FFFFFF"/>
                <w:lang w:eastAsia="nl-NL"/>
              </w:rPr>
              <w:t>Baltus &amp; Schauten (2000)</w:t>
            </w:r>
          </w:p>
        </w:tc>
      </w:tr>
      <w:tr w:rsidR="00992938" w:rsidRPr="006F1513" w:rsidTr="00992938">
        <w:trPr>
          <w:trHeight w:val="300"/>
        </w:trPr>
        <w:tc>
          <w:tcPr>
            <w:tcW w:w="2283" w:type="dxa"/>
            <w:tcBorders>
              <w:top w:val="nil"/>
              <w:left w:val="nil"/>
              <w:bottom w:val="nil"/>
              <w:right w:val="nil"/>
            </w:tcBorders>
            <w:shd w:val="clear" w:color="000000" w:fill="BFBFBF"/>
            <w:noWrap/>
            <w:vAlign w:val="bottom"/>
            <w:hideMark/>
          </w:tcPr>
          <w:p w:rsidR="00992938" w:rsidRPr="00467EFB" w:rsidRDefault="00992938" w:rsidP="004F2927">
            <w:pPr>
              <w:spacing w:line="240" w:lineRule="auto"/>
              <w:rPr>
                <w:rFonts w:ascii="Calibri" w:eastAsia="Times New Roman" w:hAnsi="Calibri" w:cs="Times New Roman"/>
                <w:bCs/>
                <w:lang w:eastAsia="nl-NL"/>
              </w:rPr>
            </w:pPr>
            <w:r w:rsidRPr="00467EFB">
              <w:rPr>
                <w:rFonts w:ascii="Calibri" w:eastAsia="Times New Roman" w:hAnsi="Calibri" w:cs="Times New Roman"/>
                <w:bCs/>
                <w:lang w:eastAsia="nl-NL"/>
              </w:rPr>
              <w:t>Gehele dataset</w:t>
            </w:r>
          </w:p>
        </w:tc>
        <w:tc>
          <w:tcPr>
            <w:tcW w:w="2534" w:type="dxa"/>
            <w:tcBorders>
              <w:top w:val="nil"/>
              <w:left w:val="nil"/>
              <w:bottom w:val="nil"/>
              <w:right w:val="nil"/>
            </w:tcBorders>
            <w:shd w:val="clear" w:color="000000" w:fill="FFFFFF"/>
            <w:noWrap/>
            <w:vAlign w:val="bottom"/>
            <w:hideMark/>
          </w:tcPr>
          <w:p w:rsidR="00992938" w:rsidRPr="006F1513" w:rsidRDefault="00992938" w:rsidP="004F2927">
            <w:pPr>
              <w:spacing w:line="240" w:lineRule="auto"/>
              <w:jc w:val="right"/>
              <w:rPr>
                <w:rFonts w:ascii="Calibri" w:eastAsia="Times New Roman" w:hAnsi="Calibri" w:cs="Times New Roman"/>
                <w:b/>
                <w:bCs/>
                <w:lang w:eastAsia="nl-NL"/>
              </w:rPr>
            </w:pPr>
            <w:r w:rsidRPr="006F1513">
              <w:rPr>
                <w:rFonts w:ascii="Calibri" w:eastAsia="Times New Roman" w:hAnsi="Calibri" w:cs="Times New Roman"/>
                <w:b/>
                <w:bCs/>
                <w:lang w:eastAsia="nl-NL"/>
              </w:rPr>
              <w:t>1,98%</w:t>
            </w:r>
          </w:p>
        </w:tc>
      </w:tr>
      <w:tr w:rsidR="00992938" w:rsidRPr="006F1513" w:rsidTr="00992938">
        <w:trPr>
          <w:trHeight w:val="300"/>
        </w:trPr>
        <w:tc>
          <w:tcPr>
            <w:tcW w:w="2283" w:type="dxa"/>
            <w:tcBorders>
              <w:top w:val="nil"/>
              <w:left w:val="nil"/>
              <w:bottom w:val="nil"/>
              <w:right w:val="nil"/>
            </w:tcBorders>
            <w:shd w:val="clear" w:color="000000" w:fill="BFBFBF"/>
            <w:noWrap/>
            <w:vAlign w:val="bottom"/>
            <w:hideMark/>
          </w:tcPr>
          <w:p w:rsidR="00992938" w:rsidRPr="00467EFB" w:rsidRDefault="00992938" w:rsidP="004F2927">
            <w:pPr>
              <w:spacing w:line="240" w:lineRule="auto"/>
              <w:rPr>
                <w:rFonts w:ascii="Calibri" w:eastAsia="Times New Roman" w:hAnsi="Calibri" w:cs="Times New Roman"/>
                <w:bCs/>
                <w:lang w:eastAsia="nl-NL"/>
              </w:rPr>
            </w:pPr>
            <w:proofErr w:type="spellStart"/>
            <w:r w:rsidRPr="00467EFB">
              <w:rPr>
                <w:rFonts w:ascii="Calibri" w:eastAsia="Times New Roman" w:hAnsi="Calibri" w:cs="Times New Roman"/>
                <w:bCs/>
                <w:lang w:eastAsia="nl-NL"/>
              </w:rPr>
              <w:t>Leverage</w:t>
            </w:r>
            <w:proofErr w:type="spellEnd"/>
            <w:r w:rsidRPr="00467EFB">
              <w:rPr>
                <w:rFonts w:ascii="Calibri" w:eastAsia="Times New Roman" w:hAnsi="Calibri" w:cs="Times New Roman"/>
                <w:bCs/>
                <w:lang w:eastAsia="nl-NL"/>
              </w:rPr>
              <w:t xml:space="preserve"> hypothese</w:t>
            </w:r>
          </w:p>
        </w:tc>
        <w:tc>
          <w:tcPr>
            <w:tcW w:w="2534" w:type="dxa"/>
            <w:tcBorders>
              <w:top w:val="nil"/>
              <w:left w:val="nil"/>
              <w:bottom w:val="nil"/>
              <w:right w:val="nil"/>
            </w:tcBorders>
            <w:shd w:val="clear" w:color="000000" w:fill="FFFFFF"/>
            <w:noWrap/>
            <w:vAlign w:val="bottom"/>
            <w:hideMark/>
          </w:tcPr>
          <w:p w:rsidR="00992938" w:rsidRPr="006F1513" w:rsidRDefault="00992938" w:rsidP="004F2927">
            <w:pPr>
              <w:spacing w:line="240" w:lineRule="auto"/>
              <w:jc w:val="right"/>
              <w:rPr>
                <w:rFonts w:ascii="Calibri" w:eastAsia="Times New Roman" w:hAnsi="Calibri" w:cs="Times New Roman"/>
                <w:b/>
                <w:bCs/>
                <w:lang w:eastAsia="nl-NL"/>
              </w:rPr>
            </w:pPr>
            <w:r w:rsidRPr="006F1513">
              <w:rPr>
                <w:rFonts w:ascii="Calibri" w:eastAsia="Times New Roman" w:hAnsi="Calibri" w:cs="Times New Roman"/>
                <w:b/>
                <w:bCs/>
                <w:lang w:eastAsia="nl-NL"/>
              </w:rPr>
              <w:t>1,87%</w:t>
            </w:r>
          </w:p>
        </w:tc>
      </w:tr>
      <w:tr w:rsidR="00992938" w:rsidRPr="006F1513" w:rsidTr="00992938">
        <w:trPr>
          <w:trHeight w:val="300"/>
        </w:trPr>
        <w:tc>
          <w:tcPr>
            <w:tcW w:w="2283" w:type="dxa"/>
            <w:tcBorders>
              <w:top w:val="nil"/>
              <w:left w:val="nil"/>
              <w:bottom w:val="nil"/>
              <w:right w:val="nil"/>
            </w:tcBorders>
            <w:shd w:val="clear" w:color="000000" w:fill="BFBFBF"/>
            <w:noWrap/>
            <w:vAlign w:val="bottom"/>
            <w:hideMark/>
          </w:tcPr>
          <w:p w:rsidR="00992938" w:rsidRPr="00467EFB" w:rsidRDefault="00467EFB" w:rsidP="004F2927">
            <w:pPr>
              <w:spacing w:line="240" w:lineRule="auto"/>
              <w:rPr>
                <w:rFonts w:ascii="Calibri" w:eastAsia="Times New Roman" w:hAnsi="Calibri" w:cs="Times New Roman"/>
                <w:bCs/>
                <w:lang w:eastAsia="nl-NL"/>
              </w:rPr>
            </w:pPr>
            <w:r w:rsidRPr="00467EFB">
              <w:rPr>
                <w:rFonts w:ascii="Calibri" w:eastAsia="Times New Roman" w:hAnsi="Calibri" w:cs="Times New Roman"/>
                <w:bCs/>
                <w:lang w:eastAsia="nl-NL"/>
              </w:rPr>
              <w:t xml:space="preserve">≥ </w:t>
            </w:r>
            <w:r w:rsidR="00992938" w:rsidRPr="00467EFB">
              <w:rPr>
                <w:rFonts w:ascii="Calibri" w:eastAsia="Times New Roman" w:hAnsi="Calibri" w:cs="Times New Roman"/>
                <w:bCs/>
                <w:lang w:eastAsia="nl-NL"/>
              </w:rPr>
              <w:t xml:space="preserve">10% uitstaande </w:t>
            </w:r>
            <w:proofErr w:type="spellStart"/>
            <w:r w:rsidR="00992938" w:rsidRPr="00467EFB">
              <w:rPr>
                <w:rFonts w:ascii="Calibri" w:eastAsia="Times New Roman" w:hAnsi="Calibri" w:cs="Times New Roman"/>
                <w:bCs/>
                <w:lang w:eastAsia="nl-NL"/>
              </w:rPr>
              <w:t>aand</w:t>
            </w:r>
            <w:proofErr w:type="spellEnd"/>
            <w:r w:rsidR="00992938" w:rsidRPr="00467EFB">
              <w:rPr>
                <w:rFonts w:ascii="Calibri" w:eastAsia="Times New Roman" w:hAnsi="Calibri" w:cs="Times New Roman"/>
                <w:bCs/>
                <w:lang w:eastAsia="nl-NL"/>
              </w:rPr>
              <w:t>.</w:t>
            </w:r>
          </w:p>
        </w:tc>
        <w:tc>
          <w:tcPr>
            <w:tcW w:w="2534" w:type="dxa"/>
            <w:tcBorders>
              <w:top w:val="nil"/>
              <w:left w:val="nil"/>
              <w:bottom w:val="nil"/>
              <w:right w:val="nil"/>
            </w:tcBorders>
            <w:shd w:val="clear" w:color="000000" w:fill="FFFFFF"/>
            <w:noWrap/>
            <w:vAlign w:val="bottom"/>
            <w:hideMark/>
          </w:tcPr>
          <w:p w:rsidR="00992938" w:rsidRPr="006F1513" w:rsidRDefault="00992938" w:rsidP="00992938">
            <w:pPr>
              <w:keepNext/>
              <w:spacing w:line="240" w:lineRule="auto"/>
              <w:jc w:val="right"/>
              <w:rPr>
                <w:rFonts w:ascii="Calibri" w:eastAsia="Times New Roman" w:hAnsi="Calibri" w:cs="Times New Roman"/>
                <w:b/>
                <w:bCs/>
                <w:lang w:eastAsia="nl-NL"/>
              </w:rPr>
            </w:pPr>
            <w:r w:rsidRPr="006F1513">
              <w:rPr>
                <w:rFonts w:ascii="Calibri" w:eastAsia="Times New Roman" w:hAnsi="Calibri" w:cs="Times New Roman"/>
                <w:b/>
                <w:bCs/>
                <w:lang w:eastAsia="nl-NL"/>
              </w:rPr>
              <w:t>5,91%</w:t>
            </w:r>
          </w:p>
        </w:tc>
      </w:tr>
    </w:tbl>
    <w:p w:rsidR="00244B6F" w:rsidRPr="00244B6F" w:rsidRDefault="00992938" w:rsidP="00AD3231">
      <w:pPr>
        <w:pStyle w:val="Caption"/>
        <w:jc w:val="both"/>
        <w:rPr>
          <w:rFonts w:eastAsiaTheme="minorEastAsia"/>
        </w:rPr>
      </w:pPr>
      <w:r>
        <w:t xml:space="preserve">Tabel </w:t>
      </w:r>
      <w:fldSimple w:instr=" SEQ Tabel \* ARABIC ">
        <w:r w:rsidR="00080D08">
          <w:rPr>
            <w:noProof/>
          </w:rPr>
          <w:t>2</w:t>
        </w:r>
      </w:fldSimple>
      <w:r>
        <w:t xml:space="preserve">: Belangrijkste resultaten van </w:t>
      </w:r>
      <w:r w:rsidR="009D4407">
        <w:t xml:space="preserve">het </w:t>
      </w:r>
      <w:r>
        <w:t>onderzoek</w:t>
      </w:r>
      <w:r w:rsidR="009D4407">
        <w:t xml:space="preserve"> van</w:t>
      </w:r>
      <w:r>
        <w:t xml:space="preserve"> Baltus &amp; Schauten (2000)</w:t>
      </w:r>
      <w:r w:rsidR="00AD3231">
        <w:t>.</w:t>
      </w:r>
      <w:r w:rsidR="00E11BFD">
        <w:rPr>
          <w:rFonts w:eastAsiaTheme="minorEastAsia"/>
        </w:rPr>
        <w:br w:type="page"/>
      </w:r>
    </w:p>
    <w:p w:rsidR="00C86211" w:rsidRDefault="00C86211" w:rsidP="001F71F2">
      <w:pPr>
        <w:pStyle w:val="Heading2"/>
        <w:numPr>
          <w:ilvl w:val="1"/>
          <w:numId w:val="1"/>
        </w:numPr>
        <w:jc w:val="both"/>
        <w:rPr>
          <w:color w:val="auto"/>
        </w:rPr>
      </w:pPr>
      <w:bookmarkStart w:id="12" w:name="_Toc361526565"/>
      <w:r>
        <w:rPr>
          <w:color w:val="auto"/>
        </w:rPr>
        <w:lastRenderedPageBreak/>
        <w:t>Data</w:t>
      </w:r>
      <w:bookmarkEnd w:id="12"/>
    </w:p>
    <w:p w:rsidR="004615F9" w:rsidRPr="00A16C92" w:rsidRDefault="009D4DBB" w:rsidP="008F53BD">
      <w:pPr>
        <w:pStyle w:val="Heading2"/>
        <w:numPr>
          <w:ilvl w:val="2"/>
          <w:numId w:val="12"/>
        </w:numPr>
        <w:jc w:val="both"/>
        <w:rPr>
          <w:color w:val="auto"/>
        </w:rPr>
      </w:pPr>
      <w:bookmarkStart w:id="13" w:name="_Toc361526566"/>
      <w:r>
        <w:rPr>
          <w:color w:val="auto"/>
        </w:rPr>
        <w:t>Gehele dataset</w:t>
      </w:r>
      <w:bookmarkEnd w:id="13"/>
    </w:p>
    <w:p w:rsidR="008F53BD" w:rsidRDefault="008F53BD" w:rsidP="009965EB">
      <w:pPr>
        <w:pStyle w:val="NoSpacing"/>
        <w:spacing w:before="120"/>
        <w:jc w:val="both"/>
      </w:pPr>
      <w:r>
        <w:t xml:space="preserve">Het empirisch onderzoek richt zich op </w:t>
      </w:r>
      <w:proofErr w:type="spellStart"/>
      <w:r>
        <w:t>aandeleninkoopprogramma’s</w:t>
      </w:r>
      <w:proofErr w:type="spellEnd"/>
      <w:r>
        <w:t xml:space="preserve"> op de AEX in de periode januari 2001 tot en met </w:t>
      </w:r>
      <w:r w:rsidR="0058702D">
        <w:t xml:space="preserve">maart </w:t>
      </w:r>
      <w:r>
        <w:t>2013. Er is voor deze periode gekozen, omdat het inkopen van eigen aandelen in Nederland sinds 2001 fiscaal aantrekkelijk</w:t>
      </w:r>
      <w:r w:rsidR="0058702D">
        <w:t>er</w:t>
      </w:r>
      <w:r>
        <w:t xml:space="preserve"> is geworden (zie paragraaf 2.3). </w:t>
      </w:r>
    </w:p>
    <w:p w:rsidR="008F53BD" w:rsidRDefault="008F53BD" w:rsidP="009965EB">
      <w:pPr>
        <w:pStyle w:val="NoSpacing"/>
        <w:jc w:val="both"/>
      </w:pPr>
      <w:r>
        <w:t xml:space="preserve">De dataset is handmatig samengesteld, </w:t>
      </w:r>
      <w:r w:rsidR="00A104BC">
        <w:t>aangezien</w:t>
      </w:r>
      <w:r>
        <w:t xml:space="preserve"> vooronderzoek uitwees dat </w:t>
      </w:r>
      <w:r w:rsidR="00880755">
        <w:t xml:space="preserve">niet alle aangekondigde </w:t>
      </w:r>
      <w:proofErr w:type="spellStart"/>
      <w:r w:rsidR="00880755">
        <w:t>aandeleninkoopprogramma’s</w:t>
      </w:r>
      <w:proofErr w:type="spellEnd"/>
      <w:r w:rsidR="00880755">
        <w:t xml:space="preserve"> op de AEX in </w:t>
      </w:r>
      <w:proofErr w:type="spellStart"/>
      <w:r>
        <w:t>Thomson</w:t>
      </w:r>
      <w:proofErr w:type="spellEnd"/>
      <w:r>
        <w:t xml:space="preserve"> </w:t>
      </w:r>
      <w:proofErr w:type="spellStart"/>
      <w:r>
        <w:t>One</w:t>
      </w:r>
      <w:proofErr w:type="spellEnd"/>
      <w:r>
        <w:t xml:space="preserve"> </w:t>
      </w:r>
      <w:proofErr w:type="spellStart"/>
      <w:r>
        <w:t>Banker</w:t>
      </w:r>
      <w:proofErr w:type="spellEnd"/>
      <w:r>
        <w:t xml:space="preserve"> </w:t>
      </w:r>
      <w:r w:rsidR="00880755">
        <w:t>gevonden worden</w:t>
      </w:r>
      <w:r>
        <w:t>.</w:t>
      </w:r>
    </w:p>
    <w:p w:rsidR="00244B6F" w:rsidRDefault="008F53BD" w:rsidP="009965EB">
      <w:pPr>
        <w:pStyle w:val="NoSpacing"/>
        <w:jc w:val="both"/>
      </w:pPr>
      <w:r>
        <w:t xml:space="preserve">Hiervoor zijn eerst de ondernemingen die in deze periode genoteerd zijn (geweest) </w:t>
      </w:r>
      <w:r w:rsidR="009C4024">
        <w:t xml:space="preserve">aan de AEX </w:t>
      </w:r>
      <w:r>
        <w:t>opgezocht</w:t>
      </w:r>
      <w:r w:rsidR="00A4618A">
        <w:t xml:space="preserve">. Een overzicht </w:t>
      </w:r>
      <w:r w:rsidR="00E11BFD">
        <w:t>tot 2010 is verkregen</w:t>
      </w:r>
      <w:r w:rsidR="00A4618A">
        <w:t xml:space="preserve"> via Behr.nl (2013). De samenstelling in de periode 2010 tot en met 2013 is vervolgens </w:t>
      </w:r>
      <w:r w:rsidR="00E11BFD">
        <w:t>gecompleteerd</w:t>
      </w:r>
      <w:r w:rsidR="00A4618A">
        <w:t xml:space="preserve"> middels informatie van AEX.</w:t>
      </w:r>
      <w:r w:rsidR="00A104BC">
        <w:t>nl</w:t>
      </w:r>
      <w:r w:rsidR="00A4618A">
        <w:t xml:space="preserve"> (2013). Vervolgens zijn de aangekondigde </w:t>
      </w:r>
      <w:proofErr w:type="spellStart"/>
      <w:r w:rsidR="00A4618A">
        <w:t>aandeleninkoopprogramma’s</w:t>
      </w:r>
      <w:proofErr w:type="spellEnd"/>
      <w:r w:rsidR="00A4618A">
        <w:t xml:space="preserve"> van de bestaande ondernemingen opgezocht via de </w:t>
      </w:r>
      <w:r w:rsidR="00880755">
        <w:t>per</w:t>
      </w:r>
      <w:r w:rsidR="009C4024">
        <w:t>s</w:t>
      </w:r>
      <w:r w:rsidR="00880755">
        <w:t xml:space="preserve">berichten op de website </w:t>
      </w:r>
      <w:r w:rsidR="00A4618A">
        <w:t xml:space="preserve">van de desbetreffende onderneming. Een </w:t>
      </w:r>
      <w:proofErr w:type="spellStart"/>
      <w:r w:rsidR="00A4618A">
        <w:t>aandeleninkoopprogramma</w:t>
      </w:r>
      <w:proofErr w:type="spellEnd"/>
      <w:r w:rsidR="00A4618A">
        <w:t xml:space="preserve"> is opgenomen in de dataset indien voldaan werd aan de volgende </w:t>
      </w:r>
      <w:r w:rsidR="003841A4">
        <w:t>drie</w:t>
      </w:r>
      <w:r w:rsidR="00194A97">
        <w:t xml:space="preserve"> </w:t>
      </w:r>
      <w:r w:rsidR="00A4618A">
        <w:t>criteria:</w:t>
      </w:r>
    </w:p>
    <w:p w:rsidR="003841A4" w:rsidRDefault="003841A4" w:rsidP="009965EB">
      <w:pPr>
        <w:pStyle w:val="NoSpacing"/>
        <w:numPr>
          <w:ilvl w:val="0"/>
          <w:numId w:val="13"/>
        </w:numPr>
        <w:jc w:val="both"/>
      </w:pPr>
      <w:r>
        <w:t>De onderneming is op het moment van aankondiging genoteerd aan de AEX.</w:t>
      </w:r>
    </w:p>
    <w:p w:rsidR="00A4618A" w:rsidRDefault="00A4618A" w:rsidP="009965EB">
      <w:pPr>
        <w:pStyle w:val="NoSpacing"/>
        <w:numPr>
          <w:ilvl w:val="0"/>
          <w:numId w:val="13"/>
        </w:numPr>
        <w:jc w:val="both"/>
      </w:pPr>
      <w:r>
        <w:t xml:space="preserve">Het </w:t>
      </w:r>
      <w:proofErr w:type="spellStart"/>
      <w:r>
        <w:t>aandeleninkoopprogramma</w:t>
      </w:r>
      <w:proofErr w:type="spellEnd"/>
      <w:r>
        <w:t xml:space="preserve"> </w:t>
      </w:r>
      <w:r w:rsidR="00194A97">
        <w:t>is</w:t>
      </w:r>
      <w:r>
        <w:t xml:space="preserve"> aangekondigd</w:t>
      </w:r>
      <w:r w:rsidR="00BC1E03">
        <w:t xml:space="preserve"> voordat de werkelijke inkoop plaatsvindt</w:t>
      </w:r>
      <w:r>
        <w:t xml:space="preserve">. </w:t>
      </w:r>
      <w:proofErr w:type="spellStart"/>
      <w:r>
        <w:t>Aandeleninkoopprogramm</w:t>
      </w:r>
      <w:r w:rsidR="00E11BFD">
        <w:t>a</w:t>
      </w:r>
      <w:r>
        <w:t>’s</w:t>
      </w:r>
      <w:proofErr w:type="spellEnd"/>
      <w:r>
        <w:t xml:space="preserve"> die </w:t>
      </w:r>
      <w:r w:rsidR="00111129">
        <w:t>na de inkoop</w:t>
      </w:r>
      <w:r>
        <w:t xml:space="preserve"> </w:t>
      </w:r>
      <w:r w:rsidR="009C4024">
        <w:t xml:space="preserve">zijn </w:t>
      </w:r>
      <w:r>
        <w:t>bevestigd</w:t>
      </w:r>
      <w:r w:rsidR="00B70E2B">
        <w:t xml:space="preserve"> </w:t>
      </w:r>
      <w:r>
        <w:t>door de onderneming zijn niet meegenomen</w:t>
      </w:r>
      <w:r w:rsidR="00B70E2B">
        <w:t xml:space="preserve"> (oftewel </w:t>
      </w:r>
      <w:proofErr w:type="spellStart"/>
      <w:r w:rsidR="00B70E2B">
        <w:t>aandeleninkoopprogramma’s</w:t>
      </w:r>
      <w:proofErr w:type="spellEnd"/>
      <w:r w:rsidR="00B70E2B">
        <w:t xml:space="preserve"> die achteraf zijn bevestigd)</w:t>
      </w:r>
      <w:r>
        <w:t>.</w:t>
      </w:r>
    </w:p>
    <w:p w:rsidR="00A4618A" w:rsidRDefault="00A4618A" w:rsidP="009965EB">
      <w:pPr>
        <w:pStyle w:val="NoSpacing"/>
        <w:numPr>
          <w:ilvl w:val="0"/>
          <w:numId w:val="13"/>
        </w:numPr>
        <w:jc w:val="both"/>
      </w:pPr>
      <w:r>
        <w:t xml:space="preserve">De omvang van het </w:t>
      </w:r>
      <w:proofErr w:type="spellStart"/>
      <w:r>
        <w:t>aandeleninkoopprogramma</w:t>
      </w:r>
      <w:proofErr w:type="spellEnd"/>
      <w:r>
        <w:t xml:space="preserve"> </w:t>
      </w:r>
      <w:r w:rsidR="00194A97">
        <w:t>is</w:t>
      </w:r>
      <w:r>
        <w:t xml:space="preserve"> bekend. De datum waarop de omvang voor het eerst bekend is gemaakt, is genomen als </w:t>
      </w:r>
      <w:r w:rsidR="00705B37">
        <w:t xml:space="preserve">de </w:t>
      </w:r>
      <w:r>
        <w:t>dag van aankondiging.</w:t>
      </w:r>
    </w:p>
    <w:p w:rsidR="00A4618A" w:rsidRDefault="00A4618A" w:rsidP="009965EB">
      <w:pPr>
        <w:pStyle w:val="NoSpacing"/>
        <w:ind w:left="720"/>
        <w:jc w:val="both"/>
      </w:pPr>
      <w:r>
        <w:t xml:space="preserve">De omvang van het </w:t>
      </w:r>
      <w:proofErr w:type="spellStart"/>
      <w:r>
        <w:t>aandeleninkoopprogramma</w:t>
      </w:r>
      <w:proofErr w:type="spellEnd"/>
      <w:r>
        <w:t xml:space="preserve"> is genomen zoals aangekondigd op de dag van aankondiging. </w:t>
      </w:r>
      <w:r w:rsidR="009C4024">
        <w:t xml:space="preserve"> Er is dus niet gekeken of het </w:t>
      </w:r>
      <w:r>
        <w:t xml:space="preserve"> </w:t>
      </w:r>
      <w:proofErr w:type="spellStart"/>
      <w:r>
        <w:t>aandeleninkoopprogramma</w:t>
      </w:r>
      <w:proofErr w:type="spellEnd"/>
      <w:r>
        <w:t xml:space="preserve"> daadwerkelijk is uitgev</w:t>
      </w:r>
      <w:r w:rsidR="00E11BFD">
        <w:t>oerd</w:t>
      </w:r>
      <w:r w:rsidR="00111129">
        <w:rPr>
          <w:rStyle w:val="FootnoteReference"/>
        </w:rPr>
        <w:footnoteReference w:id="18"/>
      </w:r>
      <w:r w:rsidR="009C4024">
        <w:t>.</w:t>
      </w:r>
      <w:r w:rsidR="00E11BFD">
        <w:t xml:space="preserve"> </w:t>
      </w:r>
    </w:p>
    <w:p w:rsidR="00E11BFD" w:rsidRDefault="00E11BFD" w:rsidP="009965EB">
      <w:pPr>
        <w:pStyle w:val="NoSpacing"/>
        <w:jc w:val="both"/>
      </w:pPr>
    </w:p>
    <w:p w:rsidR="00F065FE" w:rsidRDefault="00E11BFD" w:rsidP="009965EB">
      <w:pPr>
        <w:pStyle w:val="NoSpacing"/>
        <w:jc w:val="both"/>
      </w:pPr>
      <w:r>
        <w:t>B</w:t>
      </w:r>
      <w:r w:rsidR="007257EA">
        <w:t>ij een aantal ondernemingen was het (</w:t>
      </w:r>
      <w:r w:rsidR="00775C81">
        <w:t>over</w:t>
      </w:r>
      <w:r w:rsidR="007257EA">
        <w:t xml:space="preserve"> een bepaalde periode) niet mogelijk om persberichten te verkrijgen op de website van de desbetreffende onderneming</w:t>
      </w:r>
      <w:r>
        <w:t xml:space="preserve">. Dit </w:t>
      </w:r>
      <w:r w:rsidR="007257EA">
        <w:t>kwam allereerst doorda</w:t>
      </w:r>
      <w:r w:rsidR="00775C81">
        <w:t xml:space="preserve">t bij sommige ondernemingen de </w:t>
      </w:r>
      <w:r w:rsidR="007257EA">
        <w:t xml:space="preserve">historische persberichten voor slechts een aantal jaren beschikbaar </w:t>
      </w:r>
      <w:r w:rsidR="00775C81">
        <w:t>zijn</w:t>
      </w:r>
      <w:r w:rsidR="007257EA">
        <w:t xml:space="preserve">. Daarnaast zijn er een aantal ondernemingen inmiddels failliet, waardoor er geen website is. </w:t>
      </w:r>
      <w:r w:rsidR="000A17B8">
        <w:t xml:space="preserve">Voor </w:t>
      </w:r>
      <w:r w:rsidR="00111129">
        <w:t>beide categorieën</w:t>
      </w:r>
      <w:r w:rsidR="000A17B8">
        <w:t xml:space="preserve"> zijn, in de desbetreffende periode, </w:t>
      </w:r>
      <w:r w:rsidR="00A104BC">
        <w:t>de aankondigingen van het inkopen van eigen aandelen op</w:t>
      </w:r>
      <w:r w:rsidR="00775C81">
        <w:t>gezocht via</w:t>
      </w:r>
      <w:r w:rsidR="000A17B8">
        <w:t xml:space="preserve"> </w:t>
      </w:r>
      <w:proofErr w:type="spellStart"/>
      <w:r w:rsidR="000A17B8">
        <w:t>LexisNexis</w:t>
      </w:r>
      <w:proofErr w:type="spellEnd"/>
      <w:r w:rsidR="000A17B8">
        <w:t xml:space="preserve"> </w:t>
      </w:r>
      <w:proofErr w:type="spellStart"/>
      <w:r w:rsidR="000A17B8">
        <w:t>Academic</w:t>
      </w:r>
      <w:proofErr w:type="spellEnd"/>
      <w:r w:rsidR="000A17B8">
        <w:t xml:space="preserve">, een online database van krantenartikelen. De volledige dataset </w:t>
      </w:r>
      <w:r w:rsidR="00A104BC">
        <w:t xml:space="preserve">die hierbij tot stand is gekomen </w:t>
      </w:r>
      <w:r w:rsidR="005422CF">
        <w:t xml:space="preserve">bestaat uit 69 </w:t>
      </w:r>
      <w:proofErr w:type="spellStart"/>
      <w:r w:rsidR="005422CF">
        <w:t>aandeleninkoopprogramma’s</w:t>
      </w:r>
      <w:proofErr w:type="spellEnd"/>
      <w:r w:rsidR="005422CF">
        <w:t xml:space="preserve"> en is</w:t>
      </w:r>
      <w:r w:rsidR="000A17B8">
        <w:t xml:space="preserve"> te vinden in </w:t>
      </w:r>
      <w:r w:rsidR="000A17B8" w:rsidRPr="001749DE">
        <w:t>bijlage 1.</w:t>
      </w:r>
      <w:r w:rsidR="000A17B8">
        <w:t xml:space="preserve"> </w:t>
      </w:r>
    </w:p>
    <w:p w:rsidR="00F065FE" w:rsidRDefault="00F065FE" w:rsidP="009965EB">
      <w:pPr>
        <w:pStyle w:val="NoSpacing"/>
        <w:jc w:val="both"/>
      </w:pPr>
      <w:r>
        <w:t xml:space="preserve">Van deze </w:t>
      </w:r>
      <w:proofErr w:type="spellStart"/>
      <w:r>
        <w:t>aandeleninkoopprogramma’s</w:t>
      </w:r>
      <w:proofErr w:type="spellEnd"/>
      <w:r>
        <w:t xml:space="preserve"> is bij 68 van de 69 </w:t>
      </w:r>
      <w:proofErr w:type="spellStart"/>
      <w:r>
        <w:t>aandeleninkoopprogramma’s</w:t>
      </w:r>
      <w:proofErr w:type="spellEnd"/>
      <w:r>
        <w:t xml:space="preserve"> gebruik gemaakt van de open </w:t>
      </w:r>
      <w:proofErr w:type="spellStart"/>
      <w:r>
        <w:t>market</w:t>
      </w:r>
      <w:proofErr w:type="spellEnd"/>
      <w:r>
        <w:t xml:space="preserve"> </w:t>
      </w:r>
      <w:proofErr w:type="spellStart"/>
      <w:r>
        <w:t>repurchase</w:t>
      </w:r>
      <w:proofErr w:type="spellEnd"/>
      <w:r>
        <w:t xml:space="preserve"> methode. De prijs die bij deze methode van inkoop tot stand komt, is de marktprijs op het moment van aankoop (zie paragraaf 2.4). Bij het </w:t>
      </w:r>
      <w:proofErr w:type="spellStart"/>
      <w:r>
        <w:t>aandeleninkoopprogramma</w:t>
      </w:r>
      <w:proofErr w:type="spellEnd"/>
      <w:r>
        <w:t xml:space="preserve"> van TNT op 29 september 2004 is gebruik gemaakt van de direct </w:t>
      </w:r>
      <w:proofErr w:type="spellStart"/>
      <w:r>
        <w:t>repurchase</w:t>
      </w:r>
      <w:proofErr w:type="spellEnd"/>
      <w:r>
        <w:t xml:space="preserve"> methode. TNT kocht hierbij een pakket aandelen van de overheid door direct met haar te onderhandelen. </w:t>
      </w:r>
    </w:p>
    <w:p w:rsidR="00F065FE" w:rsidRDefault="00F065FE" w:rsidP="009965EB">
      <w:pPr>
        <w:pStyle w:val="NoSpacing"/>
        <w:jc w:val="both"/>
      </w:pPr>
      <w:r>
        <w:t>De meeste aankondigingen zijn gedaan in 2007, in de periode voor de kredietcrisis. Na deze periode is het aantal aankondigingen sterk afgenomen (</w:t>
      </w:r>
      <w:r w:rsidRPr="001749DE">
        <w:t>figuur 3</w:t>
      </w:r>
      <w:r>
        <w:t xml:space="preserve">). Hierbij is het van belang te beseffen dat niet alle </w:t>
      </w:r>
      <w:proofErr w:type="spellStart"/>
      <w:r>
        <w:t>aandeleninkoopprogramma’s</w:t>
      </w:r>
      <w:proofErr w:type="spellEnd"/>
      <w:r>
        <w:t xml:space="preserve"> van tevoren worden aangekondigd. Er kan aan de hand van deze informatie dus geen conclusies worden getrokken over het aantal uitgevoerde </w:t>
      </w:r>
      <w:proofErr w:type="spellStart"/>
      <w:r>
        <w:t>aandeleninkoopprogramma’s</w:t>
      </w:r>
      <w:proofErr w:type="spellEnd"/>
      <w:r>
        <w:t xml:space="preserve"> van ondernemingen genoteerd aan de AEX. </w:t>
      </w:r>
    </w:p>
    <w:p w:rsidR="00F065FE" w:rsidRDefault="00F065FE" w:rsidP="009965EB">
      <w:pPr>
        <w:pStyle w:val="NoSpacing"/>
        <w:jc w:val="both"/>
      </w:pPr>
    </w:p>
    <w:p w:rsidR="00F065FE" w:rsidRDefault="00F065FE" w:rsidP="00F065FE">
      <w:pPr>
        <w:pStyle w:val="NoSpacing"/>
        <w:keepNext/>
      </w:pPr>
      <w:r w:rsidRPr="00C44E6B">
        <w:rPr>
          <w:noProof/>
          <w:lang w:val="en-US"/>
        </w:rPr>
        <w:lastRenderedPageBreak/>
        <w:drawing>
          <wp:inline distT="0" distB="0" distL="0" distR="0">
            <wp:extent cx="5600700" cy="2257425"/>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65FE" w:rsidRDefault="00F065FE" w:rsidP="00111129">
      <w:pPr>
        <w:pStyle w:val="Caption"/>
        <w:jc w:val="both"/>
      </w:pPr>
      <w:r>
        <w:t xml:space="preserve">Figuur 3: Aantal </w:t>
      </w:r>
      <w:r w:rsidR="00111129">
        <w:t xml:space="preserve">vooraf </w:t>
      </w:r>
      <w:r>
        <w:t xml:space="preserve">aangekondigde </w:t>
      </w:r>
      <w:proofErr w:type="spellStart"/>
      <w:r>
        <w:t>aandeleninkoopprogramma’s</w:t>
      </w:r>
      <w:proofErr w:type="spellEnd"/>
      <w:r>
        <w:t xml:space="preserve"> per jaar</w:t>
      </w:r>
      <w:r w:rsidR="00111129">
        <w:t>, n=69</w:t>
      </w:r>
      <w:r w:rsidR="00AD3231">
        <w:t>.</w:t>
      </w:r>
    </w:p>
    <w:p w:rsidR="00F065FE" w:rsidRDefault="00F065FE" w:rsidP="00F065FE">
      <w:pPr>
        <w:pStyle w:val="NoSpacing"/>
      </w:pPr>
    </w:p>
    <w:p w:rsidR="00F065FE" w:rsidRPr="009D4DBB" w:rsidRDefault="00F065FE" w:rsidP="009965EB">
      <w:pPr>
        <w:pStyle w:val="NoSpacing"/>
        <w:jc w:val="both"/>
        <w:rPr>
          <w:b/>
        </w:rPr>
      </w:pPr>
      <w:r>
        <w:t xml:space="preserve">Om </w:t>
      </w:r>
      <w:r w:rsidR="007257EA">
        <w:t>de</w:t>
      </w:r>
      <w:r>
        <w:t xml:space="preserve"> abnormale rendement</w:t>
      </w:r>
      <w:r w:rsidR="007257EA">
        <w:t>en</w:t>
      </w:r>
      <w:r>
        <w:t xml:space="preserve"> te berekenen, is gebruik gemaakt van de koersinformatie uit </w:t>
      </w:r>
      <w:proofErr w:type="spellStart"/>
      <w:r>
        <w:t>Datastream</w:t>
      </w:r>
      <w:proofErr w:type="spellEnd"/>
      <w:r w:rsidR="009D4DBB">
        <w:rPr>
          <w:rStyle w:val="FootnoteReference"/>
        </w:rPr>
        <w:footnoteReference w:id="19"/>
      </w:r>
      <w:r>
        <w:t xml:space="preserve">. </w:t>
      </w:r>
      <w:r w:rsidR="009D4DBB">
        <w:t xml:space="preserve">Een overzicht van de gebruikte </w:t>
      </w:r>
      <w:proofErr w:type="spellStart"/>
      <w:r w:rsidR="009D4DBB">
        <w:t>identifiers</w:t>
      </w:r>
      <w:proofErr w:type="spellEnd"/>
      <w:r w:rsidR="009D4DBB">
        <w:t xml:space="preserve"> van </w:t>
      </w:r>
      <w:proofErr w:type="spellStart"/>
      <w:r w:rsidR="009D4DBB">
        <w:t>Datastream</w:t>
      </w:r>
      <w:proofErr w:type="spellEnd"/>
      <w:r w:rsidR="009D4DBB">
        <w:t xml:space="preserve"> is te vinden in </w:t>
      </w:r>
      <w:r w:rsidR="009D4DBB" w:rsidRPr="00122BEF">
        <w:t>bijlage 2.</w:t>
      </w:r>
    </w:p>
    <w:p w:rsidR="00D52FC8" w:rsidRPr="00D52FC8" w:rsidRDefault="00F065FE" w:rsidP="009965EB">
      <w:pPr>
        <w:pStyle w:val="NoSpacing"/>
        <w:jc w:val="both"/>
        <w:rPr>
          <w:rFonts w:eastAsiaTheme="minorEastAsia"/>
        </w:rPr>
      </w:pPr>
      <w:r>
        <w:t xml:space="preserve">De gehele dataset is vervolgens onderzocht op </w:t>
      </w:r>
      <w:proofErr w:type="spellStart"/>
      <w:r>
        <w:t>outliers</w:t>
      </w:r>
      <w:proofErr w:type="spellEnd"/>
      <w:r>
        <w:t>. Hierbij is gekeken of het abnorma</w:t>
      </w:r>
      <w:r w:rsidR="007257EA">
        <w:t>al</w:t>
      </w:r>
      <w:r>
        <w:t xml:space="preserve"> rendement rondom de dag van aankondiging erg afweek van de overige observaties. Uit deze analyse kwam naar voren dat het </w:t>
      </w:r>
      <w:proofErr w:type="spellStart"/>
      <w:r>
        <w:t>aandeleninkoopprogramma</w:t>
      </w:r>
      <w:proofErr w:type="spellEnd"/>
      <w:r>
        <w:rPr>
          <w:rFonts w:eastAsiaTheme="minorEastAsia"/>
        </w:rPr>
        <w:t xml:space="preserve"> van </w:t>
      </w:r>
      <w:proofErr w:type="spellStart"/>
      <w:r>
        <w:rPr>
          <w:rFonts w:eastAsiaTheme="minorEastAsia"/>
        </w:rPr>
        <w:t>Wolters</w:t>
      </w:r>
      <w:proofErr w:type="spellEnd"/>
      <w:r>
        <w:rPr>
          <w:rFonts w:eastAsiaTheme="minorEastAsia"/>
        </w:rPr>
        <w:t xml:space="preserve"> </w:t>
      </w:r>
      <w:proofErr w:type="spellStart"/>
      <w:r>
        <w:rPr>
          <w:rFonts w:eastAsiaTheme="minorEastAsia"/>
        </w:rPr>
        <w:t>Kluwer</w:t>
      </w:r>
      <w:proofErr w:type="spellEnd"/>
      <w:r>
        <w:rPr>
          <w:rFonts w:eastAsiaTheme="minorEastAsia"/>
        </w:rPr>
        <w:t xml:space="preserve"> van 14 maart 2003 een grote invloed had op de resultaten</w:t>
      </w:r>
      <w:r>
        <w:rPr>
          <w:rStyle w:val="FootnoteReference"/>
          <w:rFonts w:eastAsiaTheme="minorEastAsia"/>
        </w:rPr>
        <w:footnoteReference w:id="20"/>
      </w:r>
      <w:r>
        <w:rPr>
          <w:rFonts w:eastAsiaTheme="minorEastAsia"/>
        </w:rPr>
        <w:t xml:space="preserve">. Deze is verwijderd uit de dataset, waardoor er nog 68 </w:t>
      </w:r>
      <w:proofErr w:type="spellStart"/>
      <w:r>
        <w:rPr>
          <w:rFonts w:eastAsiaTheme="minorEastAsia"/>
        </w:rPr>
        <w:t>aandeleninkoopprogramma’s</w:t>
      </w:r>
      <w:proofErr w:type="spellEnd"/>
      <w:r>
        <w:rPr>
          <w:rFonts w:eastAsiaTheme="minorEastAsia"/>
        </w:rPr>
        <w:t xml:space="preserve"> overblijven. In </w:t>
      </w:r>
      <w:r w:rsidR="00EB0E93" w:rsidRPr="00122BEF">
        <w:rPr>
          <w:rFonts w:eastAsiaTheme="minorEastAsia"/>
        </w:rPr>
        <w:t>bijlage 3</w:t>
      </w:r>
      <w:r w:rsidR="00EB0E93" w:rsidRPr="00EB0E93">
        <w:rPr>
          <w:rFonts w:eastAsiaTheme="minorEastAsia"/>
          <w:b/>
        </w:rPr>
        <w:t xml:space="preserve"> </w:t>
      </w:r>
      <w:r>
        <w:rPr>
          <w:rFonts w:eastAsiaTheme="minorEastAsia"/>
        </w:rPr>
        <w:t xml:space="preserve">zijn de beschrijvende statistieken te vinden van </w:t>
      </w:r>
      <w:r w:rsidR="00F76EE7">
        <w:rPr>
          <w:rFonts w:eastAsiaTheme="minorEastAsia"/>
        </w:rPr>
        <w:t>de</w:t>
      </w:r>
      <w:r>
        <w:rPr>
          <w:rFonts w:eastAsiaTheme="minorEastAsia"/>
        </w:rPr>
        <w:t xml:space="preserve"> abnorma</w:t>
      </w:r>
      <w:r w:rsidR="00F76EE7">
        <w:rPr>
          <w:rFonts w:eastAsiaTheme="minorEastAsia"/>
        </w:rPr>
        <w:t>le</w:t>
      </w:r>
      <w:r>
        <w:rPr>
          <w:rFonts w:eastAsiaTheme="minorEastAsia"/>
        </w:rPr>
        <w:t xml:space="preserve"> rendement</w:t>
      </w:r>
      <w:r w:rsidR="00F76EE7">
        <w:rPr>
          <w:rFonts w:eastAsiaTheme="minorEastAsia"/>
        </w:rPr>
        <w:t>en</w:t>
      </w:r>
      <w:r>
        <w:rPr>
          <w:rFonts w:eastAsiaTheme="minorEastAsia"/>
        </w:rPr>
        <w:t xml:space="preserve"> volgens  het </w:t>
      </w:r>
      <w:proofErr w:type="spellStart"/>
      <w:r>
        <w:rPr>
          <w:rFonts w:eastAsiaTheme="minorEastAsia"/>
        </w:rPr>
        <w:t>Market</w:t>
      </w:r>
      <w:r w:rsidR="00BB073B">
        <w:rPr>
          <w:rFonts w:eastAsiaTheme="minorEastAsia"/>
        </w:rPr>
        <w:t>-</w:t>
      </w:r>
      <w:r>
        <w:rPr>
          <w:rFonts w:eastAsiaTheme="minorEastAsia"/>
        </w:rPr>
        <w:t>Adjusted</w:t>
      </w:r>
      <w:proofErr w:type="spellEnd"/>
      <w:r>
        <w:rPr>
          <w:rFonts w:eastAsiaTheme="minorEastAsia"/>
        </w:rPr>
        <w:t xml:space="preserve"> Return Model en het Markt Model. Bij het Markt Model zijn ook de beschrijvende statistieken van de geschatte alfa en bèta te vinden. </w:t>
      </w:r>
    </w:p>
    <w:p w:rsidR="001D73BE" w:rsidRPr="00A16C92" w:rsidRDefault="009D4DBB" w:rsidP="00A16C92">
      <w:pPr>
        <w:pStyle w:val="Heading2"/>
        <w:numPr>
          <w:ilvl w:val="2"/>
          <w:numId w:val="12"/>
        </w:numPr>
        <w:jc w:val="both"/>
        <w:rPr>
          <w:color w:val="auto"/>
        </w:rPr>
      </w:pPr>
      <w:bookmarkStart w:id="14" w:name="_Toc361526567"/>
      <w:r>
        <w:rPr>
          <w:color w:val="auto"/>
        </w:rPr>
        <w:t>Theoretisch</w:t>
      </w:r>
      <w:r w:rsidR="00784B11">
        <w:rPr>
          <w:color w:val="auto"/>
        </w:rPr>
        <w:t>e</w:t>
      </w:r>
      <w:r>
        <w:rPr>
          <w:color w:val="auto"/>
        </w:rPr>
        <w:t xml:space="preserve"> </w:t>
      </w:r>
      <w:r w:rsidR="00812FFF">
        <w:rPr>
          <w:color w:val="auto"/>
        </w:rPr>
        <w:t>motie</w:t>
      </w:r>
      <w:r w:rsidR="00784B11">
        <w:rPr>
          <w:color w:val="auto"/>
        </w:rPr>
        <w:t>ven</w:t>
      </w:r>
      <w:bookmarkEnd w:id="14"/>
    </w:p>
    <w:p w:rsidR="001E14C1" w:rsidRDefault="00193686" w:rsidP="009965EB">
      <w:pPr>
        <w:pStyle w:val="NoSpacing"/>
        <w:spacing w:before="120"/>
        <w:jc w:val="both"/>
        <w:rPr>
          <w:rFonts w:eastAsiaTheme="minorEastAsia"/>
        </w:rPr>
      </w:pPr>
      <w:r>
        <w:rPr>
          <w:rFonts w:eastAsiaTheme="minorEastAsia"/>
        </w:rPr>
        <w:t>Om de invloed van het theoretisch motief op de hoogte van het abnorma</w:t>
      </w:r>
      <w:r w:rsidR="00775C81">
        <w:rPr>
          <w:rFonts w:eastAsiaTheme="minorEastAsia"/>
        </w:rPr>
        <w:t>al</w:t>
      </w:r>
      <w:r>
        <w:rPr>
          <w:rFonts w:eastAsiaTheme="minorEastAsia"/>
        </w:rPr>
        <w:t xml:space="preserve"> rendement te testen, is </w:t>
      </w:r>
      <w:r w:rsidR="00C022EE">
        <w:rPr>
          <w:rFonts w:eastAsiaTheme="minorEastAsia"/>
        </w:rPr>
        <w:t>de dataset opgesplitst</w:t>
      </w:r>
      <w:r>
        <w:rPr>
          <w:rFonts w:eastAsiaTheme="minorEastAsia"/>
        </w:rPr>
        <w:t xml:space="preserve"> per theoretisch motief. </w:t>
      </w:r>
      <w:r w:rsidR="00FD23E7">
        <w:rPr>
          <w:rFonts w:eastAsiaTheme="minorEastAsia"/>
        </w:rPr>
        <w:t xml:space="preserve">Een overzicht van de hoofdmotieven </w:t>
      </w:r>
      <w:r w:rsidR="00E917D8">
        <w:rPr>
          <w:rFonts w:eastAsiaTheme="minorEastAsia"/>
        </w:rPr>
        <w:t xml:space="preserve">en de bijbehorende theoretische motieven is weergeven in </w:t>
      </w:r>
      <w:r w:rsidR="00E917D8" w:rsidRPr="00122BEF">
        <w:rPr>
          <w:rFonts w:eastAsiaTheme="minorEastAsia"/>
        </w:rPr>
        <w:t xml:space="preserve">tabel </w:t>
      </w:r>
      <w:r w:rsidR="007257EA" w:rsidRPr="00122BEF">
        <w:rPr>
          <w:rFonts w:eastAsiaTheme="minorEastAsia"/>
        </w:rPr>
        <w:t>3</w:t>
      </w:r>
      <w:r w:rsidR="00E917D8" w:rsidRPr="00122BEF">
        <w:rPr>
          <w:rFonts w:eastAsiaTheme="minorEastAsia"/>
        </w:rPr>
        <w:t>.</w:t>
      </w:r>
      <w:r w:rsidR="00A35076">
        <w:rPr>
          <w:rFonts w:eastAsiaTheme="minorEastAsia"/>
        </w:rPr>
        <w:t xml:space="preserve"> </w:t>
      </w:r>
      <w:r w:rsidR="000C5ABA">
        <w:rPr>
          <w:rFonts w:eastAsiaTheme="minorEastAsia"/>
        </w:rPr>
        <w:t xml:space="preserve">De hoofdmotieven van het </w:t>
      </w:r>
      <w:proofErr w:type="spellStart"/>
      <w:r w:rsidR="000C5ABA">
        <w:rPr>
          <w:rFonts w:eastAsiaTheme="minorEastAsia"/>
        </w:rPr>
        <w:t>aandeleninkoopprogramma’s</w:t>
      </w:r>
      <w:proofErr w:type="spellEnd"/>
      <w:r w:rsidR="00A35076">
        <w:rPr>
          <w:rFonts w:eastAsiaTheme="minorEastAsia"/>
        </w:rPr>
        <w:t xml:space="preserve"> </w:t>
      </w:r>
      <w:r w:rsidR="000C5ABA">
        <w:rPr>
          <w:rFonts w:eastAsiaTheme="minorEastAsia"/>
        </w:rPr>
        <w:t>zijn</w:t>
      </w:r>
      <w:r w:rsidR="00A35076">
        <w:rPr>
          <w:rFonts w:eastAsiaTheme="minorEastAsia"/>
        </w:rPr>
        <w:t xml:space="preserve"> hierbij verkregen uit de persberichten. </w:t>
      </w:r>
      <w:r w:rsidR="00E917D8">
        <w:rPr>
          <w:rFonts w:eastAsiaTheme="minorEastAsia"/>
        </w:rPr>
        <w:t xml:space="preserve">In </w:t>
      </w:r>
      <w:r w:rsidR="000C5ABA">
        <w:rPr>
          <w:rFonts w:eastAsiaTheme="minorEastAsia"/>
        </w:rPr>
        <w:t>de</w:t>
      </w:r>
      <w:r w:rsidR="00E917D8">
        <w:rPr>
          <w:rFonts w:eastAsiaTheme="minorEastAsia"/>
        </w:rPr>
        <w:t xml:space="preserve"> tabel is te zien dat de motieven “</w:t>
      </w:r>
      <w:proofErr w:type="spellStart"/>
      <w:r w:rsidR="00E917D8">
        <w:rPr>
          <w:rFonts w:eastAsiaTheme="minorEastAsia"/>
        </w:rPr>
        <w:t>verwateringseffect</w:t>
      </w:r>
      <w:proofErr w:type="spellEnd"/>
      <w:r w:rsidR="00E917D8">
        <w:rPr>
          <w:rFonts w:eastAsiaTheme="minorEastAsia"/>
        </w:rPr>
        <w:t xml:space="preserve"> neutraliseren”, “optimaliseren vermogensstructuur” en “financiering overname”</w:t>
      </w:r>
      <w:r w:rsidR="001E14C1">
        <w:rPr>
          <w:rFonts w:eastAsiaTheme="minorEastAsia"/>
        </w:rPr>
        <w:t xml:space="preserve"> zijn gekoppeld aan de </w:t>
      </w:r>
      <w:proofErr w:type="spellStart"/>
      <w:r w:rsidR="001E14C1">
        <w:rPr>
          <w:rFonts w:eastAsiaTheme="minorEastAsia"/>
        </w:rPr>
        <w:t>leverage</w:t>
      </w:r>
      <w:proofErr w:type="spellEnd"/>
      <w:r w:rsidR="001E14C1">
        <w:rPr>
          <w:rFonts w:eastAsiaTheme="minorEastAsia"/>
        </w:rPr>
        <w:t xml:space="preserve"> </w:t>
      </w:r>
      <w:r w:rsidR="00E917D8">
        <w:rPr>
          <w:rFonts w:eastAsiaTheme="minorEastAsia"/>
        </w:rPr>
        <w:t xml:space="preserve">hypothese. </w:t>
      </w:r>
      <w:r w:rsidR="001E14C1">
        <w:rPr>
          <w:rFonts w:eastAsiaTheme="minorEastAsia"/>
        </w:rPr>
        <w:t xml:space="preserve">De </w:t>
      </w:r>
      <w:proofErr w:type="spellStart"/>
      <w:r w:rsidR="00E917D8">
        <w:rPr>
          <w:rFonts w:eastAsiaTheme="minorEastAsia"/>
        </w:rPr>
        <w:t>leverage</w:t>
      </w:r>
      <w:proofErr w:type="spellEnd"/>
      <w:r w:rsidR="001E14C1">
        <w:rPr>
          <w:rFonts w:eastAsiaTheme="minorEastAsia"/>
        </w:rPr>
        <w:t xml:space="preserve"> </w:t>
      </w:r>
      <w:r w:rsidR="00E917D8">
        <w:rPr>
          <w:rFonts w:eastAsiaTheme="minorEastAsia"/>
        </w:rPr>
        <w:t xml:space="preserve">hypothese </w:t>
      </w:r>
      <w:r w:rsidR="001E14C1">
        <w:rPr>
          <w:rFonts w:eastAsiaTheme="minorEastAsia"/>
        </w:rPr>
        <w:t xml:space="preserve">houdt in theorie </w:t>
      </w:r>
      <w:r w:rsidR="00E917D8">
        <w:rPr>
          <w:rFonts w:eastAsiaTheme="minorEastAsia"/>
        </w:rPr>
        <w:t xml:space="preserve">uitsluitend verband met </w:t>
      </w:r>
      <w:r w:rsidR="00111129">
        <w:rPr>
          <w:rFonts w:eastAsiaTheme="minorEastAsia"/>
        </w:rPr>
        <w:t xml:space="preserve">de </w:t>
      </w:r>
      <w:r w:rsidR="00E917D8">
        <w:rPr>
          <w:rFonts w:eastAsiaTheme="minorEastAsia"/>
        </w:rPr>
        <w:t>substitutie van eigen vermogen in vreemd vermogen,</w:t>
      </w:r>
      <w:r w:rsidR="00FD23E7">
        <w:rPr>
          <w:rFonts w:eastAsiaTheme="minorEastAsia"/>
        </w:rPr>
        <w:t xml:space="preserve"> </w:t>
      </w:r>
      <w:r w:rsidR="001E14C1">
        <w:rPr>
          <w:rFonts w:eastAsiaTheme="minorEastAsia"/>
        </w:rPr>
        <w:t>waar vooral het motief “optimaliseren vermogensstructuur</w:t>
      </w:r>
      <w:r w:rsidR="007E2926">
        <w:rPr>
          <w:rFonts w:eastAsiaTheme="minorEastAsia"/>
        </w:rPr>
        <w:t>”</w:t>
      </w:r>
      <w:r w:rsidR="001E14C1">
        <w:rPr>
          <w:rFonts w:eastAsiaTheme="minorEastAsia"/>
        </w:rPr>
        <w:t xml:space="preserve"> bij past. De motieven “</w:t>
      </w:r>
      <w:proofErr w:type="spellStart"/>
      <w:r w:rsidR="001E14C1">
        <w:rPr>
          <w:rFonts w:eastAsiaTheme="minorEastAsia"/>
        </w:rPr>
        <w:t>verwateringseffect</w:t>
      </w:r>
      <w:proofErr w:type="spellEnd"/>
      <w:r w:rsidR="001E14C1">
        <w:rPr>
          <w:rFonts w:eastAsiaTheme="minorEastAsia"/>
        </w:rPr>
        <w:t xml:space="preserve"> neutraliseren” en “financiering</w:t>
      </w:r>
      <w:r w:rsidR="00E917D8">
        <w:rPr>
          <w:rFonts w:eastAsiaTheme="minorEastAsia"/>
        </w:rPr>
        <w:t xml:space="preserve"> </w:t>
      </w:r>
      <w:r w:rsidR="001E14C1">
        <w:rPr>
          <w:rFonts w:eastAsiaTheme="minorEastAsia"/>
        </w:rPr>
        <w:t xml:space="preserve">overname” hebben betrekking op de balansopbouw, waardoor gekozen is om ook deze onder </w:t>
      </w:r>
      <w:r w:rsidR="00E64F65">
        <w:rPr>
          <w:rFonts w:eastAsiaTheme="minorEastAsia"/>
        </w:rPr>
        <w:t xml:space="preserve">dit theoretisch motief te plaatsen </w:t>
      </w:r>
      <w:r w:rsidR="00765CCC">
        <w:rPr>
          <w:rFonts w:eastAsiaTheme="minorEastAsia"/>
        </w:rPr>
        <w:t>(Baltus &amp; Schauten, 2000</w:t>
      </w:r>
      <w:r w:rsidR="00E64F65">
        <w:rPr>
          <w:rFonts w:eastAsiaTheme="minorEastAsia"/>
        </w:rPr>
        <w:t>).</w:t>
      </w:r>
      <w:r w:rsidR="00E917D8">
        <w:rPr>
          <w:rFonts w:eastAsiaTheme="minorEastAsia"/>
        </w:rPr>
        <w:t xml:space="preserve"> </w:t>
      </w:r>
      <w:r w:rsidR="001E14C1">
        <w:rPr>
          <w:rFonts w:eastAsiaTheme="minorEastAsia"/>
        </w:rPr>
        <w:t xml:space="preserve">Het motief “overtollig kasgeld uitkeren” is gekoppeld aan de free cash </w:t>
      </w:r>
      <w:proofErr w:type="spellStart"/>
      <w:r w:rsidR="001E14C1">
        <w:rPr>
          <w:rFonts w:eastAsiaTheme="minorEastAsia"/>
        </w:rPr>
        <w:t>flow</w:t>
      </w:r>
      <w:proofErr w:type="spellEnd"/>
      <w:r w:rsidR="001E14C1">
        <w:rPr>
          <w:rFonts w:eastAsiaTheme="minorEastAsia"/>
        </w:rPr>
        <w:t xml:space="preserve"> hypothese.</w:t>
      </w:r>
      <w:r w:rsidR="00E64F65">
        <w:rPr>
          <w:rFonts w:eastAsiaTheme="minorEastAsia"/>
        </w:rPr>
        <w:t xml:space="preserve"> De onderneming heeft </w:t>
      </w:r>
      <w:r w:rsidR="00FD23E7">
        <w:rPr>
          <w:rFonts w:eastAsiaTheme="minorEastAsia"/>
        </w:rPr>
        <w:t>in dit geval</w:t>
      </w:r>
      <w:r w:rsidR="00E64F65">
        <w:rPr>
          <w:rFonts w:eastAsiaTheme="minorEastAsia"/>
        </w:rPr>
        <w:t xml:space="preserve"> onvoldoende groeimogelijkheden, waardoor zij besluit om het overtollige kasgeld te gebruiken voor het inkopen van eigen aandelen.</w:t>
      </w:r>
      <w:r w:rsidR="001E14C1">
        <w:rPr>
          <w:rFonts w:eastAsiaTheme="minorEastAsia"/>
        </w:rPr>
        <w:t xml:space="preserve"> </w:t>
      </w:r>
      <w:r w:rsidR="00E64F65">
        <w:rPr>
          <w:rFonts w:eastAsiaTheme="minorEastAsia"/>
        </w:rPr>
        <w:t xml:space="preserve">Dit motief heeft </w:t>
      </w:r>
      <w:r w:rsidR="00765CCC">
        <w:rPr>
          <w:rFonts w:eastAsiaTheme="minorEastAsia"/>
        </w:rPr>
        <w:t>weliswaar</w:t>
      </w:r>
      <w:r w:rsidR="00E64F65">
        <w:rPr>
          <w:rFonts w:eastAsiaTheme="minorEastAsia"/>
        </w:rPr>
        <w:t xml:space="preserve"> betrekking op de</w:t>
      </w:r>
      <w:r w:rsidR="00765CCC">
        <w:rPr>
          <w:rFonts w:eastAsiaTheme="minorEastAsia"/>
        </w:rPr>
        <w:t xml:space="preserve"> balansopbouw, maar aangezien </w:t>
      </w:r>
      <w:r w:rsidR="00E64F65">
        <w:rPr>
          <w:rFonts w:eastAsiaTheme="minorEastAsia"/>
        </w:rPr>
        <w:t>het inkopen van eigen aandelen</w:t>
      </w:r>
      <w:r w:rsidR="00FD23E7">
        <w:rPr>
          <w:rFonts w:eastAsiaTheme="minorEastAsia"/>
        </w:rPr>
        <w:t xml:space="preserve"> </w:t>
      </w:r>
      <w:r w:rsidR="00E64F65">
        <w:rPr>
          <w:rFonts w:eastAsiaTheme="minorEastAsia"/>
        </w:rPr>
        <w:t>niet door schuld wordt gefinancierd</w:t>
      </w:r>
      <w:r w:rsidR="00765CCC">
        <w:rPr>
          <w:rFonts w:eastAsiaTheme="minorEastAsia"/>
        </w:rPr>
        <w:t xml:space="preserve"> is ervoor gekozen om deze niet te koppelen aan de </w:t>
      </w:r>
      <w:proofErr w:type="spellStart"/>
      <w:r w:rsidR="00765CCC">
        <w:rPr>
          <w:rFonts w:eastAsiaTheme="minorEastAsia"/>
        </w:rPr>
        <w:t>leverage</w:t>
      </w:r>
      <w:proofErr w:type="spellEnd"/>
      <w:r w:rsidR="00765CCC">
        <w:rPr>
          <w:rFonts w:eastAsiaTheme="minorEastAsia"/>
        </w:rPr>
        <w:t xml:space="preserve"> hypothese</w:t>
      </w:r>
      <w:r w:rsidR="00E64F65">
        <w:rPr>
          <w:rFonts w:eastAsiaTheme="minorEastAsia"/>
        </w:rPr>
        <w:t xml:space="preserve">. </w:t>
      </w:r>
    </w:p>
    <w:p w:rsidR="00E917D8" w:rsidRDefault="00E917D8" w:rsidP="009965EB">
      <w:pPr>
        <w:pStyle w:val="NoSpacing"/>
        <w:jc w:val="both"/>
        <w:rPr>
          <w:rFonts w:eastAsiaTheme="minorEastAsia"/>
        </w:rPr>
      </w:pPr>
      <w:r>
        <w:rPr>
          <w:rFonts w:eastAsiaTheme="minorEastAsia"/>
        </w:rPr>
        <w:t xml:space="preserve">De motieven “vanwege lage beurskoers” en “tonen vertrouwen” zijn gekoppeld aan de </w:t>
      </w:r>
      <w:proofErr w:type="spellStart"/>
      <w:r w:rsidR="001E14C1">
        <w:rPr>
          <w:rFonts w:eastAsiaTheme="minorEastAsia"/>
        </w:rPr>
        <w:t>undervaluation</w:t>
      </w:r>
      <w:proofErr w:type="spellEnd"/>
      <w:r w:rsidR="001E14C1">
        <w:rPr>
          <w:rFonts w:eastAsiaTheme="minorEastAsia"/>
        </w:rPr>
        <w:t xml:space="preserve"> </w:t>
      </w:r>
      <w:r>
        <w:rPr>
          <w:rFonts w:eastAsiaTheme="minorEastAsia"/>
        </w:rPr>
        <w:t>hypothese.  Het management van de onderneming geeft met deze motieven immers het signaal af dat zij van mening is dat de onderneming ondergewaard</w:t>
      </w:r>
      <w:r w:rsidR="000D7A3C">
        <w:rPr>
          <w:rFonts w:eastAsiaTheme="minorEastAsia"/>
        </w:rPr>
        <w:t>eerd</w:t>
      </w:r>
      <w:r>
        <w:rPr>
          <w:rFonts w:eastAsiaTheme="minorEastAsia"/>
        </w:rPr>
        <w:t xml:space="preserve"> is. Het motief “fiscaal aantrekkelijk” is gekoppeld aan de dividend hypothese. De onderneming verkiest in dit geval het </w:t>
      </w:r>
      <w:proofErr w:type="spellStart"/>
      <w:r>
        <w:rPr>
          <w:rFonts w:eastAsiaTheme="minorEastAsia"/>
        </w:rPr>
        <w:lastRenderedPageBreak/>
        <w:t>aandeleninkoopprogramma</w:t>
      </w:r>
      <w:proofErr w:type="spellEnd"/>
      <w:r>
        <w:rPr>
          <w:rFonts w:eastAsiaTheme="minorEastAsia"/>
        </w:rPr>
        <w:t xml:space="preserve"> boven een dividenduitkering wegens de fiscaal gunstige behandeling van het inkopen van eigen aandelen. </w:t>
      </w:r>
    </w:p>
    <w:p w:rsidR="00E917D8" w:rsidRDefault="00E917D8" w:rsidP="00E917D8">
      <w:pPr>
        <w:pStyle w:val="NoSpacing"/>
        <w:rPr>
          <w:rFonts w:eastAsiaTheme="minorEastAsia"/>
        </w:rPr>
      </w:pPr>
    </w:p>
    <w:p w:rsidR="00E917D8" w:rsidRDefault="00D2649A" w:rsidP="00E917D8">
      <w:pPr>
        <w:keepNext/>
      </w:pPr>
      <w:r w:rsidRPr="00D2649A">
        <w:rPr>
          <w:noProof/>
          <w:lang w:val="en-US"/>
        </w:rPr>
        <w:drawing>
          <wp:inline distT="0" distB="0" distL="0" distR="0">
            <wp:extent cx="5759450" cy="1448873"/>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759450" cy="1448873"/>
                    </a:xfrm>
                    <a:prstGeom prst="rect">
                      <a:avLst/>
                    </a:prstGeom>
                    <a:noFill/>
                    <a:ln w="9525">
                      <a:noFill/>
                      <a:miter lim="800000"/>
                      <a:headEnd/>
                      <a:tailEnd/>
                    </a:ln>
                  </pic:spPr>
                </pic:pic>
              </a:graphicData>
            </a:graphic>
          </wp:inline>
        </w:drawing>
      </w:r>
    </w:p>
    <w:p w:rsidR="00E917D8" w:rsidRDefault="00E917D8" w:rsidP="00AD3231">
      <w:pPr>
        <w:pStyle w:val="Caption"/>
        <w:jc w:val="both"/>
      </w:pPr>
      <w:r>
        <w:t xml:space="preserve">Tabel </w:t>
      </w:r>
      <w:r w:rsidR="00992938">
        <w:t>3</w:t>
      </w:r>
      <w:r>
        <w:t xml:space="preserve">: </w:t>
      </w:r>
      <w:r w:rsidR="00111129">
        <w:t>De theoretische motieven van de</w:t>
      </w:r>
      <w:r>
        <w:t xml:space="preserve"> </w:t>
      </w:r>
      <w:proofErr w:type="spellStart"/>
      <w:r>
        <w:t>aandeleninkoopprogramma</w:t>
      </w:r>
      <w:r w:rsidR="00111129">
        <w:t>’s</w:t>
      </w:r>
      <w:proofErr w:type="spellEnd"/>
      <w:r w:rsidR="00111129">
        <w:t>, n=69</w:t>
      </w:r>
    </w:p>
    <w:p w:rsidR="00812FFF" w:rsidRPr="00D52FC8" w:rsidRDefault="00E917D8" w:rsidP="009965EB">
      <w:pPr>
        <w:pStyle w:val="NoSpacing"/>
        <w:jc w:val="both"/>
        <w:rPr>
          <w:rFonts w:eastAsiaTheme="minorEastAsia"/>
        </w:rPr>
      </w:pPr>
      <w:r>
        <w:t xml:space="preserve">Uit </w:t>
      </w:r>
      <w:r w:rsidRPr="00122BEF">
        <w:t xml:space="preserve">tabel </w:t>
      </w:r>
      <w:r w:rsidR="00992938" w:rsidRPr="00122BEF">
        <w:t>3</w:t>
      </w:r>
      <w:r>
        <w:t xml:space="preserve"> is af te leiden dat het de </w:t>
      </w:r>
      <w:proofErr w:type="spellStart"/>
      <w:r>
        <w:t>leverage</w:t>
      </w:r>
      <w:proofErr w:type="spellEnd"/>
      <w:r>
        <w:t xml:space="preserve"> hypothese het belangrijke theoretisch motief is om eigen aandelen in te kopen (</w:t>
      </w:r>
      <w:r w:rsidR="00E64F65">
        <w:t>5</w:t>
      </w:r>
      <w:r w:rsidR="00D2649A">
        <w:t>2</w:t>
      </w:r>
      <w:r>
        <w:t>%</w:t>
      </w:r>
      <w:r>
        <w:rPr>
          <w:rStyle w:val="FootnoteReference"/>
        </w:rPr>
        <w:footnoteReference w:id="21"/>
      </w:r>
      <w:r>
        <w:t xml:space="preserve">). Dit is in lijn met de bevonden resultaten van Baltus en Schauten (2000). Zij vonden namelijk ook dat de </w:t>
      </w:r>
      <w:proofErr w:type="spellStart"/>
      <w:r>
        <w:t>leverage</w:t>
      </w:r>
      <w:proofErr w:type="spellEnd"/>
      <w:r>
        <w:t xml:space="preserve"> hypothese het belangrijkste hoofdmotief van het inkopen van eigen aandelen was</w:t>
      </w:r>
      <w:r w:rsidR="00FD23E7">
        <w:rPr>
          <w:rStyle w:val="FootnoteReference"/>
        </w:rPr>
        <w:footnoteReference w:id="22"/>
      </w:r>
      <w:r w:rsidR="00FD23E7">
        <w:t>.</w:t>
      </w:r>
      <w:r>
        <w:t xml:space="preserve"> </w:t>
      </w:r>
      <w:r w:rsidR="00275B27">
        <w:t>Uit de tabel blijkt verder dat de</w:t>
      </w:r>
      <w:r w:rsidR="00FD23E7">
        <w:t xml:space="preserve"> free cash </w:t>
      </w:r>
      <w:proofErr w:type="spellStart"/>
      <w:r w:rsidR="00FD23E7">
        <w:t>flow</w:t>
      </w:r>
      <w:proofErr w:type="spellEnd"/>
      <w:r w:rsidR="00FD23E7">
        <w:t xml:space="preserve"> hypothese </w:t>
      </w:r>
      <w:r w:rsidR="00EF43D9">
        <w:t>ook een belangrijk theoretisch motief om eigen aandelen in te kopen (3</w:t>
      </w:r>
      <w:r w:rsidR="00D2649A">
        <w:t>6</w:t>
      </w:r>
      <w:r w:rsidR="00EF43D9">
        <w:t>%). De</w:t>
      </w:r>
      <w:r w:rsidR="00812FFF">
        <w:t xml:space="preserve"> </w:t>
      </w:r>
      <w:r w:rsidR="0058702D">
        <w:t>andere theoretische motieven worden nauwelijks genoemd in de persberichten en hebben daardoor een verwaarloosbare invloed in deze dataset</w:t>
      </w:r>
      <w:r>
        <w:t xml:space="preserve">. </w:t>
      </w:r>
    </w:p>
    <w:p w:rsidR="002041B9" w:rsidRPr="00A16C92" w:rsidRDefault="009D4DBB" w:rsidP="00851374">
      <w:pPr>
        <w:pStyle w:val="Heading2"/>
        <w:numPr>
          <w:ilvl w:val="2"/>
          <w:numId w:val="12"/>
        </w:numPr>
        <w:jc w:val="both"/>
        <w:rPr>
          <w:color w:val="auto"/>
        </w:rPr>
      </w:pPr>
      <w:bookmarkStart w:id="15" w:name="_Toc361526568"/>
      <w:r>
        <w:rPr>
          <w:color w:val="auto"/>
        </w:rPr>
        <w:t xml:space="preserve">Omvang </w:t>
      </w:r>
      <w:proofErr w:type="spellStart"/>
      <w:r>
        <w:rPr>
          <w:color w:val="auto"/>
        </w:rPr>
        <w:t>aandeleninkoopprogramma</w:t>
      </w:r>
      <w:bookmarkEnd w:id="15"/>
      <w:proofErr w:type="spellEnd"/>
    </w:p>
    <w:p w:rsidR="00851374" w:rsidRDefault="00851374" w:rsidP="009965EB">
      <w:pPr>
        <w:pStyle w:val="NoSpacing"/>
        <w:spacing w:before="120"/>
        <w:jc w:val="both"/>
      </w:pPr>
      <w:r>
        <w:t xml:space="preserve">Om de invloed van de omvang van het inkoopprogramma </w:t>
      </w:r>
      <w:r w:rsidR="00C022EE">
        <w:t>op de hoogte van het abnorma</w:t>
      </w:r>
      <w:r w:rsidR="00795AA0">
        <w:t>al</w:t>
      </w:r>
      <w:r w:rsidR="00C022EE">
        <w:t xml:space="preserve"> rendement </w:t>
      </w:r>
      <w:r>
        <w:t xml:space="preserve">te onderzoeken, is de dataset opgesplitst naar de omvang van het aangekondigde </w:t>
      </w:r>
      <w:proofErr w:type="spellStart"/>
      <w:r>
        <w:t>aandeleninkoopprogramma</w:t>
      </w:r>
      <w:proofErr w:type="spellEnd"/>
      <w:r>
        <w:t>.</w:t>
      </w:r>
    </w:p>
    <w:p w:rsidR="00851374" w:rsidRDefault="00851374" w:rsidP="009965EB">
      <w:pPr>
        <w:pStyle w:val="NoSpacing"/>
        <w:jc w:val="both"/>
      </w:pPr>
      <w:r>
        <w:t xml:space="preserve">In </w:t>
      </w:r>
      <w:r w:rsidRPr="00122BEF">
        <w:t>bijlage 1</w:t>
      </w:r>
      <w:r>
        <w:t xml:space="preserve"> is de omvang van elk </w:t>
      </w:r>
      <w:proofErr w:type="spellStart"/>
      <w:r>
        <w:t>aandeleninkoopprogramma</w:t>
      </w:r>
      <w:proofErr w:type="spellEnd"/>
      <w:r>
        <w:t xml:space="preserve"> weergeven.  De omvang is hierbij </w:t>
      </w:r>
      <w:r w:rsidR="00F065FE">
        <w:t xml:space="preserve">het </w:t>
      </w:r>
      <w:r>
        <w:t xml:space="preserve">percentage aandelen dat van de totale hoeveelheid uitstaande aandelen is ingekocht. In sommige persberichten werd dit percentage vermeld, maar in de meeste gevallen werd de omvang in een euro’s of dollars uitgedrukt. Het aantal aandelen is in </w:t>
      </w:r>
      <w:r w:rsidR="009D4DBB">
        <w:t>het</w:t>
      </w:r>
      <w:r>
        <w:t xml:space="preserve"> laatste geval omgerekend op basis van de </w:t>
      </w:r>
      <w:r w:rsidR="004615F9">
        <w:t>aandelen</w:t>
      </w:r>
      <w:r>
        <w:t>koers op de handelsdag voorafgaande de aankondiging (t=-1</w:t>
      </w:r>
      <w:r w:rsidR="004615F9">
        <w:t>)</w:t>
      </w:r>
      <w:r>
        <w:t xml:space="preserve">. De totale hoeveelheid uitstaande aandelen van de ondernemingen zijn via </w:t>
      </w:r>
      <w:proofErr w:type="spellStart"/>
      <w:r w:rsidR="004615F9">
        <w:t>D</w:t>
      </w:r>
      <w:r>
        <w:t>atastream</w:t>
      </w:r>
      <w:proofErr w:type="spellEnd"/>
      <w:r>
        <w:t xml:space="preserve"> verkregen en is gebaseerd op het aantal uitstaande aandelen op de handelsdag voorafgaande de aankondiging (t=-1). De omvang van het </w:t>
      </w:r>
      <w:proofErr w:type="spellStart"/>
      <w:r>
        <w:t>aandeleninkoopprogramma</w:t>
      </w:r>
      <w:proofErr w:type="spellEnd"/>
      <w:r>
        <w:t xml:space="preserve"> is vervolgens berekend door het aantal aangekondigde in te kopen aandelen</w:t>
      </w:r>
      <w:r w:rsidR="004615F9">
        <w:t xml:space="preserve"> </w:t>
      </w:r>
      <w:r>
        <w:t>te delen door de totale hoeveelheid uitstaande aandelen.</w:t>
      </w:r>
      <w:r w:rsidRPr="007B1167">
        <w:t xml:space="preserve"> </w:t>
      </w:r>
    </w:p>
    <w:p w:rsidR="00851374" w:rsidRDefault="00851374" w:rsidP="009965EB">
      <w:pPr>
        <w:pStyle w:val="NoSpacing"/>
        <w:jc w:val="both"/>
      </w:pPr>
    </w:p>
    <w:p w:rsidR="00851374" w:rsidRDefault="009D4DBB" w:rsidP="009965EB">
      <w:pPr>
        <w:pStyle w:val="NoSpacing"/>
        <w:jc w:val="both"/>
      </w:pPr>
      <w:r>
        <w:t xml:space="preserve">Op basis van deze informatie is de omvang van </w:t>
      </w:r>
      <w:r w:rsidR="00616411">
        <w:t>de</w:t>
      </w:r>
      <w:r w:rsidR="00F45B63">
        <w:t xml:space="preserve"> </w:t>
      </w:r>
      <w:r>
        <w:t>3 subgroepen</w:t>
      </w:r>
      <w:r w:rsidR="00F45B63">
        <w:t xml:space="preserve"> </w:t>
      </w:r>
      <w:r w:rsidR="004615F9">
        <w:t xml:space="preserve">in </w:t>
      </w:r>
      <w:r w:rsidR="00795AA0">
        <w:t>de</w:t>
      </w:r>
      <w:r w:rsidR="004615F9">
        <w:t xml:space="preserve"> dataset</w:t>
      </w:r>
      <w:r>
        <w:t xml:space="preserve"> als volgt</w:t>
      </w:r>
      <w:r w:rsidR="007A084C">
        <w:rPr>
          <w:rStyle w:val="FootnoteReference"/>
        </w:rPr>
        <w:footnoteReference w:id="23"/>
      </w:r>
      <w:r w:rsidR="004615F9">
        <w:t>:</w:t>
      </w:r>
    </w:p>
    <w:p w:rsidR="00851374" w:rsidRDefault="00851374" w:rsidP="009965EB">
      <w:pPr>
        <w:pStyle w:val="NoSpacing"/>
        <w:numPr>
          <w:ilvl w:val="0"/>
          <w:numId w:val="8"/>
        </w:numPr>
        <w:jc w:val="both"/>
      </w:pPr>
      <w:r w:rsidRPr="00793B05">
        <w:rPr>
          <w:i/>
        </w:rPr>
        <w:t xml:space="preserve">Subgroep </w:t>
      </w:r>
      <w:r>
        <w:rPr>
          <w:i/>
        </w:rPr>
        <w:t>A</w:t>
      </w:r>
      <w:r>
        <w:t xml:space="preserve">: 43 </w:t>
      </w:r>
      <w:proofErr w:type="spellStart"/>
      <w:r>
        <w:t>aandeleninkoopprogramma’s</w:t>
      </w:r>
      <w:proofErr w:type="spellEnd"/>
      <w:r>
        <w:t xml:space="preserve"> met een percentage van het uitstaande aandelenkapitaal tussen de 0 en 5%</w:t>
      </w:r>
      <w:r w:rsidR="00642B1A">
        <w:t>.</w:t>
      </w:r>
      <w:r>
        <w:t xml:space="preserve"> </w:t>
      </w:r>
    </w:p>
    <w:p w:rsidR="00851374" w:rsidRDefault="00851374" w:rsidP="009965EB">
      <w:pPr>
        <w:pStyle w:val="NoSpacing"/>
        <w:numPr>
          <w:ilvl w:val="0"/>
          <w:numId w:val="8"/>
        </w:numPr>
        <w:jc w:val="both"/>
      </w:pPr>
      <w:r w:rsidRPr="00793B05">
        <w:rPr>
          <w:i/>
        </w:rPr>
        <w:t xml:space="preserve">Subgroep </w:t>
      </w:r>
      <w:r>
        <w:rPr>
          <w:i/>
        </w:rPr>
        <w:t>B</w:t>
      </w:r>
      <w:r>
        <w:t xml:space="preserve">: 18 </w:t>
      </w:r>
      <w:proofErr w:type="spellStart"/>
      <w:r>
        <w:t>aandeleninkoopprogramma’s</w:t>
      </w:r>
      <w:proofErr w:type="spellEnd"/>
      <w:r>
        <w:t xml:space="preserve"> met een percentage van het uitstaande aandelenkapitaal tussen de 5 en 10%</w:t>
      </w:r>
      <w:r w:rsidR="00642B1A">
        <w:t>.</w:t>
      </w:r>
    </w:p>
    <w:p w:rsidR="00F45B63" w:rsidRDefault="00851374" w:rsidP="009965EB">
      <w:pPr>
        <w:pStyle w:val="NoSpacing"/>
        <w:numPr>
          <w:ilvl w:val="0"/>
          <w:numId w:val="8"/>
        </w:numPr>
        <w:jc w:val="both"/>
      </w:pPr>
      <w:r w:rsidRPr="00793B05">
        <w:rPr>
          <w:i/>
        </w:rPr>
        <w:t xml:space="preserve">Subgroep </w:t>
      </w:r>
      <w:r>
        <w:rPr>
          <w:i/>
        </w:rPr>
        <w:t>C</w:t>
      </w:r>
      <w:r>
        <w:t xml:space="preserve">: 7 </w:t>
      </w:r>
      <w:proofErr w:type="spellStart"/>
      <w:r>
        <w:t>aandeleninkoopprogramma’s</w:t>
      </w:r>
      <w:proofErr w:type="spellEnd"/>
      <w:r>
        <w:t xml:space="preserve"> met een percentage van het uitstaande aandelenkapitaal </w:t>
      </w:r>
      <w:r w:rsidR="00467EFB">
        <w:t>van tenminste</w:t>
      </w:r>
      <w:r>
        <w:t xml:space="preserve"> 10%</w:t>
      </w:r>
      <w:r w:rsidR="00642B1A">
        <w:t>.</w:t>
      </w:r>
    </w:p>
    <w:p w:rsidR="004615F9" w:rsidRDefault="004615F9" w:rsidP="001F71F2">
      <w:pPr>
        <w:pStyle w:val="Heading2"/>
        <w:numPr>
          <w:ilvl w:val="2"/>
          <w:numId w:val="12"/>
        </w:numPr>
        <w:jc w:val="both"/>
        <w:rPr>
          <w:color w:val="auto"/>
        </w:rPr>
      </w:pPr>
      <w:bookmarkStart w:id="16" w:name="_Toc361526569"/>
      <w:r>
        <w:rPr>
          <w:color w:val="auto"/>
        </w:rPr>
        <w:lastRenderedPageBreak/>
        <w:t>Belangrijke gebeurtenissen op de dag van aankondiging</w:t>
      </w:r>
      <w:bookmarkEnd w:id="16"/>
    </w:p>
    <w:p w:rsidR="00126EF6" w:rsidRDefault="00561B39" w:rsidP="009965EB">
      <w:pPr>
        <w:pStyle w:val="NoSpacing"/>
        <w:spacing w:before="120"/>
        <w:jc w:val="both"/>
      </w:pPr>
      <w:r>
        <w:t xml:space="preserve">Om de invloed van de belangrijke gebeurtenissen te kunnen </w:t>
      </w:r>
      <w:r w:rsidR="00126EF6">
        <w:t>bepalen</w:t>
      </w:r>
      <w:r>
        <w:t xml:space="preserve">, is er via persberichten nagegaan of er op de desbetreffende dag sprake </w:t>
      </w:r>
      <w:r w:rsidR="00126EF6">
        <w:t>was</w:t>
      </w:r>
      <w:r>
        <w:t xml:space="preserve"> van een </w:t>
      </w:r>
      <w:r w:rsidR="0058702D">
        <w:t xml:space="preserve">andere </w:t>
      </w:r>
      <w:r>
        <w:t xml:space="preserve">belangrijke gebeurtenis. In </w:t>
      </w:r>
      <w:r w:rsidRPr="00122BEF">
        <w:t>bijlage 1</w:t>
      </w:r>
      <w:r>
        <w:rPr>
          <w:b/>
        </w:rPr>
        <w:t xml:space="preserve"> </w:t>
      </w:r>
      <w:r>
        <w:t xml:space="preserve">is dit per </w:t>
      </w:r>
      <w:proofErr w:type="spellStart"/>
      <w:r>
        <w:t>aandeleninkoopprogramma</w:t>
      </w:r>
      <w:proofErr w:type="spellEnd"/>
      <w:r>
        <w:t xml:space="preserve"> weergeven. Op basis van deze informatie is er bij 4</w:t>
      </w:r>
      <w:r w:rsidR="001B25FB">
        <w:t>9</w:t>
      </w:r>
      <w:r>
        <w:t xml:space="preserve"> aangekondigde </w:t>
      </w:r>
      <w:proofErr w:type="spellStart"/>
      <w:r>
        <w:t>aandeleninkoopprogramma’s</w:t>
      </w:r>
      <w:proofErr w:type="spellEnd"/>
      <w:r>
        <w:t xml:space="preserve"> sprake va</w:t>
      </w:r>
      <w:r w:rsidR="00795AA0">
        <w:t xml:space="preserve">n een </w:t>
      </w:r>
      <w:r w:rsidR="0058702D">
        <w:t xml:space="preserve">andere </w:t>
      </w:r>
      <w:r w:rsidR="00795AA0">
        <w:t xml:space="preserve">belangrijke gebeurtenis. </w:t>
      </w:r>
      <w:r>
        <w:t xml:space="preserve">Bij </w:t>
      </w:r>
      <w:r w:rsidR="001B25FB">
        <w:t>1</w:t>
      </w:r>
      <w:r w:rsidR="00414BF1">
        <w:t>9</w:t>
      </w:r>
      <w:r>
        <w:t xml:space="preserve"> </w:t>
      </w:r>
      <w:proofErr w:type="spellStart"/>
      <w:r>
        <w:t>aandeleninkoopprogramma’s</w:t>
      </w:r>
      <w:proofErr w:type="spellEnd"/>
      <w:r>
        <w:t xml:space="preserve"> vind</w:t>
      </w:r>
      <w:r w:rsidR="00111129">
        <w:t>t</w:t>
      </w:r>
      <w:r>
        <w:t xml:space="preserve"> er op de dag van aankondiging geen andere belangrijke gebeurtenis plaats.  </w:t>
      </w:r>
    </w:p>
    <w:p w:rsidR="00C022EE" w:rsidRDefault="00C022EE" w:rsidP="001F71F2">
      <w:pPr>
        <w:pStyle w:val="Heading2"/>
        <w:numPr>
          <w:ilvl w:val="1"/>
          <w:numId w:val="1"/>
        </w:numPr>
        <w:jc w:val="both"/>
        <w:rPr>
          <w:color w:val="auto"/>
        </w:rPr>
      </w:pPr>
      <w:bookmarkStart w:id="17" w:name="_Toc361526570"/>
      <w:r>
        <w:rPr>
          <w:color w:val="auto"/>
        </w:rPr>
        <w:t>Samenvatting</w:t>
      </w:r>
      <w:bookmarkEnd w:id="17"/>
    </w:p>
    <w:p w:rsidR="00EE353C" w:rsidRDefault="00126EF6" w:rsidP="009965EB">
      <w:pPr>
        <w:pStyle w:val="NoSpacing"/>
        <w:spacing w:before="120"/>
        <w:jc w:val="both"/>
      </w:pPr>
      <w:r>
        <w:t xml:space="preserve">De koersreacties op en rondom de dag van aankondiging worden onderzocht op abnormale rendementen. De </w:t>
      </w:r>
      <w:proofErr w:type="spellStart"/>
      <w:r>
        <w:t>event</w:t>
      </w:r>
      <w:proofErr w:type="spellEnd"/>
      <w:r>
        <w:t xml:space="preserve"> </w:t>
      </w:r>
      <w:proofErr w:type="spellStart"/>
      <w:r>
        <w:t>window</w:t>
      </w:r>
      <w:proofErr w:type="spellEnd"/>
      <w:r>
        <w:t xml:space="preserve"> bedraagt hierbij </w:t>
      </w:r>
      <w:r w:rsidR="000A7CD2">
        <w:t>vijf</w:t>
      </w:r>
      <w:r>
        <w:t xml:space="preserve"> handelsdagen voor de aankondiging van het </w:t>
      </w:r>
      <w:proofErr w:type="spellStart"/>
      <w:r>
        <w:t>aandeleninkoopprogramma</w:t>
      </w:r>
      <w:proofErr w:type="spellEnd"/>
      <w:r>
        <w:t xml:space="preserve"> tot en met en met </w:t>
      </w:r>
      <w:r w:rsidR="000A7CD2">
        <w:t>vijf</w:t>
      </w:r>
      <w:r>
        <w:t xml:space="preserve"> handelsdagen na deze bekendmaking. Om de abnormale rendementen te kunnen bepalen, wordt gebruik gemaakt van zowel het </w:t>
      </w:r>
      <w:proofErr w:type="spellStart"/>
      <w:r>
        <w:t>Market-Adjusted</w:t>
      </w:r>
      <w:proofErr w:type="spellEnd"/>
      <w:r>
        <w:t xml:space="preserve"> Return Model als het Markt Model. De abnormale rendementen worden statistisch getest met behulp van de </w:t>
      </w:r>
      <w:proofErr w:type="spellStart"/>
      <w:r>
        <w:t>t-t</w:t>
      </w:r>
      <w:r w:rsidR="00795AA0">
        <w:t>oets</w:t>
      </w:r>
      <w:proofErr w:type="spellEnd"/>
      <w:r>
        <w:t xml:space="preserve"> en de tekentoets.</w:t>
      </w:r>
      <w:r w:rsidR="00EE353C">
        <w:t xml:space="preserve"> </w:t>
      </w:r>
      <w:r w:rsidR="00527D10">
        <w:t xml:space="preserve">De abnormale rendementen zijn economisch significant indien </w:t>
      </w:r>
      <w:r w:rsidR="00795AA0">
        <w:t>deze</w:t>
      </w:r>
      <w:r w:rsidR="00527D10">
        <w:t xml:space="preserve"> hoger </w:t>
      </w:r>
      <w:r w:rsidR="00795AA0">
        <w:t>zijn</w:t>
      </w:r>
      <w:r w:rsidR="00527D10">
        <w:t xml:space="preserve"> dan</w:t>
      </w:r>
      <w:r w:rsidR="00EE353C">
        <w:t xml:space="preserve"> </w:t>
      </w:r>
      <w:r w:rsidR="00527D10">
        <w:t>de variabele transactiekosten van 0,09%</w:t>
      </w:r>
      <w:r w:rsidR="00DF1A3F">
        <w:t>.</w:t>
      </w:r>
      <w:r>
        <w:t xml:space="preserve"> Daarnaast wordt gekeken naar de invloed op het abnormaal rendement van het theoretisch motief om eigen aandelen in te kopen, de omvang van het </w:t>
      </w:r>
      <w:proofErr w:type="spellStart"/>
      <w:r>
        <w:t>aandeleninkoopprogramma</w:t>
      </w:r>
      <w:proofErr w:type="spellEnd"/>
      <w:r>
        <w:t xml:space="preserve"> en </w:t>
      </w:r>
      <w:r w:rsidR="0058702D">
        <w:t xml:space="preserve">de </w:t>
      </w:r>
      <w:r>
        <w:t>belangrijke gebeurtenissen op de dag van aankondiging. Om te bepalen of het abnormaal rendement van</w:t>
      </w:r>
      <w:r w:rsidR="00EE353C">
        <w:t xml:space="preserve"> </w:t>
      </w:r>
      <w:proofErr w:type="spellStart"/>
      <w:r w:rsidR="00EE353C">
        <w:t>aandeleninkoopprogramma’s</w:t>
      </w:r>
      <w:proofErr w:type="spellEnd"/>
      <w:r w:rsidR="00EE353C">
        <w:t xml:space="preserve"> met</w:t>
      </w:r>
      <w:r>
        <w:t xml:space="preserve"> gebeurtenissen significant verschilt van </w:t>
      </w:r>
      <w:proofErr w:type="spellStart"/>
      <w:r w:rsidR="00EE353C">
        <w:t>aandeleninkoopprogramma’s</w:t>
      </w:r>
      <w:proofErr w:type="spellEnd"/>
      <w:r w:rsidR="00EE353C">
        <w:t xml:space="preserve"> zonder gebeurtenissen wordt gebruikt gemaakt van de </w:t>
      </w:r>
      <w:proofErr w:type="spellStart"/>
      <w:r w:rsidR="00EE353C">
        <w:t>two</w:t>
      </w:r>
      <w:proofErr w:type="spellEnd"/>
      <w:r w:rsidR="00EE353C">
        <w:t xml:space="preserve"> sample </w:t>
      </w:r>
      <w:proofErr w:type="spellStart"/>
      <w:r w:rsidR="00EE353C">
        <w:t>t-toets</w:t>
      </w:r>
      <w:proofErr w:type="spellEnd"/>
      <w:r w:rsidR="00EE353C">
        <w:t>.</w:t>
      </w:r>
    </w:p>
    <w:p w:rsidR="00126EF6" w:rsidRDefault="00EE353C" w:rsidP="009965EB">
      <w:pPr>
        <w:pStyle w:val="NoSpacing"/>
        <w:jc w:val="both"/>
      </w:pPr>
      <w:r>
        <w:t>Ik verwacht dat op de dag van aankondiging een statistisch en economisch significant</w:t>
      </w:r>
      <w:r w:rsidR="00126EF6">
        <w:t xml:space="preserve"> </w:t>
      </w:r>
      <w:r w:rsidR="0054733B">
        <w:t xml:space="preserve">positief </w:t>
      </w:r>
      <w:r w:rsidR="00527D10">
        <w:t>abnormaal positief rendement. Op dagen rondom de aankondiging verwacht ik geen statistisch significant</w:t>
      </w:r>
      <w:r w:rsidR="0054733B">
        <w:t>e</w:t>
      </w:r>
      <w:r w:rsidR="00527D10">
        <w:t xml:space="preserve"> abnorma</w:t>
      </w:r>
      <w:r w:rsidR="0054733B">
        <w:t xml:space="preserve">le </w:t>
      </w:r>
      <w:r w:rsidR="00527D10">
        <w:t>rendement</w:t>
      </w:r>
      <w:r w:rsidR="0054733B">
        <w:t>en</w:t>
      </w:r>
      <w:r w:rsidR="00527D10">
        <w:t xml:space="preserve">. Ik verwacht verder dat bij de </w:t>
      </w:r>
      <w:proofErr w:type="spellStart"/>
      <w:r w:rsidR="00527D10">
        <w:t>leverage</w:t>
      </w:r>
      <w:proofErr w:type="spellEnd"/>
      <w:r w:rsidR="00527D10">
        <w:t xml:space="preserve"> hypothese </w:t>
      </w:r>
      <w:r w:rsidR="0054733B">
        <w:t xml:space="preserve">op de dag van aankondiging </w:t>
      </w:r>
      <w:r w:rsidR="00527D10">
        <w:t xml:space="preserve">een </w:t>
      </w:r>
      <w:r w:rsidR="00DF1A3F">
        <w:t xml:space="preserve">statistisch </w:t>
      </w:r>
      <w:r w:rsidR="00527D10">
        <w:t xml:space="preserve">significant abnormaal rendement wordt gevonden. </w:t>
      </w:r>
      <w:r w:rsidR="0090636B">
        <w:t>Daarnaast</w:t>
      </w:r>
      <w:r w:rsidR="00527D10">
        <w:t xml:space="preserve"> verwacht ik dat de omvang en de belangrijke gebeurtenissen een positieve invloed hebben op het gevonden abnormaal rendement. </w:t>
      </w:r>
      <w:r w:rsidR="006544BB">
        <w:t>Ten slotte verwacht ik dat het de gebruikte methode</w:t>
      </w:r>
      <w:r w:rsidR="0054733B">
        <w:t>,</w:t>
      </w:r>
      <w:r w:rsidR="006544BB">
        <w:t xml:space="preserve"> om het normaal rendement te bepalen</w:t>
      </w:r>
      <w:r w:rsidR="0054733B">
        <w:t>,</w:t>
      </w:r>
      <w:r w:rsidR="006544BB">
        <w:t xml:space="preserve"> geen invloed heeft op de resultaten.</w:t>
      </w:r>
    </w:p>
    <w:p w:rsidR="006544BB" w:rsidRDefault="006544BB" w:rsidP="009965EB">
      <w:pPr>
        <w:pStyle w:val="NoSpacing"/>
        <w:jc w:val="both"/>
      </w:pPr>
      <w:r>
        <w:t xml:space="preserve">De dataset die onderzocht gaat worden, bestaat </w:t>
      </w:r>
      <w:r w:rsidR="0017557C">
        <w:t>(</w:t>
      </w:r>
      <w:r>
        <w:t>in eerste instantie</w:t>
      </w:r>
      <w:r w:rsidR="0017557C">
        <w:t>)</w:t>
      </w:r>
      <w:r>
        <w:t xml:space="preserve"> uit 69 </w:t>
      </w:r>
      <w:proofErr w:type="spellStart"/>
      <w:r>
        <w:t>aandeleninkoopprogramma’s</w:t>
      </w:r>
      <w:proofErr w:type="spellEnd"/>
      <w:r>
        <w:t xml:space="preserve"> die in de periode januari 2001 tot en met maart 2013 zijn aangekondigd. Bij 68 </w:t>
      </w:r>
      <w:proofErr w:type="spellStart"/>
      <w:r>
        <w:t>aandeleninkoopprogramma’s</w:t>
      </w:r>
      <w:proofErr w:type="spellEnd"/>
      <w:r>
        <w:t xml:space="preserve"> wordt gebruik gemaakt van de open </w:t>
      </w:r>
      <w:proofErr w:type="spellStart"/>
      <w:r>
        <w:t>market</w:t>
      </w:r>
      <w:proofErr w:type="spellEnd"/>
      <w:r>
        <w:t xml:space="preserve"> </w:t>
      </w:r>
      <w:proofErr w:type="spellStart"/>
      <w:r>
        <w:t>repurchase</w:t>
      </w:r>
      <w:proofErr w:type="spellEnd"/>
      <w:r>
        <w:t xml:space="preserve"> methode en bij 1 </w:t>
      </w:r>
      <w:proofErr w:type="spellStart"/>
      <w:r>
        <w:t>aandeleninkoopprogramma</w:t>
      </w:r>
      <w:proofErr w:type="spellEnd"/>
      <w:r>
        <w:t xml:space="preserve"> wordt gebruik gemaakt van direct </w:t>
      </w:r>
      <w:proofErr w:type="spellStart"/>
      <w:r>
        <w:t>repurchase</w:t>
      </w:r>
      <w:proofErr w:type="spellEnd"/>
      <w:r>
        <w:t xml:space="preserve"> methode. </w:t>
      </w:r>
      <w:r w:rsidR="0058702D">
        <w:t xml:space="preserve">Er is </w:t>
      </w:r>
      <w:r w:rsidR="00DF1A3F">
        <w:t>éé</w:t>
      </w:r>
      <w:r>
        <w:t xml:space="preserve">n </w:t>
      </w:r>
      <w:proofErr w:type="spellStart"/>
      <w:r>
        <w:t>aandeleninkoopprogramma</w:t>
      </w:r>
      <w:proofErr w:type="spellEnd"/>
      <w:r>
        <w:t xml:space="preserve"> uit de dataset verwijdert</w:t>
      </w:r>
      <w:r w:rsidR="0058702D">
        <w:t xml:space="preserve">, omdat deze </w:t>
      </w:r>
      <w:proofErr w:type="spellStart"/>
      <w:r w:rsidR="0058702D">
        <w:t>outlier</w:t>
      </w:r>
      <w:proofErr w:type="spellEnd"/>
      <w:r w:rsidR="0058702D">
        <w:t xml:space="preserve"> een grote invloed had op de resultaten</w:t>
      </w:r>
      <w:r>
        <w:t xml:space="preserve">. </w:t>
      </w:r>
    </w:p>
    <w:p w:rsidR="006544BB" w:rsidRDefault="0058702D" w:rsidP="009965EB">
      <w:pPr>
        <w:pStyle w:val="NoSpacing"/>
        <w:jc w:val="both"/>
      </w:pPr>
      <w:r>
        <w:t>De</w:t>
      </w:r>
      <w:r w:rsidR="006544BB">
        <w:t xml:space="preserve"> belangrijkste theoretische motieven om eigen aandelen in te kopen zijn de </w:t>
      </w:r>
      <w:proofErr w:type="spellStart"/>
      <w:r w:rsidR="006544BB">
        <w:t>leverage</w:t>
      </w:r>
      <w:proofErr w:type="spellEnd"/>
      <w:r w:rsidR="006544BB">
        <w:t xml:space="preserve"> hypothese (52%) en </w:t>
      </w:r>
      <w:r w:rsidR="0017557C">
        <w:t xml:space="preserve">de </w:t>
      </w:r>
      <w:r w:rsidR="006544BB">
        <w:t xml:space="preserve">free cash </w:t>
      </w:r>
      <w:proofErr w:type="spellStart"/>
      <w:r w:rsidR="006544BB">
        <w:t>flow</w:t>
      </w:r>
      <w:proofErr w:type="spellEnd"/>
      <w:r w:rsidR="006544BB">
        <w:t xml:space="preserve"> hypothese (36%). De invloed van de overige </w:t>
      </w:r>
      <w:r w:rsidR="0017557C">
        <w:t xml:space="preserve">motieven </w:t>
      </w:r>
      <w:r>
        <w:t>is</w:t>
      </w:r>
      <w:r w:rsidR="0017557C">
        <w:t xml:space="preserve"> verwaarloosbaar.</w:t>
      </w:r>
      <w:r w:rsidR="00D37402">
        <w:t xml:space="preserve"> </w:t>
      </w:r>
      <w:r w:rsidR="006544BB">
        <w:t xml:space="preserve">Er zijn 43 </w:t>
      </w:r>
      <w:proofErr w:type="spellStart"/>
      <w:r w:rsidR="006544BB">
        <w:t>aandeleninkoopprogramma’s</w:t>
      </w:r>
      <w:proofErr w:type="spellEnd"/>
      <w:r w:rsidR="006544BB">
        <w:t xml:space="preserve"> met een omvang </w:t>
      </w:r>
      <w:r w:rsidR="0054733B">
        <w:t xml:space="preserve">tussen 0 en </w:t>
      </w:r>
      <w:r w:rsidR="006544BB">
        <w:t xml:space="preserve">5%, 18 </w:t>
      </w:r>
      <w:proofErr w:type="spellStart"/>
      <w:r w:rsidR="006544BB">
        <w:t>aandeleninkoopprogramma’s</w:t>
      </w:r>
      <w:proofErr w:type="spellEnd"/>
      <w:r w:rsidR="006544BB">
        <w:t xml:space="preserve"> met een omvang </w:t>
      </w:r>
      <w:r w:rsidR="0054733B">
        <w:t xml:space="preserve">tussen 5 en </w:t>
      </w:r>
      <w:r w:rsidR="006544BB">
        <w:t xml:space="preserve">10% </w:t>
      </w:r>
      <w:r w:rsidR="00DF1A3F">
        <w:t xml:space="preserve">en 7 </w:t>
      </w:r>
      <w:proofErr w:type="spellStart"/>
      <w:r w:rsidR="00DF1A3F">
        <w:t>aandeleninkoopprogramma’s</w:t>
      </w:r>
      <w:proofErr w:type="spellEnd"/>
      <w:r w:rsidR="00DF1A3F">
        <w:t xml:space="preserve"> met een omvang van tenminste 10% van het aandelenkapitaal. Bij 49 </w:t>
      </w:r>
      <w:proofErr w:type="spellStart"/>
      <w:r w:rsidR="00DF1A3F">
        <w:t>aandeleninkoopprogramma’s</w:t>
      </w:r>
      <w:proofErr w:type="spellEnd"/>
      <w:r w:rsidR="00DF1A3F">
        <w:t xml:space="preserve"> vindt er op de dag van aankondiging tegelijkertijd een belangrijke gebeurtenis plaats, bij de overige 19 is hier geen sprake van. </w:t>
      </w:r>
    </w:p>
    <w:p w:rsidR="006544BB" w:rsidRDefault="006544BB" w:rsidP="00EE353C">
      <w:pPr>
        <w:pStyle w:val="NoSpacing"/>
      </w:pPr>
    </w:p>
    <w:p w:rsidR="00851374" w:rsidRDefault="00851374" w:rsidP="00126EF6">
      <w:pPr>
        <w:pStyle w:val="NoSpacing"/>
      </w:pPr>
    </w:p>
    <w:p w:rsidR="00EE353C" w:rsidRDefault="00EE353C" w:rsidP="00126EF6">
      <w:pPr>
        <w:pStyle w:val="NoSpacing"/>
      </w:pPr>
    </w:p>
    <w:p w:rsidR="00EE353C" w:rsidRDefault="00EE353C" w:rsidP="00126EF6">
      <w:pPr>
        <w:pStyle w:val="NoSpacing"/>
      </w:pPr>
    </w:p>
    <w:p w:rsidR="00EE353C" w:rsidRDefault="00EE353C" w:rsidP="00126EF6">
      <w:pPr>
        <w:pStyle w:val="NoSpacing"/>
      </w:pPr>
    </w:p>
    <w:p w:rsidR="00EE353C" w:rsidRPr="00211EFD" w:rsidRDefault="00EE353C" w:rsidP="00126EF6">
      <w:pPr>
        <w:pStyle w:val="NoSpacing"/>
      </w:pPr>
    </w:p>
    <w:p w:rsidR="009C4E91" w:rsidRPr="00F4495C" w:rsidRDefault="009C4E91" w:rsidP="001F71F2">
      <w:pPr>
        <w:pStyle w:val="Heading1"/>
        <w:numPr>
          <w:ilvl w:val="0"/>
          <w:numId w:val="1"/>
        </w:numPr>
        <w:rPr>
          <w:color w:val="auto"/>
        </w:rPr>
      </w:pPr>
      <w:bookmarkStart w:id="18" w:name="_Toc361526571"/>
      <w:r>
        <w:rPr>
          <w:color w:val="auto"/>
        </w:rPr>
        <w:lastRenderedPageBreak/>
        <w:t>Resultaten</w:t>
      </w:r>
      <w:bookmarkEnd w:id="18"/>
    </w:p>
    <w:p w:rsidR="002F7B66" w:rsidRDefault="002F7B66" w:rsidP="001F71F2">
      <w:pPr>
        <w:pStyle w:val="Heading2"/>
        <w:numPr>
          <w:ilvl w:val="1"/>
          <w:numId w:val="2"/>
        </w:numPr>
        <w:jc w:val="both"/>
        <w:rPr>
          <w:color w:val="auto"/>
        </w:rPr>
      </w:pPr>
      <w:bookmarkStart w:id="19" w:name="_Toc361526572"/>
      <w:r>
        <w:rPr>
          <w:color w:val="auto"/>
        </w:rPr>
        <w:t>Inleiding</w:t>
      </w:r>
      <w:bookmarkEnd w:id="19"/>
      <w:r>
        <w:rPr>
          <w:color w:val="auto"/>
        </w:rPr>
        <w:t xml:space="preserve"> </w:t>
      </w:r>
    </w:p>
    <w:p w:rsidR="00D52FC8" w:rsidRDefault="00D52FC8" w:rsidP="009965EB">
      <w:pPr>
        <w:pStyle w:val="NoSpacing"/>
        <w:spacing w:before="120"/>
        <w:jc w:val="both"/>
      </w:pPr>
      <w:r>
        <w:t xml:space="preserve">In dit hoofdstuk worden de resultaten van het empirisch onderzoek </w:t>
      </w:r>
      <w:r w:rsidR="0054733B">
        <w:t>weergeven</w:t>
      </w:r>
      <w:r>
        <w:t xml:space="preserve">. In paragraaf 4.2 </w:t>
      </w:r>
      <w:r w:rsidR="00D73544">
        <w:t>staan</w:t>
      </w:r>
      <w:r>
        <w:t xml:space="preserve"> de resultaten van de gehele dataset </w:t>
      </w:r>
      <w:r w:rsidR="00D73544">
        <w:t>centraal</w:t>
      </w:r>
      <w:r>
        <w:t xml:space="preserve">. In paragraaf 4.3 worden de resultaten van de invloed van het theoretisch motief </w:t>
      </w:r>
      <w:r w:rsidR="0054733B">
        <w:t>weergeven</w:t>
      </w:r>
      <w:r w:rsidR="00FC5883">
        <w:t>. In paragraaf 4.4</w:t>
      </w:r>
      <w:r>
        <w:t xml:space="preserve"> worden de resultaten van de invloed van de omvang van het </w:t>
      </w:r>
      <w:proofErr w:type="spellStart"/>
      <w:r>
        <w:t>aandeleninkoopprogramma</w:t>
      </w:r>
      <w:proofErr w:type="spellEnd"/>
      <w:r>
        <w:t xml:space="preserve"> </w:t>
      </w:r>
      <w:r w:rsidR="0054733B">
        <w:t>besproken</w:t>
      </w:r>
      <w:r w:rsidR="00FC5883">
        <w:t>. In paragraaf 4.5</w:t>
      </w:r>
      <w:r>
        <w:t xml:space="preserve"> worden de resultaten van de invloed van de belangrijke gebeurtenissen op de dag van aankondiging </w:t>
      </w:r>
      <w:r w:rsidR="0054733B">
        <w:t>weergeven</w:t>
      </w:r>
      <w:r>
        <w:t>.</w:t>
      </w:r>
      <w:r w:rsidR="002F64F6">
        <w:t xml:space="preserve"> In paragraaf 4.6 word</w:t>
      </w:r>
      <w:r w:rsidR="00FF73EC">
        <w:t xml:space="preserve">en </w:t>
      </w:r>
      <w:r w:rsidR="00FC5883">
        <w:t>twee</w:t>
      </w:r>
      <w:r w:rsidR="002F64F6">
        <w:t xml:space="preserve"> regressiemodel</w:t>
      </w:r>
      <w:r w:rsidR="00FC5883">
        <w:t>len</w:t>
      </w:r>
      <w:r w:rsidR="002F64F6">
        <w:t xml:space="preserve"> om het abnormaal rendement </w:t>
      </w:r>
      <w:r w:rsidR="00FF73EC">
        <w:t xml:space="preserve">op de dag van aankondiging </w:t>
      </w:r>
      <w:r w:rsidR="002F64F6">
        <w:t>te verklaren</w:t>
      </w:r>
      <w:r w:rsidR="00FF73EC">
        <w:t xml:space="preserve"> getest</w:t>
      </w:r>
      <w:r w:rsidR="002F64F6">
        <w:t xml:space="preserve">. De onafhankelijke variabelen in </w:t>
      </w:r>
      <w:r w:rsidR="00FC5883">
        <w:t>deze</w:t>
      </w:r>
      <w:r w:rsidR="002F64F6">
        <w:t xml:space="preserve"> model</w:t>
      </w:r>
      <w:r w:rsidR="00FC5883">
        <w:t>len</w:t>
      </w:r>
      <w:r w:rsidR="002F64F6">
        <w:t xml:space="preserve"> hang</w:t>
      </w:r>
      <w:r w:rsidR="00FC5883">
        <w:t>en</w:t>
      </w:r>
      <w:r w:rsidR="002F64F6">
        <w:t xml:space="preserve"> af van de resultaten in </w:t>
      </w:r>
      <w:r w:rsidR="00FF73EC">
        <w:t xml:space="preserve">de </w:t>
      </w:r>
      <w:r w:rsidR="002F64F6">
        <w:t>paragraven 4.2 tot en met 4.5.</w:t>
      </w:r>
      <w:r>
        <w:t xml:space="preserve"> Ten slotte wordt in paragraaf 4.</w:t>
      </w:r>
      <w:r w:rsidR="002F64F6">
        <w:t>7</w:t>
      </w:r>
      <w:r>
        <w:t xml:space="preserve"> een samenvatting van de resultaten gegeven.</w:t>
      </w:r>
    </w:p>
    <w:p w:rsidR="00535CDC" w:rsidRPr="00A16C92" w:rsidRDefault="002041B9" w:rsidP="00535CDC">
      <w:pPr>
        <w:pStyle w:val="Heading2"/>
        <w:numPr>
          <w:ilvl w:val="1"/>
          <w:numId w:val="2"/>
        </w:numPr>
        <w:jc w:val="both"/>
        <w:rPr>
          <w:color w:val="auto"/>
        </w:rPr>
      </w:pPr>
      <w:bookmarkStart w:id="20" w:name="_Toc361526573"/>
      <w:r>
        <w:rPr>
          <w:color w:val="auto"/>
        </w:rPr>
        <w:t>Resultaten gehele dataset</w:t>
      </w:r>
      <w:bookmarkEnd w:id="20"/>
    </w:p>
    <w:p w:rsidR="00535CDC" w:rsidRDefault="00D52FC8" w:rsidP="009965EB">
      <w:pPr>
        <w:pStyle w:val="NoSpacing"/>
        <w:spacing w:before="120"/>
        <w:jc w:val="both"/>
      </w:pPr>
      <w:r>
        <w:t>De</w:t>
      </w:r>
      <w:r w:rsidR="00535CDC">
        <w:t xml:space="preserve"> abnormale rendement</w:t>
      </w:r>
      <w:r>
        <w:t>en</w:t>
      </w:r>
      <w:r w:rsidR="00535CDC">
        <w:t xml:space="preserve"> van de gehele dataset </w:t>
      </w:r>
      <w:r>
        <w:t>zijn</w:t>
      </w:r>
      <w:r w:rsidR="00535CDC">
        <w:t xml:space="preserve"> tezamen onderzocht op </w:t>
      </w:r>
      <w:r w:rsidR="00575248">
        <w:t xml:space="preserve">abnormale </w:t>
      </w:r>
      <w:r w:rsidR="00535CDC">
        <w:t xml:space="preserve"> koersreacties. De berekende </w:t>
      </w:r>
      <m:oMath>
        <m:acc>
          <m:accPr>
            <m:ctrlPr>
              <w:rPr>
                <w:rFonts w:ascii="Cambria Math" w:hAnsi="Cambria Math"/>
                <w:i/>
              </w:rPr>
            </m:ctrlPr>
          </m:accPr>
          <m:e>
            <m:r>
              <w:rPr>
                <w:rFonts w:ascii="Cambria Math" w:hAnsi="Cambria Math"/>
              </w:rPr>
              <m:t>α</m:t>
            </m:r>
          </m:e>
        </m:acc>
      </m:oMath>
      <w:r w:rsidR="00535CDC">
        <w:t xml:space="preserve"> en </w:t>
      </w:r>
      <m:oMath>
        <m:acc>
          <m:accPr>
            <m:ctrlPr>
              <w:rPr>
                <w:rFonts w:ascii="Cambria Math" w:hAnsi="Cambria Math"/>
                <w:i/>
              </w:rPr>
            </m:ctrlPr>
          </m:accPr>
          <m:e>
            <m:r>
              <w:rPr>
                <w:rFonts w:ascii="Cambria Math" w:hAnsi="Cambria Math"/>
              </w:rPr>
              <m:t>β</m:t>
            </m:r>
          </m:e>
        </m:acc>
      </m:oMath>
      <w:r w:rsidR="00535CDC">
        <w:rPr>
          <w:rFonts w:eastAsiaTheme="minorEastAsia"/>
        </w:rPr>
        <w:t xml:space="preserve"> die nodig zijn bij het Markt Model zijn te vinden in </w:t>
      </w:r>
      <w:r w:rsidR="00535CDC" w:rsidRPr="00122BEF">
        <w:rPr>
          <w:rFonts w:eastAsiaTheme="minorEastAsia"/>
        </w:rPr>
        <w:t xml:space="preserve">bijlage </w:t>
      </w:r>
      <w:r w:rsidR="00EB0E93" w:rsidRPr="00122BEF">
        <w:rPr>
          <w:rFonts w:eastAsiaTheme="minorEastAsia"/>
        </w:rPr>
        <w:t>4</w:t>
      </w:r>
      <w:r w:rsidR="00535CDC" w:rsidRPr="00122BEF">
        <w:rPr>
          <w:rFonts w:eastAsiaTheme="minorEastAsia"/>
        </w:rPr>
        <w:t>.</w:t>
      </w:r>
      <w:r w:rsidR="00535CDC">
        <w:rPr>
          <w:rFonts w:eastAsiaTheme="minorEastAsia"/>
        </w:rPr>
        <w:t xml:space="preserve"> </w:t>
      </w:r>
      <w:r w:rsidR="006C6A2C">
        <w:t>De</w:t>
      </w:r>
      <w:r w:rsidR="00535CDC">
        <w:t xml:space="preserve"> abnormale rend</w:t>
      </w:r>
      <w:r w:rsidR="0054733B">
        <w:t>e</w:t>
      </w:r>
      <w:r w:rsidR="00535CDC">
        <w:t>ment</w:t>
      </w:r>
      <w:r w:rsidR="006C6A2C">
        <w:t>en</w:t>
      </w:r>
      <w:r w:rsidR="00535CDC">
        <w:t xml:space="preserve"> volgens het </w:t>
      </w:r>
      <w:proofErr w:type="spellStart"/>
      <w:r w:rsidR="00535CDC">
        <w:t>Market-Adjusted</w:t>
      </w:r>
      <w:proofErr w:type="spellEnd"/>
      <w:r w:rsidR="00535CDC">
        <w:t xml:space="preserve"> Return Model en het Markt Model zijn weergeven in </w:t>
      </w:r>
      <w:r w:rsidR="00535CDC" w:rsidRPr="00122BEF">
        <w:t>figuur 4</w:t>
      </w:r>
      <w:r w:rsidR="00535CDC" w:rsidRPr="00122BEF">
        <w:rPr>
          <w:rFonts w:eastAsiaTheme="minorEastAsia"/>
        </w:rPr>
        <w:t>.</w:t>
      </w:r>
      <w:r w:rsidR="00535CDC">
        <w:rPr>
          <w:rFonts w:eastAsiaTheme="minorEastAsia"/>
        </w:rPr>
        <w:t xml:space="preserve"> Als gekeken wordt naar </w:t>
      </w:r>
      <w:r w:rsidR="00535CDC" w:rsidRPr="00122BEF">
        <w:rPr>
          <w:rFonts w:eastAsiaTheme="minorEastAsia"/>
        </w:rPr>
        <w:t>figuur 4</w:t>
      </w:r>
      <w:r w:rsidR="00535CDC">
        <w:t xml:space="preserve"> valt allereerst op dat het abnormaa</w:t>
      </w:r>
      <w:r w:rsidR="0054733B">
        <w:t xml:space="preserve">l rendement op de dag </w:t>
      </w:r>
      <w:r w:rsidR="00535CDC">
        <w:t xml:space="preserve">van de aankondiging (t=0) hoger ligt dan in de periode rondom de aankondiging. Er is hier duidelijke sprake van een piek. Daarnaast valt op dat </w:t>
      </w:r>
      <w:r w:rsidR="002F64F6">
        <w:t>de</w:t>
      </w:r>
      <w:r w:rsidR="00535CDC">
        <w:t xml:space="preserve"> abnormale rendement</w:t>
      </w:r>
      <w:r>
        <w:t>en</w:t>
      </w:r>
      <w:r w:rsidR="00535CDC">
        <w:t xml:space="preserve"> bij de </w:t>
      </w:r>
      <w:proofErr w:type="spellStart"/>
      <w:r w:rsidR="00535CDC">
        <w:t>Market-Adjusted</w:t>
      </w:r>
      <w:proofErr w:type="spellEnd"/>
      <w:r w:rsidR="00535CDC">
        <w:t xml:space="preserve"> Return </w:t>
      </w:r>
      <w:r w:rsidR="00B57673">
        <w:t>Model vrijwel overeenkom</w:t>
      </w:r>
      <w:r w:rsidR="002F64F6">
        <w:t>en</w:t>
      </w:r>
      <w:r w:rsidR="00B57673">
        <w:t xml:space="preserve"> met </w:t>
      </w:r>
      <w:r w:rsidR="00535CDC">
        <w:t xml:space="preserve">het Markt Model. </w:t>
      </w:r>
      <w:r>
        <w:t>De</w:t>
      </w:r>
      <w:r w:rsidR="00535CDC">
        <w:t xml:space="preserve"> </w:t>
      </w:r>
      <w:r w:rsidR="00B57673">
        <w:t>abnorma</w:t>
      </w:r>
      <w:r>
        <w:t>le</w:t>
      </w:r>
      <w:r w:rsidR="00B57673">
        <w:t xml:space="preserve"> rendement</w:t>
      </w:r>
      <w:r>
        <w:t>en</w:t>
      </w:r>
      <w:r w:rsidR="00B57673">
        <w:t xml:space="preserve"> </w:t>
      </w:r>
      <w:r w:rsidR="0054733B">
        <w:t>liggen</w:t>
      </w:r>
      <w:r w:rsidR="00B57673">
        <w:t xml:space="preserve"> </w:t>
      </w:r>
      <w:r>
        <w:t xml:space="preserve">bij het </w:t>
      </w:r>
      <w:proofErr w:type="spellStart"/>
      <w:r>
        <w:t>Mark</w:t>
      </w:r>
      <w:r w:rsidR="00D37402">
        <w:t>e</w:t>
      </w:r>
      <w:r>
        <w:t>t-Adjusted</w:t>
      </w:r>
      <w:proofErr w:type="spellEnd"/>
      <w:r>
        <w:t xml:space="preserve"> Return Model </w:t>
      </w:r>
      <w:r w:rsidR="00B57673">
        <w:t>slechts een fractie</w:t>
      </w:r>
      <w:r w:rsidR="0054733B">
        <w:t xml:space="preserve"> hoger</w:t>
      </w:r>
      <w:r w:rsidR="00A76B0B">
        <w:t>.</w:t>
      </w:r>
    </w:p>
    <w:p w:rsidR="00535CDC" w:rsidRDefault="00535CDC" w:rsidP="00535CDC">
      <w:pPr>
        <w:pStyle w:val="NoSpacing"/>
      </w:pPr>
    </w:p>
    <w:p w:rsidR="00B57673" w:rsidRDefault="00B57673" w:rsidP="00B57673">
      <w:pPr>
        <w:pStyle w:val="NoSpacing"/>
        <w:keepNext/>
      </w:pPr>
      <w:r w:rsidRPr="0003589A">
        <w:rPr>
          <w:noProof/>
          <w:lang w:val="en-US"/>
        </w:rPr>
        <w:drawing>
          <wp:inline distT="0" distB="0" distL="0" distR="0">
            <wp:extent cx="5362575" cy="3028950"/>
            <wp:effectExtent l="19050" t="0" r="952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57673" w:rsidRDefault="00B57673" w:rsidP="00AD3231">
      <w:pPr>
        <w:pStyle w:val="Caption"/>
        <w:jc w:val="both"/>
      </w:pPr>
      <w:r>
        <w:t>Figuur 4: Het abnorma</w:t>
      </w:r>
      <w:r w:rsidR="00D37402">
        <w:t>al</w:t>
      </w:r>
      <w:r>
        <w:t xml:space="preserve"> rendement van de gehele datas</w:t>
      </w:r>
      <w:r w:rsidR="00D37402">
        <w:t>et</w:t>
      </w:r>
      <w:r w:rsidR="00AD3231">
        <w:t>.</w:t>
      </w:r>
    </w:p>
    <w:p w:rsidR="00B57673" w:rsidRDefault="00B57673" w:rsidP="00535CDC">
      <w:pPr>
        <w:pStyle w:val="NoSpacing"/>
      </w:pPr>
    </w:p>
    <w:p w:rsidR="00B57673" w:rsidRDefault="00B57673" w:rsidP="00535CDC">
      <w:pPr>
        <w:pStyle w:val="NoSpacing"/>
      </w:pPr>
    </w:p>
    <w:p w:rsidR="00B57673" w:rsidRDefault="00B57673" w:rsidP="00535CDC">
      <w:pPr>
        <w:pStyle w:val="NoSpacing"/>
      </w:pPr>
    </w:p>
    <w:p w:rsidR="00B57673" w:rsidRDefault="00B57673" w:rsidP="00535CDC">
      <w:pPr>
        <w:pStyle w:val="NoSpacing"/>
      </w:pPr>
    </w:p>
    <w:p w:rsidR="00B57673" w:rsidRDefault="00B57673" w:rsidP="00535CDC">
      <w:pPr>
        <w:pStyle w:val="NoSpacing"/>
      </w:pPr>
    </w:p>
    <w:p w:rsidR="00B57673" w:rsidRDefault="00B57673" w:rsidP="00535CDC">
      <w:pPr>
        <w:pStyle w:val="NoSpacing"/>
      </w:pPr>
    </w:p>
    <w:p w:rsidR="00B57673" w:rsidRDefault="00B57673" w:rsidP="00535CDC">
      <w:pPr>
        <w:pStyle w:val="NoSpacing"/>
      </w:pPr>
    </w:p>
    <w:p w:rsidR="00B57673" w:rsidRDefault="00B57673" w:rsidP="00535CDC">
      <w:pPr>
        <w:pStyle w:val="NoSpacing"/>
      </w:pPr>
    </w:p>
    <w:p w:rsidR="00575248" w:rsidRDefault="00B57673" w:rsidP="009965EB">
      <w:pPr>
        <w:pStyle w:val="NoSpacing"/>
        <w:jc w:val="both"/>
      </w:pPr>
      <w:r>
        <w:lastRenderedPageBreak/>
        <w:t xml:space="preserve">De resultaten van </w:t>
      </w:r>
      <w:r w:rsidR="00476DBE">
        <w:t xml:space="preserve">de </w:t>
      </w:r>
      <w:r>
        <w:t xml:space="preserve">statistische testen zijn te vinden in </w:t>
      </w:r>
      <w:r w:rsidRPr="00122BEF">
        <w:t xml:space="preserve">tabel </w:t>
      </w:r>
      <w:r w:rsidR="00992938" w:rsidRPr="00122BEF">
        <w:t>4</w:t>
      </w:r>
      <w:r>
        <w:t xml:space="preserve">. </w:t>
      </w:r>
      <w:r w:rsidR="00535CDC">
        <w:t>De belangrijke resultaten hiervan zijn de volgende:</w:t>
      </w:r>
    </w:p>
    <w:p w:rsidR="00535CDC" w:rsidRDefault="00702A71" w:rsidP="009965EB">
      <w:pPr>
        <w:pStyle w:val="NoSpacing"/>
        <w:numPr>
          <w:ilvl w:val="0"/>
          <w:numId w:val="7"/>
        </w:numPr>
        <w:jc w:val="both"/>
      </w:pPr>
      <w:r>
        <w:t>Op</w:t>
      </w:r>
      <w:r w:rsidR="00FD3530">
        <w:t xml:space="preserve"> handelsdagen </w:t>
      </w:r>
      <w:r w:rsidR="00DE59D4">
        <w:t>t=-5 tot en met t=-1</w:t>
      </w:r>
      <w:r w:rsidR="00FD3530">
        <w:t xml:space="preserve"> </w:t>
      </w:r>
      <w:r>
        <w:t xml:space="preserve">wordt </w:t>
      </w:r>
      <w:r w:rsidR="00FD3530">
        <w:t xml:space="preserve">geen statistisch significant positief abnormaal rendement gevonden. </w:t>
      </w:r>
      <w:r w:rsidR="00535CDC">
        <w:t xml:space="preserve">Hieruit zou geconcludeerd kunnen worden dat, indien aandeelhouders waarde hechten </w:t>
      </w:r>
      <w:r w:rsidR="006C6A2C">
        <w:t xml:space="preserve">aan </w:t>
      </w:r>
      <w:proofErr w:type="spellStart"/>
      <w:r w:rsidR="006C6A2C">
        <w:t>aandeleninkoopprogramma’s</w:t>
      </w:r>
      <w:proofErr w:type="spellEnd"/>
      <w:r w:rsidR="006C6A2C">
        <w:t xml:space="preserve">, </w:t>
      </w:r>
      <w:r w:rsidR="00535CDC">
        <w:t xml:space="preserve">er voorafgaand aan de aankondiging van de inkoop van eigen aandelen over het algemeen geen insider trading plaatsvindt en er geen sprake is van geruchten of speculatie </w:t>
      </w:r>
      <w:proofErr w:type="spellStart"/>
      <w:r w:rsidR="00535CDC">
        <w:t>vòòr</w:t>
      </w:r>
      <w:proofErr w:type="spellEnd"/>
      <w:r w:rsidR="00535CDC">
        <w:t xml:space="preserve"> het </w:t>
      </w:r>
      <w:proofErr w:type="spellStart"/>
      <w:r w:rsidR="00535CDC">
        <w:t>aankondigingsmoment</w:t>
      </w:r>
      <w:proofErr w:type="spellEnd"/>
      <w:r w:rsidR="00535CDC">
        <w:t xml:space="preserve">. </w:t>
      </w:r>
      <w:r w:rsidR="00DE59D4">
        <w:t xml:space="preserve">Op t=-4 </w:t>
      </w:r>
      <w:r w:rsidR="00A07337">
        <w:t>wordt bij de</w:t>
      </w:r>
      <w:r w:rsidR="00DE59D4">
        <w:t xml:space="preserve"> </w:t>
      </w:r>
      <w:proofErr w:type="spellStart"/>
      <w:r w:rsidR="00DE59D4">
        <w:t>t-toets</w:t>
      </w:r>
      <w:proofErr w:type="spellEnd"/>
      <w:r w:rsidR="00DE59D4">
        <w:t xml:space="preserve"> </w:t>
      </w:r>
      <w:r w:rsidR="00A07337">
        <w:t xml:space="preserve">wel een statistisch significant </w:t>
      </w:r>
      <w:r w:rsidR="00DE59D4">
        <w:t>negatie</w:t>
      </w:r>
      <w:r w:rsidR="00ED1843">
        <w:t>f</w:t>
      </w:r>
      <w:r w:rsidR="00DE59D4">
        <w:t xml:space="preserve"> abnormaal rendement</w:t>
      </w:r>
      <w:r w:rsidR="00ED1843">
        <w:t xml:space="preserve"> gevonden</w:t>
      </w:r>
      <w:r w:rsidR="00DE59D4">
        <w:t>.</w:t>
      </w:r>
      <w:r w:rsidR="00364AA4">
        <w:t xml:space="preserve"> </w:t>
      </w:r>
    </w:p>
    <w:p w:rsidR="0028135C" w:rsidRDefault="00535CDC" w:rsidP="009965EB">
      <w:pPr>
        <w:pStyle w:val="NoSpacing"/>
        <w:numPr>
          <w:ilvl w:val="0"/>
          <w:numId w:val="7"/>
        </w:numPr>
        <w:jc w:val="both"/>
      </w:pPr>
      <w:r>
        <w:t xml:space="preserve">Op de </w:t>
      </w:r>
      <w:proofErr w:type="spellStart"/>
      <w:r>
        <w:t>aankondigingsdag</w:t>
      </w:r>
      <w:proofErr w:type="spellEnd"/>
      <w:r>
        <w:t xml:space="preserve"> (t=0) </w:t>
      </w:r>
      <w:r w:rsidR="00364AA4">
        <w:t>is</w:t>
      </w:r>
      <w:r w:rsidR="002779DD">
        <w:t xml:space="preserve"> </w:t>
      </w:r>
      <w:r w:rsidR="00364AA4">
        <w:t xml:space="preserve">het abnormaal rendement middels het </w:t>
      </w:r>
      <w:proofErr w:type="spellStart"/>
      <w:r w:rsidR="00364AA4">
        <w:t>Market-Adjusted</w:t>
      </w:r>
      <w:proofErr w:type="spellEnd"/>
      <w:r w:rsidR="00364AA4">
        <w:t xml:space="preserve"> Return Model </w:t>
      </w:r>
      <w:r w:rsidR="002779DD">
        <w:t xml:space="preserve">zowel </w:t>
      </w:r>
      <w:r w:rsidR="00364AA4">
        <w:t xml:space="preserve">bij </w:t>
      </w:r>
      <w:r w:rsidR="002779DD">
        <w:t xml:space="preserve">de </w:t>
      </w:r>
      <w:proofErr w:type="spellStart"/>
      <w:r w:rsidR="002779DD">
        <w:t>t-toets</w:t>
      </w:r>
      <w:proofErr w:type="spellEnd"/>
      <w:r w:rsidR="002779DD">
        <w:t xml:space="preserve"> als de tekentoets </w:t>
      </w:r>
      <w:r w:rsidR="00B57673">
        <w:t>statistisch</w:t>
      </w:r>
      <w:r>
        <w:t xml:space="preserve"> significant. </w:t>
      </w:r>
      <w:r w:rsidR="00807795">
        <w:t xml:space="preserve">Bij het Markt Model </w:t>
      </w:r>
      <w:r w:rsidR="00364AA4">
        <w:t xml:space="preserve">wordt alleen bij de </w:t>
      </w:r>
      <w:proofErr w:type="spellStart"/>
      <w:r w:rsidR="00364AA4">
        <w:t>t-toets</w:t>
      </w:r>
      <w:proofErr w:type="spellEnd"/>
      <w:r w:rsidR="00364AA4">
        <w:t xml:space="preserve"> een statistisch significant abnormaal rendement gevonden.</w:t>
      </w:r>
      <w:r w:rsidR="00306E98">
        <w:t xml:space="preserve"> </w:t>
      </w:r>
      <w:r w:rsidR="00D73544">
        <w:t>De abnormale</w:t>
      </w:r>
      <w:r w:rsidR="00364AA4">
        <w:t xml:space="preserve"> rendement</w:t>
      </w:r>
      <w:r w:rsidR="00306E98">
        <w:t>en</w:t>
      </w:r>
      <w:r w:rsidR="00364AA4">
        <w:t xml:space="preserve"> middels het </w:t>
      </w:r>
      <w:proofErr w:type="spellStart"/>
      <w:r w:rsidR="00364AA4">
        <w:t>Market-Adjusted</w:t>
      </w:r>
      <w:proofErr w:type="spellEnd"/>
      <w:r w:rsidR="00364AA4">
        <w:t xml:space="preserve"> Return Model </w:t>
      </w:r>
      <w:r w:rsidR="00306E98">
        <w:t>en het Markt Model zijn economisch significant en bedragen respectievelijk</w:t>
      </w:r>
      <w:r w:rsidR="00364AA4">
        <w:t xml:space="preserve"> 1,33%</w:t>
      </w:r>
      <w:r w:rsidR="00306E98">
        <w:t xml:space="preserve"> en 1,26%</w:t>
      </w:r>
      <w:r w:rsidR="00364AA4">
        <w:t xml:space="preserve">. Dit </w:t>
      </w:r>
      <w:r w:rsidR="0028135C">
        <w:t xml:space="preserve">is lager dan </w:t>
      </w:r>
      <w:r w:rsidR="00FD3530">
        <w:t xml:space="preserve">het </w:t>
      </w:r>
      <w:r w:rsidR="00111129">
        <w:t xml:space="preserve">gevonden </w:t>
      </w:r>
      <w:r w:rsidR="00FD3530">
        <w:t xml:space="preserve">abnormaal rendement van 1,98% </w:t>
      </w:r>
      <w:r w:rsidR="0028135C">
        <w:t>in Baltus &amp; Schauten (2000).</w:t>
      </w:r>
    </w:p>
    <w:p w:rsidR="00535CDC" w:rsidRDefault="00535CDC" w:rsidP="00535CDC">
      <w:pPr>
        <w:pStyle w:val="NoSpacing"/>
        <w:numPr>
          <w:ilvl w:val="0"/>
          <w:numId w:val="7"/>
        </w:numPr>
        <w:jc w:val="both"/>
      </w:pPr>
      <w:r>
        <w:t xml:space="preserve">Op </w:t>
      </w:r>
      <w:r w:rsidR="00B514A2">
        <w:t>handels</w:t>
      </w:r>
      <w:r>
        <w:t>dag</w:t>
      </w:r>
      <w:r w:rsidR="00B514A2">
        <w:t>en</w:t>
      </w:r>
      <w:r>
        <w:t xml:space="preserve"> </w:t>
      </w:r>
      <w:r w:rsidR="0028135C">
        <w:t xml:space="preserve">t=1 en </w:t>
      </w:r>
      <w:r>
        <w:t>t=</w:t>
      </w:r>
      <w:r w:rsidR="00A76B0B">
        <w:t xml:space="preserve">4 wordt </w:t>
      </w:r>
      <w:r w:rsidR="0028135C">
        <w:t xml:space="preserve">bij de </w:t>
      </w:r>
      <w:proofErr w:type="spellStart"/>
      <w:r w:rsidR="0028135C">
        <w:t>t-toets</w:t>
      </w:r>
      <w:proofErr w:type="spellEnd"/>
      <w:r w:rsidR="0028135C">
        <w:t xml:space="preserve"> </w:t>
      </w:r>
      <w:r w:rsidR="00A76B0B">
        <w:t xml:space="preserve">een statistisch </w:t>
      </w:r>
      <w:r>
        <w:t xml:space="preserve">significant </w:t>
      </w:r>
      <w:r w:rsidR="004E2DD4">
        <w:t xml:space="preserve">(positief) </w:t>
      </w:r>
      <w:r w:rsidR="00A76B0B">
        <w:t>abnormaal</w:t>
      </w:r>
      <w:r>
        <w:t xml:space="preserve"> rendement gevonden.</w:t>
      </w:r>
      <w:r w:rsidR="00B514A2">
        <w:t xml:space="preserve"> </w:t>
      </w:r>
      <w:r w:rsidR="00364AA4">
        <w:t>De</w:t>
      </w:r>
      <w:r w:rsidR="0028135C">
        <w:t xml:space="preserve"> tekentoets </w:t>
      </w:r>
      <w:r w:rsidR="00364AA4">
        <w:t>is</w:t>
      </w:r>
      <w:r w:rsidR="0028135C">
        <w:t xml:space="preserve"> </w:t>
      </w:r>
      <w:r w:rsidR="00B514A2">
        <w:t xml:space="preserve">op </w:t>
      </w:r>
      <w:r w:rsidR="0028135C">
        <w:t xml:space="preserve">dag t=4 statistisch significant. </w:t>
      </w:r>
      <w:r>
        <w:t xml:space="preserve"> </w:t>
      </w:r>
      <w:r w:rsidR="00FB121D">
        <w:t>Hieruit kan worden afgeleid dat niet alle</w:t>
      </w:r>
      <w:r>
        <w:t xml:space="preserve"> informatie </w:t>
      </w:r>
      <w:r w:rsidR="00FB121D">
        <w:t xml:space="preserve">op </w:t>
      </w:r>
      <w:r>
        <w:t xml:space="preserve">de </w:t>
      </w:r>
      <w:proofErr w:type="spellStart"/>
      <w:r>
        <w:t>aankondigingsdag</w:t>
      </w:r>
      <w:proofErr w:type="spellEnd"/>
      <w:r>
        <w:t xml:space="preserve"> direct en volledig in de koers </w:t>
      </w:r>
      <w:r w:rsidR="00FB121D">
        <w:t xml:space="preserve">is </w:t>
      </w:r>
      <w:r>
        <w:t>verwerkt.</w:t>
      </w:r>
      <w:r w:rsidR="00311830">
        <w:t xml:space="preserve"> </w:t>
      </w:r>
    </w:p>
    <w:p w:rsidR="00306E98" w:rsidRDefault="00306E98" w:rsidP="00306E98">
      <w:pPr>
        <w:pStyle w:val="NoSpacing"/>
        <w:ind w:left="720"/>
        <w:jc w:val="both"/>
      </w:pPr>
    </w:p>
    <w:tbl>
      <w:tblPr>
        <w:tblStyle w:val="MediumShading2-Accent5"/>
        <w:tblW w:w="5000" w:type="pct"/>
        <w:tblLook w:val="0660"/>
      </w:tblPr>
      <w:tblGrid>
        <w:gridCol w:w="1498"/>
        <w:gridCol w:w="1499"/>
        <w:gridCol w:w="1701"/>
        <w:gridCol w:w="1592"/>
        <w:gridCol w:w="1501"/>
        <w:gridCol w:w="1495"/>
      </w:tblGrid>
      <w:tr w:rsidR="00535CDC" w:rsidTr="009C4E91">
        <w:trPr>
          <w:cnfStyle w:val="100000000000"/>
        </w:trPr>
        <w:tc>
          <w:tcPr>
            <w:tcW w:w="807" w:type="pct"/>
          </w:tcPr>
          <w:p w:rsidR="00535CDC" w:rsidRDefault="00535CDC" w:rsidP="009C4E91">
            <w:r>
              <w:t xml:space="preserve">Dag </w:t>
            </w:r>
          </w:p>
        </w:tc>
        <w:tc>
          <w:tcPr>
            <w:tcW w:w="807" w:type="pct"/>
          </w:tcPr>
          <w:p w:rsidR="00535CDC" w:rsidRDefault="002809E9" w:rsidP="009C4E91">
            <w:pPr>
              <w:jc w:val="right"/>
            </w:pPr>
            <w:proofErr w:type="spellStart"/>
            <w:r>
              <w:t>Gemiddeld</w:t>
            </w:r>
            <w:proofErr w:type="spellEnd"/>
            <w:r w:rsidR="00535CDC">
              <w:t xml:space="preserve"> AR</w:t>
            </w:r>
          </w:p>
        </w:tc>
        <w:tc>
          <w:tcPr>
            <w:tcW w:w="916" w:type="pct"/>
            <w:noWrap/>
          </w:tcPr>
          <w:p w:rsidR="00535CDC" w:rsidRDefault="002155D7" w:rsidP="002155D7">
            <w:pPr>
              <w:jc w:val="center"/>
            </w:pPr>
            <w:r>
              <w:t xml:space="preserve">         </w:t>
            </w:r>
            <w:r w:rsidR="00535CDC">
              <w:t>T-</w:t>
            </w:r>
            <w:proofErr w:type="spellStart"/>
            <w:r w:rsidR="00535CDC">
              <w:t>toets</w:t>
            </w:r>
            <w:proofErr w:type="spellEnd"/>
          </w:p>
          <w:p w:rsidR="002155D7" w:rsidRDefault="002155D7" w:rsidP="002155D7">
            <w:pPr>
              <w:jc w:val="right"/>
            </w:pPr>
            <w:r>
              <w:t>(t-</w:t>
            </w:r>
            <w:proofErr w:type="spellStart"/>
            <w:r>
              <w:t>waarde</w:t>
            </w:r>
            <w:proofErr w:type="spellEnd"/>
            <w:r>
              <w:t>)</w:t>
            </w:r>
          </w:p>
        </w:tc>
        <w:tc>
          <w:tcPr>
            <w:tcW w:w="857" w:type="pct"/>
          </w:tcPr>
          <w:p w:rsidR="00535CDC" w:rsidRDefault="00535CDC" w:rsidP="009C4E91">
            <w:pPr>
              <w:jc w:val="right"/>
            </w:pPr>
            <w:proofErr w:type="spellStart"/>
            <w:r>
              <w:t>Aantal</w:t>
            </w:r>
            <w:proofErr w:type="spellEnd"/>
            <w:r>
              <w:t xml:space="preserve"> pos.</w:t>
            </w:r>
          </w:p>
        </w:tc>
        <w:tc>
          <w:tcPr>
            <w:tcW w:w="808" w:type="pct"/>
          </w:tcPr>
          <w:p w:rsidR="00535CDC" w:rsidRDefault="00535CDC" w:rsidP="009C4E91">
            <w:pPr>
              <w:jc w:val="right"/>
            </w:pPr>
            <w:proofErr w:type="spellStart"/>
            <w:r>
              <w:t>Aantal</w:t>
            </w:r>
            <w:proofErr w:type="spellEnd"/>
            <w:r>
              <w:t xml:space="preserve"> neg.</w:t>
            </w:r>
          </w:p>
        </w:tc>
        <w:tc>
          <w:tcPr>
            <w:tcW w:w="805" w:type="pct"/>
          </w:tcPr>
          <w:p w:rsidR="00535CDC" w:rsidRDefault="004C051E" w:rsidP="009C4E91">
            <w:pPr>
              <w:jc w:val="right"/>
            </w:pPr>
            <w:proofErr w:type="spellStart"/>
            <w:r>
              <w:t>T</w:t>
            </w:r>
            <w:r w:rsidR="00535CDC">
              <w:t>ekentoets</w:t>
            </w:r>
            <w:proofErr w:type="spellEnd"/>
          </w:p>
          <w:p w:rsidR="002155D7" w:rsidRDefault="002155D7" w:rsidP="009C4E91">
            <w:pPr>
              <w:jc w:val="right"/>
            </w:pPr>
            <w:r>
              <w:t>(p-</w:t>
            </w:r>
            <w:proofErr w:type="spellStart"/>
            <w:r>
              <w:t>waarde</w:t>
            </w:r>
            <w:proofErr w:type="spellEnd"/>
            <w:r>
              <w:t>)</w:t>
            </w:r>
          </w:p>
        </w:tc>
      </w:tr>
      <w:tr w:rsidR="00535CDC" w:rsidTr="009C4E91">
        <w:tc>
          <w:tcPr>
            <w:tcW w:w="5000" w:type="pct"/>
            <w:gridSpan w:val="6"/>
          </w:tcPr>
          <w:p w:rsidR="00535CDC" w:rsidRPr="006B267C" w:rsidRDefault="00535CDC" w:rsidP="009C4E91">
            <w:pPr>
              <w:rPr>
                <w:color w:val="FF0000"/>
              </w:rPr>
            </w:pPr>
            <w:r>
              <w:rPr>
                <w:rStyle w:val="SubtleEmphasis"/>
                <w:color w:val="FF0000"/>
              </w:rPr>
              <w:t>Market-Adjusted</w:t>
            </w:r>
            <w:r w:rsidRPr="006B267C">
              <w:rPr>
                <w:rStyle w:val="SubtleEmphasis"/>
                <w:color w:val="FF0000"/>
              </w:rPr>
              <w:t xml:space="preserve"> </w:t>
            </w:r>
            <w:r>
              <w:rPr>
                <w:rStyle w:val="SubtleEmphasis"/>
                <w:color w:val="FF0000"/>
              </w:rPr>
              <w:t>Return Model</w:t>
            </w:r>
          </w:p>
        </w:tc>
      </w:tr>
      <w:tr w:rsidR="00535CDC" w:rsidTr="009C4E91">
        <w:tc>
          <w:tcPr>
            <w:tcW w:w="807" w:type="pct"/>
            <w:tcBorders>
              <w:bottom w:val="nil"/>
            </w:tcBorders>
          </w:tcPr>
          <w:p w:rsidR="00535CDC" w:rsidRDefault="00535CDC" w:rsidP="009C4E91">
            <w:r>
              <w:t>T=-5</w:t>
            </w:r>
          </w:p>
        </w:tc>
        <w:tc>
          <w:tcPr>
            <w:tcW w:w="807" w:type="pct"/>
            <w:tcBorders>
              <w:bottom w:val="nil"/>
            </w:tcBorders>
          </w:tcPr>
          <w:p w:rsidR="00535CDC" w:rsidRDefault="00535CDC" w:rsidP="009C4E91">
            <w:pPr>
              <w:jc w:val="right"/>
            </w:pPr>
            <w:r>
              <w:t>0,17%</w:t>
            </w:r>
          </w:p>
        </w:tc>
        <w:tc>
          <w:tcPr>
            <w:tcW w:w="916" w:type="pct"/>
            <w:tcBorders>
              <w:bottom w:val="nil"/>
            </w:tcBorders>
            <w:noWrap/>
          </w:tcPr>
          <w:p w:rsidR="00535CDC" w:rsidRPr="002155D7" w:rsidRDefault="00535CDC" w:rsidP="004A24DB">
            <w:pPr>
              <w:jc w:val="right"/>
              <w:rPr>
                <w:color w:val="FFFFFF" w:themeColor="background1"/>
                <w:vertAlign w:val="superscript"/>
              </w:rPr>
            </w:pPr>
            <w:r>
              <w:t>0,9</w:t>
            </w:r>
            <w:r w:rsidR="004A24DB">
              <w:t>75</w:t>
            </w:r>
            <w:r w:rsidR="002155D7">
              <w:rPr>
                <w:color w:val="FFFFFF" w:themeColor="background1"/>
                <w:vertAlign w:val="superscript"/>
              </w:rPr>
              <w:t>***</w:t>
            </w:r>
          </w:p>
        </w:tc>
        <w:tc>
          <w:tcPr>
            <w:tcW w:w="857" w:type="pct"/>
            <w:tcBorders>
              <w:bottom w:val="nil"/>
            </w:tcBorders>
          </w:tcPr>
          <w:p w:rsidR="00535CDC" w:rsidRDefault="00535CDC" w:rsidP="00535CDC">
            <w:pPr>
              <w:jc w:val="right"/>
            </w:pPr>
            <w:r>
              <w:t>36</w:t>
            </w:r>
          </w:p>
        </w:tc>
        <w:tc>
          <w:tcPr>
            <w:tcW w:w="808" w:type="pct"/>
            <w:tcBorders>
              <w:bottom w:val="nil"/>
            </w:tcBorders>
          </w:tcPr>
          <w:p w:rsidR="00535CDC" w:rsidRDefault="00535CDC" w:rsidP="00535CDC">
            <w:pPr>
              <w:jc w:val="right"/>
            </w:pPr>
            <w:r>
              <w:t>32</w:t>
            </w:r>
          </w:p>
        </w:tc>
        <w:tc>
          <w:tcPr>
            <w:tcW w:w="805" w:type="pct"/>
            <w:tcBorders>
              <w:bottom w:val="nil"/>
            </w:tcBorders>
          </w:tcPr>
          <w:p w:rsidR="00535CDC" w:rsidRPr="002155D7" w:rsidRDefault="00535CDC" w:rsidP="00535CDC">
            <w:pPr>
              <w:jc w:val="right"/>
              <w:rPr>
                <w:color w:val="FFFFFF" w:themeColor="background1"/>
                <w:vertAlign w:val="superscript"/>
              </w:rPr>
            </w:pPr>
            <w:r>
              <w:t>0,716</w:t>
            </w:r>
            <w:r w:rsidR="002155D7">
              <w:rPr>
                <w:color w:val="FFFFFF" w:themeColor="background1"/>
                <w:vertAlign w:val="superscript"/>
              </w:rPr>
              <w:t>***</w:t>
            </w:r>
          </w:p>
        </w:tc>
      </w:tr>
      <w:tr w:rsidR="00535CDC" w:rsidTr="009C4E91">
        <w:tc>
          <w:tcPr>
            <w:tcW w:w="807" w:type="pct"/>
            <w:tcBorders>
              <w:top w:val="nil"/>
              <w:bottom w:val="single" w:sz="4" w:space="0" w:color="auto"/>
            </w:tcBorders>
          </w:tcPr>
          <w:p w:rsidR="00535CDC" w:rsidRDefault="00535CDC" w:rsidP="009C4E91">
            <w:r>
              <w:t>T=-4</w:t>
            </w:r>
          </w:p>
          <w:p w:rsidR="00535CDC" w:rsidRDefault="00535CDC" w:rsidP="009C4E91">
            <w:r>
              <w:t>T=-3</w:t>
            </w:r>
          </w:p>
          <w:p w:rsidR="00535CDC" w:rsidRDefault="00535CDC" w:rsidP="009C4E91">
            <w:r>
              <w:t>T=-2</w:t>
            </w:r>
          </w:p>
          <w:p w:rsidR="00535CDC" w:rsidRDefault="00535CDC" w:rsidP="009C4E91">
            <w:r>
              <w:t>T=-1</w:t>
            </w:r>
          </w:p>
          <w:p w:rsidR="00535CDC" w:rsidRDefault="00535CDC" w:rsidP="009C4E91">
            <w:r>
              <w:t>T=0</w:t>
            </w:r>
          </w:p>
          <w:p w:rsidR="00535CDC" w:rsidRDefault="00535CDC" w:rsidP="009C4E91">
            <w:r>
              <w:t>T=1</w:t>
            </w:r>
          </w:p>
          <w:p w:rsidR="00535CDC" w:rsidRDefault="00535CDC" w:rsidP="009C4E91">
            <w:r>
              <w:t>T=2</w:t>
            </w:r>
          </w:p>
          <w:p w:rsidR="00535CDC" w:rsidRDefault="00535CDC" w:rsidP="009C4E91">
            <w:r>
              <w:t>T=3</w:t>
            </w:r>
          </w:p>
          <w:p w:rsidR="00535CDC" w:rsidRDefault="00535CDC" w:rsidP="009C4E91">
            <w:r>
              <w:t xml:space="preserve">T=4 </w:t>
            </w:r>
          </w:p>
          <w:p w:rsidR="00535CDC" w:rsidRDefault="00535CDC" w:rsidP="009C4E91">
            <w:r>
              <w:t>T=5</w:t>
            </w:r>
          </w:p>
          <w:p w:rsidR="00535CDC" w:rsidRDefault="00535CDC" w:rsidP="009C4E91"/>
        </w:tc>
        <w:tc>
          <w:tcPr>
            <w:tcW w:w="807" w:type="pct"/>
            <w:tcBorders>
              <w:top w:val="nil"/>
              <w:bottom w:val="single" w:sz="4" w:space="0" w:color="auto"/>
            </w:tcBorders>
          </w:tcPr>
          <w:p w:rsidR="00535CDC" w:rsidRDefault="00535CDC" w:rsidP="009C4E91">
            <w:pPr>
              <w:jc w:val="right"/>
            </w:pPr>
            <w:r>
              <w:t>-0,29%</w:t>
            </w:r>
          </w:p>
          <w:p w:rsidR="00535CDC" w:rsidRDefault="00535CDC" w:rsidP="009C4E91">
            <w:pPr>
              <w:jc w:val="right"/>
            </w:pPr>
            <w:r>
              <w:t>0,17%</w:t>
            </w:r>
          </w:p>
          <w:p w:rsidR="00535CDC" w:rsidRDefault="004A24DB" w:rsidP="009C4E91">
            <w:pPr>
              <w:jc w:val="right"/>
            </w:pPr>
            <w:r>
              <w:t>-0,07</w:t>
            </w:r>
            <w:r w:rsidR="00535CDC">
              <w:t>%</w:t>
            </w:r>
          </w:p>
          <w:p w:rsidR="00535CDC" w:rsidRDefault="00535CDC" w:rsidP="009C4E91">
            <w:pPr>
              <w:jc w:val="right"/>
            </w:pPr>
            <w:r>
              <w:t>0,13%</w:t>
            </w:r>
          </w:p>
          <w:p w:rsidR="00535CDC" w:rsidRDefault="00535CDC" w:rsidP="009C4E91">
            <w:pPr>
              <w:jc w:val="right"/>
            </w:pPr>
            <w:r>
              <w:t>1,33%</w:t>
            </w:r>
          </w:p>
          <w:p w:rsidR="00535CDC" w:rsidRDefault="00535CDC" w:rsidP="009C4E91">
            <w:pPr>
              <w:jc w:val="right"/>
            </w:pPr>
            <w:r>
              <w:t>0,45%</w:t>
            </w:r>
          </w:p>
          <w:p w:rsidR="00535CDC" w:rsidRDefault="00535CDC" w:rsidP="009C4E91">
            <w:pPr>
              <w:jc w:val="right"/>
            </w:pPr>
            <w:r>
              <w:t>0,25%</w:t>
            </w:r>
          </w:p>
          <w:p w:rsidR="00535CDC" w:rsidRDefault="00535CDC" w:rsidP="009C4E91">
            <w:pPr>
              <w:jc w:val="right"/>
            </w:pPr>
            <w:r>
              <w:t>0,15%</w:t>
            </w:r>
          </w:p>
          <w:p w:rsidR="00535CDC" w:rsidRDefault="00535CDC" w:rsidP="009C4E91">
            <w:pPr>
              <w:jc w:val="right"/>
            </w:pPr>
            <w:r>
              <w:t>0,38%</w:t>
            </w:r>
          </w:p>
          <w:p w:rsidR="00535CDC" w:rsidRDefault="00535CDC" w:rsidP="009C4E91">
            <w:pPr>
              <w:jc w:val="right"/>
            </w:pPr>
            <w:r>
              <w:t>-0,07%</w:t>
            </w:r>
          </w:p>
        </w:tc>
        <w:tc>
          <w:tcPr>
            <w:tcW w:w="916" w:type="pct"/>
            <w:tcBorders>
              <w:top w:val="nil"/>
              <w:bottom w:val="single" w:sz="4" w:space="0" w:color="auto"/>
            </w:tcBorders>
            <w:noWrap/>
          </w:tcPr>
          <w:p w:rsidR="00535CDC" w:rsidRPr="002155D7" w:rsidRDefault="00535CDC" w:rsidP="009C4E91">
            <w:pPr>
              <w:jc w:val="right"/>
              <w:rPr>
                <w:color w:val="FFFFFF" w:themeColor="background1"/>
                <w:vertAlign w:val="superscript"/>
              </w:rPr>
            </w:pPr>
            <w:r>
              <w:t>-1,793</w:t>
            </w:r>
            <w:r w:rsidR="002155D7" w:rsidRPr="008214F5">
              <w:rPr>
                <w:b/>
                <w:vertAlign w:val="superscript"/>
              </w:rPr>
              <w:t>*</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t>0,920</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t>-0,433</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t>0,991</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rsidRPr="008214F5">
              <w:t>3,022</w:t>
            </w:r>
            <w:r w:rsidR="002155D7" w:rsidRPr="008214F5">
              <w:rPr>
                <w:b/>
                <w:vertAlign w:val="superscript"/>
              </w:rPr>
              <w:t>***</w:t>
            </w:r>
          </w:p>
          <w:p w:rsidR="00535CDC" w:rsidRPr="002155D7" w:rsidRDefault="00535CDC" w:rsidP="009C4E91">
            <w:pPr>
              <w:jc w:val="right"/>
              <w:rPr>
                <w:color w:val="FFFFFF" w:themeColor="background1"/>
                <w:vertAlign w:val="superscript"/>
              </w:rPr>
            </w:pPr>
            <w:r w:rsidRPr="008214F5">
              <w:t>2,345</w:t>
            </w:r>
            <w:r w:rsidR="002155D7" w:rsidRPr="008214F5">
              <w:rPr>
                <w:vertAlign w:val="superscript"/>
              </w:rPr>
              <w:t>**</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t>1,410</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t>0,799</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rsidRPr="008214F5">
              <w:t>2,418</w:t>
            </w:r>
            <w:r w:rsidR="002155D7" w:rsidRPr="008214F5">
              <w:rPr>
                <w:vertAlign w:val="superscript"/>
              </w:rPr>
              <w:t>**</w:t>
            </w:r>
            <w:r w:rsidR="002155D7">
              <w:rPr>
                <w:color w:val="FFFFFF" w:themeColor="background1"/>
                <w:vertAlign w:val="superscript"/>
              </w:rPr>
              <w:t>*</w:t>
            </w:r>
          </w:p>
          <w:p w:rsidR="00535CDC" w:rsidRPr="002155D7" w:rsidRDefault="00535CDC" w:rsidP="009C4E91">
            <w:pPr>
              <w:jc w:val="right"/>
              <w:rPr>
                <w:color w:val="FFFFFF" w:themeColor="background1"/>
                <w:vertAlign w:val="superscript"/>
              </w:rPr>
            </w:pPr>
            <w:r>
              <w:t>-0,345</w:t>
            </w:r>
            <w:r w:rsidR="002155D7">
              <w:rPr>
                <w:color w:val="FFFFFF" w:themeColor="background1"/>
                <w:vertAlign w:val="superscript"/>
              </w:rPr>
              <w:t>***</w:t>
            </w:r>
          </w:p>
        </w:tc>
        <w:tc>
          <w:tcPr>
            <w:tcW w:w="857" w:type="pct"/>
            <w:tcBorders>
              <w:top w:val="nil"/>
              <w:bottom w:val="single" w:sz="4" w:space="0" w:color="auto"/>
            </w:tcBorders>
          </w:tcPr>
          <w:p w:rsidR="00535CDC" w:rsidRDefault="00535CDC" w:rsidP="00535CDC">
            <w:pPr>
              <w:jc w:val="right"/>
            </w:pPr>
            <w:r>
              <w:t>28</w:t>
            </w:r>
          </w:p>
          <w:p w:rsidR="00535CDC" w:rsidRDefault="00535CDC" w:rsidP="00535CDC">
            <w:pPr>
              <w:jc w:val="right"/>
            </w:pPr>
            <w:r>
              <w:t>32</w:t>
            </w:r>
          </w:p>
          <w:p w:rsidR="00535CDC" w:rsidRDefault="00535CDC" w:rsidP="00535CDC">
            <w:pPr>
              <w:jc w:val="right"/>
            </w:pPr>
            <w:r>
              <w:t>36</w:t>
            </w:r>
          </w:p>
          <w:p w:rsidR="00535CDC" w:rsidRDefault="00535CDC" w:rsidP="00535CDC">
            <w:pPr>
              <w:jc w:val="right"/>
            </w:pPr>
            <w:r>
              <w:t>36</w:t>
            </w:r>
          </w:p>
          <w:p w:rsidR="00535CDC" w:rsidRDefault="00535CDC" w:rsidP="00535CDC">
            <w:pPr>
              <w:jc w:val="right"/>
            </w:pPr>
            <w:r>
              <w:t>42</w:t>
            </w:r>
          </w:p>
          <w:p w:rsidR="00535CDC" w:rsidRDefault="00535CDC" w:rsidP="00535CDC">
            <w:pPr>
              <w:jc w:val="right"/>
            </w:pPr>
            <w:r>
              <w:t>39</w:t>
            </w:r>
          </w:p>
          <w:p w:rsidR="00535CDC" w:rsidRDefault="00535CDC" w:rsidP="00535CDC">
            <w:pPr>
              <w:jc w:val="right"/>
            </w:pPr>
            <w:r>
              <w:t>37</w:t>
            </w:r>
          </w:p>
          <w:p w:rsidR="00535CDC" w:rsidRDefault="00535CDC" w:rsidP="00535CDC">
            <w:pPr>
              <w:jc w:val="right"/>
            </w:pPr>
            <w:r>
              <w:t>33</w:t>
            </w:r>
          </w:p>
          <w:p w:rsidR="00535CDC" w:rsidRDefault="00535CDC" w:rsidP="00535CDC">
            <w:pPr>
              <w:jc w:val="right"/>
            </w:pPr>
            <w:r>
              <w:t>43</w:t>
            </w:r>
          </w:p>
          <w:p w:rsidR="00535CDC" w:rsidRDefault="00535CDC" w:rsidP="00535CDC">
            <w:pPr>
              <w:jc w:val="right"/>
            </w:pPr>
            <w:r>
              <w:t>31</w:t>
            </w:r>
          </w:p>
        </w:tc>
        <w:tc>
          <w:tcPr>
            <w:tcW w:w="808" w:type="pct"/>
            <w:tcBorders>
              <w:top w:val="nil"/>
              <w:bottom w:val="single" w:sz="4" w:space="0" w:color="auto"/>
            </w:tcBorders>
          </w:tcPr>
          <w:p w:rsidR="00535CDC" w:rsidRDefault="00535CDC" w:rsidP="00535CDC">
            <w:pPr>
              <w:jc w:val="right"/>
            </w:pPr>
            <w:r>
              <w:t>40</w:t>
            </w:r>
          </w:p>
          <w:p w:rsidR="00535CDC" w:rsidRDefault="00535CDC" w:rsidP="00535CDC">
            <w:pPr>
              <w:jc w:val="right"/>
            </w:pPr>
            <w:r>
              <w:t>36</w:t>
            </w:r>
          </w:p>
          <w:p w:rsidR="00535CDC" w:rsidRDefault="00535CDC" w:rsidP="00535CDC">
            <w:pPr>
              <w:jc w:val="right"/>
            </w:pPr>
            <w:r>
              <w:t>32</w:t>
            </w:r>
          </w:p>
          <w:p w:rsidR="00535CDC" w:rsidRDefault="00535CDC" w:rsidP="00535CDC">
            <w:pPr>
              <w:jc w:val="right"/>
            </w:pPr>
            <w:r>
              <w:t>32</w:t>
            </w:r>
          </w:p>
          <w:p w:rsidR="00535CDC" w:rsidRDefault="00535CDC" w:rsidP="00535CDC">
            <w:pPr>
              <w:jc w:val="right"/>
            </w:pPr>
            <w:r>
              <w:t>26</w:t>
            </w:r>
          </w:p>
          <w:p w:rsidR="00535CDC" w:rsidRDefault="00535CDC" w:rsidP="00535CDC">
            <w:pPr>
              <w:jc w:val="right"/>
            </w:pPr>
            <w:r>
              <w:t>29</w:t>
            </w:r>
          </w:p>
          <w:p w:rsidR="00535CDC" w:rsidRDefault="00535CDC" w:rsidP="00535CDC">
            <w:pPr>
              <w:jc w:val="right"/>
            </w:pPr>
            <w:r>
              <w:t>31</w:t>
            </w:r>
          </w:p>
          <w:p w:rsidR="00535CDC" w:rsidRDefault="00535CDC" w:rsidP="00535CDC">
            <w:pPr>
              <w:jc w:val="right"/>
            </w:pPr>
            <w:r>
              <w:t>35</w:t>
            </w:r>
          </w:p>
          <w:p w:rsidR="00535CDC" w:rsidRDefault="00311830" w:rsidP="00535CDC">
            <w:pPr>
              <w:jc w:val="right"/>
            </w:pPr>
            <w:r>
              <w:t>23</w:t>
            </w:r>
          </w:p>
          <w:p w:rsidR="00535CDC" w:rsidRDefault="00535CDC" w:rsidP="00535CDC">
            <w:pPr>
              <w:jc w:val="right"/>
            </w:pPr>
            <w:r>
              <w:t>37</w:t>
            </w:r>
          </w:p>
        </w:tc>
        <w:tc>
          <w:tcPr>
            <w:tcW w:w="805" w:type="pct"/>
            <w:tcBorders>
              <w:top w:val="nil"/>
              <w:bottom w:val="single" w:sz="4" w:space="0" w:color="auto"/>
            </w:tcBorders>
          </w:tcPr>
          <w:p w:rsidR="00535CDC" w:rsidRPr="002155D7" w:rsidRDefault="00535CDC" w:rsidP="00535CDC">
            <w:pPr>
              <w:jc w:val="right"/>
              <w:rPr>
                <w:color w:val="FFFFFF" w:themeColor="background1"/>
                <w:vertAlign w:val="superscript"/>
              </w:rPr>
            </w:pPr>
            <w:r>
              <w:t>0,182</w:t>
            </w:r>
            <w:r w:rsidR="002155D7">
              <w:rPr>
                <w:color w:val="FFFFFF" w:themeColor="background1"/>
                <w:vertAlign w:val="superscript"/>
              </w:rPr>
              <w:t>***</w:t>
            </w:r>
          </w:p>
          <w:p w:rsidR="00535CDC" w:rsidRPr="002155D7" w:rsidRDefault="00535CDC" w:rsidP="00535CDC">
            <w:pPr>
              <w:jc w:val="right"/>
              <w:rPr>
                <w:color w:val="FFFFFF" w:themeColor="background1"/>
                <w:vertAlign w:val="superscript"/>
              </w:rPr>
            </w:pPr>
            <w:r>
              <w:t>0,716</w:t>
            </w:r>
            <w:r w:rsidR="002155D7">
              <w:rPr>
                <w:color w:val="FFFFFF" w:themeColor="background1"/>
                <w:vertAlign w:val="superscript"/>
              </w:rPr>
              <w:t>***</w:t>
            </w:r>
          </w:p>
          <w:p w:rsidR="00535CDC" w:rsidRPr="002155D7" w:rsidRDefault="00535CDC" w:rsidP="00535CDC">
            <w:pPr>
              <w:jc w:val="right"/>
              <w:rPr>
                <w:color w:val="FFFFFF" w:themeColor="background1"/>
                <w:vertAlign w:val="superscript"/>
              </w:rPr>
            </w:pPr>
            <w:r>
              <w:t>0,716</w:t>
            </w:r>
            <w:r w:rsidR="002155D7">
              <w:rPr>
                <w:color w:val="FFFFFF" w:themeColor="background1"/>
                <w:vertAlign w:val="superscript"/>
              </w:rPr>
              <w:t>***</w:t>
            </w:r>
          </w:p>
          <w:p w:rsidR="00535CDC" w:rsidRPr="002155D7" w:rsidRDefault="00535CDC" w:rsidP="00535CDC">
            <w:pPr>
              <w:jc w:val="right"/>
              <w:rPr>
                <w:color w:val="FFFFFF" w:themeColor="background1"/>
                <w:vertAlign w:val="superscript"/>
              </w:rPr>
            </w:pPr>
            <w:r>
              <w:t>0,716</w:t>
            </w:r>
            <w:r w:rsidR="002155D7">
              <w:rPr>
                <w:color w:val="FFFFFF" w:themeColor="background1"/>
                <w:vertAlign w:val="superscript"/>
              </w:rPr>
              <w:t>***</w:t>
            </w:r>
          </w:p>
          <w:p w:rsidR="00535CDC" w:rsidRPr="008214F5" w:rsidRDefault="00535CDC" w:rsidP="00535CDC">
            <w:pPr>
              <w:jc w:val="right"/>
              <w:rPr>
                <w:color w:val="FFFFFF" w:themeColor="background1"/>
                <w:vertAlign w:val="superscript"/>
              </w:rPr>
            </w:pPr>
            <w:r w:rsidRPr="008214F5">
              <w:t>0,068</w:t>
            </w:r>
            <w:r w:rsidR="002155D7" w:rsidRPr="008214F5">
              <w:rPr>
                <w:b/>
                <w:vertAlign w:val="superscript"/>
              </w:rPr>
              <w:t>*</w:t>
            </w:r>
            <w:r w:rsidR="002155D7" w:rsidRPr="00FF6C67">
              <w:rPr>
                <w:b/>
                <w:color w:val="FFFFFF" w:themeColor="background1"/>
                <w:vertAlign w:val="superscript"/>
              </w:rPr>
              <w:t>*</w:t>
            </w:r>
            <w:r w:rsidR="002155D7" w:rsidRPr="00FF6C67">
              <w:rPr>
                <w:color w:val="FFFFFF" w:themeColor="background1"/>
                <w:vertAlign w:val="superscript"/>
              </w:rPr>
              <w:t>*</w:t>
            </w:r>
          </w:p>
          <w:p w:rsidR="00535CDC" w:rsidRPr="002155D7" w:rsidRDefault="00535CDC" w:rsidP="00535CDC">
            <w:pPr>
              <w:jc w:val="right"/>
              <w:rPr>
                <w:color w:val="FFFFFF" w:themeColor="background1"/>
                <w:vertAlign w:val="superscript"/>
              </w:rPr>
            </w:pPr>
            <w:r>
              <w:t>0,275</w:t>
            </w:r>
            <w:r w:rsidR="002155D7">
              <w:rPr>
                <w:color w:val="FFFFFF" w:themeColor="background1"/>
                <w:vertAlign w:val="superscript"/>
              </w:rPr>
              <w:t>***</w:t>
            </w:r>
          </w:p>
          <w:p w:rsidR="00535CDC" w:rsidRPr="002155D7" w:rsidRDefault="00535CDC" w:rsidP="00535CDC">
            <w:pPr>
              <w:jc w:val="right"/>
              <w:rPr>
                <w:color w:val="FFFFFF" w:themeColor="background1"/>
                <w:vertAlign w:val="superscript"/>
              </w:rPr>
            </w:pPr>
            <w:r>
              <w:t>0,545</w:t>
            </w:r>
            <w:r w:rsidR="002155D7">
              <w:rPr>
                <w:color w:val="FFFFFF" w:themeColor="background1"/>
                <w:vertAlign w:val="superscript"/>
              </w:rPr>
              <w:t>***</w:t>
            </w:r>
          </w:p>
          <w:p w:rsidR="00535CDC" w:rsidRPr="002155D7" w:rsidRDefault="00535CDC" w:rsidP="00535CDC">
            <w:pPr>
              <w:jc w:val="right"/>
              <w:rPr>
                <w:color w:val="FFFFFF" w:themeColor="background1"/>
                <w:vertAlign w:val="superscript"/>
              </w:rPr>
            </w:pPr>
            <w:r>
              <w:t>0,904</w:t>
            </w:r>
            <w:r w:rsidR="002155D7">
              <w:rPr>
                <w:color w:val="FFFFFF" w:themeColor="background1"/>
                <w:vertAlign w:val="superscript"/>
              </w:rPr>
              <w:t>***</w:t>
            </w:r>
          </w:p>
          <w:p w:rsidR="00535CDC" w:rsidRPr="008214F5" w:rsidRDefault="00535CDC" w:rsidP="00535CDC">
            <w:pPr>
              <w:jc w:val="right"/>
              <w:rPr>
                <w:color w:val="FFFFFF" w:themeColor="background1"/>
                <w:vertAlign w:val="superscript"/>
              </w:rPr>
            </w:pPr>
            <w:r w:rsidRPr="008214F5">
              <w:t>0,038</w:t>
            </w:r>
            <w:r w:rsidR="002155D7" w:rsidRPr="008214F5">
              <w:rPr>
                <w:b/>
                <w:vertAlign w:val="superscript"/>
              </w:rPr>
              <w:t>**</w:t>
            </w:r>
            <w:r w:rsidR="002155D7" w:rsidRPr="008214F5">
              <w:rPr>
                <w:color w:val="FFFFFF" w:themeColor="background1"/>
                <w:vertAlign w:val="superscript"/>
              </w:rPr>
              <w:t>*</w:t>
            </w:r>
          </w:p>
          <w:p w:rsidR="00535CDC" w:rsidRPr="002155D7" w:rsidRDefault="00535CDC" w:rsidP="00535CDC">
            <w:pPr>
              <w:jc w:val="right"/>
              <w:rPr>
                <w:color w:val="FFFFFF" w:themeColor="background1"/>
                <w:vertAlign w:val="superscript"/>
              </w:rPr>
            </w:pPr>
            <w:r>
              <w:t>0,545</w:t>
            </w:r>
            <w:r w:rsidR="002155D7">
              <w:rPr>
                <w:color w:val="FFFFFF" w:themeColor="background1"/>
                <w:vertAlign w:val="superscript"/>
              </w:rPr>
              <w:t>***</w:t>
            </w:r>
          </w:p>
        </w:tc>
      </w:tr>
      <w:tr w:rsidR="00535CDC" w:rsidTr="009C4E91">
        <w:tc>
          <w:tcPr>
            <w:tcW w:w="5000" w:type="pct"/>
            <w:gridSpan w:val="6"/>
            <w:tcBorders>
              <w:top w:val="single" w:sz="4" w:space="0" w:color="auto"/>
            </w:tcBorders>
          </w:tcPr>
          <w:p w:rsidR="00535CDC" w:rsidRPr="006B267C" w:rsidRDefault="00535CDC" w:rsidP="009C4E91">
            <w:pPr>
              <w:rPr>
                <w:color w:val="FF0000"/>
              </w:rPr>
            </w:pPr>
            <w:proofErr w:type="spellStart"/>
            <w:r>
              <w:rPr>
                <w:rStyle w:val="SubtleEmphasis"/>
                <w:color w:val="FF0000"/>
              </w:rPr>
              <w:t>Markt</w:t>
            </w:r>
            <w:proofErr w:type="spellEnd"/>
            <w:r>
              <w:rPr>
                <w:rStyle w:val="SubtleEmphasis"/>
                <w:color w:val="FF0000"/>
              </w:rPr>
              <w:t xml:space="preserve"> Model</w:t>
            </w:r>
          </w:p>
        </w:tc>
      </w:tr>
      <w:tr w:rsidR="00535CDC" w:rsidTr="009C4E91">
        <w:tc>
          <w:tcPr>
            <w:tcW w:w="807" w:type="pct"/>
            <w:tcBorders>
              <w:top w:val="nil"/>
              <w:bottom w:val="nil"/>
            </w:tcBorders>
          </w:tcPr>
          <w:p w:rsidR="00535CDC" w:rsidRDefault="00535CDC" w:rsidP="009C4E91">
            <w:r>
              <w:t>T=-5</w:t>
            </w:r>
          </w:p>
        </w:tc>
        <w:tc>
          <w:tcPr>
            <w:tcW w:w="807" w:type="pct"/>
            <w:tcBorders>
              <w:top w:val="nil"/>
              <w:bottom w:val="nil"/>
            </w:tcBorders>
          </w:tcPr>
          <w:p w:rsidR="00535CDC" w:rsidRDefault="004A24DB" w:rsidP="009C4E91">
            <w:pPr>
              <w:jc w:val="right"/>
            </w:pPr>
            <w:r>
              <w:t>0,15%</w:t>
            </w:r>
          </w:p>
        </w:tc>
        <w:tc>
          <w:tcPr>
            <w:tcW w:w="916" w:type="pct"/>
            <w:tcBorders>
              <w:top w:val="nil"/>
              <w:bottom w:val="nil"/>
            </w:tcBorders>
            <w:noWrap/>
          </w:tcPr>
          <w:p w:rsidR="00535CDC" w:rsidRPr="002155D7" w:rsidRDefault="004A24DB" w:rsidP="009C4E91">
            <w:pPr>
              <w:jc w:val="right"/>
              <w:rPr>
                <w:color w:val="FFFFFF" w:themeColor="background1"/>
                <w:vertAlign w:val="superscript"/>
              </w:rPr>
            </w:pPr>
            <w:r>
              <w:t>0,973</w:t>
            </w:r>
            <w:r w:rsidR="002155D7">
              <w:rPr>
                <w:color w:val="FFFFFF" w:themeColor="background1"/>
                <w:vertAlign w:val="superscript"/>
              </w:rPr>
              <w:t>***</w:t>
            </w:r>
          </w:p>
        </w:tc>
        <w:tc>
          <w:tcPr>
            <w:tcW w:w="857" w:type="pct"/>
            <w:tcBorders>
              <w:top w:val="nil"/>
              <w:bottom w:val="nil"/>
            </w:tcBorders>
          </w:tcPr>
          <w:p w:rsidR="00535CDC" w:rsidRDefault="004A24DB" w:rsidP="00535CDC">
            <w:pPr>
              <w:jc w:val="right"/>
            </w:pPr>
            <w:r>
              <w:t>38</w:t>
            </w:r>
          </w:p>
        </w:tc>
        <w:tc>
          <w:tcPr>
            <w:tcW w:w="808" w:type="pct"/>
            <w:tcBorders>
              <w:top w:val="nil"/>
              <w:bottom w:val="nil"/>
            </w:tcBorders>
          </w:tcPr>
          <w:p w:rsidR="00535CDC" w:rsidRDefault="004A24DB" w:rsidP="00535CDC">
            <w:pPr>
              <w:jc w:val="right"/>
            </w:pPr>
            <w:r>
              <w:t>30</w:t>
            </w:r>
          </w:p>
        </w:tc>
        <w:tc>
          <w:tcPr>
            <w:tcW w:w="805" w:type="pct"/>
            <w:tcBorders>
              <w:top w:val="nil"/>
              <w:bottom w:val="nil"/>
            </w:tcBorders>
          </w:tcPr>
          <w:p w:rsidR="00535CDC" w:rsidRPr="002155D7" w:rsidRDefault="004A24DB" w:rsidP="00535CDC">
            <w:pPr>
              <w:jc w:val="right"/>
              <w:rPr>
                <w:color w:val="FFFFFF" w:themeColor="background1"/>
                <w:vertAlign w:val="superscript"/>
              </w:rPr>
            </w:pPr>
            <w:r>
              <w:t>0,396</w:t>
            </w:r>
            <w:r w:rsidR="002155D7">
              <w:rPr>
                <w:color w:val="FFFFFF" w:themeColor="background1"/>
                <w:vertAlign w:val="superscript"/>
              </w:rPr>
              <w:t>***</w:t>
            </w:r>
          </w:p>
        </w:tc>
      </w:tr>
      <w:tr w:rsidR="00535CDC" w:rsidTr="009C4E91">
        <w:tc>
          <w:tcPr>
            <w:tcW w:w="807" w:type="pct"/>
            <w:tcBorders>
              <w:top w:val="nil"/>
              <w:bottom w:val="nil"/>
            </w:tcBorders>
          </w:tcPr>
          <w:p w:rsidR="00535CDC" w:rsidRDefault="00535CDC" w:rsidP="009C4E91">
            <w:r>
              <w:t>T=-4</w:t>
            </w:r>
          </w:p>
          <w:p w:rsidR="00535CDC" w:rsidRDefault="00535CDC" w:rsidP="009C4E91">
            <w:r>
              <w:t>T=-3</w:t>
            </w:r>
          </w:p>
          <w:p w:rsidR="00535CDC" w:rsidRDefault="00535CDC" w:rsidP="009C4E91">
            <w:r>
              <w:t>T=-2</w:t>
            </w:r>
          </w:p>
          <w:p w:rsidR="00535CDC" w:rsidRDefault="00535CDC" w:rsidP="009C4E91">
            <w:r>
              <w:t>T=-1</w:t>
            </w:r>
          </w:p>
          <w:p w:rsidR="00535CDC" w:rsidRDefault="00535CDC" w:rsidP="009C4E91">
            <w:r>
              <w:t>T=0</w:t>
            </w:r>
          </w:p>
          <w:p w:rsidR="00535CDC" w:rsidRDefault="00535CDC" w:rsidP="009C4E91">
            <w:r>
              <w:t>T=1</w:t>
            </w:r>
          </w:p>
          <w:p w:rsidR="00535CDC" w:rsidRDefault="00535CDC" w:rsidP="009C4E91">
            <w:r>
              <w:t>T=2</w:t>
            </w:r>
          </w:p>
          <w:p w:rsidR="00535CDC" w:rsidRDefault="00535CDC" w:rsidP="009C4E91">
            <w:r>
              <w:t>T=3</w:t>
            </w:r>
          </w:p>
          <w:p w:rsidR="00535CDC" w:rsidRDefault="00535CDC" w:rsidP="009C4E91">
            <w:r>
              <w:t xml:space="preserve">T=4 </w:t>
            </w:r>
          </w:p>
          <w:p w:rsidR="00535CDC" w:rsidRDefault="00535CDC" w:rsidP="009C4E91">
            <w:r>
              <w:t>T=5</w:t>
            </w:r>
          </w:p>
        </w:tc>
        <w:tc>
          <w:tcPr>
            <w:tcW w:w="807" w:type="pct"/>
            <w:tcBorders>
              <w:top w:val="nil"/>
              <w:bottom w:val="nil"/>
            </w:tcBorders>
          </w:tcPr>
          <w:p w:rsidR="00535CDC" w:rsidRDefault="004A24DB" w:rsidP="009C4E91">
            <w:pPr>
              <w:jc w:val="right"/>
            </w:pPr>
            <w:r>
              <w:t>-0,32%</w:t>
            </w:r>
          </w:p>
          <w:p w:rsidR="004A24DB" w:rsidRDefault="004A24DB" w:rsidP="009C4E91">
            <w:pPr>
              <w:jc w:val="right"/>
            </w:pPr>
            <w:r>
              <w:t>0,15%</w:t>
            </w:r>
          </w:p>
          <w:p w:rsidR="004A24DB" w:rsidRDefault="004A24DB" w:rsidP="009C4E91">
            <w:pPr>
              <w:jc w:val="right"/>
            </w:pPr>
            <w:r>
              <w:t>-0,14%</w:t>
            </w:r>
          </w:p>
          <w:p w:rsidR="004A24DB" w:rsidRDefault="004A24DB" w:rsidP="009C4E91">
            <w:pPr>
              <w:jc w:val="right"/>
            </w:pPr>
            <w:r>
              <w:t>0,07%</w:t>
            </w:r>
          </w:p>
          <w:p w:rsidR="004A24DB" w:rsidRDefault="004A24DB" w:rsidP="009C4E91">
            <w:pPr>
              <w:jc w:val="right"/>
            </w:pPr>
            <w:r>
              <w:t>1,26%</w:t>
            </w:r>
          </w:p>
          <w:p w:rsidR="004A24DB" w:rsidRDefault="004A24DB" w:rsidP="009C4E91">
            <w:pPr>
              <w:jc w:val="right"/>
            </w:pPr>
            <w:r>
              <w:t>0,42%</w:t>
            </w:r>
          </w:p>
          <w:p w:rsidR="004A24DB" w:rsidRDefault="004A24DB" w:rsidP="009C4E91">
            <w:pPr>
              <w:jc w:val="right"/>
            </w:pPr>
            <w:r>
              <w:t>0,19%</w:t>
            </w:r>
          </w:p>
          <w:p w:rsidR="004A24DB" w:rsidRDefault="004A24DB" w:rsidP="009C4E91">
            <w:pPr>
              <w:jc w:val="right"/>
            </w:pPr>
            <w:r>
              <w:t>0,15%</w:t>
            </w:r>
          </w:p>
          <w:p w:rsidR="004A24DB" w:rsidRDefault="004A24DB" w:rsidP="009C4E91">
            <w:pPr>
              <w:jc w:val="right"/>
            </w:pPr>
            <w:r>
              <w:t>0,38%</w:t>
            </w:r>
          </w:p>
          <w:p w:rsidR="004A24DB" w:rsidRDefault="004A24DB" w:rsidP="009C4E91">
            <w:pPr>
              <w:jc w:val="right"/>
            </w:pPr>
            <w:r>
              <w:t>-0,05%</w:t>
            </w:r>
          </w:p>
        </w:tc>
        <w:tc>
          <w:tcPr>
            <w:tcW w:w="916" w:type="pct"/>
            <w:tcBorders>
              <w:top w:val="nil"/>
              <w:bottom w:val="nil"/>
            </w:tcBorders>
            <w:noWrap/>
          </w:tcPr>
          <w:p w:rsidR="00535CDC" w:rsidRPr="008214F5" w:rsidRDefault="004A24DB" w:rsidP="009C4E91">
            <w:pPr>
              <w:jc w:val="right"/>
              <w:rPr>
                <w:color w:val="FFFFFF" w:themeColor="background1"/>
                <w:vertAlign w:val="superscript"/>
              </w:rPr>
            </w:pPr>
            <w:r w:rsidRPr="008214F5">
              <w:t>-2,066</w:t>
            </w:r>
            <w:r w:rsidR="002155D7" w:rsidRPr="008214F5">
              <w:rPr>
                <w:b/>
                <w:vertAlign w:val="superscript"/>
              </w:rPr>
              <w:t>**</w:t>
            </w:r>
            <w:r w:rsidR="002155D7" w:rsidRPr="008214F5">
              <w:rPr>
                <w:color w:val="FFFFFF" w:themeColor="background1"/>
                <w:vertAlign w:val="superscript"/>
              </w:rPr>
              <w:t>*</w:t>
            </w:r>
          </w:p>
          <w:p w:rsidR="004A24DB" w:rsidRPr="008214F5" w:rsidRDefault="004A24DB" w:rsidP="009C4E91">
            <w:pPr>
              <w:jc w:val="right"/>
              <w:rPr>
                <w:color w:val="FFFFFF" w:themeColor="background1"/>
                <w:vertAlign w:val="superscript"/>
              </w:rPr>
            </w:pPr>
            <w:r w:rsidRPr="008214F5">
              <w:t>0,797</w:t>
            </w:r>
            <w:r w:rsidR="002155D7" w:rsidRPr="008214F5">
              <w:rPr>
                <w:color w:val="FFFFFF" w:themeColor="background1"/>
                <w:vertAlign w:val="superscript"/>
              </w:rPr>
              <w:t>***</w:t>
            </w:r>
          </w:p>
          <w:p w:rsidR="004A24DB" w:rsidRPr="008214F5" w:rsidRDefault="004A24DB" w:rsidP="009C4E91">
            <w:pPr>
              <w:jc w:val="right"/>
              <w:rPr>
                <w:color w:val="FFFFFF" w:themeColor="background1"/>
                <w:vertAlign w:val="superscript"/>
              </w:rPr>
            </w:pPr>
            <w:r w:rsidRPr="008214F5">
              <w:t>-0,840</w:t>
            </w:r>
            <w:r w:rsidR="002155D7" w:rsidRPr="008214F5">
              <w:rPr>
                <w:color w:val="FFFFFF" w:themeColor="background1"/>
                <w:vertAlign w:val="superscript"/>
              </w:rPr>
              <w:t>***</w:t>
            </w:r>
          </w:p>
          <w:p w:rsidR="004A24DB" w:rsidRPr="008214F5" w:rsidRDefault="004A24DB" w:rsidP="009C4E91">
            <w:pPr>
              <w:jc w:val="right"/>
              <w:rPr>
                <w:color w:val="FFFFFF" w:themeColor="background1"/>
                <w:vertAlign w:val="superscript"/>
              </w:rPr>
            </w:pPr>
            <w:r w:rsidRPr="008214F5">
              <w:t>0,574</w:t>
            </w:r>
            <w:r w:rsidR="002155D7" w:rsidRPr="008214F5">
              <w:rPr>
                <w:color w:val="FFFFFF" w:themeColor="background1"/>
                <w:vertAlign w:val="superscript"/>
              </w:rPr>
              <w:t>***</w:t>
            </w:r>
          </w:p>
          <w:p w:rsidR="004A24DB" w:rsidRPr="008214F5" w:rsidRDefault="004A24DB" w:rsidP="009C4E91">
            <w:pPr>
              <w:jc w:val="right"/>
              <w:rPr>
                <w:b/>
                <w:vertAlign w:val="superscript"/>
              </w:rPr>
            </w:pPr>
            <w:r w:rsidRPr="008214F5">
              <w:t>2,955</w:t>
            </w:r>
            <w:r w:rsidR="002155D7" w:rsidRPr="008214F5">
              <w:rPr>
                <w:b/>
                <w:vertAlign w:val="superscript"/>
              </w:rPr>
              <w:t>***</w:t>
            </w:r>
          </w:p>
          <w:p w:rsidR="004A24DB" w:rsidRPr="008214F5" w:rsidRDefault="004A24DB" w:rsidP="009C4E91">
            <w:pPr>
              <w:jc w:val="right"/>
              <w:rPr>
                <w:color w:val="FFFFFF" w:themeColor="background1"/>
                <w:vertAlign w:val="superscript"/>
              </w:rPr>
            </w:pPr>
            <w:r w:rsidRPr="008214F5">
              <w:t>2,296</w:t>
            </w:r>
            <w:r w:rsidR="002155D7" w:rsidRPr="008214F5">
              <w:rPr>
                <w:b/>
                <w:vertAlign w:val="superscript"/>
              </w:rPr>
              <w:t>**</w:t>
            </w:r>
            <w:r w:rsidR="002155D7" w:rsidRPr="008214F5">
              <w:rPr>
                <w:color w:val="FFFFFF" w:themeColor="background1"/>
                <w:vertAlign w:val="superscript"/>
              </w:rPr>
              <w:t>*</w:t>
            </w:r>
          </w:p>
          <w:p w:rsidR="004A24DB" w:rsidRPr="008214F5" w:rsidRDefault="004A24DB" w:rsidP="009C4E91">
            <w:pPr>
              <w:jc w:val="right"/>
              <w:rPr>
                <w:color w:val="FFFFFF" w:themeColor="background1"/>
                <w:vertAlign w:val="superscript"/>
              </w:rPr>
            </w:pPr>
            <w:r w:rsidRPr="008214F5">
              <w:t>1,092</w:t>
            </w:r>
            <w:r w:rsidR="002155D7" w:rsidRPr="008214F5">
              <w:rPr>
                <w:color w:val="FFFFFF" w:themeColor="background1"/>
                <w:vertAlign w:val="superscript"/>
              </w:rPr>
              <w:t>***</w:t>
            </w:r>
          </w:p>
          <w:p w:rsidR="004A24DB" w:rsidRPr="008214F5" w:rsidRDefault="004A24DB" w:rsidP="009C4E91">
            <w:pPr>
              <w:jc w:val="right"/>
              <w:rPr>
                <w:color w:val="FFFFFF" w:themeColor="background1"/>
                <w:vertAlign w:val="superscript"/>
              </w:rPr>
            </w:pPr>
            <w:r w:rsidRPr="008214F5">
              <w:t>0,880</w:t>
            </w:r>
            <w:r w:rsidR="002155D7" w:rsidRPr="008214F5">
              <w:rPr>
                <w:color w:val="FFFFFF" w:themeColor="background1"/>
                <w:vertAlign w:val="superscript"/>
              </w:rPr>
              <w:t>***</w:t>
            </w:r>
          </w:p>
          <w:p w:rsidR="004A24DB" w:rsidRPr="008214F5" w:rsidRDefault="004A24DB" w:rsidP="009C4E91">
            <w:pPr>
              <w:jc w:val="right"/>
              <w:rPr>
                <w:color w:val="FFFFFF" w:themeColor="background1"/>
                <w:vertAlign w:val="superscript"/>
              </w:rPr>
            </w:pPr>
            <w:r w:rsidRPr="008214F5">
              <w:t>2,424</w:t>
            </w:r>
            <w:r w:rsidR="002155D7" w:rsidRPr="008214F5">
              <w:rPr>
                <w:b/>
                <w:vertAlign w:val="superscript"/>
              </w:rPr>
              <w:t>**</w:t>
            </w:r>
            <w:r w:rsidR="002155D7" w:rsidRPr="008214F5">
              <w:rPr>
                <w:color w:val="FFFFFF" w:themeColor="background1"/>
                <w:vertAlign w:val="superscript"/>
              </w:rPr>
              <w:t>*</w:t>
            </w:r>
          </w:p>
          <w:p w:rsidR="004A24DB" w:rsidRPr="002155D7" w:rsidRDefault="004A24DB" w:rsidP="009C4E91">
            <w:pPr>
              <w:jc w:val="right"/>
              <w:rPr>
                <w:color w:val="FFFFFF" w:themeColor="background1"/>
                <w:vertAlign w:val="superscript"/>
              </w:rPr>
            </w:pPr>
            <w:r w:rsidRPr="008214F5">
              <w:t>-0,293</w:t>
            </w:r>
            <w:r w:rsidR="002155D7">
              <w:rPr>
                <w:color w:val="FFFFFF" w:themeColor="background1"/>
                <w:vertAlign w:val="superscript"/>
              </w:rPr>
              <w:t>***</w:t>
            </w:r>
          </w:p>
        </w:tc>
        <w:tc>
          <w:tcPr>
            <w:tcW w:w="857" w:type="pct"/>
            <w:tcBorders>
              <w:top w:val="nil"/>
              <w:bottom w:val="nil"/>
            </w:tcBorders>
          </w:tcPr>
          <w:p w:rsidR="00535CDC" w:rsidRDefault="004A24DB" w:rsidP="00535CDC">
            <w:pPr>
              <w:jc w:val="right"/>
            </w:pPr>
            <w:r>
              <w:t>29</w:t>
            </w:r>
          </w:p>
          <w:p w:rsidR="004A24DB" w:rsidRDefault="004A24DB" w:rsidP="00535CDC">
            <w:pPr>
              <w:jc w:val="right"/>
            </w:pPr>
            <w:r>
              <w:t>34</w:t>
            </w:r>
          </w:p>
          <w:p w:rsidR="004A24DB" w:rsidRDefault="004A24DB" w:rsidP="00535CDC">
            <w:pPr>
              <w:jc w:val="right"/>
            </w:pPr>
            <w:r>
              <w:t>35</w:t>
            </w:r>
          </w:p>
          <w:p w:rsidR="004A24DB" w:rsidRDefault="004A24DB" w:rsidP="00535CDC">
            <w:pPr>
              <w:jc w:val="right"/>
            </w:pPr>
            <w:r>
              <w:t>35</w:t>
            </w:r>
          </w:p>
          <w:p w:rsidR="004A24DB" w:rsidRDefault="004A24DB" w:rsidP="00535CDC">
            <w:pPr>
              <w:jc w:val="right"/>
            </w:pPr>
            <w:r>
              <w:t>41</w:t>
            </w:r>
          </w:p>
          <w:p w:rsidR="004A24DB" w:rsidRDefault="00410B14" w:rsidP="00535CDC">
            <w:pPr>
              <w:jc w:val="right"/>
            </w:pPr>
            <w:r>
              <w:t>41</w:t>
            </w:r>
          </w:p>
          <w:p w:rsidR="004A24DB" w:rsidRDefault="00410B14" w:rsidP="00535CDC">
            <w:pPr>
              <w:jc w:val="right"/>
            </w:pPr>
            <w:r>
              <w:t>35</w:t>
            </w:r>
          </w:p>
          <w:p w:rsidR="004A24DB" w:rsidRDefault="00410B14" w:rsidP="00535CDC">
            <w:pPr>
              <w:jc w:val="right"/>
            </w:pPr>
            <w:r>
              <w:t>32</w:t>
            </w:r>
          </w:p>
          <w:p w:rsidR="004A24DB" w:rsidRDefault="00410B14" w:rsidP="00535CDC">
            <w:pPr>
              <w:jc w:val="right"/>
            </w:pPr>
            <w:r>
              <w:t>43</w:t>
            </w:r>
          </w:p>
          <w:p w:rsidR="004A24DB" w:rsidRDefault="00410B14" w:rsidP="00535CDC">
            <w:pPr>
              <w:jc w:val="right"/>
            </w:pPr>
            <w:r>
              <w:t>33</w:t>
            </w:r>
          </w:p>
        </w:tc>
        <w:tc>
          <w:tcPr>
            <w:tcW w:w="808" w:type="pct"/>
            <w:tcBorders>
              <w:top w:val="nil"/>
              <w:bottom w:val="nil"/>
            </w:tcBorders>
          </w:tcPr>
          <w:p w:rsidR="00535CDC" w:rsidRDefault="004A24DB" w:rsidP="00535CDC">
            <w:pPr>
              <w:jc w:val="right"/>
            </w:pPr>
            <w:r>
              <w:t>39</w:t>
            </w:r>
          </w:p>
          <w:p w:rsidR="004A24DB" w:rsidRDefault="004A24DB" w:rsidP="00535CDC">
            <w:pPr>
              <w:jc w:val="right"/>
            </w:pPr>
            <w:r>
              <w:t>34</w:t>
            </w:r>
          </w:p>
          <w:p w:rsidR="004A24DB" w:rsidRDefault="004A24DB" w:rsidP="00535CDC">
            <w:pPr>
              <w:jc w:val="right"/>
            </w:pPr>
            <w:r>
              <w:t>33</w:t>
            </w:r>
          </w:p>
          <w:p w:rsidR="004A24DB" w:rsidRDefault="004A24DB" w:rsidP="00535CDC">
            <w:pPr>
              <w:jc w:val="right"/>
            </w:pPr>
            <w:r>
              <w:t>33</w:t>
            </w:r>
          </w:p>
          <w:p w:rsidR="004A24DB" w:rsidRDefault="004A24DB" w:rsidP="00535CDC">
            <w:pPr>
              <w:jc w:val="right"/>
            </w:pPr>
            <w:r>
              <w:t>27</w:t>
            </w:r>
          </w:p>
          <w:p w:rsidR="004A24DB" w:rsidRDefault="00410B14" w:rsidP="00535CDC">
            <w:pPr>
              <w:jc w:val="right"/>
            </w:pPr>
            <w:r>
              <w:t>27</w:t>
            </w:r>
          </w:p>
          <w:p w:rsidR="004A24DB" w:rsidRDefault="00410B14" w:rsidP="00535CDC">
            <w:pPr>
              <w:jc w:val="right"/>
            </w:pPr>
            <w:r>
              <w:t>33</w:t>
            </w:r>
          </w:p>
          <w:p w:rsidR="004A24DB" w:rsidRDefault="00410B14" w:rsidP="00535CDC">
            <w:pPr>
              <w:jc w:val="right"/>
            </w:pPr>
            <w:r>
              <w:t>36</w:t>
            </w:r>
          </w:p>
          <w:p w:rsidR="004A24DB" w:rsidRDefault="00410B14" w:rsidP="00535CDC">
            <w:pPr>
              <w:jc w:val="right"/>
            </w:pPr>
            <w:r>
              <w:t>25</w:t>
            </w:r>
          </w:p>
          <w:p w:rsidR="004A24DB" w:rsidRDefault="00410B14" w:rsidP="00535CDC">
            <w:pPr>
              <w:jc w:val="right"/>
            </w:pPr>
            <w:r>
              <w:t>35</w:t>
            </w:r>
          </w:p>
        </w:tc>
        <w:tc>
          <w:tcPr>
            <w:tcW w:w="805" w:type="pct"/>
            <w:tcBorders>
              <w:top w:val="nil"/>
              <w:bottom w:val="nil"/>
            </w:tcBorders>
          </w:tcPr>
          <w:p w:rsidR="00535CDC" w:rsidRPr="002155D7" w:rsidRDefault="004A24DB" w:rsidP="00410B14">
            <w:pPr>
              <w:jc w:val="right"/>
              <w:rPr>
                <w:color w:val="FFFFFF" w:themeColor="background1"/>
                <w:vertAlign w:val="superscript"/>
              </w:rPr>
            </w:pPr>
            <w:r w:rsidRPr="00410B14">
              <w:t>0,275</w:t>
            </w:r>
            <w:r w:rsidR="002155D7">
              <w:rPr>
                <w:color w:val="FFFFFF" w:themeColor="background1"/>
                <w:vertAlign w:val="superscript"/>
              </w:rPr>
              <w:t>***</w:t>
            </w:r>
          </w:p>
          <w:p w:rsidR="004A24DB" w:rsidRPr="002155D7" w:rsidRDefault="004A24DB" w:rsidP="00410B14">
            <w:pPr>
              <w:jc w:val="right"/>
              <w:rPr>
                <w:color w:val="FFFFFF" w:themeColor="background1"/>
                <w:vertAlign w:val="superscript"/>
              </w:rPr>
            </w:pPr>
            <w:r w:rsidRPr="00410B14">
              <w:t>1,000</w:t>
            </w:r>
            <w:r w:rsidR="002155D7">
              <w:rPr>
                <w:color w:val="FFFFFF" w:themeColor="background1"/>
                <w:vertAlign w:val="superscript"/>
              </w:rPr>
              <w:t>***</w:t>
            </w:r>
          </w:p>
          <w:p w:rsidR="004A24DB" w:rsidRPr="002155D7" w:rsidRDefault="004A24DB" w:rsidP="00410B14">
            <w:pPr>
              <w:jc w:val="right"/>
              <w:rPr>
                <w:color w:val="FFFFFF" w:themeColor="background1"/>
                <w:vertAlign w:val="superscript"/>
              </w:rPr>
            </w:pPr>
            <w:r w:rsidRPr="00410B14">
              <w:t>0,904</w:t>
            </w:r>
            <w:r w:rsidR="002155D7">
              <w:rPr>
                <w:color w:val="FFFFFF" w:themeColor="background1"/>
                <w:vertAlign w:val="superscript"/>
              </w:rPr>
              <w:t>***</w:t>
            </w:r>
          </w:p>
          <w:p w:rsidR="004A24DB" w:rsidRPr="002155D7" w:rsidRDefault="004A24DB" w:rsidP="00410B14">
            <w:pPr>
              <w:jc w:val="right"/>
              <w:rPr>
                <w:color w:val="FFFFFF" w:themeColor="background1"/>
                <w:vertAlign w:val="superscript"/>
              </w:rPr>
            </w:pPr>
            <w:r w:rsidRPr="00410B14">
              <w:t>0,904</w:t>
            </w:r>
            <w:r w:rsidR="002155D7">
              <w:rPr>
                <w:color w:val="FFFFFF" w:themeColor="background1"/>
                <w:vertAlign w:val="superscript"/>
              </w:rPr>
              <w:t>***</w:t>
            </w:r>
          </w:p>
          <w:p w:rsidR="004A24DB" w:rsidRPr="002155D7" w:rsidRDefault="004A24DB" w:rsidP="00410B14">
            <w:pPr>
              <w:jc w:val="right"/>
              <w:rPr>
                <w:color w:val="FFFFFF" w:themeColor="background1"/>
                <w:vertAlign w:val="superscript"/>
              </w:rPr>
            </w:pPr>
            <w:r w:rsidRPr="00410B14">
              <w:t>0,114</w:t>
            </w:r>
            <w:r w:rsidR="002155D7">
              <w:rPr>
                <w:color w:val="FFFFFF" w:themeColor="background1"/>
                <w:vertAlign w:val="superscript"/>
              </w:rPr>
              <w:t>***</w:t>
            </w:r>
          </w:p>
          <w:p w:rsidR="004A24DB" w:rsidRPr="002155D7" w:rsidRDefault="00410B14" w:rsidP="00410B14">
            <w:pPr>
              <w:jc w:val="right"/>
              <w:rPr>
                <w:color w:val="FFFFFF" w:themeColor="background1"/>
                <w:vertAlign w:val="superscript"/>
              </w:rPr>
            </w:pPr>
            <w:r w:rsidRPr="00410B14">
              <w:t>0,114</w:t>
            </w:r>
            <w:r w:rsidR="002155D7">
              <w:rPr>
                <w:color w:val="FFFFFF" w:themeColor="background1"/>
                <w:vertAlign w:val="superscript"/>
              </w:rPr>
              <w:t>***</w:t>
            </w:r>
          </w:p>
          <w:p w:rsidR="004A24DB" w:rsidRPr="002155D7" w:rsidRDefault="00410B14" w:rsidP="00410B14">
            <w:pPr>
              <w:jc w:val="right"/>
              <w:rPr>
                <w:color w:val="FFFFFF" w:themeColor="background1"/>
                <w:vertAlign w:val="superscript"/>
              </w:rPr>
            </w:pPr>
            <w:r w:rsidRPr="00410B14">
              <w:t>0,904</w:t>
            </w:r>
            <w:r w:rsidR="002155D7">
              <w:rPr>
                <w:color w:val="FFFFFF" w:themeColor="background1"/>
                <w:vertAlign w:val="superscript"/>
              </w:rPr>
              <w:t>***</w:t>
            </w:r>
          </w:p>
          <w:p w:rsidR="004A24DB" w:rsidRPr="002155D7" w:rsidRDefault="00410B14" w:rsidP="00410B14">
            <w:pPr>
              <w:jc w:val="right"/>
              <w:rPr>
                <w:color w:val="FFFFFF" w:themeColor="background1"/>
                <w:vertAlign w:val="superscript"/>
              </w:rPr>
            </w:pPr>
            <w:r w:rsidRPr="00410B14">
              <w:t>0,716</w:t>
            </w:r>
            <w:r w:rsidR="002155D7">
              <w:rPr>
                <w:color w:val="FFFFFF" w:themeColor="background1"/>
                <w:vertAlign w:val="superscript"/>
              </w:rPr>
              <w:t>***</w:t>
            </w:r>
          </w:p>
          <w:p w:rsidR="004A24DB" w:rsidRPr="002155D7" w:rsidRDefault="00410B14" w:rsidP="00410B14">
            <w:pPr>
              <w:jc w:val="right"/>
              <w:rPr>
                <w:color w:val="FFFFFF" w:themeColor="background1"/>
                <w:vertAlign w:val="superscript"/>
              </w:rPr>
            </w:pPr>
            <w:r w:rsidRPr="008214F5">
              <w:t>0,038</w:t>
            </w:r>
            <w:r w:rsidR="002155D7" w:rsidRPr="008214F5">
              <w:rPr>
                <w:b/>
                <w:vertAlign w:val="superscript"/>
              </w:rPr>
              <w:t>**</w:t>
            </w:r>
            <w:r w:rsidR="002155D7">
              <w:rPr>
                <w:color w:val="FFFFFF" w:themeColor="background1"/>
                <w:vertAlign w:val="superscript"/>
              </w:rPr>
              <w:t>*</w:t>
            </w:r>
          </w:p>
          <w:p w:rsidR="004A24DB" w:rsidRPr="002155D7" w:rsidRDefault="00410B14" w:rsidP="00410B14">
            <w:pPr>
              <w:jc w:val="right"/>
              <w:rPr>
                <w:color w:val="FFFFFF" w:themeColor="background1"/>
                <w:vertAlign w:val="superscript"/>
              </w:rPr>
            </w:pPr>
            <w:r>
              <w:t>0,904</w:t>
            </w:r>
            <w:r w:rsidR="002155D7">
              <w:rPr>
                <w:color w:val="FFFFFF" w:themeColor="background1"/>
                <w:vertAlign w:val="superscript"/>
              </w:rPr>
              <w:t>***</w:t>
            </w:r>
          </w:p>
        </w:tc>
      </w:tr>
      <w:tr w:rsidR="00535CDC" w:rsidTr="009C4E91">
        <w:trPr>
          <w:cnfStyle w:val="010000000000"/>
        </w:trPr>
        <w:tc>
          <w:tcPr>
            <w:tcW w:w="807" w:type="pct"/>
            <w:tcBorders>
              <w:top w:val="nil"/>
            </w:tcBorders>
          </w:tcPr>
          <w:p w:rsidR="00535CDC" w:rsidRDefault="00535CDC" w:rsidP="00CF61D9"/>
        </w:tc>
        <w:tc>
          <w:tcPr>
            <w:tcW w:w="807" w:type="pct"/>
            <w:tcBorders>
              <w:top w:val="nil"/>
            </w:tcBorders>
          </w:tcPr>
          <w:p w:rsidR="00535CDC" w:rsidRDefault="00535CDC" w:rsidP="00CF61D9"/>
        </w:tc>
        <w:tc>
          <w:tcPr>
            <w:tcW w:w="916" w:type="pct"/>
            <w:tcBorders>
              <w:top w:val="nil"/>
            </w:tcBorders>
            <w:noWrap/>
          </w:tcPr>
          <w:p w:rsidR="00535CDC" w:rsidRDefault="00535CDC" w:rsidP="00CF61D9"/>
        </w:tc>
        <w:tc>
          <w:tcPr>
            <w:tcW w:w="857" w:type="pct"/>
            <w:tcBorders>
              <w:top w:val="nil"/>
            </w:tcBorders>
          </w:tcPr>
          <w:p w:rsidR="00535CDC" w:rsidRDefault="00535CDC" w:rsidP="00CF61D9"/>
        </w:tc>
        <w:tc>
          <w:tcPr>
            <w:tcW w:w="808" w:type="pct"/>
            <w:tcBorders>
              <w:top w:val="nil"/>
            </w:tcBorders>
          </w:tcPr>
          <w:p w:rsidR="00535CDC" w:rsidRDefault="00535CDC" w:rsidP="00CF61D9"/>
        </w:tc>
        <w:tc>
          <w:tcPr>
            <w:tcW w:w="805" w:type="pct"/>
            <w:tcBorders>
              <w:top w:val="nil"/>
            </w:tcBorders>
          </w:tcPr>
          <w:p w:rsidR="00535CDC" w:rsidRPr="00410B14" w:rsidRDefault="00535CDC" w:rsidP="00410B14">
            <w:pPr>
              <w:jc w:val="right"/>
            </w:pPr>
          </w:p>
        </w:tc>
      </w:tr>
    </w:tbl>
    <w:p w:rsidR="00B57673" w:rsidRPr="00535CDC" w:rsidRDefault="00535CDC" w:rsidP="001C7111">
      <w:pPr>
        <w:pStyle w:val="Caption"/>
      </w:pPr>
      <w:r>
        <w:t xml:space="preserve">Tabel </w:t>
      </w:r>
      <w:r w:rsidR="00992938">
        <w:t>4</w:t>
      </w:r>
      <w:r>
        <w:t>: Statische testen gehele dataset.</w:t>
      </w:r>
      <w:r w:rsidR="00A76B0B">
        <w:t xml:space="preserve">                                                                                                                                                             </w:t>
      </w:r>
      <w:r w:rsidR="00A42F94">
        <w:t>*</w:t>
      </w:r>
      <w:r w:rsidR="004F02D0">
        <w:tab/>
      </w:r>
      <w:r w:rsidR="00A42F94">
        <w:t xml:space="preserve">= Het abnormaal rendement verschilt significant van nul </w:t>
      </w:r>
      <w:r w:rsidR="004F02D0">
        <w:t>op een 10% niveau op basis van een tweezijdige toets</w:t>
      </w:r>
      <w:r w:rsidR="00FD3530">
        <w:t>.</w:t>
      </w:r>
      <w:r w:rsidR="004F02D0">
        <w:t xml:space="preserve"> </w:t>
      </w:r>
      <w:r w:rsidR="00A42F94">
        <w:t>**</w:t>
      </w:r>
      <w:r w:rsidR="00A42F94">
        <w:tab/>
        <w:t>= Het abnormaal rendement verschilt significant van nul op een 5% niveau op basis van een tweezijdige toets</w:t>
      </w:r>
      <w:r w:rsidR="00FD3530">
        <w:t>.</w:t>
      </w:r>
      <w:r w:rsidR="00A42F94">
        <w:t xml:space="preserve">                                   ***</w:t>
      </w:r>
      <w:r w:rsidR="00A42F94">
        <w:tab/>
        <w:t>= Het abnormaal rendement verschilt significant van nul op een 1% niveau op basis van een tweezijdige toets</w:t>
      </w:r>
      <w:r w:rsidR="00FD3530">
        <w:t>.</w:t>
      </w:r>
      <w:r w:rsidR="00A76B0B">
        <w:t xml:space="preserve"> </w:t>
      </w:r>
      <w:r w:rsidR="001E0CA3">
        <w:t xml:space="preserve">                                                                </w:t>
      </w:r>
    </w:p>
    <w:p w:rsidR="00535CDC" w:rsidRPr="00A16C92" w:rsidRDefault="00652E61" w:rsidP="00535CDC">
      <w:pPr>
        <w:pStyle w:val="Heading2"/>
        <w:numPr>
          <w:ilvl w:val="1"/>
          <w:numId w:val="2"/>
        </w:numPr>
        <w:jc w:val="both"/>
        <w:rPr>
          <w:color w:val="auto"/>
        </w:rPr>
      </w:pPr>
      <w:bookmarkStart w:id="21" w:name="_Toc361526574"/>
      <w:r>
        <w:rPr>
          <w:color w:val="auto"/>
        </w:rPr>
        <w:lastRenderedPageBreak/>
        <w:t>Het</w:t>
      </w:r>
      <w:r w:rsidR="002041B9">
        <w:rPr>
          <w:color w:val="auto"/>
        </w:rPr>
        <w:t xml:space="preserve"> onderzoek naar motieven</w:t>
      </w:r>
      <w:bookmarkEnd w:id="21"/>
    </w:p>
    <w:p w:rsidR="00784B11" w:rsidRDefault="005F5D70" w:rsidP="009965EB">
      <w:pPr>
        <w:pStyle w:val="NoSpacing"/>
        <w:spacing w:before="120"/>
        <w:jc w:val="both"/>
      </w:pPr>
      <w:r>
        <w:t>Het abnormaal ren</w:t>
      </w:r>
      <w:r w:rsidR="00FC5883">
        <w:t>dement van de gehele dataset is</w:t>
      </w:r>
      <w:r>
        <w:t xml:space="preserve"> lager dan in Baltus &amp; Schauten (2000)</w:t>
      </w:r>
      <w:r w:rsidR="00784B11">
        <w:t>. Zoals besproken in paragra</w:t>
      </w:r>
      <w:r w:rsidR="00540B59">
        <w:t>af 2.3</w:t>
      </w:r>
      <w:r w:rsidR="00FC5883">
        <w:t>,</w:t>
      </w:r>
      <w:r w:rsidR="00784B11">
        <w:t xml:space="preserve"> kan d</w:t>
      </w:r>
      <w:r w:rsidR="00540B59">
        <w:t>e hoogte van het abnorma</w:t>
      </w:r>
      <w:r w:rsidR="00784B11">
        <w:t>al</w:t>
      </w:r>
      <w:r w:rsidR="00540B59">
        <w:t xml:space="preserve"> </w:t>
      </w:r>
      <w:r w:rsidR="00535CDC">
        <w:t xml:space="preserve">rendement op de dag van de aankondiging afhangen van het motief om eigen aandelen in te kopen. Het kan zo zijn dat </w:t>
      </w:r>
      <w:r>
        <w:t>de lagere waarde van het abnormaal rendement</w:t>
      </w:r>
      <w:r w:rsidR="00FC5883">
        <w:t xml:space="preserve"> in dit onderzoek</w:t>
      </w:r>
      <w:r>
        <w:t xml:space="preserve"> veroorzaakt wordt door de motieven die ten grondslag liggen aan het inkopen van eigen aandelen. </w:t>
      </w:r>
      <w:r w:rsidR="00346CBF">
        <w:t>In dat geval zou</w:t>
      </w:r>
      <w:r w:rsidR="0082792C">
        <w:t xml:space="preserve">den de gevonden abnormale rendementen (op de </w:t>
      </w:r>
      <w:proofErr w:type="spellStart"/>
      <w:r w:rsidR="0082792C">
        <w:t>aankondigingsdag</w:t>
      </w:r>
      <w:proofErr w:type="spellEnd"/>
      <w:r w:rsidR="0082792C">
        <w:t>)</w:t>
      </w:r>
      <w:r w:rsidR="00346CBF">
        <w:t xml:space="preserve"> </w:t>
      </w:r>
      <w:r w:rsidR="0082792C">
        <w:t xml:space="preserve">in dit onderzoek en in Baltus en Schauten (2000) </w:t>
      </w:r>
      <w:r w:rsidR="00642B1A">
        <w:t xml:space="preserve">bij een bepaald </w:t>
      </w:r>
      <w:r w:rsidR="00346CBF">
        <w:t xml:space="preserve">theoretisch </w:t>
      </w:r>
      <w:r w:rsidR="00642B1A">
        <w:t xml:space="preserve">motief </w:t>
      </w:r>
      <w:r w:rsidR="00346CBF">
        <w:t>(vrijwel</w:t>
      </w:r>
      <w:r w:rsidR="0082792C">
        <w:t xml:space="preserve">) </w:t>
      </w:r>
      <w:r w:rsidR="00D73544">
        <w:t>overeen</w:t>
      </w:r>
      <w:r w:rsidR="0082792C">
        <w:t xml:space="preserve"> kunnen </w:t>
      </w:r>
      <w:r w:rsidR="00D73544">
        <w:t>komen</w:t>
      </w:r>
      <w:r w:rsidR="0082792C">
        <w:t>.</w:t>
      </w:r>
      <w:r w:rsidR="00642B1A">
        <w:t xml:space="preserve"> </w:t>
      </w:r>
    </w:p>
    <w:p w:rsidR="00540B59" w:rsidRDefault="0082792C" w:rsidP="009965EB">
      <w:pPr>
        <w:pStyle w:val="NoSpacing"/>
        <w:jc w:val="both"/>
      </w:pPr>
      <w:r>
        <w:t>Er zijn i</w:t>
      </w:r>
      <w:r w:rsidR="00784B11">
        <w:t xml:space="preserve">n </w:t>
      </w:r>
      <w:r w:rsidR="00820932">
        <w:t>de</w:t>
      </w:r>
      <w:r>
        <w:t xml:space="preserve"> onderzochte</w:t>
      </w:r>
      <w:r w:rsidR="00784B11">
        <w:t xml:space="preserve"> dataset </w:t>
      </w:r>
      <w:r>
        <w:t>twee</w:t>
      </w:r>
      <w:r w:rsidR="00784B11">
        <w:t xml:space="preserve"> belangrijke theoretische motieven, namelijk de </w:t>
      </w:r>
      <w:proofErr w:type="spellStart"/>
      <w:r w:rsidR="00784B11">
        <w:t>leverage</w:t>
      </w:r>
      <w:proofErr w:type="spellEnd"/>
      <w:r w:rsidR="00784B11">
        <w:t xml:space="preserve"> hypothese e</w:t>
      </w:r>
      <w:r w:rsidR="0054733B">
        <w:t xml:space="preserve">n de free cash </w:t>
      </w:r>
      <w:proofErr w:type="spellStart"/>
      <w:r w:rsidR="0054733B">
        <w:t>flow</w:t>
      </w:r>
      <w:proofErr w:type="spellEnd"/>
      <w:r w:rsidR="0054733B">
        <w:t xml:space="preserve"> hypothese (</w:t>
      </w:r>
      <w:r w:rsidR="00784B11">
        <w:t xml:space="preserve">paragraaf 3.4.2). In </w:t>
      </w:r>
      <w:r w:rsidR="00784B11" w:rsidRPr="00122BEF">
        <w:t>figuur 5 en figuur 6</w:t>
      </w:r>
      <w:r w:rsidR="00784B11">
        <w:rPr>
          <w:b/>
        </w:rPr>
        <w:t xml:space="preserve"> </w:t>
      </w:r>
      <w:r w:rsidR="00E35BE8">
        <w:t>zijn</w:t>
      </w:r>
      <w:r w:rsidR="00784B11">
        <w:t xml:space="preserve"> </w:t>
      </w:r>
      <w:r w:rsidR="00663D2F">
        <w:t>de</w:t>
      </w:r>
      <w:r w:rsidR="00784B11">
        <w:t xml:space="preserve"> abnorma</w:t>
      </w:r>
      <w:r w:rsidR="00E35BE8">
        <w:t>le</w:t>
      </w:r>
      <w:r w:rsidR="00784B11">
        <w:t xml:space="preserve"> rendement</w:t>
      </w:r>
      <w:r w:rsidR="00E35BE8">
        <w:t>en</w:t>
      </w:r>
      <w:r w:rsidR="00007685">
        <w:t xml:space="preserve"> van beide motieven weergeven. </w:t>
      </w:r>
      <w:r w:rsidR="00540B59">
        <w:t xml:space="preserve">Hierbij valt </w:t>
      </w:r>
      <w:r w:rsidR="00820932">
        <w:t xml:space="preserve">allereerst </w:t>
      </w:r>
      <w:r w:rsidR="00540B59">
        <w:t xml:space="preserve">op dat bij de </w:t>
      </w:r>
      <w:proofErr w:type="spellStart"/>
      <w:r w:rsidR="00540B59">
        <w:t>leverage</w:t>
      </w:r>
      <w:proofErr w:type="spellEnd"/>
      <w:r w:rsidR="00540B59">
        <w:t xml:space="preserve"> hypothese </w:t>
      </w:r>
      <w:r w:rsidR="00E35BE8">
        <w:t>de</w:t>
      </w:r>
      <w:r w:rsidR="00540B59">
        <w:t xml:space="preserve"> abnorma</w:t>
      </w:r>
      <w:r w:rsidR="00E35BE8">
        <w:t>le</w:t>
      </w:r>
      <w:r w:rsidR="00540B59">
        <w:t xml:space="preserve"> rendement</w:t>
      </w:r>
      <w:r w:rsidR="00E35BE8">
        <w:t>en</w:t>
      </w:r>
      <w:r w:rsidR="00540B59">
        <w:t xml:space="preserve"> van de </w:t>
      </w:r>
      <w:proofErr w:type="spellStart"/>
      <w:r w:rsidR="00540B59">
        <w:t>Market-Adjusted</w:t>
      </w:r>
      <w:proofErr w:type="spellEnd"/>
      <w:r w:rsidR="00540B59">
        <w:t xml:space="preserve"> Return Model en het Markt Model vrijwel overeenkom</w:t>
      </w:r>
      <w:r w:rsidR="00E35BE8">
        <w:t>en</w:t>
      </w:r>
      <w:r w:rsidR="00540B59">
        <w:t xml:space="preserve">. Bij de free cash </w:t>
      </w:r>
      <w:proofErr w:type="spellStart"/>
      <w:r w:rsidR="00540B59">
        <w:t>flow</w:t>
      </w:r>
      <w:proofErr w:type="spellEnd"/>
      <w:r w:rsidR="00540B59">
        <w:t xml:space="preserve"> hypothese zijn de verschillen tussen beide methodes groter. Daarnaast is het abnormaal rendement </w:t>
      </w:r>
      <w:r w:rsidR="00E35BE8">
        <w:t xml:space="preserve">op de dag van aankondiging </w:t>
      </w:r>
      <w:r w:rsidR="00540B59">
        <w:t xml:space="preserve">bij de </w:t>
      </w:r>
      <w:proofErr w:type="spellStart"/>
      <w:r w:rsidR="00540B59">
        <w:t>leverage</w:t>
      </w:r>
      <w:proofErr w:type="spellEnd"/>
      <w:r w:rsidR="00540B59">
        <w:t xml:space="preserve"> hypothese veel hoger dan bij de free cash </w:t>
      </w:r>
      <w:proofErr w:type="spellStart"/>
      <w:r w:rsidR="00540B59">
        <w:t>flow</w:t>
      </w:r>
      <w:proofErr w:type="spellEnd"/>
      <w:r w:rsidR="00540B59">
        <w:t xml:space="preserve"> methode. Het theoretisch motief lijkt dus een grote invloed te hebben op de hoog</w:t>
      </w:r>
      <w:r w:rsidR="00007685">
        <w:t>te van het abnormaal rendement.</w:t>
      </w:r>
    </w:p>
    <w:p w:rsidR="001C7111" w:rsidRDefault="001C7111" w:rsidP="00535CDC">
      <w:pPr>
        <w:pStyle w:val="NoSpacing"/>
      </w:pPr>
    </w:p>
    <w:p w:rsidR="00784B11" w:rsidRDefault="00784B11" w:rsidP="00784B11">
      <w:pPr>
        <w:pStyle w:val="NoSpacing"/>
        <w:keepNext/>
      </w:pPr>
      <w:r w:rsidRPr="0003589A">
        <w:rPr>
          <w:noProof/>
          <w:lang w:val="en-US"/>
        </w:rPr>
        <w:drawing>
          <wp:inline distT="0" distB="0" distL="0" distR="0">
            <wp:extent cx="5048250" cy="2695575"/>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4B11" w:rsidRDefault="00784B11" w:rsidP="00AD3231">
      <w:pPr>
        <w:pStyle w:val="Caption"/>
        <w:jc w:val="both"/>
      </w:pPr>
      <w:r>
        <w:t>Figuur 5: Het abnorma</w:t>
      </w:r>
      <w:r w:rsidR="00540B59">
        <w:t>al</w:t>
      </w:r>
      <w:r>
        <w:t xml:space="preserve"> rendement van de </w:t>
      </w:r>
      <w:proofErr w:type="spellStart"/>
      <w:r>
        <w:t>leverage</w:t>
      </w:r>
      <w:proofErr w:type="spellEnd"/>
      <w:r>
        <w:t xml:space="preserve"> hypothese</w:t>
      </w:r>
      <w:r w:rsidR="00AD3231">
        <w:t>.</w:t>
      </w:r>
    </w:p>
    <w:p w:rsidR="00540B59" w:rsidRDefault="00540B59" w:rsidP="00540B59">
      <w:pPr>
        <w:pStyle w:val="NoSpacing"/>
        <w:keepNext/>
      </w:pPr>
      <w:r w:rsidRPr="00540B59">
        <w:rPr>
          <w:noProof/>
          <w:lang w:val="en-US"/>
        </w:rPr>
        <w:drawing>
          <wp:inline distT="0" distB="0" distL="0" distR="0">
            <wp:extent cx="5048250" cy="268605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4B11" w:rsidRDefault="00540B59" w:rsidP="00AD3231">
      <w:pPr>
        <w:pStyle w:val="Caption"/>
        <w:jc w:val="both"/>
      </w:pPr>
      <w:r>
        <w:t xml:space="preserve">Figuur 6: Het abnormaal rendement van de free cash </w:t>
      </w:r>
      <w:proofErr w:type="spellStart"/>
      <w:r>
        <w:t>flow</w:t>
      </w:r>
      <w:proofErr w:type="spellEnd"/>
      <w:r>
        <w:t xml:space="preserve"> hypothese</w:t>
      </w:r>
      <w:r w:rsidR="00AD3231">
        <w:t>.</w:t>
      </w:r>
    </w:p>
    <w:p w:rsidR="007A5074" w:rsidRDefault="00540B59" w:rsidP="009965EB">
      <w:pPr>
        <w:pStyle w:val="NoSpacing"/>
        <w:jc w:val="both"/>
      </w:pPr>
      <w:r>
        <w:lastRenderedPageBreak/>
        <w:t xml:space="preserve">De </w:t>
      </w:r>
      <w:r w:rsidR="00D25076">
        <w:t xml:space="preserve">resultaten van de </w:t>
      </w:r>
      <w:r>
        <w:t>statis</w:t>
      </w:r>
      <w:r w:rsidR="00D73544">
        <w:t>tis</w:t>
      </w:r>
      <w:r>
        <w:t xml:space="preserve">che </w:t>
      </w:r>
      <w:r w:rsidR="00D25076">
        <w:t>testen</w:t>
      </w:r>
      <w:r>
        <w:t xml:space="preserve"> van beide theoretische motieven </w:t>
      </w:r>
      <w:r w:rsidR="00D25076">
        <w:t>zijn te vinden i</w:t>
      </w:r>
      <w:r w:rsidR="003A67A5">
        <w:t>n</w:t>
      </w:r>
      <w:r>
        <w:t xml:space="preserve"> </w:t>
      </w:r>
      <w:r w:rsidR="00535CDC" w:rsidRPr="00122BEF">
        <w:t xml:space="preserve">tabel </w:t>
      </w:r>
      <w:r w:rsidR="00992938" w:rsidRPr="00122BEF">
        <w:t>5</w:t>
      </w:r>
      <w:r w:rsidR="003A67A5">
        <w:rPr>
          <w:b/>
        </w:rPr>
        <w:t xml:space="preserve"> </w:t>
      </w:r>
      <w:r w:rsidR="00D25076">
        <w:t>(</w:t>
      </w:r>
      <w:proofErr w:type="spellStart"/>
      <w:r w:rsidR="00D25076">
        <w:t>leverage</w:t>
      </w:r>
      <w:proofErr w:type="spellEnd"/>
      <w:r w:rsidR="00D25076">
        <w:t xml:space="preserve"> hypothese) </w:t>
      </w:r>
      <w:r w:rsidR="003A67A5">
        <w:t xml:space="preserve">en </w:t>
      </w:r>
      <w:r w:rsidR="003A67A5" w:rsidRPr="00122BEF">
        <w:t>bijlage 5</w:t>
      </w:r>
      <w:r w:rsidR="00D25076">
        <w:rPr>
          <w:b/>
        </w:rPr>
        <w:t xml:space="preserve"> </w:t>
      </w:r>
      <w:r w:rsidR="00D25076">
        <w:t xml:space="preserve">(free cash </w:t>
      </w:r>
      <w:proofErr w:type="spellStart"/>
      <w:r w:rsidR="00D25076">
        <w:t>flow</w:t>
      </w:r>
      <w:proofErr w:type="spellEnd"/>
      <w:r w:rsidR="00D25076">
        <w:t xml:space="preserve"> hypothese)</w:t>
      </w:r>
      <w:r w:rsidR="00007685">
        <w:rPr>
          <w:rStyle w:val="FootnoteReference"/>
        </w:rPr>
        <w:footnoteReference w:id="24"/>
      </w:r>
      <w:r w:rsidR="00007685">
        <w:t xml:space="preserve">. </w:t>
      </w:r>
      <w:r w:rsidR="00D25076">
        <w:t xml:space="preserve">Bij de </w:t>
      </w:r>
      <w:proofErr w:type="spellStart"/>
      <w:r w:rsidR="00D25076">
        <w:t>leverage</w:t>
      </w:r>
      <w:proofErr w:type="spellEnd"/>
      <w:r w:rsidR="00D25076">
        <w:t xml:space="preserve"> hypothese wordt bij </w:t>
      </w:r>
      <w:r w:rsidR="00877A0D">
        <w:t xml:space="preserve">zowel de </w:t>
      </w:r>
      <w:proofErr w:type="spellStart"/>
      <w:r w:rsidR="00877A0D">
        <w:t>t-toets</w:t>
      </w:r>
      <w:proofErr w:type="spellEnd"/>
      <w:r w:rsidR="00877A0D">
        <w:t xml:space="preserve"> als de tekentoets</w:t>
      </w:r>
      <w:r w:rsidR="00D25076">
        <w:t xml:space="preserve"> op de dag van aankondiging een statistisch significant abnormaal rendement gevonden. De hoogte van het abnormaal rendement is bij het </w:t>
      </w:r>
      <w:proofErr w:type="spellStart"/>
      <w:r w:rsidR="00D25076">
        <w:t>Market-Adjusted</w:t>
      </w:r>
      <w:proofErr w:type="spellEnd"/>
      <w:r w:rsidR="00D25076">
        <w:t xml:space="preserve"> Return Model 1,7</w:t>
      </w:r>
      <w:r w:rsidR="00820932">
        <w:t>1% en bij het Markt Model 1,66%</w:t>
      </w:r>
      <w:r w:rsidR="00D25076">
        <w:t>.</w:t>
      </w:r>
      <w:r w:rsidR="00820932">
        <w:t xml:space="preserve"> Dit is economisch significant.</w:t>
      </w:r>
      <w:r w:rsidR="00D25076">
        <w:t xml:space="preserve"> Daarnaast word</w:t>
      </w:r>
      <w:r w:rsidR="006832F8">
        <w:t>t</w:t>
      </w:r>
      <w:r w:rsidR="00D25076">
        <w:t xml:space="preserve"> er </w:t>
      </w:r>
      <w:r w:rsidR="006832F8">
        <w:t xml:space="preserve">bij de </w:t>
      </w:r>
      <w:proofErr w:type="spellStart"/>
      <w:r w:rsidR="006832F8">
        <w:t>t-toets</w:t>
      </w:r>
      <w:proofErr w:type="spellEnd"/>
      <w:r w:rsidR="006832F8">
        <w:t xml:space="preserve"> op handelsdagen t=-4, t=1, t=2 en t=4 </w:t>
      </w:r>
      <w:r w:rsidR="00642B1A">
        <w:t>een statistisch significant abnorma</w:t>
      </w:r>
      <w:r w:rsidR="006832F8">
        <w:t>al</w:t>
      </w:r>
      <w:r w:rsidR="00642B1A">
        <w:t xml:space="preserve"> rendement gevonden</w:t>
      </w:r>
      <w:r w:rsidR="00D25076">
        <w:t>.</w:t>
      </w:r>
      <w:r w:rsidR="00642B1A">
        <w:t xml:space="preserve"> </w:t>
      </w:r>
      <w:r w:rsidR="00760771">
        <w:t>De</w:t>
      </w:r>
      <w:r w:rsidR="00642B1A">
        <w:t xml:space="preserve"> tekentoets </w:t>
      </w:r>
      <w:r w:rsidR="00760771">
        <w:t>is</w:t>
      </w:r>
      <w:r w:rsidR="00642B1A">
        <w:t xml:space="preserve"> op t=1 en t=4 statis</w:t>
      </w:r>
      <w:r w:rsidR="006832F8">
        <w:t>tis</w:t>
      </w:r>
      <w:r w:rsidR="00642B1A">
        <w:t>ch significant.</w:t>
      </w:r>
      <w:r w:rsidR="00D25076">
        <w:t xml:space="preserve"> De aankondiging van het </w:t>
      </w:r>
      <w:proofErr w:type="spellStart"/>
      <w:r w:rsidR="00820932">
        <w:t>aandeleninkoopprogramma</w:t>
      </w:r>
      <w:proofErr w:type="spellEnd"/>
      <w:r w:rsidR="00D25076">
        <w:t xml:space="preserve"> wordt dus niet volledig </w:t>
      </w:r>
      <w:r w:rsidR="00820932">
        <w:t xml:space="preserve">in de koers </w:t>
      </w:r>
      <w:r w:rsidR="00D25076">
        <w:t xml:space="preserve">op de </w:t>
      </w:r>
      <w:proofErr w:type="spellStart"/>
      <w:r w:rsidR="00D25076">
        <w:t>aankondigingsdag</w:t>
      </w:r>
      <w:proofErr w:type="spellEnd"/>
      <w:r w:rsidR="00D25076">
        <w:t xml:space="preserve"> verwerkt. Bij de free cash </w:t>
      </w:r>
      <w:proofErr w:type="spellStart"/>
      <w:r w:rsidR="00D25076">
        <w:t>flow</w:t>
      </w:r>
      <w:proofErr w:type="spellEnd"/>
      <w:r w:rsidR="00D25076">
        <w:t xml:space="preserve"> methode wordt </w:t>
      </w:r>
      <w:r w:rsidR="00642B1A">
        <w:t xml:space="preserve">op de dag van aankondiging </w:t>
      </w:r>
      <w:r w:rsidR="00D25076">
        <w:t xml:space="preserve">geen statistisch significant abnormaal rendement gevonden. </w:t>
      </w:r>
      <w:r w:rsidR="007A5074">
        <w:t>Het theoretisch motief heeft dus een grote invloed op de hoogte van het abnormaal rendement</w:t>
      </w:r>
      <w:r w:rsidR="00007685">
        <w:rPr>
          <w:rStyle w:val="FootnoteReference"/>
        </w:rPr>
        <w:footnoteReference w:id="25"/>
      </w:r>
      <w:r w:rsidR="007A5074">
        <w:t xml:space="preserve"> en in lijn met de bevindingen van Baltus &amp; Schauten (2000) wordt bij de </w:t>
      </w:r>
      <w:proofErr w:type="spellStart"/>
      <w:r w:rsidR="007A5074">
        <w:t>leverage</w:t>
      </w:r>
      <w:proofErr w:type="spellEnd"/>
      <w:r w:rsidR="007A5074">
        <w:t xml:space="preserve"> hypothese een statistisch significant abnormaal rendement gevonden. </w:t>
      </w:r>
      <w:r w:rsidR="000462E7">
        <w:t>Zij vinden wel een hoger abnormaal rendement op de dag van aankondiging (1,87%).</w:t>
      </w:r>
    </w:p>
    <w:p w:rsidR="00535CDC" w:rsidRPr="00FD538D" w:rsidRDefault="00535CDC" w:rsidP="00535CDC"/>
    <w:tbl>
      <w:tblPr>
        <w:tblStyle w:val="MediumShading2-Accent5"/>
        <w:tblW w:w="5000" w:type="pct"/>
        <w:tblLook w:val="0660"/>
      </w:tblPr>
      <w:tblGrid>
        <w:gridCol w:w="1498"/>
        <w:gridCol w:w="1499"/>
        <w:gridCol w:w="1701"/>
        <w:gridCol w:w="1592"/>
        <w:gridCol w:w="1501"/>
        <w:gridCol w:w="1495"/>
      </w:tblGrid>
      <w:tr w:rsidR="00535CDC" w:rsidTr="009C4E91">
        <w:trPr>
          <w:cnfStyle w:val="100000000000"/>
        </w:trPr>
        <w:tc>
          <w:tcPr>
            <w:tcW w:w="807" w:type="pct"/>
          </w:tcPr>
          <w:p w:rsidR="00535CDC" w:rsidRDefault="00535CDC" w:rsidP="009C4E91">
            <w:r>
              <w:t xml:space="preserve">Dag </w:t>
            </w:r>
          </w:p>
        </w:tc>
        <w:tc>
          <w:tcPr>
            <w:tcW w:w="807" w:type="pct"/>
          </w:tcPr>
          <w:p w:rsidR="00535CDC" w:rsidRDefault="002809E9" w:rsidP="009C4E91">
            <w:pPr>
              <w:jc w:val="right"/>
            </w:pPr>
            <w:proofErr w:type="spellStart"/>
            <w:r>
              <w:t>Gemiddeld</w:t>
            </w:r>
            <w:proofErr w:type="spellEnd"/>
            <w:r w:rsidR="00535CDC">
              <w:t xml:space="preserve"> AR</w:t>
            </w:r>
          </w:p>
        </w:tc>
        <w:tc>
          <w:tcPr>
            <w:tcW w:w="916" w:type="pct"/>
            <w:noWrap/>
          </w:tcPr>
          <w:p w:rsidR="00D634D4" w:rsidRDefault="00D634D4" w:rsidP="00D634D4">
            <w:pPr>
              <w:jc w:val="center"/>
            </w:pPr>
            <w:r>
              <w:t xml:space="preserve">         T-</w:t>
            </w:r>
            <w:proofErr w:type="spellStart"/>
            <w:r>
              <w:t>toets</w:t>
            </w:r>
            <w:proofErr w:type="spellEnd"/>
          </w:p>
          <w:p w:rsidR="00535CDC" w:rsidRDefault="00D634D4" w:rsidP="00D634D4">
            <w:pPr>
              <w:jc w:val="right"/>
            </w:pPr>
            <w:r>
              <w:t>(t-</w:t>
            </w:r>
            <w:proofErr w:type="spellStart"/>
            <w:r>
              <w:t>waarde</w:t>
            </w:r>
            <w:proofErr w:type="spellEnd"/>
            <w:r>
              <w:t>)</w:t>
            </w:r>
          </w:p>
        </w:tc>
        <w:tc>
          <w:tcPr>
            <w:tcW w:w="857" w:type="pct"/>
          </w:tcPr>
          <w:p w:rsidR="00535CDC" w:rsidRDefault="00535CDC" w:rsidP="009C4E91">
            <w:pPr>
              <w:jc w:val="right"/>
            </w:pPr>
            <w:proofErr w:type="spellStart"/>
            <w:r>
              <w:t>Aantal</w:t>
            </w:r>
            <w:proofErr w:type="spellEnd"/>
            <w:r>
              <w:t xml:space="preserve"> pos.</w:t>
            </w:r>
          </w:p>
        </w:tc>
        <w:tc>
          <w:tcPr>
            <w:tcW w:w="808" w:type="pct"/>
          </w:tcPr>
          <w:p w:rsidR="00535CDC" w:rsidRDefault="00535CDC" w:rsidP="009C4E91">
            <w:pPr>
              <w:jc w:val="right"/>
            </w:pPr>
            <w:proofErr w:type="spellStart"/>
            <w:r>
              <w:t>Aantal</w:t>
            </w:r>
            <w:proofErr w:type="spellEnd"/>
            <w:r>
              <w:t xml:space="preserve"> neg.</w:t>
            </w:r>
          </w:p>
        </w:tc>
        <w:tc>
          <w:tcPr>
            <w:tcW w:w="805" w:type="pct"/>
          </w:tcPr>
          <w:p w:rsidR="00535CDC" w:rsidRDefault="004C051E" w:rsidP="009C4E91">
            <w:pPr>
              <w:jc w:val="right"/>
            </w:pPr>
            <w:proofErr w:type="spellStart"/>
            <w:r>
              <w:t>T</w:t>
            </w:r>
            <w:r w:rsidR="00535CDC">
              <w:t>ekentoets</w:t>
            </w:r>
            <w:proofErr w:type="spellEnd"/>
          </w:p>
          <w:p w:rsidR="00D634D4" w:rsidRDefault="00D634D4" w:rsidP="009C4E91">
            <w:pPr>
              <w:jc w:val="right"/>
            </w:pPr>
            <w:r>
              <w:t>(p-</w:t>
            </w:r>
            <w:proofErr w:type="spellStart"/>
            <w:r>
              <w:t>waarde</w:t>
            </w:r>
            <w:proofErr w:type="spellEnd"/>
            <w:r>
              <w:t>)</w:t>
            </w:r>
          </w:p>
        </w:tc>
      </w:tr>
      <w:tr w:rsidR="00535CDC" w:rsidTr="009C4E91">
        <w:tc>
          <w:tcPr>
            <w:tcW w:w="5000" w:type="pct"/>
            <w:gridSpan w:val="6"/>
          </w:tcPr>
          <w:p w:rsidR="00535CDC" w:rsidRPr="006B267C" w:rsidRDefault="00535CDC" w:rsidP="009C4E91">
            <w:pPr>
              <w:rPr>
                <w:color w:val="FF0000"/>
              </w:rPr>
            </w:pPr>
            <w:r>
              <w:rPr>
                <w:rStyle w:val="SubtleEmphasis"/>
                <w:color w:val="FF0000"/>
              </w:rPr>
              <w:t>Market-Adjusted Return Model</w:t>
            </w:r>
          </w:p>
        </w:tc>
      </w:tr>
      <w:tr w:rsidR="00535CDC" w:rsidTr="009C4E91">
        <w:tc>
          <w:tcPr>
            <w:tcW w:w="807" w:type="pct"/>
            <w:tcBorders>
              <w:bottom w:val="nil"/>
            </w:tcBorders>
          </w:tcPr>
          <w:p w:rsidR="00535CDC" w:rsidRDefault="00535CDC" w:rsidP="009C4E91">
            <w:r>
              <w:t>T=-5</w:t>
            </w:r>
          </w:p>
        </w:tc>
        <w:tc>
          <w:tcPr>
            <w:tcW w:w="807" w:type="pct"/>
            <w:tcBorders>
              <w:bottom w:val="nil"/>
            </w:tcBorders>
          </w:tcPr>
          <w:p w:rsidR="00535CDC" w:rsidRPr="00D634D4" w:rsidRDefault="00AB5C4D" w:rsidP="009C4E91">
            <w:pPr>
              <w:jc w:val="right"/>
              <w:rPr>
                <w:color w:val="FFFFFF" w:themeColor="background1"/>
                <w:vertAlign w:val="superscript"/>
              </w:rPr>
            </w:pPr>
            <w:r>
              <w:t>0,04%</w:t>
            </w:r>
          </w:p>
        </w:tc>
        <w:tc>
          <w:tcPr>
            <w:tcW w:w="916" w:type="pct"/>
            <w:tcBorders>
              <w:bottom w:val="nil"/>
            </w:tcBorders>
            <w:noWrap/>
          </w:tcPr>
          <w:p w:rsidR="00535CDC" w:rsidRPr="00D634D4" w:rsidRDefault="00AB5C4D" w:rsidP="009C4E91">
            <w:pPr>
              <w:jc w:val="right"/>
              <w:rPr>
                <w:color w:val="FFFFFF" w:themeColor="background1"/>
                <w:vertAlign w:val="superscript"/>
              </w:rPr>
            </w:pPr>
            <w:r>
              <w:t>0,163</w:t>
            </w:r>
            <w:r w:rsidR="00D634D4">
              <w:rPr>
                <w:color w:val="FFFFFF" w:themeColor="background1"/>
                <w:vertAlign w:val="superscript"/>
              </w:rPr>
              <w:t>***</w:t>
            </w:r>
          </w:p>
        </w:tc>
        <w:tc>
          <w:tcPr>
            <w:tcW w:w="857" w:type="pct"/>
            <w:tcBorders>
              <w:bottom w:val="nil"/>
            </w:tcBorders>
          </w:tcPr>
          <w:p w:rsidR="00535CDC" w:rsidRDefault="007B304D" w:rsidP="00535CDC">
            <w:pPr>
              <w:jc w:val="right"/>
            </w:pPr>
            <w:r>
              <w:t>18</w:t>
            </w:r>
          </w:p>
        </w:tc>
        <w:tc>
          <w:tcPr>
            <w:tcW w:w="808" w:type="pct"/>
            <w:tcBorders>
              <w:bottom w:val="nil"/>
            </w:tcBorders>
          </w:tcPr>
          <w:p w:rsidR="00535CDC" w:rsidRDefault="007B304D" w:rsidP="00535CDC">
            <w:pPr>
              <w:jc w:val="right"/>
            </w:pPr>
            <w:r>
              <w:t>17</w:t>
            </w:r>
          </w:p>
        </w:tc>
        <w:tc>
          <w:tcPr>
            <w:tcW w:w="805" w:type="pct"/>
            <w:tcBorders>
              <w:bottom w:val="nil"/>
            </w:tcBorders>
          </w:tcPr>
          <w:p w:rsidR="00535CDC" w:rsidRPr="00A65879" w:rsidRDefault="007B304D" w:rsidP="00535CDC">
            <w:pPr>
              <w:jc w:val="right"/>
              <w:rPr>
                <w:color w:val="FFFFFF" w:themeColor="background1"/>
                <w:vertAlign w:val="superscript"/>
              </w:rPr>
            </w:pPr>
            <w:r>
              <w:t>1,000</w:t>
            </w:r>
            <w:r w:rsidR="00A65879">
              <w:rPr>
                <w:color w:val="FFFFFF" w:themeColor="background1"/>
                <w:vertAlign w:val="superscript"/>
              </w:rPr>
              <w:t>***</w:t>
            </w:r>
          </w:p>
        </w:tc>
      </w:tr>
      <w:tr w:rsidR="00535CDC" w:rsidTr="009C4E91">
        <w:tc>
          <w:tcPr>
            <w:tcW w:w="807" w:type="pct"/>
            <w:tcBorders>
              <w:top w:val="nil"/>
              <w:bottom w:val="single" w:sz="4" w:space="0" w:color="auto"/>
            </w:tcBorders>
          </w:tcPr>
          <w:p w:rsidR="00535CDC" w:rsidRDefault="00535CDC" w:rsidP="009C4E91">
            <w:r>
              <w:t>T=-4</w:t>
            </w:r>
          </w:p>
          <w:p w:rsidR="00535CDC" w:rsidRDefault="00535CDC" w:rsidP="009C4E91">
            <w:r>
              <w:t>T=-3</w:t>
            </w:r>
          </w:p>
          <w:p w:rsidR="00535CDC" w:rsidRDefault="00535CDC" w:rsidP="009C4E91">
            <w:r>
              <w:t>T=-2</w:t>
            </w:r>
          </w:p>
          <w:p w:rsidR="00535CDC" w:rsidRDefault="00535CDC" w:rsidP="009C4E91">
            <w:r>
              <w:t>T=-1</w:t>
            </w:r>
          </w:p>
          <w:p w:rsidR="00535CDC" w:rsidRDefault="00535CDC" w:rsidP="009C4E91">
            <w:r>
              <w:t>T=0</w:t>
            </w:r>
          </w:p>
          <w:p w:rsidR="00535CDC" w:rsidRDefault="00535CDC" w:rsidP="009C4E91">
            <w:r>
              <w:t>T=1</w:t>
            </w:r>
          </w:p>
          <w:p w:rsidR="00535CDC" w:rsidRDefault="00535CDC" w:rsidP="009C4E91">
            <w:r>
              <w:t>T=2</w:t>
            </w:r>
          </w:p>
          <w:p w:rsidR="00535CDC" w:rsidRDefault="00535CDC" w:rsidP="009C4E91">
            <w:r>
              <w:t>T=3</w:t>
            </w:r>
          </w:p>
          <w:p w:rsidR="00535CDC" w:rsidRDefault="00535CDC" w:rsidP="009C4E91">
            <w:r>
              <w:t xml:space="preserve">T=4 </w:t>
            </w:r>
          </w:p>
          <w:p w:rsidR="00535CDC" w:rsidRDefault="00535CDC" w:rsidP="009C4E91">
            <w:r>
              <w:t>T=5</w:t>
            </w:r>
          </w:p>
          <w:p w:rsidR="00535CDC" w:rsidRDefault="00535CDC" w:rsidP="009C4E91"/>
        </w:tc>
        <w:tc>
          <w:tcPr>
            <w:tcW w:w="807" w:type="pct"/>
            <w:tcBorders>
              <w:top w:val="nil"/>
              <w:bottom w:val="single" w:sz="4" w:space="0" w:color="auto"/>
            </w:tcBorders>
          </w:tcPr>
          <w:p w:rsidR="00535CDC" w:rsidRDefault="00AB5C4D" w:rsidP="009C4E91">
            <w:pPr>
              <w:jc w:val="right"/>
            </w:pPr>
            <w:r>
              <w:t>-0,50%</w:t>
            </w:r>
          </w:p>
          <w:p w:rsidR="00AB5C4D" w:rsidRDefault="00AB5C4D" w:rsidP="009C4E91">
            <w:pPr>
              <w:jc w:val="right"/>
            </w:pPr>
            <w:r>
              <w:t>-0,14%</w:t>
            </w:r>
          </w:p>
          <w:p w:rsidR="00AB5C4D" w:rsidRDefault="00AB5C4D" w:rsidP="009C4E91">
            <w:pPr>
              <w:jc w:val="right"/>
            </w:pPr>
            <w:r>
              <w:t>-0,21%</w:t>
            </w:r>
          </w:p>
          <w:p w:rsidR="00AB5C4D" w:rsidRDefault="00AB5C4D" w:rsidP="009C4E91">
            <w:pPr>
              <w:jc w:val="right"/>
            </w:pPr>
            <w:r>
              <w:t>0,20%</w:t>
            </w:r>
          </w:p>
          <w:p w:rsidR="00AB5C4D" w:rsidRDefault="00AB5C4D" w:rsidP="009C4E91">
            <w:pPr>
              <w:jc w:val="right"/>
            </w:pPr>
            <w:r>
              <w:t>1,71%</w:t>
            </w:r>
          </w:p>
          <w:p w:rsidR="00AB5C4D" w:rsidRDefault="00AB5C4D" w:rsidP="009C4E91">
            <w:pPr>
              <w:jc w:val="right"/>
            </w:pPr>
            <w:r>
              <w:t>0,61%</w:t>
            </w:r>
          </w:p>
          <w:p w:rsidR="00AB5C4D" w:rsidRDefault="00AB5C4D" w:rsidP="009C4E91">
            <w:pPr>
              <w:jc w:val="right"/>
            </w:pPr>
            <w:r>
              <w:t>0,30%</w:t>
            </w:r>
          </w:p>
          <w:p w:rsidR="00AB5C4D" w:rsidRDefault="00AB5C4D" w:rsidP="009C4E91">
            <w:pPr>
              <w:jc w:val="right"/>
            </w:pPr>
            <w:r>
              <w:t>0,13%</w:t>
            </w:r>
          </w:p>
          <w:p w:rsidR="00AB5C4D" w:rsidRDefault="00AB5C4D" w:rsidP="009C4E91">
            <w:pPr>
              <w:jc w:val="right"/>
            </w:pPr>
            <w:r>
              <w:t>0,55%</w:t>
            </w:r>
          </w:p>
          <w:p w:rsidR="00AB5C4D" w:rsidRDefault="00AB5C4D" w:rsidP="009C4E91">
            <w:pPr>
              <w:jc w:val="right"/>
            </w:pPr>
            <w:r>
              <w:t>-0,27%</w:t>
            </w:r>
          </w:p>
        </w:tc>
        <w:tc>
          <w:tcPr>
            <w:tcW w:w="916" w:type="pct"/>
            <w:tcBorders>
              <w:top w:val="nil"/>
              <w:bottom w:val="single" w:sz="4" w:space="0" w:color="auto"/>
            </w:tcBorders>
            <w:noWrap/>
          </w:tcPr>
          <w:p w:rsidR="00535CDC" w:rsidRPr="009D2289" w:rsidRDefault="00AB5C4D" w:rsidP="009C4E91">
            <w:pPr>
              <w:jc w:val="right"/>
              <w:rPr>
                <w:color w:val="FFFFFF" w:themeColor="background1"/>
                <w:vertAlign w:val="superscript"/>
              </w:rPr>
            </w:pPr>
            <w:r>
              <w:t>-2,027</w:t>
            </w:r>
            <w:r w:rsidR="009D2289" w:rsidRPr="008214F5">
              <w:rPr>
                <w:b/>
                <w:vertAlign w:val="superscript"/>
              </w:rPr>
              <w:t>*</w:t>
            </w:r>
            <w:r w:rsidR="009D2289">
              <w:rPr>
                <w:color w:val="FFFFFF" w:themeColor="background1"/>
                <w:vertAlign w:val="superscript"/>
              </w:rPr>
              <w:t>**</w:t>
            </w:r>
          </w:p>
          <w:p w:rsidR="00AB5C4D" w:rsidRPr="009D2289" w:rsidRDefault="00AB5C4D" w:rsidP="009C4E91">
            <w:pPr>
              <w:jc w:val="right"/>
              <w:rPr>
                <w:color w:val="FFFFFF" w:themeColor="background1"/>
                <w:vertAlign w:val="superscript"/>
              </w:rPr>
            </w:pPr>
            <w:r>
              <w:t>-0,629</w:t>
            </w:r>
            <w:r w:rsidR="009D2289">
              <w:rPr>
                <w:color w:val="FFFFFF" w:themeColor="background1"/>
                <w:vertAlign w:val="superscript"/>
              </w:rPr>
              <w:t>***</w:t>
            </w:r>
          </w:p>
          <w:p w:rsidR="00AB5C4D" w:rsidRPr="009D2289" w:rsidRDefault="00AB5C4D" w:rsidP="009C4E91">
            <w:pPr>
              <w:jc w:val="right"/>
              <w:rPr>
                <w:color w:val="FFFFFF" w:themeColor="background1"/>
                <w:vertAlign w:val="superscript"/>
              </w:rPr>
            </w:pPr>
            <w:r>
              <w:t>-0,856</w:t>
            </w:r>
            <w:r w:rsidR="009D2289">
              <w:rPr>
                <w:color w:val="FFFFFF" w:themeColor="background1"/>
                <w:vertAlign w:val="superscript"/>
              </w:rPr>
              <w:t>***</w:t>
            </w:r>
          </w:p>
          <w:p w:rsidR="00AB5C4D" w:rsidRPr="009D2289" w:rsidRDefault="00AB5C4D" w:rsidP="009C4E91">
            <w:pPr>
              <w:jc w:val="right"/>
              <w:rPr>
                <w:color w:val="FFFFFF" w:themeColor="background1"/>
                <w:vertAlign w:val="superscript"/>
              </w:rPr>
            </w:pPr>
            <w:r>
              <w:t>0,986</w:t>
            </w:r>
            <w:r w:rsidR="009D2289">
              <w:rPr>
                <w:color w:val="FFFFFF" w:themeColor="background1"/>
                <w:vertAlign w:val="superscript"/>
              </w:rPr>
              <w:t>***</w:t>
            </w:r>
          </w:p>
          <w:p w:rsidR="00AB5C4D" w:rsidRPr="008214F5" w:rsidRDefault="00AB5C4D" w:rsidP="009C4E91">
            <w:pPr>
              <w:jc w:val="right"/>
              <w:rPr>
                <w:color w:val="FFFFFF" w:themeColor="background1"/>
                <w:vertAlign w:val="superscript"/>
              </w:rPr>
            </w:pPr>
            <w:r w:rsidRPr="008214F5">
              <w:t>2,757</w:t>
            </w:r>
            <w:r w:rsidR="009D2289" w:rsidRPr="008214F5">
              <w:rPr>
                <w:b/>
                <w:vertAlign w:val="superscript"/>
              </w:rPr>
              <w:t>***</w:t>
            </w:r>
          </w:p>
          <w:p w:rsidR="00AB5C4D" w:rsidRPr="008214F5" w:rsidRDefault="00AB5C4D" w:rsidP="009C4E91">
            <w:pPr>
              <w:jc w:val="right"/>
              <w:rPr>
                <w:color w:val="FFFFFF" w:themeColor="background1"/>
                <w:vertAlign w:val="superscript"/>
              </w:rPr>
            </w:pPr>
            <w:r w:rsidRPr="008214F5">
              <w:t>2,242</w:t>
            </w:r>
            <w:r w:rsidR="009D2289" w:rsidRPr="008214F5">
              <w:rPr>
                <w:b/>
                <w:vertAlign w:val="superscript"/>
              </w:rPr>
              <w:t>**</w:t>
            </w:r>
            <w:r w:rsidR="009D2289" w:rsidRPr="008214F5">
              <w:rPr>
                <w:color w:val="FFFFFF" w:themeColor="background1"/>
                <w:vertAlign w:val="superscript"/>
              </w:rPr>
              <w:t>*</w:t>
            </w:r>
          </w:p>
          <w:p w:rsidR="00AB5C4D" w:rsidRPr="008214F5" w:rsidRDefault="00AB5C4D" w:rsidP="009C4E91">
            <w:pPr>
              <w:jc w:val="right"/>
              <w:rPr>
                <w:color w:val="FFFFFF" w:themeColor="background1"/>
                <w:vertAlign w:val="superscript"/>
              </w:rPr>
            </w:pPr>
            <w:r w:rsidRPr="008214F5">
              <w:t>1,037</w:t>
            </w:r>
            <w:r w:rsidR="009D2289" w:rsidRPr="008214F5">
              <w:rPr>
                <w:color w:val="FFFFFF" w:themeColor="background1"/>
                <w:vertAlign w:val="superscript"/>
              </w:rPr>
              <w:t>***</w:t>
            </w:r>
          </w:p>
          <w:p w:rsidR="00AB5C4D" w:rsidRPr="008214F5" w:rsidRDefault="00AB5C4D" w:rsidP="009C4E91">
            <w:pPr>
              <w:jc w:val="right"/>
              <w:rPr>
                <w:color w:val="FFFFFF" w:themeColor="background1"/>
                <w:vertAlign w:val="superscript"/>
              </w:rPr>
            </w:pPr>
            <w:r w:rsidRPr="008214F5">
              <w:t>0,447</w:t>
            </w:r>
            <w:r w:rsidR="009D2289" w:rsidRPr="008214F5">
              <w:rPr>
                <w:color w:val="FFFFFF" w:themeColor="background1"/>
                <w:vertAlign w:val="superscript"/>
              </w:rPr>
              <w:t>***</w:t>
            </w:r>
          </w:p>
          <w:p w:rsidR="00AB5C4D" w:rsidRPr="009D2289" w:rsidRDefault="00AB5C4D" w:rsidP="009C4E91">
            <w:pPr>
              <w:jc w:val="right"/>
              <w:rPr>
                <w:b/>
                <w:color w:val="FFFFFF" w:themeColor="background1"/>
                <w:vertAlign w:val="superscript"/>
              </w:rPr>
            </w:pPr>
            <w:r w:rsidRPr="008214F5">
              <w:t>2,766</w:t>
            </w:r>
            <w:r w:rsidR="009D2289" w:rsidRPr="008214F5">
              <w:rPr>
                <w:b/>
                <w:vertAlign w:val="superscript"/>
              </w:rPr>
              <w:t>***</w:t>
            </w:r>
          </w:p>
          <w:p w:rsidR="00AB5C4D" w:rsidRPr="009D2289" w:rsidRDefault="00AB5C4D" w:rsidP="009C4E91">
            <w:pPr>
              <w:jc w:val="right"/>
              <w:rPr>
                <w:color w:val="FFFFFF" w:themeColor="background1"/>
                <w:vertAlign w:val="superscript"/>
              </w:rPr>
            </w:pPr>
            <w:r>
              <w:t>-1,069</w:t>
            </w:r>
            <w:r w:rsidR="009D2289">
              <w:rPr>
                <w:color w:val="FFFFFF" w:themeColor="background1"/>
                <w:vertAlign w:val="superscript"/>
              </w:rPr>
              <w:t>***</w:t>
            </w:r>
          </w:p>
        </w:tc>
        <w:tc>
          <w:tcPr>
            <w:tcW w:w="857" w:type="pct"/>
            <w:tcBorders>
              <w:top w:val="nil"/>
              <w:bottom w:val="single" w:sz="4" w:space="0" w:color="auto"/>
            </w:tcBorders>
          </w:tcPr>
          <w:p w:rsidR="00535CDC" w:rsidRDefault="007B304D" w:rsidP="00535CDC">
            <w:pPr>
              <w:jc w:val="right"/>
            </w:pPr>
            <w:r>
              <w:t>14</w:t>
            </w:r>
          </w:p>
          <w:p w:rsidR="007B304D" w:rsidRDefault="007B304D" w:rsidP="00535CDC">
            <w:pPr>
              <w:jc w:val="right"/>
            </w:pPr>
            <w:r>
              <w:t>17</w:t>
            </w:r>
          </w:p>
          <w:p w:rsidR="007B304D" w:rsidRDefault="007B304D" w:rsidP="00535CDC">
            <w:pPr>
              <w:jc w:val="right"/>
            </w:pPr>
            <w:r>
              <w:t>17</w:t>
            </w:r>
          </w:p>
          <w:p w:rsidR="007B304D" w:rsidRDefault="007B304D" w:rsidP="00535CDC">
            <w:pPr>
              <w:jc w:val="right"/>
            </w:pPr>
            <w:r>
              <w:t>19</w:t>
            </w:r>
          </w:p>
          <w:p w:rsidR="007B304D" w:rsidRDefault="007B304D" w:rsidP="00535CDC">
            <w:pPr>
              <w:jc w:val="right"/>
            </w:pPr>
            <w:r>
              <w:t>24</w:t>
            </w:r>
          </w:p>
          <w:p w:rsidR="007B304D" w:rsidRDefault="007B304D" w:rsidP="00535CDC">
            <w:pPr>
              <w:jc w:val="right"/>
            </w:pPr>
            <w:r>
              <w:t>24</w:t>
            </w:r>
          </w:p>
          <w:p w:rsidR="007B304D" w:rsidRDefault="007B304D" w:rsidP="00535CDC">
            <w:pPr>
              <w:jc w:val="right"/>
            </w:pPr>
            <w:r>
              <w:t>19</w:t>
            </w:r>
          </w:p>
          <w:p w:rsidR="007B304D" w:rsidRDefault="007B304D" w:rsidP="00535CDC">
            <w:pPr>
              <w:jc w:val="right"/>
            </w:pPr>
            <w:r>
              <w:t>18</w:t>
            </w:r>
          </w:p>
          <w:p w:rsidR="007B304D" w:rsidRDefault="007B304D" w:rsidP="00535CDC">
            <w:pPr>
              <w:jc w:val="right"/>
            </w:pPr>
            <w:r>
              <w:t>23</w:t>
            </w:r>
          </w:p>
          <w:p w:rsidR="007B304D" w:rsidRDefault="007B304D" w:rsidP="00535CDC">
            <w:pPr>
              <w:jc w:val="right"/>
            </w:pPr>
            <w:r>
              <w:t>14</w:t>
            </w:r>
          </w:p>
        </w:tc>
        <w:tc>
          <w:tcPr>
            <w:tcW w:w="808" w:type="pct"/>
            <w:tcBorders>
              <w:top w:val="nil"/>
              <w:bottom w:val="single" w:sz="4" w:space="0" w:color="auto"/>
            </w:tcBorders>
          </w:tcPr>
          <w:p w:rsidR="00535CDC" w:rsidRDefault="007B304D" w:rsidP="00535CDC">
            <w:pPr>
              <w:jc w:val="right"/>
            </w:pPr>
            <w:r>
              <w:t>21</w:t>
            </w:r>
          </w:p>
          <w:p w:rsidR="007B304D" w:rsidRDefault="007B304D" w:rsidP="00535CDC">
            <w:pPr>
              <w:jc w:val="right"/>
            </w:pPr>
            <w:r>
              <w:t>18</w:t>
            </w:r>
          </w:p>
          <w:p w:rsidR="007B304D" w:rsidRDefault="007B304D" w:rsidP="00535CDC">
            <w:pPr>
              <w:jc w:val="right"/>
            </w:pPr>
            <w:r>
              <w:t>18</w:t>
            </w:r>
          </w:p>
          <w:p w:rsidR="007B304D" w:rsidRDefault="007B304D" w:rsidP="00535CDC">
            <w:pPr>
              <w:jc w:val="right"/>
            </w:pPr>
            <w:r>
              <w:t>16</w:t>
            </w:r>
          </w:p>
          <w:p w:rsidR="007B304D" w:rsidRDefault="007B304D" w:rsidP="00535CDC">
            <w:pPr>
              <w:jc w:val="right"/>
            </w:pPr>
            <w:r>
              <w:t>11</w:t>
            </w:r>
          </w:p>
          <w:p w:rsidR="007B304D" w:rsidRDefault="007B304D" w:rsidP="00535CDC">
            <w:pPr>
              <w:jc w:val="right"/>
            </w:pPr>
            <w:r>
              <w:t>11</w:t>
            </w:r>
          </w:p>
          <w:p w:rsidR="007B304D" w:rsidRDefault="007B304D" w:rsidP="00535CDC">
            <w:pPr>
              <w:jc w:val="right"/>
            </w:pPr>
            <w:r>
              <w:t>16</w:t>
            </w:r>
          </w:p>
          <w:p w:rsidR="007B304D" w:rsidRDefault="007B304D" w:rsidP="00535CDC">
            <w:pPr>
              <w:jc w:val="right"/>
            </w:pPr>
            <w:r>
              <w:t>17</w:t>
            </w:r>
          </w:p>
          <w:p w:rsidR="007B304D" w:rsidRDefault="007B304D" w:rsidP="00535CDC">
            <w:pPr>
              <w:jc w:val="right"/>
            </w:pPr>
            <w:r>
              <w:t>12</w:t>
            </w:r>
          </w:p>
          <w:p w:rsidR="007B304D" w:rsidRDefault="007B304D" w:rsidP="00535CDC">
            <w:pPr>
              <w:jc w:val="right"/>
            </w:pPr>
            <w:r>
              <w:t>21</w:t>
            </w:r>
          </w:p>
        </w:tc>
        <w:tc>
          <w:tcPr>
            <w:tcW w:w="805" w:type="pct"/>
            <w:tcBorders>
              <w:top w:val="nil"/>
              <w:bottom w:val="single" w:sz="4" w:space="0" w:color="auto"/>
            </w:tcBorders>
          </w:tcPr>
          <w:p w:rsidR="00535CDC" w:rsidRPr="00A65879" w:rsidRDefault="007B304D" w:rsidP="00535CDC">
            <w:pPr>
              <w:jc w:val="right"/>
              <w:rPr>
                <w:color w:val="FFFFFF" w:themeColor="background1"/>
                <w:vertAlign w:val="superscript"/>
              </w:rPr>
            </w:pPr>
            <w:r>
              <w:t>0,311</w:t>
            </w:r>
            <w:r w:rsidR="00A65879">
              <w:rPr>
                <w:color w:val="FFFFFF" w:themeColor="background1"/>
                <w:vertAlign w:val="superscript"/>
              </w:rPr>
              <w:t>***</w:t>
            </w:r>
          </w:p>
          <w:p w:rsidR="007B304D" w:rsidRPr="00A65879" w:rsidRDefault="007B304D" w:rsidP="00535CDC">
            <w:pPr>
              <w:jc w:val="right"/>
              <w:rPr>
                <w:color w:val="FFFFFF" w:themeColor="background1"/>
                <w:vertAlign w:val="superscript"/>
              </w:rPr>
            </w:pPr>
            <w:r>
              <w:t>1,000</w:t>
            </w:r>
            <w:r w:rsidR="00A65879">
              <w:rPr>
                <w:color w:val="FFFFFF" w:themeColor="background1"/>
                <w:vertAlign w:val="superscript"/>
              </w:rPr>
              <w:t>***</w:t>
            </w:r>
          </w:p>
          <w:p w:rsidR="007B304D" w:rsidRPr="00A65879" w:rsidRDefault="007B304D" w:rsidP="00535CDC">
            <w:pPr>
              <w:jc w:val="right"/>
              <w:rPr>
                <w:color w:val="FFFFFF" w:themeColor="background1"/>
                <w:vertAlign w:val="superscript"/>
              </w:rPr>
            </w:pPr>
            <w:r>
              <w:t>1,000</w:t>
            </w:r>
            <w:r w:rsidR="00A65879">
              <w:rPr>
                <w:color w:val="FFFFFF" w:themeColor="background1"/>
                <w:vertAlign w:val="superscript"/>
              </w:rPr>
              <w:t>***</w:t>
            </w:r>
          </w:p>
          <w:p w:rsidR="007B304D" w:rsidRPr="00A65879" w:rsidRDefault="007B304D" w:rsidP="00535CDC">
            <w:pPr>
              <w:jc w:val="right"/>
              <w:rPr>
                <w:color w:val="FFFFFF" w:themeColor="background1"/>
                <w:vertAlign w:val="superscript"/>
              </w:rPr>
            </w:pPr>
            <w:r>
              <w:t>0,736</w:t>
            </w:r>
            <w:r w:rsidR="00A65879">
              <w:rPr>
                <w:color w:val="FFFFFF" w:themeColor="background1"/>
                <w:vertAlign w:val="superscript"/>
              </w:rPr>
              <w:t>***</w:t>
            </w:r>
          </w:p>
          <w:p w:rsidR="007B304D" w:rsidRPr="008214F5" w:rsidRDefault="007B304D" w:rsidP="00535CDC">
            <w:pPr>
              <w:jc w:val="right"/>
              <w:rPr>
                <w:color w:val="FFFFFF" w:themeColor="background1"/>
                <w:vertAlign w:val="superscript"/>
              </w:rPr>
            </w:pPr>
            <w:r w:rsidRPr="008214F5">
              <w:t>0,041</w:t>
            </w:r>
            <w:r w:rsidR="00A65879" w:rsidRPr="008214F5">
              <w:rPr>
                <w:b/>
                <w:vertAlign w:val="superscript"/>
              </w:rPr>
              <w:t>**</w:t>
            </w:r>
            <w:r w:rsidR="00A65879" w:rsidRPr="008214F5">
              <w:rPr>
                <w:color w:val="FFFFFF" w:themeColor="background1"/>
                <w:vertAlign w:val="superscript"/>
              </w:rPr>
              <w:t>*</w:t>
            </w:r>
          </w:p>
          <w:p w:rsidR="007B304D" w:rsidRPr="008214F5" w:rsidRDefault="007B304D" w:rsidP="00535CDC">
            <w:pPr>
              <w:jc w:val="right"/>
              <w:rPr>
                <w:color w:val="FFFFFF" w:themeColor="background1"/>
                <w:vertAlign w:val="superscript"/>
              </w:rPr>
            </w:pPr>
            <w:r w:rsidRPr="008214F5">
              <w:t>0,041</w:t>
            </w:r>
            <w:r w:rsidR="00A65879" w:rsidRPr="008214F5">
              <w:rPr>
                <w:b/>
                <w:vertAlign w:val="superscript"/>
              </w:rPr>
              <w:t>**</w:t>
            </w:r>
            <w:r w:rsidR="00A65879" w:rsidRPr="008214F5">
              <w:rPr>
                <w:color w:val="FFFFFF" w:themeColor="background1"/>
                <w:vertAlign w:val="superscript"/>
              </w:rPr>
              <w:t>*</w:t>
            </w:r>
          </w:p>
          <w:p w:rsidR="007B304D" w:rsidRPr="008214F5" w:rsidRDefault="007B304D" w:rsidP="00535CDC">
            <w:pPr>
              <w:jc w:val="right"/>
              <w:rPr>
                <w:color w:val="FFFFFF" w:themeColor="background1"/>
                <w:vertAlign w:val="superscript"/>
              </w:rPr>
            </w:pPr>
            <w:r w:rsidRPr="008214F5">
              <w:t>0,736</w:t>
            </w:r>
            <w:r w:rsidR="00A65879" w:rsidRPr="008214F5">
              <w:rPr>
                <w:color w:val="FFFFFF" w:themeColor="background1"/>
                <w:vertAlign w:val="superscript"/>
              </w:rPr>
              <w:t>***</w:t>
            </w:r>
          </w:p>
          <w:p w:rsidR="007B304D" w:rsidRPr="008214F5" w:rsidRDefault="007B304D" w:rsidP="00535CDC">
            <w:pPr>
              <w:jc w:val="right"/>
              <w:rPr>
                <w:color w:val="FFFFFF" w:themeColor="background1"/>
                <w:vertAlign w:val="superscript"/>
              </w:rPr>
            </w:pPr>
            <w:r w:rsidRPr="008214F5">
              <w:t>1,000</w:t>
            </w:r>
            <w:r w:rsidR="00A65879" w:rsidRPr="008214F5">
              <w:rPr>
                <w:color w:val="FFFFFF" w:themeColor="background1"/>
                <w:vertAlign w:val="superscript"/>
              </w:rPr>
              <w:t>***</w:t>
            </w:r>
          </w:p>
          <w:p w:rsidR="007B304D" w:rsidRPr="00A65879" w:rsidRDefault="007B304D" w:rsidP="00535CDC">
            <w:pPr>
              <w:jc w:val="right"/>
              <w:rPr>
                <w:color w:val="FFFFFF" w:themeColor="background1"/>
                <w:vertAlign w:val="superscript"/>
              </w:rPr>
            </w:pPr>
            <w:r w:rsidRPr="008214F5">
              <w:t>0,090</w:t>
            </w:r>
            <w:r w:rsidR="00A65879" w:rsidRPr="008214F5">
              <w:rPr>
                <w:b/>
                <w:vertAlign w:val="superscript"/>
              </w:rPr>
              <w:t>*</w:t>
            </w:r>
            <w:r w:rsidR="00A65879" w:rsidRPr="008214F5">
              <w:rPr>
                <w:color w:val="FFFFFF" w:themeColor="background1"/>
                <w:vertAlign w:val="superscript"/>
              </w:rPr>
              <w:t>**</w:t>
            </w:r>
          </w:p>
          <w:p w:rsidR="007B304D" w:rsidRPr="00A65879" w:rsidRDefault="007B304D" w:rsidP="00535CDC">
            <w:pPr>
              <w:jc w:val="right"/>
              <w:rPr>
                <w:color w:val="FFFFFF" w:themeColor="background1"/>
                <w:vertAlign w:val="superscript"/>
              </w:rPr>
            </w:pPr>
            <w:r>
              <w:t>0,311</w:t>
            </w:r>
            <w:r w:rsidR="00A65879">
              <w:rPr>
                <w:color w:val="FFFFFF" w:themeColor="background1"/>
                <w:vertAlign w:val="superscript"/>
              </w:rPr>
              <w:t>***</w:t>
            </w:r>
          </w:p>
        </w:tc>
      </w:tr>
      <w:tr w:rsidR="00535CDC" w:rsidTr="009C4E91">
        <w:tc>
          <w:tcPr>
            <w:tcW w:w="5000" w:type="pct"/>
            <w:gridSpan w:val="6"/>
            <w:tcBorders>
              <w:top w:val="single" w:sz="4" w:space="0" w:color="auto"/>
            </w:tcBorders>
          </w:tcPr>
          <w:p w:rsidR="00535CDC" w:rsidRPr="006B267C" w:rsidRDefault="00535CDC" w:rsidP="00535CDC">
            <w:pPr>
              <w:rPr>
                <w:color w:val="FF0000"/>
              </w:rPr>
            </w:pPr>
            <w:proofErr w:type="spellStart"/>
            <w:r>
              <w:rPr>
                <w:rStyle w:val="SubtleEmphasis"/>
                <w:color w:val="FF0000"/>
              </w:rPr>
              <w:t>Markt</w:t>
            </w:r>
            <w:proofErr w:type="spellEnd"/>
            <w:r>
              <w:rPr>
                <w:rStyle w:val="SubtleEmphasis"/>
                <w:color w:val="FF0000"/>
              </w:rPr>
              <w:t xml:space="preserve"> Model</w:t>
            </w:r>
          </w:p>
        </w:tc>
      </w:tr>
      <w:tr w:rsidR="00535CDC" w:rsidTr="009C4E91">
        <w:tc>
          <w:tcPr>
            <w:tcW w:w="807" w:type="pct"/>
            <w:tcBorders>
              <w:top w:val="nil"/>
              <w:bottom w:val="nil"/>
            </w:tcBorders>
          </w:tcPr>
          <w:p w:rsidR="00535CDC" w:rsidRDefault="00535CDC" w:rsidP="009C4E91">
            <w:r>
              <w:t>T=-5</w:t>
            </w:r>
          </w:p>
        </w:tc>
        <w:tc>
          <w:tcPr>
            <w:tcW w:w="807" w:type="pct"/>
            <w:tcBorders>
              <w:top w:val="nil"/>
              <w:bottom w:val="nil"/>
            </w:tcBorders>
          </w:tcPr>
          <w:p w:rsidR="00535CDC" w:rsidRDefault="00083D78" w:rsidP="009C4E91">
            <w:pPr>
              <w:jc w:val="right"/>
            </w:pPr>
            <w:r>
              <w:t>0,06%</w:t>
            </w:r>
          </w:p>
        </w:tc>
        <w:tc>
          <w:tcPr>
            <w:tcW w:w="916" w:type="pct"/>
            <w:tcBorders>
              <w:top w:val="nil"/>
              <w:bottom w:val="nil"/>
            </w:tcBorders>
            <w:noWrap/>
          </w:tcPr>
          <w:p w:rsidR="00535CDC" w:rsidRPr="00A65879" w:rsidRDefault="0042312E" w:rsidP="009C4E91">
            <w:pPr>
              <w:jc w:val="right"/>
              <w:rPr>
                <w:color w:val="FFFFFF" w:themeColor="background1"/>
                <w:vertAlign w:val="superscript"/>
              </w:rPr>
            </w:pPr>
            <w:r>
              <w:t>0,259</w:t>
            </w:r>
            <w:r w:rsidR="00A65879">
              <w:rPr>
                <w:color w:val="FFFFFF" w:themeColor="background1"/>
                <w:vertAlign w:val="superscript"/>
              </w:rPr>
              <w:t>***</w:t>
            </w:r>
          </w:p>
        </w:tc>
        <w:tc>
          <w:tcPr>
            <w:tcW w:w="857" w:type="pct"/>
            <w:tcBorders>
              <w:top w:val="nil"/>
              <w:bottom w:val="nil"/>
            </w:tcBorders>
          </w:tcPr>
          <w:p w:rsidR="00535CDC" w:rsidRDefault="0042312E" w:rsidP="00535CDC">
            <w:pPr>
              <w:jc w:val="right"/>
            </w:pPr>
            <w:r>
              <w:t>18</w:t>
            </w:r>
          </w:p>
        </w:tc>
        <w:tc>
          <w:tcPr>
            <w:tcW w:w="808" w:type="pct"/>
            <w:tcBorders>
              <w:top w:val="nil"/>
              <w:bottom w:val="nil"/>
            </w:tcBorders>
          </w:tcPr>
          <w:p w:rsidR="00535CDC" w:rsidRDefault="0042312E" w:rsidP="00535CDC">
            <w:pPr>
              <w:jc w:val="right"/>
            </w:pPr>
            <w:r>
              <w:t>17</w:t>
            </w:r>
          </w:p>
        </w:tc>
        <w:tc>
          <w:tcPr>
            <w:tcW w:w="805" w:type="pct"/>
            <w:tcBorders>
              <w:top w:val="nil"/>
              <w:bottom w:val="nil"/>
            </w:tcBorders>
          </w:tcPr>
          <w:p w:rsidR="00535CDC" w:rsidRPr="00A65879" w:rsidRDefault="0042312E" w:rsidP="00535CDC">
            <w:pPr>
              <w:jc w:val="right"/>
              <w:rPr>
                <w:color w:val="FFFFFF" w:themeColor="background1"/>
                <w:vertAlign w:val="superscript"/>
              </w:rPr>
            </w:pPr>
            <w:r>
              <w:t>1,000</w:t>
            </w:r>
            <w:r w:rsidR="00A65879">
              <w:rPr>
                <w:color w:val="FFFFFF" w:themeColor="background1"/>
                <w:vertAlign w:val="superscript"/>
              </w:rPr>
              <w:t>***</w:t>
            </w:r>
          </w:p>
        </w:tc>
      </w:tr>
      <w:tr w:rsidR="00535CDC" w:rsidTr="009C4E91">
        <w:tc>
          <w:tcPr>
            <w:tcW w:w="807" w:type="pct"/>
            <w:tcBorders>
              <w:top w:val="nil"/>
              <w:bottom w:val="nil"/>
            </w:tcBorders>
          </w:tcPr>
          <w:p w:rsidR="00535CDC" w:rsidRDefault="00535CDC" w:rsidP="009C4E91">
            <w:r>
              <w:t>T=-4</w:t>
            </w:r>
          </w:p>
          <w:p w:rsidR="00535CDC" w:rsidRDefault="00535CDC" w:rsidP="009C4E91">
            <w:r>
              <w:t>T=-3</w:t>
            </w:r>
          </w:p>
          <w:p w:rsidR="00535CDC" w:rsidRDefault="00535CDC" w:rsidP="009C4E91">
            <w:r>
              <w:t>T=-2</w:t>
            </w:r>
          </w:p>
          <w:p w:rsidR="00535CDC" w:rsidRDefault="00535CDC" w:rsidP="009C4E91">
            <w:r>
              <w:t>T=-1</w:t>
            </w:r>
          </w:p>
          <w:p w:rsidR="00535CDC" w:rsidRDefault="00535CDC" w:rsidP="009C4E91">
            <w:r>
              <w:t>T=0</w:t>
            </w:r>
          </w:p>
          <w:p w:rsidR="00535CDC" w:rsidRDefault="00535CDC" w:rsidP="009C4E91">
            <w:r>
              <w:t>T=1</w:t>
            </w:r>
          </w:p>
          <w:p w:rsidR="00535CDC" w:rsidRDefault="00535CDC" w:rsidP="009C4E91">
            <w:r>
              <w:t>T=2</w:t>
            </w:r>
          </w:p>
          <w:p w:rsidR="00535CDC" w:rsidRDefault="00535CDC" w:rsidP="009C4E91">
            <w:r>
              <w:t>T=3</w:t>
            </w:r>
          </w:p>
          <w:p w:rsidR="00535CDC" w:rsidRDefault="00535CDC" w:rsidP="009C4E91">
            <w:r>
              <w:t xml:space="preserve">T=4 </w:t>
            </w:r>
          </w:p>
          <w:p w:rsidR="00535CDC" w:rsidRDefault="00535CDC" w:rsidP="009C4E91">
            <w:r>
              <w:t>T=5</w:t>
            </w:r>
          </w:p>
        </w:tc>
        <w:tc>
          <w:tcPr>
            <w:tcW w:w="807" w:type="pct"/>
            <w:tcBorders>
              <w:top w:val="nil"/>
              <w:bottom w:val="nil"/>
            </w:tcBorders>
          </w:tcPr>
          <w:p w:rsidR="00535CDC" w:rsidRDefault="00083D78" w:rsidP="009C4E91">
            <w:pPr>
              <w:jc w:val="right"/>
            </w:pPr>
            <w:r>
              <w:t>-0,54%</w:t>
            </w:r>
          </w:p>
          <w:p w:rsidR="00083D78" w:rsidRDefault="00083D78" w:rsidP="009C4E91">
            <w:pPr>
              <w:jc w:val="right"/>
            </w:pPr>
            <w:r>
              <w:t>-0,17%</w:t>
            </w:r>
          </w:p>
          <w:p w:rsidR="00083D78" w:rsidRDefault="00083D78" w:rsidP="009C4E91">
            <w:pPr>
              <w:jc w:val="right"/>
            </w:pPr>
            <w:r>
              <w:t>-0,34%</w:t>
            </w:r>
          </w:p>
          <w:p w:rsidR="00083D78" w:rsidRDefault="00083D78" w:rsidP="009C4E91">
            <w:pPr>
              <w:jc w:val="right"/>
            </w:pPr>
            <w:r>
              <w:t>0,17%</w:t>
            </w:r>
          </w:p>
          <w:p w:rsidR="00083D78" w:rsidRDefault="00083D78" w:rsidP="009C4E91">
            <w:pPr>
              <w:jc w:val="right"/>
            </w:pPr>
            <w:r>
              <w:t>1,66%</w:t>
            </w:r>
          </w:p>
          <w:p w:rsidR="00083D78" w:rsidRDefault="00083D78" w:rsidP="009C4E91">
            <w:pPr>
              <w:jc w:val="right"/>
            </w:pPr>
            <w:r>
              <w:t>0,63%</w:t>
            </w:r>
          </w:p>
          <w:p w:rsidR="00083D78" w:rsidRDefault="00083D78" w:rsidP="009C4E91">
            <w:pPr>
              <w:jc w:val="right"/>
            </w:pPr>
            <w:r>
              <w:t>0,26%</w:t>
            </w:r>
          </w:p>
          <w:p w:rsidR="00083D78" w:rsidRDefault="00083D78" w:rsidP="009C4E91">
            <w:pPr>
              <w:jc w:val="right"/>
            </w:pPr>
            <w:r>
              <w:t>0,10%</w:t>
            </w:r>
          </w:p>
          <w:p w:rsidR="00083D78" w:rsidRDefault="00083D78" w:rsidP="009C4E91">
            <w:pPr>
              <w:jc w:val="right"/>
            </w:pPr>
            <w:r>
              <w:t>0,49%</w:t>
            </w:r>
          </w:p>
          <w:p w:rsidR="00083D78" w:rsidRDefault="00083D78" w:rsidP="009C4E91">
            <w:pPr>
              <w:jc w:val="right"/>
            </w:pPr>
            <w:r>
              <w:t>-0,24%</w:t>
            </w:r>
          </w:p>
        </w:tc>
        <w:tc>
          <w:tcPr>
            <w:tcW w:w="916" w:type="pct"/>
            <w:tcBorders>
              <w:top w:val="nil"/>
              <w:bottom w:val="nil"/>
            </w:tcBorders>
            <w:noWrap/>
          </w:tcPr>
          <w:p w:rsidR="00535CDC" w:rsidRPr="008214F5" w:rsidRDefault="0042312E" w:rsidP="009C4E91">
            <w:pPr>
              <w:jc w:val="right"/>
              <w:rPr>
                <w:color w:val="FFFFFF" w:themeColor="background1"/>
                <w:vertAlign w:val="superscript"/>
              </w:rPr>
            </w:pPr>
            <w:r w:rsidRPr="0042312E">
              <w:rPr>
                <w:b/>
              </w:rPr>
              <w:t>-</w:t>
            </w:r>
            <w:r w:rsidRPr="008214F5">
              <w:t>2,176</w:t>
            </w:r>
            <w:r w:rsidR="00A65879" w:rsidRPr="008214F5">
              <w:rPr>
                <w:b/>
                <w:vertAlign w:val="superscript"/>
              </w:rPr>
              <w:t>**</w:t>
            </w:r>
            <w:r w:rsidR="00A65879" w:rsidRPr="008214F5">
              <w:rPr>
                <w:color w:val="FFFFFF" w:themeColor="background1"/>
                <w:vertAlign w:val="superscript"/>
              </w:rPr>
              <w:t>*</w:t>
            </w:r>
          </w:p>
          <w:p w:rsidR="0042312E" w:rsidRPr="008214F5" w:rsidRDefault="0042312E" w:rsidP="009C4E91">
            <w:pPr>
              <w:jc w:val="right"/>
              <w:rPr>
                <w:color w:val="FFFFFF" w:themeColor="background1"/>
                <w:vertAlign w:val="superscript"/>
              </w:rPr>
            </w:pPr>
            <w:r w:rsidRPr="008214F5">
              <w:t>-0,633</w:t>
            </w:r>
            <w:r w:rsidR="00A65879" w:rsidRPr="008214F5">
              <w:rPr>
                <w:color w:val="FFFFFF" w:themeColor="background1"/>
                <w:vertAlign w:val="superscript"/>
              </w:rPr>
              <w:t>***</w:t>
            </w:r>
          </w:p>
          <w:p w:rsidR="0042312E" w:rsidRPr="008214F5" w:rsidRDefault="0042312E" w:rsidP="009C4E91">
            <w:pPr>
              <w:jc w:val="right"/>
              <w:rPr>
                <w:color w:val="FFFFFF" w:themeColor="background1"/>
                <w:vertAlign w:val="superscript"/>
              </w:rPr>
            </w:pPr>
            <w:r w:rsidRPr="008214F5">
              <w:t>-1,393</w:t>
            </w:r>
            <w:r w:rsidR="00A65879" w:rsidRPr="008214F5">
              <w:rPr>
                <w:color w:val="FFFFFF" w:themeColor="background1"/>
                <w:vertAlign w:val="superscript"/>
              </w:rPr>
              <w:t>***</w:t>
            </w:r>
          </w:p>
          <w:p w:rsidR="0042312E" w:rsidRPr="008214F5" w:rsidRDefault="0042312E" w:rsidP="009C4E91">
            <w:pPr>
              <w:jc w:val="right"/>
              <w:rPr>
                <w:color w:val="FFFFFF" w:themeColor="background1"/>
                <w:vertAlign w:val="superscript"/>
              </w:rPr>
            </w:pPr>
            <w:r w:rsidRPr="008214F5">
              <w:t>0,778</w:t>
            </w:r>
            <w:r w:rsidR="00A65879" w:rsidRPr="008214F5">
              <w:rPr>
                <w:color w:val="FFFFFF" w:themeColor="background1"/>
                <w:vertAlign w:val="superscript"/>
              </w:rPr>
              <w:t>***</w:t>
            </w:r>
          </w:p>
          <w:p w:rsidR="0042312E" w:rsidRPr="008214F5" w:rsidRDefault="0042312E" w:rsidP="009C4E91">
            <w:pPr>
              <w:jc w:val="right"/>
              <w:rPr>
                <w:color w:val="FFFFFF" w:themeColor="background1"/>
                <w:vertAlign w:val="superscript"/>
              </w:rPr>
            </w:pPr>
            <w:r w:rsidRPr="008214F5">
              <w:t>2,739</w:t>
            </w:r>
            <w:r w:rsidR="00A65879" w:rsidRPr="008214F5">
              <w:rPr>
                <w:b/>
                <w:vertAlign w:val="superscript"/>
              </w:rPr>
              <w:t>***</w:t>
            </w:r>
          </w:p>
          <w:p w:rsidR="0042312E" w:rsidRPr="008214F5" w:rsidRDefault="0042312E" w:rsidP="009C4E91">
            <w:pPr>
              <w:jc w:val="right"/>
              <w:rPr>
                <w:color w:val="FFFFFF" w:themeColor="background1"/>
                <w:vertAlign w:val="superscript"/>
              </w:rPr>
            </w:pPr>
            <w:r w:rsidRPr="008214F5">
              <w:t>2,307</w:t>
            </w:r>
            <w:r w:rsidR="00A65879" w:rsidRPr="008214F5">
              <w:rPr>
                <w:b/>
                <w:vertAlign w:val="superscript"/>
              </w:rPr>
              <w:t>**</w:t>
            </w:r>
            <w:r w:rsidR="00A65879" w:rsidRPr="008214F5">
              <w:rPr>
                <w:color w:val="FFFFFF" w:themeColor="background1"/>
                <w:vertAlign w:val="superscript"/>
              </w:rPr>
              <w:t>*</w:t>
            </w:r>
          </w:p>
          <w:p w:rsidR="0042312E" w:rsidRPr="008214F5" w:rsidRDefault="0042312E" w:rsidP="009C4E91">
            <w:pPr>
              <w:jc w:val="right"/>
              <w:rPr>
                <w:color w:val="FFFFFF" w:themeColor="background1"/>
                <w:vertAlign w:val="superscript"/>
              </w:rPr>
            </w:pPr>
            <w:r w:rsidRPr="008214F5">
              <w:t>0,936</w:t>
            </w:r>
            <w:r w:rsidR="00A65879" w:rsidRPr="008214F5">
              <w:rPr>
                <w:color w:val="FFFFFF" w:themeColor="background1"/>
                <w:vertAlign w:val="superscript"/>
              </w:rPr>
              <w:t>***</w:t>
            </w:r>
          </w:p>
          <w:p w:rsidR="0042312E" w:rsidRPr="008214F5" w:rsidRDefault="0042312E" w:rsidP="009C4E91">
            <w:pPr>
              <w:jc w:val="right"/>
              <w:rPr>
                <w:color w:val="FFFFFF" w:themeColor="background1"/>
                <w:vertAlign w:val="superscript"/>
              </w:rPr>
            </w:pPr>
            <w:r w:rsidRPr="008214F5">
              <w:t>0,369</w:t>
            </w:r>
            <w:r w:rsidR="00A65879" w:rsidRPr="008214F5">
              <w:rPr>
                <w:color w:val="FFFFFF" w:themeColor="background1"/>
                <w:vertAlign w:val="superscript"/>
              </w:rPr>
              <w:t>***</w:t>
            </w:r>
          </w:p>
          <w:p w:rsidR="0042312E" w:rsidRPr="00A65879" w:rsidRDefault="0042312E" w:rsidP="009C4E91">
            <w:pPr>
              <w:jc w:val="right"/>
              <w:rPr>
                <w:b/>
                <w:color w:val="FFFFFF" w:themeColor="background1"/>
                <w:vertAlign w:val="superscript"/>
              </w:rPr>
            </w:pPr>
            <w:r w:rsidRPr="008214F5">
              <w:t>2,176</w:t>
            </w:r>
            <w:r w:rsidR="00A65879" w:rsidRPr="008214F5">
              <w:rPr>
                <w:b/>
                <w:vertAlign w:val="superscript"/>
              </w:rPr>
              <w:t>**</w:t>
            </w:r>
            <w:r w:rsidR="00A65879">
              <w:rPr>
                <w:b/>
                <w:color w:val="FFFFFF" w:themeColor="background1"/>
                <w:vertAlign w:val="superscript"/>
              </w:rPr>
              <w:t>*</w:t>
            </w:r>
          </w:p>
          <w:p w:rsidR="0042312E" w:rsidRPr="00A65879" w:rsidRDefault="0042312E" w:rsidP="009C4E91">
            <w:pPr>
              <w:jc w:val="right"/>
              <w:rPr>
                <w:color w:val="FFFFFF" w:themeColor="background1"/>
                <w:vertAlign w:val="superscript"/>
              </w:rPr>
            </w:pPr>
            <w:r>
              <w:t>-0,974</w:t>
            </w:r>
            <w:r w:rsidR="00A65879">
              <w:rPr>
                <w:color w:val="FFFFFF" w:themeColor="background1"/>
                <w:vertAlign w:val="superscript"/>
              </w:rPr>
              <w:t>***</w:t>
            </w:r>
          </w:p>
        </w:tc>
        <w:tc>
          <w:tcPr>
            <w:tcW w:w="857" w:type="pct"/>
            <w:tcBorders>
              <w:top w:val="nil"/>
              <w:bottom w:val="nil"/>
            </w:tcBorders>
          </w:tcPr>
          <w:p w:rsidR="00535CDC" w:rsidRDefault="0042312E" w:rsidP="00535CDC">
            <w:pPr>
              <w:jc w:val="right"/>
            </w:pPr>
            <w:r>
              <w:t>14</w:t>
            </w:r>
          </w:p>
          <w:p w:rsidR="0042312E" w:rsidRDefault="0042312E" w:rsidP="00535CDC">
            <w:pPr>
              <w:jc w:val="right"/>
            </w:pPr>
            <w:r>
              <w:t>16</w:t>
            </w:r>
          </w:p>
          <w:p w:rsidR="0042312E" w:rsidRDefault="0042312E" w:rsidP="00535CDC">
            <w:pPr>
              <w:jc w:val="right"/>
            </w:pPr>
            <w:r>
              <w:t>14</w:t>
            </w:r>
          </w:p>
          <w:p w:rsidR="0042312E" w:rsidRDefault="0042312E" w:rsidP="00535CDC">
            <w:pPr>
              <w:jc w:val="right"/>
            </w:pPr>
            <w:r>
              <w:t>19</w:t>
            </w:r>
          </w:p>
          <w:p w:rsidR="0042312E" w:rsidRDefault="0042312E" w:rsidP="00535CDC">
            <w:pPr>
              <w:jc w:val="right"/>
            </w:pPr>
            <w:r>
              <w:t>23</w:t>
            </w:r>
          </w:p>
          <w:p w:rsidR="0042312E" w:rsidRDefault="0042312E" w:rsidP="00535CDC">
            <w:pPr>
              <w:jc w:val="right"/>
            </w:pPr>
            <w:r>
              <w:t>26</w:t>
            </w:r>
          </w:p>
          <w:p w:rsidR="0042312E" w:rsidRDefault="0042312E" w:rsidP="00535CDC">
            <w:pPr>
              <w:jc w:val="right"/>
            </w:pPr>
            <w:r>
              <w:t>19</w:t>
            </w:r>
          </w:p>
          <w:p w:rsidR="0042312E" w:rsidRDefault="0042312E" w:rsidP="00535CDC">
            <w:pPr>
              <w:jc w:val="right"/>
            </w:pPr>
            <w:r>
              <w:t>17</w:t>
            </w:r>
          </w:p>
          <w:p w:rsidR="0042312E" w:rsidRDefault="0042312E" w:rsidP="00535CDC">
            <w:pPr>
              <w:jc w:val="right"/>
            </w:pPr>
            <w:r>
              <w:t>22</w:t>
            </w:r>
          </w:p>
          <w:p w:rsidR="0042312E" w:rsidRDefault="0042312E" w:rsidP="00535CDC">
            <w:pPr>
              <w:jc w:val="right"/>
            </w:pPr>
            <w:r>
              <w:t>15</w:t>
            </w:r>
          </w:p>
        </w:tc>
        <w:tc>
          <w:tcPr>
            <w:tcW w:w="808" w:type="pct"/>
            <w:tcBorders>
              <w:top w:val="nil"/>
              <w:bottom w:val="nil"/>
            </w:tcBorders>
          </w:tcPr>
          <w:p w:rsidR="00535CDC" w:rsidRDefault="0042312E" w:rsidP="00535CDC">
            <w:pPr>
              <w:jc w:val="right"/>
            </w:pPr>
            <w:r>
              <w:t>21</w:t>
            </w:r>
          </w:p>
          <w:p w:rsidR="0042312E" w:rsidRDefault="0042312E" w:rsidP="00535CDC">
            <w:pPr>
              <w:jc w:val="right"/>
            </w:pPr>
            <w:r>
              <w:t>19</w:t>
            </w:r>
          </w:p>
          <w:p w:rsidR="0042312E" w:rsidRDefault="0042312E" w:rsidP="00535CDC">
            <w:pPr>
              <w:jc w:val="right"/>
            </w:pPr>
            <w:r>
              <w:t>21</w:t>
            </w:r>
          </w:p>
          <w:p w:rsidR="0042312E" w:rsidRDefault="0042312E" w:rsidP="00535CDC">
            <w:pPr>
              <w:jc w:val="right"/>
            </w:pPr>
            <w:r>
              <w:t>16</w:t>
            </w:r>
          </w:p>
          <w:p w:rsidR="0042312E" w:rsidRDefault="0042312E" w:rsidP="00535CDC">
            <w:pPr>
              <w:jc w:val="right"/>
            </w:pPr>
            <w:r>
              <w:t>12</w:t>
            </w:r>
          </w:p>
          <w:p w:rsidR="0042312E" w:rsidRDefault="0042312E" w:rsidP="00535CDC">
            <w:pPr>
              <w:jc w:val="right"/>
            </w:pPr>
            <w:r>
              <w:t>9</w:t>
            </w:r>
          </w:p>
          <w:p w:rsidR="0042312E" w:rsidRDefault="0042312E" w:rsidP="00535CDC">
            <w:pPr>
              <w:jc w:val="right"/>
            </w:pPr>
            <w:r>
              <w:t>16</w:t>
            </w:r>
          </w:p>
          <w:p w:rsidR="0042312E" w:rsidRDefault="0042312E" w:rsidP="00535CDC">
            <w:pPr>
              <w:jc w:val="right"/>
            </w:pPr>
            <w:r>
              <w:t>18</w:t>
            </w:r>
          </w:p>
          <w:p w:rsidR="0042312E" w:rsidRDefault="0042312E" w:rsidP="00535CDC">
            <w:pPr>
              <w:jc w:val="right"/>
            </w:pPr>
            <w:r>
              <w:t>13</w:t>
            </w:r>
          </w:p>
          <w:p w:rsidR="0042312E" w:rsidRDefault="0042312E" w:rsidP="00535CDC">
            <w:pPr>
              <w:jc w:val="right"/>
            </w:pPr>
            <w:r>
              <w:t>20</w:t>
            </w:r>
          </w:p>
        </w:tc>
        <w:tc>
          <w:tcPr>
            <w:tcW w:w="805" w:type="pct"/>
            <w:tcBorders>
              <w:top w:val="nil"/>
              <w:bottom w:val="nil"/>
            </w:tcBorders>
          </w:tcPr>
          <w:p w:rsidR="00535CDC" w:rsidRPr="00A65879" w:rsidRDefault="0042312E" w:rsidP="00535CDC">
            <w:pPr>
              <w:jc w:val="right"/>
              <w:rPr>
                <w:color w:val="FFFFFF" w:themeColor="background1"/>
                <w:vertAlign w:val="superscript"/>
              </w:rPr>
            </w:pPr>
            <w:r>
              <w:t>0,311</w:t>
            </w:r>
            <w:r w:rsidR="00A65879">
              <w:rPr>
                <w:color w:val="FFFFFF" w:themeColor="background1"/>
                <w:vertAlign w:val="superscript"/>
              </w:rPr>
              <w:t>***</w:t>
            </w:r>
          </w:p>
          <w:p w:rsidR="0042312E" w:rsidRPr="00A65879" w:rsidRDefault="0042312E" w:rsidP="00535CDC">
            <w:pPr>
              <w:jc w:val="right"/>
              <w:rPr>
                <w:color w:val="FFFFFF" w:themeColor="background1"/>
                <w:vertAlign w:val="superscript"/>
              </w:rPr>
            </w:pPr>
            <w:r>
              <w:t>0,736</w:t>
            </w:r>
            <w:r w:rsidR="00A65879">
              <w:rPr>
                <w:color w:val="FFFFFF" w:themeColor="background1"/>
                <w:vertAlign w:val="superscript"/>
              </w:rPr>
              <w:t>***</w:t>
            </w:r>
          </w:p>
          <w:p w:rsidR="0042312E" w:rsidRPr="00A65879" w:rsidRDefault="0042312E" w:rsidP="00535CDC">
            <w:pPr>
              <w:jc w:val="right"/>
              <w:rPr>
                <w:color w:val="FFFFFF" w:themeColor="background1"/>
                <w:vertAlign w:val="superscript"/>
              </w:rPr>
            </w:pPr>
            <w:r>
              <w:t>0,311</w:t>
            </w:r>
            <w:r w:rsidR="00A65879">
              <w:rPr>
                <w:color w:val="FFFFFF" w:themeColor="background1"/>
                <w:vertAlign w:val="superscript"/>
              </w:rPr>
              <w:t>***</w:t>
            </w:r>
          </w:p>
          <w:p w:rsidR="0042312E" w:rsidRPr="00A65879" w:rsidRDefault="0042312E" w:rsidP="00535CDC">
            <w:pPr>
              <w:jc w:val="right"/>
              <w:rPr>
                <w:color w:val="FFFFFF" w:themeColor="background1"/>
                <w:vertAlign w:val="superscript"/>
              </w:rPr>
            </w:pPr>
            <w:r>
              <w:t>0,736</w:t>
            </w:r>
            <w:r w:rsidR="00A65879">
              <w:rPr>
                <w:color w:val="FFFFFF" w:themeColor="background1"/>
                <w:vertAlign w:val="superscript"/>
              </w:rPr>
              <w:t>***</w:t>
            </w:r>
          </w:p>
          <w:p w:rsidR="0042312E" w:rsidRPr="008214F5" w:rsidRDefault="0042312E" w:rsidP="00535CDC">
            <w:pPr>
              <w:jc w:val="right"/>
              <w:rPr>
                <w:color w:val="FFFFFF" w:themeColor="background1"/>
                <w:vertAlign w:val="superscript"/>
              </w:rPr>
            </w:pPr>
            <w:r w:rsidRPr="008214F5">
              <w:t>0,090</w:t>
            </w:r>
            <w:r w:rsidR="00A65879" w:rsidRPr="008214F5">
              <w:rPr>
                <w:b/>
                <w:vertAlign w:val="superscript"/>
              </w:rPr>
              <w:t>*</w:t>
            </w:r>
            <w:r w:rsidR="00A65879" w:rsidRPr="008214F5">
              <w:rPr>
                <w:color w:val="FFFFFF" w:themeColor="background1"/>
                <w:vertAlign w:val="superscript"/>
              </w:rPr>
              <w:t>**</w:t>
            </w:r>
          </w:p>
          <w:p w:rsidR="0042312E" w:rsidRPr="00A65879" w:rsidRDefault="0042312E" w:rsidP="00535CDC">
            <w:pPr>
              <w:jc w:val="right"/>
              <w:rPr>
                <w:color w:val="FFFFFF" w:themeColor="background1"/>
                <w:vertAlign w:val="superscript"/>
              </w:rPr>
            </w:pPr>
            <w:r w:rsidRPr="008214F5">
              <w:t>0,006</w:t>
            </w:r>
            <w:r w:rsidR="00A65879" w:rsidRPr="000418E6">
              <w:rPr>
                <w:b/>
                <w:vertAlign w:val="superscript"/>
              </w:rPr>
              <w:t>***</w:t>
            </w:r>
          </w:p>
          <w:p w:rsidR="0042312E" w:rsidRPr="00A65879" w:rsidRDefault="0042312E" w:rsidP="00535CDC">
            <w:pPr>
              <w:jc w:val="right"/>
              <w:rPr>
                <w:color w:val="FFFFFF" w:themeColor="background1"/>
                <w:vertAlign w:val="superscript"/>
              </w:rPr>
            </w:pPr>
            <w:r>
              <w:t>0,736</w:t>
            </w:r>
            <w:r w:rsidR="00A65879">
              <w:rPr>
                <w:color w:val="FFFFFF" w:themeColor="background1"/>
                <w:vertAlign w:val="superscript"/>
              </w:rPr>
              <w:t>***</w:t>
            </w:r>
          </w:p>
          <w:p w:rsidR="0042312E" w:rsidRPr="00A65879" w:rsidRDefault="0042312E" w:rsidP="00535CDC">
            <w:pPr>
              <w:jc w:val="right"/>
              <w:rPr>
                <w:color w:val="FFFFFF" w:themeColor="background1"/>
                <w:vertAlign w:val="superscript"/>
              </w:rPr>
            </w:pPr>
            <w:r>
              <w:t>1,000</w:t>
            </w:r>
            <w:r w:rsidR="00A65879">
              <w:rPr>
                <w:color w:val="FFFFFF" w:themeColor="background1"/>
                <w:vertAlign w:val="superscript"/>
              </w:rPr>
              <w:t>***</w:t>
            </w:r>
          </w:p>
          <w:p w:rsidR="0042312E" w:rsidRPr="00A65879" w:rsidRDefault="0042312E" w:rsidP="00535CDC">
            <w:pPr>
              <w:jc w:val="right"/>
              <w:rPr>
                <w:color w:val="FFFFFF" w:themeColor="background1"/>
                <w:vertAlign w:val="superscript"/>
              </w:rPr>
            </w:pPr>
            <w:r>
              <w:t>0,175</w:t>
            </w:r>
            <w:r w:rsidR="00A65879">
              <w:rPr>
                <w:color w:val="FFFFFF" w:themeColor="background1"/>
                <w:vertAlign w:val="superscript"/>
              </w:rPr>
              <w:t>***</w:t>
            </w:r>
          </w:p>
          <w:p w:rsidR="0042312E" w:rsidRPr="00A65879" w:rsidRDefault="0042312E" w:rsidP="00535CDC">
            <w:pPr>
              <w:jc w:val="right"/>
              <w:rPr>
                <w:color w:val="FFFFFF" w:themeColor="background1"/>
                <w:vertAlign w:val="superscript"/>
              </w:rPr>
            </w:pPr>
            <w:r>
              <w:t>0,500</w:t>
            </w:r>
            <w:r w:rsidR="00A65879">
              <w:rPr>
                <w:color w:val="FFFFFF" w:themeColor="background1"/>
                <w:vertAlign w:val="superscript"/>
              </w:rPr>
              <w:t>***</w:t>
            </w:r>
          </w:p>
        </w:tc>
      </w:tr>
      <w:tr w:rsidR="00535CDC" w:rsidTr="009C4E91">
        <w:trPr>
          <w:cnfStyle w:val="010000000000"/>
        </w:trPr>
        <w:tc>
          <w:tcPr>
            <w:tcW w:w="807" w:type="pct"/>
            <w:tcBorders>
              <w:top w:val="nil"/>
            </w:tcBorders>
          </w:tcPr>
          <w:p w:rsidR="00535CDC" w:rsidRDefault="00535CDC" w:rsidP="00CF61D9"/>
        </w:tc>
        <w:tc>
          <w:tcPr>
            <w:tcW w:w="807" w:type="pct"/>
            <w:tcBorders>
              <w:top w:val="nil"/>
            </w:tcBorders>
          </w:tcPr>
          <w:p w:rsidR="00535CDC" w:rsidRDefault="00535CDC" w:rsidP="00CF61D9"/>
        </w:tc>
        <w:tc>
          <w:tcPr>
            <w:tcW w:w="916" w:type="pct"/>
            <w:tcBorders>
              <w:top w:val="nil"/>
            </w:tcBorders>
            <w:noWrap/>
          </w:tcPr>
          <w:p w:rsidR="00535CDC" w:rsidRDefault="00535CDC" w:rsidP="00CF61D9"/>
        </w:tc>
        <w:tc>
          <w:tcPr>
            <w:tcW w:w="857" w:type="pct"/>
            <w:tcBorders>
              <w:top w:val="nil"/>
            </w:tcBorders>
          </w:tcPr>
          <w:p w:rsidR="00535CDC" w:rsidRDefault="00535CDC" w:rsidP="00CF61D9"/>
        </w:tc>
        <w:tc>
          <w:tcPr>
            <w:tcW w:w="808" w:type="pct"/>
            <w:tcBorders>
              <w:top w:val="nil"/>
            </w:tcBorders>
          </w:tcPr>
          <w:p w:rsidR="00535CDC" w:rsidRDefault="00535CDC" w:rsidP="00CF61D9"/>
        </w:tc>
        <w:tc>
          <w:tcPr>
            <w:tcW w:w="805" w:type="pct"/>
            <w:tcBorders>
              <w:top w:val="nil"/>
            </w:tcBorders>
          </w:tcPr>
          <w:p w:rsidR="00535CDC" w:rsidRDefault="00535CDC" w:rsidP="00CF61D9"/>
        </w:tc>
      </w:tr>
    </w:tbl>
    <w:p w:rsidR="007A5074" w:rsidRPr="007A5074" w:rsidRDefault="00535CDC" w:rsidP="00642B1A">
      <w:pPr>
        <w:pStyle w:val="Caption"/>
        <w:jc w:val="both"/>
      </w:pPr>
      <w:r>
        <w:t xml:space="preserve">Tabel </w:t>
      </w:r>
      <w:r w:rsidR="00992938">
        <w:t>5</w:t>
      </w:r>
      <w:r>
        <w:t xml:space="preserve">: Statische testen </w:t>
      </w:r>
      <w:proofErr w:type="spellStart"/>
      <w:r>
        <w:t>leverage</w:t>
      </w:r>
      <w:proofErr w:type="spellEnd"/>
      <w:r>
        <w:t xml:space="preserve"> hypothese</w:t>
      </w:r>
      <w:r w:rsidR="00AD3231">
        <w:t>.</w:t>
      </w:r>
    </w:p>
    <w:p w:rsidR="004A1E0F" w:rsidRPr="00A16C92" w:rsidRDefault="00652E61" w:rsidP="009C4E91">
      <w:pPr>
        <w:pStyle w:val="Heading2"/>
        <w:numPr>
          <w:ilvl w:val="1"/>
          <w:numId w:val="2"/>
        </w:numPr>
        <w:jc w:val="both"/>
        <w:rPr>
          <w:color w:val="auto"/>
        </w:rPr>
      </w:pPr>
      <w:bookmarkStart w:id="22" w:name="_Toc361526575"/>
      <w:r>
        <w:rPr>
          <w:color w:val="auto"/>
        </w:rPr>
        <w:lastRenderedPageBreak/>
        <w:t>O</w:t>
      </w:r>
      <w:r w:rsidR="002041B9">
        <w:rPr>
          <w:color w:val="auto"/>
        </w:rPr>
        <w:t xml:space="preserve">mvang van het </w:t>
      </w:r>
      <w:proofErr w:type="spellStart"/>
      <w:r w:rsidR="002041B9">
        <w:rPr>
          <w:color w:val="auto"/>
        </w:rPr>
        <w:t>aandeleninkoopprogramma</w:t>
      </w:r>
      <w:bookmarkEnd w:id="22"/>
      <w:proofErr w:type="spellEnd"/>
    </w:p>
    <w:p w:rsidR="004A1E0F" w:rsidRDefault="004A1E0F" w:rsidP="00B70E2B">
      <w:pPr>
        <w:pStyle w:val="NoSpacing"/>
        <w:spacing w:before="120"/>
        <w:jc w:val="both"/>
      </w:pPr>
      <w:r>
        <w:t>D</w:t>
      </w:r>
      <w:r w:rsidR="009C4E91">
        <w:t xml:space="preserve">e omvang van het </w:t>
      </w:r>
      <w:proofErr w:type="spellStart"/>
      <w:r w:rsidR="009C4E91">
        <w:t>aandeleninkoopprogramma</w:t>
      </w:r>
      <w:proofErr w:type="spellEnd"/>
      <w:r w:rsidR="009C4E91">
        <w:t xml:space="preserve"> </w:t>
      </w:r>
      <w:r>
        <w:t xml:space="preserve">kan ook invloed hebben op de hoogte van het abnormaal rendement (paragraaf 2.3). In </w:t>
      </w:r>
      <w:r w:rsidRPr="00122BEF">
        <w:t xml:space="preserve">figuur </w:t>
      </w:r>
      <w:r w:rsidR="00F50C32" w:rsidRPr="00122BEF">
        <w:t>7</w:t>
      </w:r>
      <w:r w:rsidR="00F50C32" w:rsidRPr="00F50C32">
        <w:rPr>
          <w:b/>
        </w:rPr>
        <w:t xml:space="preserve"> </w:t>
      </w:r>
      <w:r w:rsidR="00F50C32">
        <w:t xml:space="preserve">zijn de abnormale rendementen per omvang </w:t>
      </w:r>
      <w:r w:rsidR="00D3439B">
        <w:t xml:space="preserve">middels het Markt Model </w:t>
      </w:r>
      <w:r w:rsidR="00F50C32">
        <w:t xml:space="preserve">grafisch weergeven. </w:t>
      </w:r>
      <w:r w:rsidR="00760771">
        <w:t xml:space="preserve">De </w:t>
      </w:r>
      <w:r w:rsidR="004D4687">
        <w:t xml:space="preserve">hoogte van de </w:t>
      </w:r>
      <w:r w:rsidR="00760771">
        <w:t>abnorma</w:t>
      </w:r>
      <w:r w:rsidR="002C795B">
        <w:t xml:space="preserve">al </w:t>
      </w:r>
      <w:r w:rsidR="00F50C32">
        <w:t xml:space="preserve">rendement middels </w:t>
      </w:r>
      <w:r w:rsidR="00760771">
        <w:t xml:space="preserve">het </w:t>
      </w:r>
      <w:proofErr w:type="spellStart"/>
      <w:r w:rsidR="00F50C32">
        <w:t>Market-Adjusted</w:t>
      </w:r>
      <w:proofErr w:type="spellEnd"/>
      <w:r w:rsidR="00F50C32">
        <w:t xml:space="preserve"> Return Model </w:t>
      </w:r>
      <w:r w:rsidR="004D4687">
        <w:t>is</w:t>
      </w:r>
      <w:r w:rsidR="00F50C32">
        <w:t xml:space="preserve"> vrijwel identiek aan het Markt Model</w:t>
      </w:r>
      <w:r w:rsidR="004D4687">
        <w:t xml:space="preserve"> en is te vinden</w:t>
      </w:r>
      <w:r w:rsidR="00760771">
        <w:t xml:space="preserve"> </w:t>
      </w:r>
      <w:r w:rsidR="004D4687">
        <w:t>i</w:t>
      </w:r>
      <w:r w:rsidR="00760771">
        <w:t>n</w:t>
      </w:r>
      <w:r w:rsidR="00D3439B">
        <w:t xml:space="preserve"> </w:t>
      </w:r>
      <w:r w:rsidR="00D3439B" w:rsidRPr="00122BEF">
        <w:t>bijlage 6</w:t>
      </w:r>
      <w:r w:rsidR="00F50C32">
        <w:t>. Uit de grafieken is af te leiden dat het abnorma</w:t>
      </w:r>
      <w:r w:rsidR="002C795B">
        <w:t>al</w:t>
      </w:r>
      <w:r w:rsidR="00F50C32">
        <w:t xml:space="preserve"> rendement op de dag van de aankondiging bij de groep met de grootste omvang</w:t>
      </w:r>
      <w:r w:rsidR="0005052F">
        <w:t xml:space="preserve"> (</w:t>
      </w:r>
      <w:r w:rsidR="00B564FF">
        <w:t>=</w:t>
      </w:r>
      <w:r w:rsidR="0005052F">
        <w:t>subgroep C)</w:t>
      </w:r>
      <w:r w:rsidR="00F50C32">
        <w:t xml:space="preserve"> het hoogst is</w:t>
      </w:r>
      <w:r w:rsidR="007C52AA">
        <w:rPr>
          <w:rStyle w:val="FootnoteReference"/>
        </w:rPr>
        <w:footnoteReference w:id="26"/>
      </w:r>
      <w:r w:rsidR="00F50C32">
        <w:t xml:space="preserve">. Dit is in overeenstemming met de bevindingen van </w:t>
      </w:r>
      <w:proofErr w:type="spellStart"/>
      <w:r w:rsidR="00F50C32">
        <w:t>Vermaelen</w:t>
      </w:r>
      <w:proofErr w:type="spellEnd"/>
      <w:r w:rsidR="00F50C32">
        <w:t xml:space="preserve"> (198</w:t>
      </w:r>
      <w:r w:rsidR="0091733D">
        <w:t>1</w:t>
      </w:r>
      <w:r w:rsidR="00F50C32">
        <w:t xml:space="preserve">). Wat </w:t>
      </w:r>
      <w:r w:rsidR="00C62EDC">
        <w:t>verder</w:t>
      </w:r>
      <w:r w:rsidR="00F50C32">
        <w:t xml:space="preserve"> opvalt is dat het abnorma</w:t>
      </w:r>
      <w:r w:rsidR="00B564FF">
        <w:t>al</w:t>
      </w:r>
      <w:r w:rsidR="00F50C32">
        <w:t xml:space="preserve"> rendement op dag van de aankondiging bij een omvang van tussen de </w:t>
      </w:r>
      <w:r w:rsidR="0054733B">
        <w:t>5</w:t>
      </w:r>
      <w:r w:rsidR="00F50C32">
        <w:t xml:space="preserve"> en </w:t>
      </w:r>
      <w:r w:rsidR="0054733B">
        <w:t xml:space="preserve">10 </w:t>
      </w:r>
      <w:r w:rsidR="00F50C32">
        <w:t>procent</w:t>
      </w:r>
      <w:r w:rsidR="0005052F">
        <w:t xml:space="preserve"> </w:t>
      </w:r>
      <w:r w:rsidR="00B564FF">
        <w:t xml:space="preserve">(=subgroep B) </w:t>
      </w:r>
      <w:r w:rsidR="00F50C32">
        <w:t xml:space="preserve">kleiner is dan bij een omvang van tussen de </w:t>
      </w:r>
      <w:r w:rsidR="0054733B">
        <w:t xml:space="preserve">0 </w:t>
      </w:r>
      <w:r w:rsidR="00F50C32">
        <w:t xml:space="preserve">en </w:t>
      </w:r>
      <w:r w:rsidR="0054733B">
        <w:t>5</w:t>
      </w:r>
      <w:r w:rsidR="00F50C32">
        <w:t xml:space="preserve"> procent</w:t>
      </w:r>
      <w:r w:rsidR="00B564FF">
        <w:t xml:space="preserve"> (=subgroep A)</w:t>
      </w:r>
      <w:r w:rsidR="0005052F">
        <w:t xml:space="preserve"> </w:t>
      </w:r>
      <w:r w:rsidR="00F50C32">
        <w:t xml:space="preserve">van het uitstaande aandelenkapitaal. Dit lijkt in tegenspraak met deze theorie. Het kan echter zo zijn dat er pas extra waarde gehecht wordt aan de omvang van het </w:t>
      </w:r>
      <w:proofErr w:type="spellStart"/>
      <w:r w:rsidR="00F50C32">
        <w:t>aandeleninkoopprogramma</w:t>
      </w:r>
      <w:proofErr w:type="spellEnd"/>
      <w:r w:rsidR="00F50C32">
        <w:t xml:space="preserve"> indien deze ten minste 10 procent van het uitstaande aandelenkapitaal omvat.</w:t>
      </w:r>
      <w:r w:rsidR="00C07694">
        <w:t xml:space="preserve"> Het verschil in </w:t>
      </w:r>
      <w:r w:rsidR="00D3439B">
        <w:t xml:space="preserve">het </w:t>
      </w:r>
      <w:r w:rsidR="00C07694">
        <w:t xml:space="preserve">abnormaal rendement tussen de eerste subgroepen is immers beperkt. </w:t>
      </w:r>
      <w:r w:rsidR="00F50C32">
        <w:t xml:space="preserve">  </w:t>
      </w:r>
    </w:p>
    <w:p w:rsidR="007C52AA" w:rsidRDefault="007C52AA" w:rsidP="009965EB">
      <w:pPr>
        <w:pStyle w:val="NoSpacing"/>
        <w:jc w:val="both"/>
      </w:pPr>
    </w:p>
    <w:p w:rsidR="007C52AA" w:rsidRDefault="007C52AA" w:rsidP="009965EB">
      <w:pPr>
        <w:pStyle w:val="NoSpacing"/>
        <w:jc w:val="both"/>
      </w:pPr>
      <w:r w:rsidRPr="007C52AA">
        <w:rPr>
          <w:noProof/>
          <w:lang w:val="en-US"/>
        </w:rPr>
        <w:drawing>
          <wp:inline distT="0" distB="0" distL="0" distR="0">
            <wp:extent cx="5257800" cy="25050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3589A" w:rsidRDefault="009C4E91" w:rsidP="00AD3231">
      <w:pPr>
        <w:pStyle w:val="Caption"/>
        <w:jc w:val="both"/>
      </w:pPr>
      <w:r>
        <w:t xml:space="preserve">Figuur </w:t>
      </w:r>
      <w:r w:rsidR="00E35BE8">
        <w:t>7</w:t>
      </w:r>
      <w:r>
        <w:t xml:space="preserve">: Het </w:t>
      </w:r>
      <w:r w:rsidR="004A1E0F">
        <w:t>abnormaal</w:t>
      </w:r>
      <w:r>
        <w:t xml:space="preserve"> rendement per omvang volgens het Markt Model</w:t>
      </w:r>
      <w:r w:rsidR="00AD3231">
        <w:t>.</w:t>
      </w:r>
    </w:p>
    <w:p w:rsidR="00300A7E" w:rsidRDefault="00300A7E" w:rsidP="009965EB">
      <w:pPr>
        <w:pStyle w:val="NoSpacing"/>
        <w:jc w:val="both"/>
      </w:pPr>
      <w:r>
        <w:t>Een andere mogelijke verklaring voor de observatie dat de hoogte van het abnormaal rendement van subgroep A</w:t>
      </w:r>
      <w:r w:rsidR="00B564FF">
        <w:t xml:space="preserve"> hoger ligt dan bij subgroep B </w:t>
      </w:r>
      <w:r>
        <w:t xml:space="preserve">is dat de markt alleen reageert </w:t>
      </w:r>
      <w:r w:rsidR="00B564FF">
        <w:t xml:space="preserve">indien </w:t>
      </w:r>
      <w:r w:rsidR="0054733B">
        <w:t xml:space="preserve">de </w:t>
      </w:r>
      <w:proofErr w:type="spellStart"/>
      <w:r w:rsidR="0054733B">
        <w:t>leverage</w:t>
      </w:r>
      <w:proofErr w:type="spellEnd"/>
      <w:r w:rsidR="0054733B">
        <w:t xml:space="preserve"> hypothese </w:t>
      </w:r>
      <w:r>
        <w:t>het theoretisch motief</w:t>
      </w:r>
      <w:r w:rsidR="00B564FF">
        <w:t xml:space="preserve"> is</w:t>
      </w:r>
      <w:r>
        <w:t xml:space="preserve">. In </w:t>
      </w:r>
      <w:r w:rsidRPr="00122BEF">
        <w:t xml:space="preserve">tabel </w:t>
      </w:r>
      <w:r w:rsidR="00992938" w:rsidRPr="00122BEF">
        <w:t>6</w:t>
      </w:r>
      <w:r>
        <w:t xml:space="preserve"> is het abnormaal rendement per subgroep van de </w:t>
      </w:r>
      <w:proofErr w:type="spellStart"/>
      <w:r>
        <w:t>leverage</w:t>
      </w:r>
      <w:proofErr w:type="spellEnd"/>
      <w:r>
        <w:t xml:space="preserve"> hypothese weergeven middels het Mark Model. De hoogte van het abnormaal rendement moet voorzichtig worden geïnterpreteerd, gezien het beperkt aantal observaties in de laatste twee subgroepen. Het </w:t>
      </w:r>
      <w:r w:rsidR="0054733B">
        <w:t>lage waarde van het</w:t>
      </w:r>
      <w:r>
        <w:t xml:space="preserve"> abnormaal rendement bij subgroep B lijkt sterk beïnvloedt te zijn door insider trading.</w:t>
      </w:r>
      <w:r w:rsidR="00E0506C" w:rsidRPr="00E0506C">
        <w:t xml:space="preserve"> </w:t>
      </w:r>
      <w:r w:rsidR="00E0506C">
        <w:t>Bij 2 van de 6 observaties is sprake van een positief abnormaal rendement van ruim 2% op de dag voor aankondiging (t=-1).</w:t>
      </w:r>
      <w:r>
        <w:t xml:space="preserve"> Door de waarschijnlijke problemen van insider trading en het beperkt aantal observaties kan deze verklaring niet goed worden</w:t>
      </w:r>
      <w:r w:rsidRPr="00300A7E">
        <w:t xml:space="preserve"> </w:t>
      </w:r>
      <w:r>
        <w:t xml:space="preserve">onderzocht. </w:t>
      </w:r>
    </w:p>
    <w:p w:rsidR="004F2927" w:rsidRDefault="004F2927" w:rsidP="00300A7E">
      <w:pPr>
        <w:pStyle w:val="NoSpacing"/>
      </w:pPr>
    </w:p>
    <w:tbl>
      <w:tblPr>
        <w:tblW w:w="0" w:type="auto"/>
        <w:tblInd w:w="40" w:type="dxa"/>
        <w:tblLayout w:type="fixed"/>
        <w:tblCellMar>
          <w:left w:w="70" w:type="dxa"/>
          <w:right w:w="70" w:type="dxa"/>
        </w:tblCellMar>
        <w:tblLook w:val="0000"/>
      </w:tblPr>
      <w:tblGrid>
        <w:gridCol w:w="2352"/>
        <w:gridCol w:w="2304"/>
        <w:gridCol w:w="2981"/>
      </w:tblGrid>
      <w:tr w:rsidR="004F2927" w:rsidRPr="004F2927" w:rsidTr="004F2927">
        <w:trPr>
          <w:trHeight w:val="290"/>
        </w:trPr>
        <w:tc>
          <w:tcPr>
            <w:tcW w:w="2352" w:type="dxa"/>
            <w:tcBorders>
              <w:top w:val="nil"/>
              <w:left w:val="nil"/>
              <w:bottom w:val="nil"/>
              <w:right w:val="nil"/>
            </w:tcBorders>
            <w:shd w:val="solid" w:color="0066CC" w:fill="auto"/>
          </w:tcPr>
          <w:p w:rsidR="004F2927" w:rsidRPr="004F2927" w:rsidRDefault="004F2927" w:rsidP="004F2927">
            <w:pPr>
              <w:autoSpaceDE w:val="0"/>
              <w:autoSpaceDN w:val="0"/>
              <w:adjustRightInd w:val="0"/>
              <w:spacing w:line="240" w:lineRule="auto"/>
              <w:rPr>
                <w:rFonts w:ascii="Calibri" w:hAnsi="Calibri" w:cs="Calibri"/>
                <w:b/>
                <w:bCs/>
                <w:color w:val="FFFFFF"/>
              </w:rPr>
            </w:pPr>
            <w:r w:rsidRPr="004F2927">
              <w:rPr>
                <w:rFonts w:ascii="Calibri" w:hAnsi="Calibri" w:cs="Calibri"/>
                <w:b/>
                <w:bCs/>
                <w:color w:val="FFFFFF"/>
              </w:rPr>
              <w:t xml:space="preserve">Omvang </w:t>
            </w:r>
          </w:p>
        </w:tc>
        <w:tc>
          <w:tcPr>
            <w:tcW w:w="2304" w:type="dxa"/>
            <w:tcBorders>
              <w:top w:val="nil"/>
              <w:left w:val="nil"/>
              <w:bottom w:val="nil"/>
              <w:right w:val="nil"/>
            </w:tcBorders>
            <w:shd w:val="solid" w:color="0066CC" w:fill="auto"/>
          </w:tcPr>
          <w:p w:rsidR="004F2927" w:rsidRPr="004F2927" w:rsidRDefault="004F2927" w:rsidP="004F2927">
            <w:pPr>
              <w:autoSpaceDE w:val="0"/>
              <w:autoSpaceDN w:val="0"/>
              <w:adjustRightInd w:val="0"/>
              <w:spacing w:line="240" w:lineRule="auto"/>
              <w:rPr>
                <w:rFonts w:ascii="Calibri" w:hAnsi="Calibri" w:cs="Calibri"/>
                <w:b/>
                <w:bCs/>
                <w:color w:val="FFFFFF"/>
              </w:rPr>
            </w:pPr>
            <w:r w:rsidRPr="004F2927">
              <w:rPr>
                <w:rFonts w:ascii="Calibri" w:hAnsi="Calibri" w:cs="Calibri"/>
                <w:b/>
                <w:bCs/>
                <w:color w:val="FFFFFF"/>
              </w:rPr>
              <w:t>Aantal observaties (n)</w:t>
            </w:r>
          </w:p>
        </w:tc>
        <w:tc>
          <w:tcPr>
            <w:tcW w:w="2981" w:type="dxa"/>
            <w:tcBorders>
              <w:top w:val="nil"/>
              <w:left w:val="nil"/>
              <w:bottom w:val="nil"/>
              <w:right w:val="nil"/>
            </w:tcBorders>
            <w:shd w:val="solid" w:color="0066CC" w:fill="auto"/>
          </w:tcPr>
          <w:p w:rsidR="004F2927" w:rsidRPr="004F2927" w:rsidRDefault="004F2927" w:rsidP="004F2927">
            <w:pPr>
              <w:autoSpaceDE w:val="0"/>
              <w:autoSpaceDN w:val="0"/>
              <w:adjustRightInd w:val="0"/>
              <w:spacing w:line="240" w:lineRule="auto"/>
              <w:rPr>
                <w:rFonts w:ascii="Calibri" w:hAnsi="Calibri" w:cs="Calibri"/>
                <w:b/>
                <w:bCs/>
                <w:color w:val="FFFFFF"/>
              </w:rPr>
            </w:pPr>
            <w:r w:rsidRPr="004F2927">
              <w:rPr>
                <w:rFonts w:ascii="Calibri" w:hAnsi="Calibri" w:cs="Calibri"/>
                <w:b/>
                <w:bCs/>
                <w:color w:val="FFFFFF"/>
              </w:rPr>
              <w:t>Abnormaal rendement (MM)</w:t>
            </w:r>
          </w:p>
        </w:tc>
      </w:tr>
      <w:tr w:rsidR="004F2927" w:rsidRPr="004F2927" w:rsidTr="004F2927">
        <w:trPr>
          <w:trHeight w:val="290"/>
        </w:trPr>
        <w:tc>
          <w:tcPr>
            <w:tcW w:w="2352" w:type="dxa"/>
            <w:tcBorders>
              <w:top w:val="nil"/>
              <w:left w:val="nil"/>
              <w:bottom w:val="nil"/>
              <w:right w:val="nil"/>
            </w:tcBorders>
            <w:shd w:val="solid" w:color="C0C0C0" w:fill="auto"/>
          </w:tcPr>
          <w:p w:rsidR="004F2927" w:rsidRPr="004F2927" w:rsidRDefault="004F2927" w:rsidP="004F2927">
            <w:pPr>
              <w:autoSpaceDE w:val="0"/>
              <w:autoSpaceDN w:val="0"/>
              <w:adjustRightInd w:val="0"/>
              <w:spacing w:line="240" w:lineRule="auto"/>
              <w:rPr>
                <w:rFonts w:ascii="Calibri" w:hAnsi="Calibri" w:cs="Calibri"/>
                <w:color w:val="000000"/>
              </w:rPr>
            </w:pPr>
            <w:r w:rsidRPr="004F2927">
              <w:rPr>
                <w:rFonts w:ascii="Calibri" w:hAnsi="Calibri" w:cs="Calibri"/>
                <w:color w:val="000000"/>
              </w:rPr>
              <w:t xml:space="preserve">0-5% </w:t>
            </w:r>
            <w:proofErr w:type="spellStart"/>
            <w:r w:rsidRPr="004F2927">
              <w:rPr>
                <w:rFonts w:ascii="Calibri" w:hAnsi="Calibri" w:cs="Calibri"/>
                <w:color w:val="000000"/>
              </w:rPr>
              <w:t>uitst</w:t>
            </w:r>
            <w:proofErr w:type="spellEnd"/>
            <w:r w:rsidRPr="004F2927">
              <w:rPr>
                <w:rFonts w:ascii="Calibri" w:hAnsi="Calibri" w:cs="Calibri"/>
                <w:color w:val="000000"/>
              </w:rPr>
              <w:t xml:space="preserve">. </w:t>
            </w:r>
            <w:proofErr w:type="spellStart"/>
            <w:r w:rsidRPr="004F2927">
              <w:rPr>
                <w:rFonts w:ascii="Calibri" w:hAnsi="Calibri" w:cs="Calibri"/>
                <w:color w:val="000000"/>
              </w:rPr>
              <w:t>aandelenk</w:t>
            </w:r>
            <w:proofErr w:type="spellEnd"/>
            <w:r w:rsidRPr="004F2927">
              <w:rPr>
                <w:rFonts w:ascii="Calibri" w:hAnsi="Calibri" w:cs="Calibri"/>
                <w:color w:val="000000"/>
              </w:rPr>
              <w:t>.</w:t>
            </w:r>
          </w:p>
        </w:tc>
        <w:tc>
          <w:tcPr>
            <w:tcW w:w="2304" w:type="dxa"/>
            <w:tcBorders>
              <w:top w:val="nil"/>
              <w:left w:val="nil"/>
              <w:bottom w:val="nil"/>
              <w:right w:val="nil"/>
            </w:tcBorders>
          </w:tcPr>
          <w:p w:rsidR="004F2927" w:rsidRPr="004F2927" w:rsidRDefault="004F2927" w:rsidP="004F2927">
            <w:pPr>
              <w:autoSpaceDE w:val="0"/>
              <w:autoSpaceDN w:val="0"/>
              <w:adjustRightInd w:val="0"/>
              <w:spacing w:line="240" w:lineRule="auto"/>
              <w:jc w:val="right"/>
              <w:rPr>
                <w:rFonts w:ascii="Calibri" w:hAnsi="Calibri" w:cs="Calibri"/>
                <w:color w:val="000000"/>
              </w:rPr>
            </w:pPr>
            <w:r w:rsidRPr="004F2927">
              <w:rPr>
                <w:rFonts w:ascii="Calibri" w:hAnsi="Calibri" w:cs="Calibri"/>
                <w:color w:val="000000"/>
              </w:rPr>
              <w:t>25</w:t>
            </w:r>
          </w:p>
        </w:tc>
        <w:tc>
          <w:tcPr>
            <w:tcW w:w="2981" w:type="dxa"/>
            <w:tcBorders>
              <w:top w:val="nil"/>
              <w:left w:val="nil"/>
              <w:bottom w:val="nil"/>
              <w:right w:val="nil"/>
            </w:tcBorders>
          </w:tcPr>
          <w:p w:rsidR="004F2927" w:rsidRPr="004F2927" w:rsidRDefault="004F2927" w:rsidP="004F2927">
            <w:pPr>
              <w:autoSpaceDE w:val="0"/>
              <w:autoSpaceDN w:val="0"/>
              <w:adjustRightInd w:val="0"/>
              <w:spacing w:line="240" w:lineRule="auto"/>
              <w:jc w:val="right"/>
              <w:rPr>
                <w:rFonts w:ascii="Calibri" w:hAnsi="Calibri" w:cs="Calibri"/>
                <w:color w:val="000000"/>
                <w:vertAlign w:val="superscript"/>
              </w:rPr>
            </w:pPr>
            <w:r w:rsidRPr="004F2927">
              <w:rPr>
                <w:rFonts w:ascii="Calibri" w:hAnsi="Calibri" w:cs="Calibri"/>
                <w:color w:val="000000"/>
              </w:rPr>
              <w:t>1,77%</w:t>
            </w:r>
          </w:p>
        </w:tc>
      </w:tr>
      <w:tr w:rsidR="004F2927" w:rsidRPr="004F2927" w:rsidTr="004F2927">
        <w:trPr>
          <w:trHeight w:val="290"/>
        </w:trPr>
        <w:tc>
          <w:tcPr>
            <w:tcW w:w="2352" w:type="dxa"/>
            <w:tcBorders>
              <w:top w:val="nil"/>
              <w:left w:val="nil"/>
              <w:bottom w:val="nil"/>
              <w:right w:val="nil"/>
            </w:tcBorders>
            <w:shd w:val="solid" w:color="C0C0C0" w:fill="auto"/>
          </w:tcPr>
          <w:p w:rsidR="004F2927" w:rsidRPr="004F2927" w:rsidRDefault="004F2927" w:rsidP="004F2927">
            <w:pPr>
              <w:autoSpaceDE w:val="0"/>
              <w:autoSpaceDN w:val="0"/>
              <w:adjustRightInd w:val="0"/>
              <w:spacing w:line="240" w:lineRule="auto"/>
              <w:rPr>
                <w:rFonts w:ascii="Calibri" w:hAnsi="Calibri" w:cs="Calibri"/>
                <w:color w:val="000000"/>
              </w:rPr>
            </w:pPr>
            <w:r w:rsidRPr="004F2927">
              <w:rPr>
                <w:rFonts w:ascii="Calibri" w:hAnsi="Calibri" w:cs="Calibri"/>
                <w:color w:val="000000"/>
              </w:rPr>
              <w:t xml:space="preserve">5-10% </w:t>
            </w:r>
            <w:proofErr w:type="spellStart"/>
            <w:r w:rsidRPr="004F2927">
              <w:rPr>
                <w:rFonts w:ascii="Calibri" w:hAnsi="Calibri" w:cs="Calibri"/>
                <w:color w:val="000000"/>
              </w:rPr>
              <w:t>uitst</w:t>
            </w:r>
            <w:proofErr w:type="spellEnd"/>
            <w:r w:rsidRPr="004F2927">
              <w:rPr>
                <w:rFonts w:ascii="Calibri" w:hAnsi="Calibri" w:cs="Calibri"/>
                <w:color w:val="000000"/>
              </w:rPr>
              <w:t xml:space="preserve">. </w:t>
            </w:r>
            <w:proofErr w:type="spellStart"/>
            <w:r w:rsidRPr="004F2927">
              <w:rPr>
                <w:rFonts w:ascii="Calibri" w:hAnsi="Calibri" w:cs="Calibri"/>
                <w:color w:val="000000"/>
              </w:rPr>
              <w:t>aandelenk</w:t>
            </w:r>
            <w:proofErr w:type="spellEnd"/>
            <w:r w:rsidRPr="004F2927">
              <w:rPr>
                <w:rFonts w:ascii="Calibri" w:hAnsi="Calibri" w:cs="Calibri"/>
                <w:color w:val="000000"/>
              </w:rPr>
              <w:t>.</w:t>
            </w:r>
          </w:p>
        </w:tc>
        <w:tc>
          <w:tcPr>
            <w:tcW w:w="2304" w:type="dxa"/>
            <w:tcBorders>
              <w:top w:val="nil"/>
              <w:left w:val="nil"/>
              <w:bottom w:val="nil"/>
              <w:right w:val="nil"/>
            </w:tcBorders>
          </w:tcPr>
          <w:p w:rsidR="004F2927" w:rsidRPr="004F2927" w:rsidRDefault="004F2927" w:rsidP="004F2927">
            <w:pPr>
              <w:autoSpaceDE w:val="0"/>
              <w:autoSpaceDN w:val="0"/>
              <w:adjustRightInd w:val="0"/>
              <w:spacing w:line="240" w:lineRule="auto"/>
              <w:jc w:val="right"/>
              <w:rPr>
                <w:rFonts w:ascii="Calibri" w:hAnsi="Calibri" w:cs="Calibri"/>
                <w:color w:val="000000"/>
              </w:rPr>
            </w:pPr>
            <w:r w:rsidRPr="004F2927">
              <w:rPr>
                <w:rFonts w:ascii="Calibri" w:hAnsi="Calibri" w:cs="Calibri"/>
                <w:color w:val="000000"/>
              </w:rPr>
              <w:t>6</w:t>
            </w:r>
          </w:p>
        </w:tc>
        <w:tc>
          <w:tcPr>
            <w:tcW w:w="2981" w:type="dxa"/>
            <w:tcBorders>
              <w:top w:val="nil"/>
              <w:left w:val="nil"/>
              <w:bottom w:val="nil"/>
              <w:right w:val="nil"/>
            </w:tcBorders>
          </w:tcPr>
          <w:p w:rsidR="004F2927" w:rsidRPr="004F2927" w:rsidRDefault="004F2927" w:rsidP="004F2927">
            <w:pPr>
              <w:autoSpaceDE w:val="0"/>
              <w:autoSpaceDN w:val="0"/>
              <w:adjustRightInd w:val="0"/>
              <w:spacing w:line="240" w:lineRule="auto"/>
              <w:jc w:val="right"/>
              <w:rPr>
                <w:rFonts w:ascii="Calibri" w:hAnsi="Calibri" w:cs="Calibri"/>
                <w:color w:val="000000"/>
                <w:vertAlign w:val="superscript"/>
              </w:rPr>
            </w:pPr>
            <w:r w:rsidRPr="004F2927">
              <w:rPr>
                <w:rFonts w:ascii="Calibri" w:hAnsi="Calibri" w:cs="Calibri"/>
                <w:color w:val="000000"/>
              </w:rPr>
              <w:t>0,45%</w:t>
            </w:r>
          </w:p>
        </w:tc>
      </w:tr>
      <w:tr w:rsidR="004F2927" w:rsidRPr="004F2927" w:rsidTr="004F2927">
        <w:trPr>
          <w:trHeight w:val="290"/>
        </w:trPr>
        <w:tc>
          <w:tcPr>
            <w:tcW w:w="2352" w:type="dxa"/>
            <w:tcBorders>
              <w:top w:val="nil"/>
              <w:left w:val="nil"/>
              <w:bottom w:val="nil"/>
              <w:right w:val="nil"/>
            </w:tcBorders>
            <w:shd w:val="solid" w:color="C0C0C0" w:fill="auto"/>
          </w:tcPr>
          <w:p w:rsidR="004F2927" w:rsidRPr="004F2927" w:rsidRDefault="004F2927" w:rsidP="004F2927">
            <w:pPr>
              <w:autoSpaceDE w:val="0"/>
              <w:autoSpaceDN w:val="0"/>
              <w:adjustRightInd w:val="0"/>
              <w:spacing w:line="240" w:lineRule="auto"/>
              <w:rPr>
                <w:rFonts w:ascii="Calibri" w:hAnsi="Calibri" w:cs="Calibri"/>
                <w:color w:val="000000"/>
              </w:rPr>
            </w:pPr>
            <w:r w:rsidRPr="004F2927">
              <w:rPr>
                <w:rFonts w:ascii="Calibri" w:hAnsi="Calibri" w:cs="Calibri"/>
                <w:color w:val="000000"/>
              </w:rPr>
              <w:t xml:space="preserve">≥ 10% </w:t>
            </w:r>
            <w:proofErr w:type="spellStart"/>
            <w:r w:rsidRPr="004F2927">
              <w:rPr>
                <w:rFonts w:ascii="Calibri" w:hAnsi="Calibri" w:cs="Calibri"/>
                <w:color w:val="000000"/>
              </w:rPr>
              <w:t>uitst</w:t>
            </w:r>
            <w:proofErr w:type="spellEnd"/>
            <w:r w:rsidRPr="004F2927">
              <w:rPr>
                <w:rFonts w:ascii="Calibri" w:hAnsi="Calibri" w:cs="Calibri"/>
                <w:color w:val="000000"/>
              </w:rPr>
              <w:t xml:space="preserve">. </w:t>
            </w:r>
            <w:proofErr w:type="spellStart"/>
            <w:r w:rsidRPr="004F2927">
              <w:rPr>
                <w:rFonts w:ascii="Calibri" w:hAnsi="Calibri" w:cs="Calibri"/>
                <w:color w:val="000000"/>
              </w:rPr>
              <w:t>aandelenk</w:t>
            </w:r>
            <w:proofErr w:type="spellEnd"/>
            <w:r w:rsidRPr="004F2927">
              <w:rPr>
                <w:rFonts w:ascii="Calibri" w:hAnsi="Calibri" w:cs="Calibri"/>
                <w:color w:val="000000"/>
              </w:rPr>
              <w:t>.</w:t>
            </w:r>
          </w:p>
        </w:tc>
        <w:tc>
          <w:tcPr>
            <w:tcW w:w="2304" w:type="dxa"/>
            <w:tcBorders>
              <w:top w:val="nil"/>
              <w:left w:val="nil"/>
              <w:bottom w:val="nil"/>
              <w:right w:val="nil"/>
            </w:tcBorders>
          </w:tcPr>
          <w:p w:rsidR="004F2927" w:rsidRPr="004F2927" w:rsidRDefault="004F2927" w:rsidP="004F2927">
            <w:pPr>
              <w:autoSpaceDE w:val="0"/>
              <w:autoSpaceDN w:val="0"/>
              <w:adjustRightInd w:val="0"/>
              <w:spacing w:line="240" w:lineRule="auto"/>
              <w:jc w:val="right"/>
              <w:rPr>
                <w:rFonts w:ascii="Calibri" w:hAnsi="Calibri" w:cs="Calibri"/>
                <w:color w:val="000000"/>
              </w:rPr>
            </w:pPr>
            <w:r w:rsidRPr="004F2927">
              <w:rPr>
                <w:rFonts w:ascii="Calibri" w:hAnsi="Calibri" w:cs="Calibri"/>
                <w:color w:val="000000"/>
              </w:rPr>
              <w:t>4</w:t>
            </w:r>
          </w:p>
        </w:tc>
        <w:tc>
          <w:tcPr>
            <w:tcW w:w="2981" w:type="dxa"/>
            <w:tcBorders>
              <w:top w:val="nil"/>
              <w:left w:val="nil"/>
              <w:bottom w:val="nil"/>
              <w:right w:val="nil"/>
            </w:tcBorders>
          </w:tcPr>
          <w:p w:rsidR="004F2927" w:rsidRPr="004F2927" w:rsidRDefault="004F2927" w:rsidP="004F2927">
            <w:pPr>
              <w:autoSpaceDE w:val="0"/>
              <w:autoSpaceDN w:val="0"/>
              <w:adjustRightInd w:val="0"/>
              <w:spacing w:line="240" w:lineRule="auto"/>
              <w:jc w:val="right"/>
              <w:rPr>
                <w:rFonts w:ascii="Calibri" w:hAnsi="Calibri" w:cs="Calibri"/>
                <w:color w:val="000000"/>
              </w:rPr>
            </w:pPr>
            <w:r w:rsidRPr="004F2927">
              <w:rPr>
                <w:rFonts w:ascii="Calibri" w:hAnsi="Calibri" w:cs="Calibri"/>
                <w:color w:val="000000"/>
              </w:rPr>
              <w:t>2,74%</w:t>
            </w:r>
          </w:p>
        </w:tc>
      </w:tr>
    </w:tbl>
    <w:p w:rsidR="00E35BE8" w:rsidRDefault="00300A7E" w:rsidP="00AD3231">
      <w:pPr>
        <w:pStyle w:val="Caption"/>
        <w:jc w:val="both"/>
      </w:pPr>
      <w:r>
        <w:t xml:space="preserve">Tabel </w:t>
      </w:r>
      <w:r w:rsidR="00992938">
        <w:t>6</w:t>
      </w:r>
      <w:r>
        <w:t xml:space="preserve">: Het abnormaal rendement op de dag van aankondiging van de </w:t>
      </w:r>
      <w:proofErr w:type="spellStart"/>
      <w:r>
        <w:t>leverage</w:t>
      </w:r>
      <w:proofErr w:type="spellEnd"/>
      <w:r>
        <w:t xml:space="preserve"> hypothese per subgroep van de omvang. </w:t>
      </w:r>
    </w:p>
    <w:p w:rsidR="00D3439B" w:rsidRDefault="00D3439B" w:rsidP="009965EB">
      <w:pPr>
        <w:pStyle w:val="NoSpacing"/>
        <w:jc w:val="both"/>
      </w:pPr>
      <w:r>
        <w:lastRenderedPageBreak/>
        <w:t>De resultaten van de statis</w:t>
      </w:r>
      <w:r w:rsidR="002C795B">
        <w:t>tis</w:t>
      </w:r>
      <w:r>
        <w:t xml:space="preserve">che testen per omvang zijn te vinden in </w:t>
      </w:r>
      <w:r w:rsidRPr="00122BEF">
        <w:t>bijlage 7</w:t>
      </w:r>
      <w:r>
        <w:rPr>
          <w:b/>
        </w:rPr>
        <w:t xml:space="preserve"> </w:t>
      </w:r>
      <w:r>
        <w:t>(subgroep A</w:t>
      </w:r>
      <w:r w:rsidR="0058702D">
        <w:t>)</w:t>
      </w:r>
      <w:r>
        <w:t xml:space="preserve">, </w:t>
      </w:r>
      <w:r w:rsidRPr="00122BEF">
        <w:t>bijlage 8</w:t>
      </w:r>
      <w:r>
        <w:rPr>
          <w:b/>
        </w:rPr>
        <w:t xml:space="preserve"> </w:t>
      </w:r>
      <w:r w:rsidR="0058702D">
        <w:t>(subgroep B</w:t>
      </w:r>
      <w:r>
        <w:t xml:space="preserve">) en </w:t>
      </w:r>
      <w:r w:rsidRPr="00122BEF">
        <w:t>tabel 7</w:t>
      </w:r>
      <w:r>
        <w:t xml:space="preserve"> (subgroep C</w:t>
      </w:r>
      <w:r w:rsidR="0058702D">
        <w:t>)</w:t>
      </w:r>
      <w:r>
        <w:t>.</w:t>
      </w:r>
      <w:r w:rsidR="0067121E">
        <w:t xml:space="preserve"> </w:t>
      </w:r>
      <w:r>
        <w:t xml:space="preserve">Er wordt </w:t>
      </w:r>
      <w:r w:rsidR="002C795B">
        <w:t xml:space="preserve">op de dag van aankondiging </w:t>
      </w:r>
      <w:r w:rsidR="00C4515C">
        <w:t xml:space="preserve">bij zowel de </w:t>
      </w:r>
      <w:proofErr w:type="spellStart"/>
      <w:r w:rsidR="00C4515C">
        <w:t>t-toets</w:t>
      </w:r>
      <w:proofErr w:type="spellEnd"/>
      <w:r w:rsidR="00C4515C">
        <w:t xml:space="preserve"> als de tekentoets</w:t>
      </w:r>
      <w:r>
        <w:t xml:space="preserve"> een statistisch significant abnormaal rendement gevonden in de subgroep met de kleinste omvang (</w:t>
      </w:r>
      <w:r w:rsidRPr="00122BEF">
        <w:t>bijlage 7</w:t>
      </w:r>
      <w:r w:rsidR="00C62EDC">
        <w:t>)</w:t>
      </w:r>
      <w:r>
        <w:t xml:space="preserve">. </w:t>
      </w:r>
      <w:r w:rsidR="004D4687">
        <w:t>De</w:t>
      </w:r>
      <w:r w:rsidR="00C4515C">
        <w:t xml:space="preserve"> abnorma</w:t>
      </w:r>
      <w:r w:rsidR="004D4687">
        <w:t>le</w:t>
      </w:r>
      <w:r w:rsidR="00C4515C">
        <w:t xml:space="preserve"> rendement</w:t>
      </w:r>
      <w:r w:rsidR="004D4687">
        <w:t>en</w:t>
      </w:r>
      <w:r w:rsidR="00C4515C">
        <w:t xml:space="preserve"> op de dag van aankondiging </w:t>
      </w:r>
      <w:r w:rsidR="004D4687">
        <w:t>middels</w:t>
      </w:r>
      <w:r w:rsidR="00C4515C">
        <w:t xml:space="preserve"> het</w:t>
      </w:r>
      <w:r>
        <w:t xml:space="preserve"> </w:t>
      </w:r>
      <w:proofErr w:type="spellStart"/>
      <w:r w:rsidR="004D4687">
        <w:t>Market-Adjusted</w:t>
      </w:r>
      <w:proofErr w:type="spellEnd"/>
      <w:r w:rsidR="004D4687">
        <w:t xml:space="preserve"> Return Model en het Markt Model bedragen respectievelijk 1,15%</w:t>
      </w:r>
      <w:r w:rsidR="0054733B">
        <w:t xml:space="preserve"> </w:t>
      </w:r>
      <w:r w:rsidR="004D4687">
        <w:t>en het</w:t>
      </w:r>
      <w:r w:rsidR="0054733B">
        <w:t xml:space="preserve"> </w:t>
      </w:r>
      <w:r>
        <w:t>1,09%.</w:t>
      </w:r>
      <w:r w:rsidR="00C4515C">
        <w:t xml:space="preserve"> Bij subgroep B wordt op de dag van aankondiging geen statistisch significant</w:t>
      </w:r>
      <w:r w:rsidR="00652E61">
        <w:t xml:space="preserve"> abnormaal rendement gevonden</w:t>
      </w:r>
      <w:r w:rsidR="0067121E">
        <w:t xml:space="preserve"> (bijlage 8)</w:t>
      </w:r>
      <w:r w:rsidR="00652E61">
        <w:t>.</w:t>
      </w:r>
      <w:r w:rsidR="00C4515C">
        <w:t xml:space="preserve"> Bij de subgroep met de grootste omvang is alleen de </w:t>
      </w:r>
      <w:proofErr w:type="spellStart"/>
      <w:r w:rsidR="00C4515C">
        <w:t>t-toets</w:t>
      </w:r>
      <w:proofErr w:type="spellEnd"/>
      <w:r w:rsidR="00C4515C">
        <w:t xml:space="preserve"> statistisch significant</w:t>
      </w:r>
      <w:r w:rsidR="0067121E">
        <w:t xml:space="preserve"> (tabel 7)</w:t>
      </w:r>
      <w:r w:rsidR="00C4515C">
        <w:t>.</w:t>
      </w:r>
      <w:r w:rsidR="004D4687">
        <w:t xml:space="preserve"> Het abnormaal rendement op de </w:t>
      </w:r>
      <w:proofErr w:type="spellStart"/>
      <w:r w:rsidR="004D4687">
        <w:t>aankondig</w:t>
      </w:r>
      <w:r w:rsidR="000D7A3C">
        <w:t>ing</w:t>
      </w:r>
      <w:r w:rsidR="004D4687">
        <w:t>sdag</w:t>
      </w:r>
      <w:proofErr w:type="spellEnd"/>
      <w:r w:rsidR="004D4687">
        <w:t xml:space="preserve"> middels het Markt Model bedraagt </w:t>
      </w:r>
      <w:r w:rsidR="00D73544">
        <w:t xml:space="preserve">bij deze subgroep </w:t>
      </w:r>
      <w:r w:rsidR="004D4687">
        <w:t xml:space="preserve">3,45%. </w:t>
      </w:r>
      <w:r>
        <w:t xml:space="preserve">De statistische testen van subgroep C moeten met voorzichtigheid worden geïnterpreteerd, gezien het beperkt aantal observaties in deze groep (n=7). </w:t>
      </w:r>
    </w:p>
    <w:p w:rsidR="00D3439B" w:rsidRPr="00040405" w:rsidRDefault="00D3439B" w:rsidP="009965EB">
      <w:pPr>
        <w:pStyle w:val="NoSpacing"/>
        <w:jc w:val="both"/>
      </w:pPr>
      <w:r>
        <w:t>De conclusie die getrokken kan worden uit de</w:t>
      </w:r>
      <w:r w:rsidR="00D73544">
        <w:t>ze</w:t>
      </w:r>
      <w:r>
        <w:t xml:space="preserve"> testen is dat er in deze data</w:t>
      </w:r>
      <w:r w:rsidR="0054733B">
        <w:t>set</w:t>
      </w:r>
      <w:r>
        <w:t xml:space="preserve"> geen statistische ondersteuning wordt </w:t>
      </w:r>
      <w:r w:rsidR="00855842">
        <w:t xml:space="preserve">gevonden </w:t>
      </w:r>
      <w:r>
        <w:t xml:space="preserve">met de bevindingen van </w:t>
      </w:r>
      <w:proofErr w:type="spellStart"/>
      <w:r>
        <w:t>Vermaelen</w:t>
      </w:r>
      <w:proofErr w:type="spellEnd"/>
      <w:r>
        <w:t xml:space="preserve"> (1981). </w:t>
      </w:r>
      <w:r w:rsidR="00E0506C">
        <w:t xml:space="preserve">De </w:t>
      </w:r>
      <w:r w:rsidR="0067121E">
        <w:t xml:space="preserve">overschrijdingskans (de </w:t>
      </w:r>
      <w:proofErr w:type="spellStart"/>
      <w:r w:rsidR="0067121E">
        <w:t>p-waarde</w:t>
      </w:r>
      <w:proofErr w:type="spellEnd"/>
      <w:r w:rsidR="0067121E">
        <w:t>)</w:t>
      </w:r>
      <w:r w:rsidR="00855842">
        <w:t xml:space="preserve"> van het </w:t>
      </w:r>
      <w:r w:rsidR="0067121E">
        <w:t xml:space="preserve">gemiddeld </w:t>
      </w:r>
      <w:r w:rsidR="00855842">
        <w:t>abnorma</w:t>
      </w:r>
      <w:r w:rsidR="0067121E">
        <w:t>al</w:t>
      </w:r>
      <w:r w:rsidR="00855842">
        <w:t xml:space="preserve"> rendement op de </w:t>
      </w:r>
      <w:proofErr w:type="spellStart"/>
      <w:r w:rsidR="0067121E">
        <w:t>aankondigingsdag</w:t>
      </w:r>
      <w:proofErr w:type="spellEnd"/>
      <w:r w:rsidR="00855842">
        <w:t xml:space="preserve"> is immers, bij zowel de </w:t>
      </w:r>
      <w:proofErr w:type="spellStart"/>
      <w:r w:rsidR="00855842">
        <w:t>t-toets</w:t>
      </w:r>
      <w:proofErr w:type="spellEnd"/>
      <w:r w:rsidR="00855842">
        <w:t xml:space="preserve"> als de tekentoets, het </w:t>
      </w:r>
      <w:r w:rsidR="0067121E">
        <w:t>laagst</w:t>
      </w:r>
      <w:r w:rsidR="00855842">
        <w:t xml:space="preserve"> bij de groep met de kleinste omvang</w:t>
      </w:r>
      <w:r w:rsidR="00813ED5">
        <w:t xml:space="preserve"> (subgroep A)</w:t>
      </w:r>
      <w:r w:rsidR="00C62EDC">
        <w:t>.</w:t>
      </w:r>
      <w:r w:rsidR="00E0506C">
        <w:t xml:space="preserve"> Bij subgroep B wordt daarnaast</w:t>
      </w:r>
      <w:r w:rsidR="00197804">
        <w:t xml:space="preserve"> </w:t>
      </w:r>
      <w:r w:rsidR="00E0506C">
        <w:t>geen statistisch</w:t>
      </w:r>
      <w:r w:rsidR="00855842">
        <w:t xml:space="preserve"> significant abnormaal gevonden</w:t>
      </w:r>
      <w:r w:rsidR="00E0506C">
        <w:t xml:space="preserve"> </w:t>
      </w:r>
      <w:r w:rsidR="00855842">
        <w:t>(</w:t>
      </w:r>
      <w:r w:rsidR="00E0506C">
        <w:t xml:space="preserve">terwijl dit </w:t>
      </w:r>
      <w:r w:rsidR="00652E61">
        <w:t xml:space="preserve">bij subgroep A </w:t>
      </w:r>
      <w:r w:rsidR="00E0506C">
        <w:t>wel wordt gevonden</w:t>
      </w:r>
      <w:r w:rsidR="00855842">
        <w:t>)</w:t>
      </w:r>
      <w:r w:rsidR="00E0506C">
        <w:t xml:space="preserve">. </w:t>
      </w:r>
      <w:r>
        <w:t>Dit is ver</w:t>
      </w:r>
      <w:r w:rsidR="00EC2447">
        <w:t>r</w:t>
      </w:r>
      <w:r>
        <w:t xml:space="preserve">assend, </w:t>
      </w:r>
      <w:r w:rsidR="00EC2447">
        <w:t>omdat</w:t>
      </w:r>
      <w:r>
        <w:t xml:space="preserve"> bij het onderzoek van Baltus &amp; Schauten (2000) alleen bij de subgroep met de grootste omvang een statistisch significant abnormaal rendement </w:t>
      </w:r>
      <w:r w:rsidR="00855842">
        <w:t>werd</w:t>
      </w:r>
      <w:r>
        <w:t xml:space="preserve"> gevonden. De theorie van </w:t>
      </w:r>
      <w:proofErr w:type="spellStart"/>
      <w:r>
        <w:t>Vermaelen</w:t>
      </w:r>
      <w:proofErr w:type="spellEnd"/>
      <w:r>
        <w:t xml:space="preserve"> (1981) kan </w:t>
      </w:r>
      <w:r w:rsidR="00EC2447">
        <w:t>op basis van de statistische testen</w:t>
      </w:r>
      <w:r w:rsidR="0054733B">
        <w:t xml:space="preserve"> echter</w:t>
      </w:r>
      <w:r>
        <w:t xml:space="preserve"> niet zomaar verworpen worden, aangezien </w:t>
      </w:r>
      <w:r w:rsidR="00EC2447">
        <w:t>in</w:t>
      </w:r>
      <w:r w:rsidRPr="00040405">
        <w:rPr>
          <w:b/>
        </w:rPr>
        <w:t xml:space="preserve"> </w:t>
      </w:r>
      <w:r w:rsidRPr="00122BEF">
        <w:t>figuur 7 en bijlage 6</w:t>
      </w:r>
      <w:r>
        <w:t xml:space="preserve"> duide</w:t>
      </w:r>
      <w:r w:rsidR="00EC2447">
        <w:t>lijk te zien is dat het abnormaal</w:t>
      </w:r>
      <w:r>
        <w:t xml:space="preserve"> rendement in de groep met de hoogste omvang het grootst is. Daarnaast </w:t>
      </w:r>
      <w:r w:rsidR="0067121E">
        <w:t xml:space="preserve">is </w:t>
      </w:r>
      <w:r w:rsidR="002C795B">
        <w:t xml:space="preserve">op de dag van aankondiging </w:t>
      </w:r>
      <w:r w:rsidR="0067121E">
        <w:t xml:space="preserve">de </w:t>
      </w:r>
      <w:proofErr w:type="spellStart"/>
      <w:r w:rsidR="0067121E">
        <w:t>t-toets</w:t>
      </w:r>
      <w:proofErr w:type="spellEnd"/>
      <w:r w:rsidR="0067121E">
        <w:t xml:space="preserve"> </w:t>
      </w:r>
      <w:r w:rsidR="00E0506C">
        <w:t>bij de</w:t>
      </w:r>
      <w:r w:rsidR="00652E61">
        <w:t xml:space="preserve">ze subgroep </w:t>
      </w:r>
      <w:r w:rsidR="0067121E">
        <w:t>statistisch</w:t>
      </w:r>
      <w:r w:rsidR="00E0506C">
        <w:t xml:space="preserve"> significant.</w:t>
      </w:r>
    </w:p>
    <w:p w:rsidR="00D3439B" w:rsidRPr="00D3439B" w:rsidRDefault="00D3439B" w:rsidP="00D3439B"/>
    <w:tbl>
      <w:tblPr>
        <w:tblStyle w:val="MediumShading2-Accent5"/>
        <w:tblW w:w="5000" w:type="pct"/>
        <w:tblLook w:val="0660"/>
      </w:tblPr>
      <w:tblGrid>
        <w:gridCol w:w="1498"/>
        <w:gridCol w:w="1499"/>
        <w:gridCol w:w="1701"/>
        <w:gridCol w:w="1592"/>
        <w:gridCol w:w="1501"/>
        <w:gridCol w:w="1495"/>
      </w:tblGrid>
      <w:tr w:rsidR="009C4E91" w:rsidTr="009C4E91">
        <w:trPr>
          <w:cnfStyle w:val="100000000000"/>
        </w:trPr>
        <w:tc>
          <w:tcPr>
            <w:tcW w:w="807" w:type="pct"/>
          </w:tcPr>
          <w:p w:rsidR="009C4E91" w:rsidRDefault="009C4E91" w:rsidP="009C4E91">
            <w:r>
              <w:t xml:space="preserve">Dag </w:t>
            </w:r>
          </w:p>
        </w:tc>
        <w:tc>
          <w:tcPr>
            <w:tcW w:w="807" w:type="pct"/>
          </w:tcPr>
          <w:p w:rsidR="009C4E91" w:rsidRDefault="002809E9" w:rsidP="009C4E91">
            <w:pPr>
              <w:jc w:val="right"/>
            </w:pPr>
            <w:proofErr w:type="spellStart"/>
            <w:r>
              <w:t>Gemiddeld</w:t>
            </w:r>
            <w:proofErr w:type="spellEnd"/>
            <w:r w:rsidR="009C4E91">
              <w:t xml:space="preserve"> AR</w:t>
            </w:r>
          </w:p>
        </w:tc>
        <w:tc>
          <w:tcPr>
            <w:tcW w:w="916" w:type="pct"/>
            <w:noWrap/>
          </w:tcPr>
          <w:p w:rsidR="009C4E91" w:rsidRDefault="008C0087" w:rsidP="008C0087">
            <w:r>
              <w:t xml:space="preserve">              </w:t>
            </w:r>
            <w:r w:rsidR="009C4E91">
              <w:t>T-</w:t>
            </w:r>
            <w:proofErr w:type="spellStart"/>
            <w:r w:rsidR="009C4E91">
              <w:t>toets</w:t>
            </w:r>
            <w:proofErr w:type="spellEnd"/>
          </w:p>
          <w:p w:rsidR="008C0087" w:rsidRDefault="008C0087" w:rsidP="009C4E91">
            <w:pPr>
              <w:jc w:val="right"/>
            </w:pPr>
            <w:r>
              <w:t>(t-</w:t>
            </w:r>
            <w:proofErr w:type="spellStart"/>
            <w:r>
              <w:t>waarde</w:t>
            </w:r>
            <w:proofErr w:type="spellEnd"/>
            <w:r>
              <w:t>)</w:t>
            </w:r>
          </w:p>
        </w:tc>
        <w:tc>
          <w:tcPr>
            <w:tcW w:w="857" w:type="pct"/>
          </w:tcPr>
          <w:p w:rsidR="009C4E91" w:rsidRDefault="009C4E91" w:rsidP="009C4E91">
            <w:pPr>
              <w:jc w:val="right"/>
            </w:pPr>
            <w:proofErr w:type="spellStart"/>
            <w:r>
              <w:t>Aantal</w:t>
            </w:r>
            <w:proofErr w:type="spellEnd"/>
            <w:r>
              <w:t xml:space="preserve"> pos.</w:t>
            </w:r>
          </w:p>
        </w:tc>
        <w:tc>
          <w:tcPr>
            <w:tcW w:w="808" w:type="pct"/>
          </w:tcPr>
          <w:p w:rsidR="009C4E91" w:rsidRDefault="009C4E91" w:rsidP="009C4E91">
            <w:pPr>
              <w:jc w:val="right"/>
            </w:pPr>
            <w:proofErr w:type="spellStart"/>
            <w:r>
              <w:t>Aantal</w:t>
            </w:r>
            <w:proofErr w:type="spellEnd"/>
            <w:r>
              <w:t xml:space="preserve"> neg.</w:t>
            </w:r>
          </w:p>
        </w:tc>
        <w:tc>
          <w:tcPr>
            <w:tcW w:w="805" w:type="pct"/>
          </w:tcPr>
          <w:p w:rsidR="009C4E91" w:rsidRDefault="004C051E" w:rsidP="009C4E91">
            <w:pPr>
              <w:jc w:val="right"/>
            </w:pPr>
            <w:proofErr w:type="spellStart"/>
            <w:r>
              <w:t>T</w:t>
            </w:r>
            <w:r w:rsidR="009C4E91">
              <w:t>ekentoets</w:t>
            </w:r>
            <w:proofErr w:type="spellEnd"/>
          </w:p>
          <w:p w:rsidR="00A04D14" w:rsidRDefault="00A04D14" w:rsidP="009C4E91">
            <w:pPr>
              <w:jc w:val="right"/>
            </w:pPr>
            <w:r>
              <w:t>(p-</w:t>
            </w:r>
            <w:proofErr w:type="spellStart"/>
            <w:r>
              <w:t>waarde</w:t>
            </w:r>
            <w:proofErr w:type="spellEnd"/>
            <w:r>
              <w:t>)</w:t>
            </w:r>
          </w:p>
        </w:tc>
      </w:tr>
      <w:tr w:rsidR="009C4E91" w:rsidTr="009C4E91">
        <w:tc>
          <w:tcPr>
            <w:tcW w:w="5000" w:type="pct"/>
            <w:gridSpan w:val="6"/>
          </w:tcPr>
          <w:p w:rsidR="009C4E91" w:rsidRPr="006B267C" w:rsidRDefault="00713595" w:rsidP="009C4E91">
            <w:pPr>
              <w:rPr>
                <w:color w:val="FF0000"/>
              </w:rPr>
            </w:pPr>
            <w:r>
              <w:rPr>
                <w:rStyle w:val="SubtleEmphasis"/>
                <w:color w:val="FF0000"/>
              </w:rPr>
              <w:t>Market-Adjusted Return Model</w:t>
            </w:r>
          </w:p>
        </w:tc>
      </w:tr>
      <w:tr w:rsidR="009C4E91" w:rsidTr="009C4E91">
        <w:tc>
          <w:tcPr>
            <w:tcW w:w="807" w:type="pct"/>
            <w:tcBorders>
              <w:bottom w:val="nil"/>
            </w:tcBorders>
          </w:tcPr>
          <w:p w:rsidR="009C4E91" w:rsidRDefault="009C4E91" w:rsidP="009C4E91">
            <w:r>
              <w:t>T=-5</w:t>
            </w:r>
          </w:p>
        </w:tc>
        <w:tc>
          <w:tcPr>
            <w:tcW w:w="807" w:type="pct"/>
            <w:tcBorders>
              <w:bottom w:val="nil"/>
            </w:tcBorders>
          </w:tcPr>
          <w:p w:rsidR="009C4E91" w:rsidRDefault="009C4E91" w:rsidP="009C4E91">
            <w:pPr>
              <w:jc w:val="right"/>
            </w:pPr>
            <w:r>
              <w:t>0,71%</w:t>
            </w:r>
          </w:p>
        </w:tc>
        <w:tc>
          <w:tcPr>
            <w:tcW w:w="916" w:type="pct"/>
            <w:tcBorders>
              <w:bottom w:val="nil"/>
            </w:tcBorders>
            <w:noWrap/>
          </w:tcPr>
          <w:p w:rsidR="009C4E91" w:rsidRPr="008C0087" w:rsidRDefault="009C4E91" w:rsidP="009C4E91">
            <w:pPr>
              <w:jc w:val="right"/>
              <w:rPr>
                <w:color w:val="FFFFFF" w:themeColor="background1"/>
                <w:vertAlign w:val="superscript"/>
              </w:rPr>
            </w:pPr>
            <w:r>
              <w:t>1,661</w:t>
            </w:r>
            <w:r w:rsidR="008C0087">
              <w:rPr>
                <w:color w:val="FFFFFF" w:themeColor="background1"/>
                <w:vertAlign w:val="superscript"/>
              </w:rPr>
              <w:t>***</w:t>
            </w:r>
          </w:p>
        </w:tc>
        <w:tc>
          <w:tcPr>
            <w:tcW w:w="857" w:type="pct"/>
            <w:tcBorders>
              <w:bottom w:val="nil"/>
            </w:tcBorders>
          </w:tcPr>
          <w:p w:rsidR="009C4E91" w:rsidRDefault="009C4E91" w:rsidP="009C4E91">
            <w:pPr>
              <w:jc w:val="right"/>
            </w:pPr>
            <w:r>
              <w:t>5</w:t>
            </w:r>
          </w:p>
        </w:tc>
        <w:tc>
          <w:tcPr>
            <w:tcW w:w="808" w:type="pct"/>
            <w:tcBorders>
              <w:bottom w:val="nil"/>
            </w:tcBorders>
          </w:tcPr>
          <w:p w:rsidR="009C4E91" w:rsidRDefault="009C4E91" w:rsidP="009C4E91">
            <w:pPr>
              <w:jc w:val="right"/>
            </w:pPr>
            <w:r>
              <w:t>2</w:t>
            </w:r>
          </w:p>
        </w:tc>
        <w:tc>
          <w:tcPr>
            <w:tcW w:w="805" w:type="pct"/>
            <w:tcBorders>
              <w:bottom w:val="nil"/>
            </w:tcBorders>
          </w:tcPr>
          <w:p w:rsidR="009C4E91" w:rsidRPr="008C0087" w:rsidRDefault="009C4E91" w:rsidP="009C4E91">
            <w:pPr>
              <w:jc w:val="right"/>
              <w:rPr>
                <w:color w:val="FFFFFF" w:themeColor="background1"/>
                <w:vertAlign w:val="superscript"/>
              </w:rPr>
            </w:pPr>
            <w:r>
              <w:t>0,453</w:t>
            </w:r>
            <w:r w:rsidR="008C0087">
              <w:rPr>
                <w:color w:val="FFFFFF" w:themeColor="background1"/>
                <w:vertAlign w:val="superscript"/>
              </w:rPr>
              <w:t>***</w:t>
            </w:r>
          </w:p>
        </w:tc>
      </w:tr>
      <w:tr w:rsidR="009C4E91" w:rsidTr="009C4E91">
        <w:tc>
          <w:tcPr>
            <w:tcW w:w="807" w:type="pct"/>
            <w:tcBorders>
              <w:top w:val="nil"/>
              <w:bottom w:val="single" w:sz="4" w:space="0" w:color="auto"/>
            </w:tcBorders>
          </w:tcPr>
          <w:p w:rsidR="009C4E91" w:rsidRDefault="009C4E91" w:rsidP="009C4E91">
            <w:r>
              <w:t>T=-4</w:t>
            </w:r>
          </w:p>
          <w:p w:rsidR="009C4E91" w:rsidRDefault="009C4E91" w:rsidP="009C4E91">
            <w:r>
              <w:t>T=-3</w:t>
            </w:r>
          </w:p>
          <w:p w:rsidR="009C4E91" w:rsidRDefault="009C4E91" w:rsidP="009C4E91">
            <w:r>
              <w:t>T=-2</w:t>
            </w:r>
          </w:p>
          <w:p w:rsidR="009C4E91" w:rsidRDefault="009C4E91" w:rsidP="009C4E91">
            <w:r>
              <w:t>T=-1</w:t>
            </w:r>
          </w:p>
          <w:p w:rsidR="009C4E91" w:rsidRDefault="009C4E91" w:rsidP="009C4E91">
            <w:r>
              <w:t>T=0</w:t>
            </w:r>
          </w:p>
          <w:p w:rsidR="009C4E91" w:rsidRDefault="009C4E91" w:rsidP="009C4E91">
            <w:r>
              <w:t>T=1</w:t>
            </w:r>
          </w:p>
          <w:p w:rsidR="009C4E91" w:rsidRDefault="009C4E91" w:rsidP="009C4E91">
            <w:r>
              <w:t>T=2</w:t>
            </w:r>
          </w:p>
          <w:p w:rsidR="009C4E91" w:rsidRDefault="009C4E91" w:rsidP="009C4E91">
            <w:r>
              <w:t>T=3</w:t>
            </w:r>
          </w:p>
          <w:p w:rsidR="009C4E91" w:rsidRDefault="009C4E91" w:rsidP="009C4E91">
            <w:r>
              <w:t xml:space="preserve">T=4 </w:t>
            </w:r>
          </w:p>
          <w:p w:rsidR="009C4E91" w:rsidRDefault="009C4E91" w:rsidP="009C4E91">
            <w:r>
              <w:t>T=5</w:t>
            </w:r>
          </w:p>
          <w:p w:rsidR="009C4E91" w:rsidRDefault="009C4E91" w:rsidP="009C4E91"/>
        </w:tc>
        <w:tc>
          <w:tcPr>
            <w:tcW w:w="807" w:type="pct"/>
            <w:tcBorders>
              <w:top w:val="nil"/>
              <w:bottom w:val="single" w:sz="4" w:space="0" w:color="auto"/>
            </w:tcBorders>
          </w:tcPr>
          <w:p w:rsidR="009C4E91" w:rsidRDefault="009C4E91" w:rsidP="009C4E91">
            <w:pPr>
              <w:jc w:val="right"/>
            </w:pPr>
            <w:r>
              <w:t>-0,34%</w:t>
            </w:r>
          </w:p>
          <w:p w:rsidR="009C4E91" w:rsidRDefault="009C4E91" w:rsidP="009C4E91">
            <w:pPr>
              <w:jc w:val="right"/>
            </w:pPr>
            <w:r>
              <w:t>0,31%</w:t>
            </w:r>
          </w:p>
          <w:p w:rsidR="009C4E91" w:rsidRDefault="009C4E91" w:rsidP="009C4E91">
            <w:pPr>
              <w:jc w:val="right"/>
            </w:pPr>
            <w:r>
              <w:t>-0,69%</w:t>
            </w:r>
          </w:p>
          <w:p w:rsidR="009C4E91" w:rsidRDefault="009C4E91" w:rsidP="009C4E91">
            <w:pPr>
              <w:jc w:val="right"/>
            </w:pPr>
            <w:r>
              <w:t>0,68%</w:t>
            </w:r>
          </w:p>
          <w:p w:rsidR="009C4E91" w:rsidRDefault="009C4E91" w:rsidP="009C4E91">
            <w:pPr>
              <w:jc w:val="right"/>
            </w:pPr>
            <w:r>
              <w:t>3,46%</w:t>
            </w:r>
          </w:p>
          <w:p w:rsidR="009C4E91" w:rsidRDefault="009C4E91" w:rsidP="009C4E91">
            <w:pPr>
              <w:jc w:val="right"/>
            </w:pPr>
            <w:r>
              <w:t>1,27%</w:t>
            </w:r>
          </w:p>
          <w:p w:rsidR="009C4E91" w:rsidRDefault="009C4E91" w:rsidP="009C4E91">
            <w:pPr>
              <w:jc w:val="right"/>
            </w:pPr>
            <w:r>
              <w:t>-0,02%</w:t>
            </w:r>
          </w:p>
          <w:p w:rsidR="009C4E91" w:rsidRDefault="009C4E91" w:rsidP="009C4E91">
            <w:pPr>
              <w:jc w:val="right"/>
            </w:pPr>
            <w:r>
              <w:t>0,27%</w:t>
            </w:r>
          </w:p>
          <w:p w:rsidR="009C4E91" w:rsidRDefault="009C4E91" w:rsidP="009C4E91">
            <w:pPr>
              <w:jc w:val="right"/>
            </w:pPr>
            <w:r>
              <w:t>0,71%</w:t>
            </w:r>
          </w:p>
          <w:p w:rsidR="009C4E91" w:rsidRDefault="009C4E91" w:rsidP="009C4E91">
            <w:pPr>
              <w:jc w:val="right"/>
            </w:pPr>
            <w:r>
              <w:t>-0,78%</w:t>
            </w:r>
          </w:p>
        </w:tc>
        <w:tc>
          <w:tcPr>
            <w:tcW w:w="916" w:type="pct"/>
            <w:tcBorders>
              <w:top w:val="nil"/>
              <w:bottom w:val="single" w:sz="4" w:space="0" w:color="auto"/>
            </w:tcBorders>
            <w:noWrap/>
          </w:tcPr>
          <w:p w:rsidR="009C4E91" w:rsidRPr="008C0087" w:rsidRDefault="009C4E91" w:rsidP="009C4E91">
            <w:pPr>
              <w:jc w:val="right"/>
              <w:rPr>
                <w:color w:val="FFFFFF" w:themeColor="background1"/>
                <w:vertAlign w:val="superscript"/>
              </w:rPr>
            </w:pPr>
            <w:r>
              <w:t>-0,696</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0,590</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-1,464</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2,216</w:t>
            </w:r>
            <w:r w:rsidR="008C0087" w:rsidRPr="0018184E">
              <w:rPr>
                <w:b/>
                <w:vertAlign w:val="superscript"/>
              </w:rPr>
              <w:t>*</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2,256</w:t>
            </w:r>
            <w:r w:rsidR="008C0087" w:rsidRPr="0018184E">
              <w:rPr>
                <w:b/>
                <w:vertAlign w:val="superscript"/>
              </w:rPr>
              <w:t>*</w:t>
            </w:r>
            <w:r w:rsidR="008C0087">
              <w:rPr>
                <w:color w:val="FFFFFF" w:themeColor="background1"/>
                <w:vertAlign w:val="superscript"/>
              </w:rPr>
              <w:t>**</w:t>
            </w:r>
          </w:p>
          <w:p w:rsidR="009C4E91" w:rsidRPr="008C0087" w:rsidRDefault="009C4E91" w:rsidP="009C4E91">
            <w:pPr>
              <w:jc w:val="right"/>
              <w:rPr>
                <w:b/>
                <w:color w:val="FFFFFF" w:themeColor="background1"/>
                <w:vertAlign w:val="superscript"/>
              </w:rPr>
            </w:pPr>
            <w:r w:rsidRPr="0018184E">
              <w:t>2,743</w:t>
            </w:r>
            <w:r w:rsidR="008C0087" w:rsidRPr="0018184E">
              <w:rPr>
                <w:b/>
                <w:vertAlign w:val="superscript"/>
              </w:rPr>
              <w:t>**</w:t>
            </w:r>
            <w:r w:rsidR="008C0087">
              <w:rPr>
                <w:b/>
                <w:color w:val="FFFFFF" w:themeColor="background1"/>
                <w:vertAlign w:val="superscript"/>
              </w:rPr>
              <w:t>*</w:t>
            </w:r>
          </w:p>
          <w:p w:rsidR="009C4E91" w:rsidRPr="008C0087" w:rsidRDefault="009C4E91" w:rsidP="009C4E91">
            <w:pPr>
              <w:jc w:val="right"/>
              <w:rPr>
                <w:color w:val="FFFFFF" w:themeColor="background1"/>
                <w:vertAlign w:val="superscript"/>
              </w:rPr>
            </w:pPr>
            <w:r>
              <w:t>-0,032</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1,051</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1,635</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-2,397</w:t>
            </w:r>
            <w:r w:rsidR="008C0087" w:rsidRPr="0018184E">
              <w:rPr>
                <w:b/>
                <w:vertAlign w:val="superscript"/>
              </w:rPr>
              <w:t>*</w:t>
            </w:r>
            <w:r w:rsidR="008C0087">
              <w:rPr>
                <w:color w:val="FFFFFF" w:themeColor="background1"/>
                <w:vertAlign w:val="superscript"/>
              </w:rPr>
              <w:t>**</w:t>
            </w:r>
          </w:p>
        </w:tc>
        <w:tc>
          <w:tcPr>
            <w:tcW w:w="857" w:type="pct"/>
            <w:tcBorders>
              <w:top w:val="nil"/>
              <w:bottom w:val="single" w:sz="4" w:space="0" w:color="auto"/>
            </w:tcBorders>
          </w:tcPr>
          <w:p w:rsidR="009C4E91" w:rsidRDefault="009C4E91" w:rsidP="009C4E91">
            <w:pPr>
              <w:jc w:val="right"/>
            </w:pPr>
            <w:r>
              <w:t>2</w:t>
            </w:r>
          </w:p>
          <w:p w:rsidR="009C4E91" w:rsidRDefault="009C4E91" w:rsidP="009C4E91">
            <w:pPr>
              <w:jc w:val="right"/>
            </w:pPr>
            <w:r>
              <w:t>4</w:t>
            </w:r>
          </w:p>
          <w:p w:rsidR="009C4E91" w:rsidRDefault="009C4E91" w:rsidP="009C4E91">
            <w:pPr>
              <w:jc w:val="right"/>
            </w:pPr>
            <w:r>
              <w:t>3</w:t>
            </w:r>
          </w:p>
          <w:p w:rsidR="009C4E91" w:rsidRDefault="009C4E91" w:rsidP="009C4E91">
            <w:pPr>
              <w:jc w:val="right"/>
            </w:pPr>
            <w:r>
              <w:t>5</w:t>
            </w:r>
          </w:p>
          <w:p w:rsidR="009C4E91" w:rsidRDefault="009C4E91" w:rsidP="009C4E91">
            <w:pPr>
              <w:jc w:val="right"/>
            </w:pPr>
            <w:r>
              <w:t>5</w:t>
            </w:r>
          </w:p>
          <w:p w:rsidR="009C4E91" w:rsidRDefault="009C4E91" w:rsidP="009C4E91">
            <w:pPr>
              <w:jc w:val="right"/>
            </w:pPr>
            <w:r>
              <w:t>6</w:t>
            </w:r>
          </w:p>
          <w:p w:rsidR="009C4E91" w:rsidRDefault="009C4E91" w:rsidP="009C4E91">
            <w:pPr>
              <w:jc w:val="right"/>
            </w:pPr>
            <w:r>
              <w:t>3</w:t>
            </w:r>
          </w:p>
          <w:p w:rsidR="009C4E91" w:rsidRDefault="009C4E91" w:rsidP="009C4E91">
            <w:pPr>
              <w:jc w:val="right"/>
            </w:pPr>
            <w:r>
              <w:t>4</w:t>
            </w:r>
          </w:p>
          <w:p w:rsidR="009C4E91" w:rsidRDefault="009C4E91" w:rsidP="009C4E91">
            <w:pPr>
              <w:jc w:val="right"/>
            </w:pPr>
            <w:r>
              <w:t>5</w:t>
            </w:r>
          </w:p>
          <w:p w:rsidR="009C4E91" w:rsidRDefault="009C4E91" w:rsidP="009C4E91">
            <w:pPr>
              <w:jc w:val="right"/>
            </w:pPr>
            <w:r>
              <w:t>6</w:t>
            </w:r>
          </w:p>
        </w:tc>
        <w:tc>
          <w:tcPr>
            <w:tcW w:w="808" w:type="pct"/>
            <w:tcBorders>
              <w:top w:val="nil"/>
              <w:bottom w:val="single" w:sz="4" w:space="0" w:color="auto"/>
            </w:tcBorders>
          </w:tcPr>
          <w:p w:rsidR="009C4E91" w:rsidRDefault="009C4E91" w:rsidP="009C4E91">
            <w:pPr>
              <w:jc w:val="right"/>
            </w:pPr>
            <w:r>
              <w:t>5</w:t>
            </w:r>
          </w:p>
          <w:p w:rsidR="009C4E91" w:rsidRDefault="009C4E91" w:rsidP="009C4E91">
            <w:pPr>
              <w:jc w:val="right"/>
            </w:pPr>
            <w:r>
              <w:t>3</w:t>
            </w:r>
          </w:p>
          <w:p w:rsidR="009C4E91" w:rsidRDefault="009C4E91" w:rsidP="009C4E91">
            <w:pPr>
              <w:jc w:val="right"/>
            </w:pPr>
            <w:r>
              <w:t>4</w:t>
            </w:r>
          </w:p>
          <w:p w:rsidR="009C4E91" w:rsidRDefault="009C4E91" w:rsidP="009C4E91">
            <w:pPr>
              <w:jc w:val="right"/>
            </w:pPr>
            <w:r>
              <w:t>2</w:t>
            </w:r>
          </w:p>
          <w:p w:rsidR="009C4E91" w:rsidRDefault="009C4E91" w:rsidP="009C4E91">
            <w:pPr>
              <w:jc w:val="right"/>
            </w:pPr>
            <w:r>
              <w:t>2</w:t>
            </w:r>
          </w:p>
          <w:p w:rsidR="009C4E91" w:rsidRDefault="009C4E91" w:rsidP="009C4E91">
            <w:pPr>
              <w:jc w:val="right"/>
            </w:pPr>
            <w:r>
              <w:t>1</w:t>
            </w:r>
          </w:p>
          <w:p w:rsidR="009C4E91" w:rsidRDefault="009C4E91" w:rsidP="009C4E91">
            <w:pPr>
              <w:jc w:val="right"/>
            </w:pPr>
            <w:r>
              <w:t>4</w:t>
            </w:r>
          </w:p>
          <w:p w:rsidR="009C4E91" w:rsidRDefault="009C4E91" w:rsidP="009C4E91">
            <w:pPr>
              <w:jc w:val="right"/>
            </w:pPr>
            <w:r>
              <w:t>3</w:t>
            </w:r>
          </w:p>
          <w:p w:rsidR="009C4E91" w:rsidRDefault="009C4E91" w:rsidP="009C4E91">
            <w:pPr>
              <w:jc w:val="right"/>
            </w:pPr>
            <w:r>
              <w:t>2</w:t>
            </w:r>
          </w:p>
          <w:p w:rsidR="009C4E91" w:rsidRDefault="009C4E91" w:rsidP="009C4E91">
            <w:pPr>
              <w:jc w:val="right"/>
            </w:pPr>
            <w:r>
              <w:t>1</w:t>
            </w:r>
          </w:p>
        </w:tc>
        <w:tc>
          <w:tcPr>
            <w:tcW w:w="805" w:type="pct"/>
            <w:tcBorders>
              <w:top w:val="nil"/>
              <w:bottom w:val="single" w:sz="4" w:space="0" w:color="auto"/>
            </w:tcBorders>
          </w:tcPr>
          <w:p w:rsidR="009C4E91" w:rsidRPr="008C0087" w:rsidRDefault="009C4E91" w:rsidP="009C4E91">
            <w:pPr>
              <w:jc w:val="right"/>
              <w:rPr>
                <w:color w:val="FFFFFF" w:themeColor="background1"/>
                <w:vertAlign w:val="superscript"/>
              </w:rPr>
            </w:pPr>
            <w:r>
              <w:t>0,453</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1,000</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1,000</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0,453</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0,453</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0,125</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1,000</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1,000</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0,453</w:t>
            </w:r>
            <w:r w:rsidR="008C0087">
              <w:rPr>
                <w:color w:val="FFFFFF" w:themeColor="background1"/>
                <w:vertAlign w:val="superscript"/>
              </w:rPr>
              <w:t>***</w:t>
            </w:r>
          </w:p>
          <w:p w:rsidR="009C4E91" w:rsidRPr="008C0087" w:rsidRDefault="009C4E91" w:rsidP="009C4E91">
            <w:pPr>
              <w:jc w:val="right"/>
              <w:rPr>
                <w:color w:val="FFFFFF" w:themeColor="background1"/>
                <w:vertAlign w:val="superscript"/>
              </w:rPr>
            </w:pPr>
            <w:r>
              <w:t>0,125</w:t>
            </w:r>
            <w:r w:rsidR="008C0087">
              <w:rPr>
                <w:color w:val="FFFFFF" w:themeColor="background1"/>
                <w:vertAlign w:val="superscript"/>
              </w:rPr>
              <w:t>***</w:t>
            </w:r>
          </w:p>
        </w:tc>
      </w:tr>
      <w:tr w:rsidR="009C4E91" w:rsidTr="009C4E91">
        <w:tc>
          <w:tcPr>
            <w:tcW w:w="5000" w:type="pct"/>
            <w:gridSpan w:val="6"/>
            <w:tcBorders>
              <w:top w:val="single" w:sz="4" w:space="0" w:color="auto"/>
            </w:tcBorders>
          </w:tcPr>
          <w:p w:rsidR="009C4E91" w:rsidRPr="006B267C" w:rsidRDefault="00713595" w:rsidP="009C4E91">
            <w:pPr>
              <w:rPr>
                <w:color w:val="FF0000"/>
              </w:rPr>
            </w:pPr>
            <w:proofErr w:type="spellStart"/>
            <w:r>
              <w:rPr>
                <w:rStyle w:val="SubtleEmphasis"/>
                <w:color w:val="FF0000"/>
              </w:rPr>
              <w:t>Markt</w:t>
            </w:r>
            <w:proofErr w:type="spellEnd"/>
            <w:r>
              <w:rPr>
                <w:rStyle w:val="SubtleEmphasis"/>
                <w:color w:val="FF0000"/>
              </w:rPr>
              <w:t xml:space="preserve"> Model</w:t>
            </w:r>
          </w:p>
        </w:tc>
      </w:tr>
      <w:tr w:rsidR="009C4E91" w:rsidTr="009C4E91">
        <w:tc>
          <w:tcPr>
            <w:tcW w:w="807" w:type="pct"/>
            <w:tcBorders>
              <w:top w:val="nil"/>
              <w:bottom w:val="nil"/>
            </w:tcBorders>
          </w:tcPr>
          <w:p w:rsidR="009C4E91" w:rsidRDefault="009C4E91" w:rsidP="009C4E91">
            <w:r>
              <w:t>T=-5</w:t>
            </w:r>
          </w:p>
        </w:tc>
        <w:tc>
          <w:tcPr>
            <w:tcW w:w="807" w:type="pct"/>
            <w:tcBorders>
              <w:top w:val="nil"/>
              <w:bottom w:val="nil"/>
            </w:tcBorders>
          </w:tcPr>
          <w:p w:rsidR="009C4E91" w:rsidRDefault="00863D61" w:rsidP="009C4E91">
            <w:pPr>
              <w:jc w:val="right"/>
            </w:pPr>
            <w:r>
              <w:t>0,70%</w:t>
            </w:r>
          </w:p>
        </w:tc>
        <w:tc>
          <w:tcPr>
            <w:tcW w:w="916" w:type="pct"/>
            <w:tcBorders>
              <w:top w:val="nil"/>
              <w:bottom w:val="nil"/>
            </w:tcBorders>
            <w:noWrap/>
          </w:tcPr>
          <w:p w:rsidR="009C4E91" w:rsidRPr="008C0087" w:rsidRDefault="00863D61" w:rsidP="009C4E91">
            <w:pPr>
              <w:jc w:val="right"/>
              <w:rPr>
                <w:color w:val="FFFFFF" w:themeColor="background1"/>
                <w:vertAlign w:val="superscript"/>
              </w:rPr>
            </w:pPr>
            <w:r>
              <w:t>1,663</w:t>
            </w:r>
            <w:r w:rsidR="008C0087">
              <w:rPr>
                <w:color w:val="FFFFFF" w:themeColor="background1"/>
                <w:vertAlign w:val="superscript"/>
              </w:rPr>
              <w:t>***</w:t>
            </w:r>
          </w:p>
        </w:tc>
        <w:tc>
          <w:tcPr>
            <w:tcW w:w="857" w:type="pct"/>
            <w:tcBorders>
              <w:top w:val="nil"/>
              <w:bottom w:val="nil"/>
            </w:tcBorders>
          </w:tcPr>
          <w:p w:rsidR="009C4E91" w:rsidRDefault="002E6C2B" w:rsidP="009C4E91">
            <w:pPr>
              <w:jc w:val="right"/>
            </w:pPr>
            <w:r>
              <w:t>5</w:t>
            </w:r>
          </w:p>
        </w:tc>
        <w:tc>
          <w:tcPr>
            <w:tcW w:w="808" w:type="pct"/>
            <w:tcBorders>
              <w:top w:val="nil"/>
              <w:bottom w:val="nil"/>
            </w:tcBorders>
          </w:tcPr>
          <w:p w:rsidR="009C4E91" w:rsidRDefault="002E6C2B" w:rsidP="009C4E91">
            <w:pPr>
              <w:jc w:val="right"/>
            </w:pPr>
            <w:r>
              <w:t>2</w:t>
            </w:r>
          </w:p>
        </w:tc>
        <w:tc>
          <w:tcPr>
            <w:tcW w:w="805" w:type="pct"/>
            <w:tcBorders>
              <w:top w:val="nil"/>
              <w:bottom w:val="nil"/>
            </w:tcBorders>
          </w:tcPr>
          <w:p w:rsidR="009C4E91" w:rsidRPr="008C0087" w:rsidRDefault="002E6C2B" w:rsidP="009C4E91">
            <w:pPr>
              <w:jc w:val="right"/>
              <w:rPr>
                <w:color w:val="FFFFFF" w:themeColor="background1"/>
                <w:vertAlign w:val="superscript"/>
              </w:rPr>
            </w:pPr>
            <w:r>
              <w:t>0,453</w:t>
            </w:r>
            <w:r w:rsidR="008C0087">
              <w:rPr>
                <w:color w:val="FFFFFF" w:themeColor="background1"/>
                <w:vertAlign w:val="superscript"/>
              </w:rPr>
              <w:t>***</w:t>
            </w:r>
          </w:p>
        </w:tc>
      </w:tr>
      <w:tr w:rsidR="009C4E91" w:rsidTr="009C4E91">
        <w:tc>
          <w:tcPr>
            <w:tcW w:w="807" w:type="pct"/>
            <w:tcBorders>
              <w:top w:val="nil"/>
              <w:bottom w:val="nil"/>
            </w:tcBorders>
          </w:tcPr>
          <w:p w:rsidR="009C4E91" w:rsidRDefault="009C4E91" w:rsidP="009C4E91">
            <w:r>
              <w:t>T=-4</w:t>
            </w:r>
          </w:p>
          <w:p w:rsidR="009C4E91" w:rsidRDefault="009C4E91" w:rsidP="009C4E91">
            <w:r>
              <w:t>T=-3</w:t>
            </w:r>
          </w:p>
          <w:p w:rsidR="009C4E91" w:rsidRDefault="009C4E91" w:rsidP="009C4E91">
            <w:r>
              <w:t>T=-2</w:t>
            </w:r>
          </w:p>
          <w:p w:rsidR="009C4E91" w:rsidRDefault="009C4E91" w:rsidP="009C4E91">
            <w:r>
              <w:t>T=-1</w:t>
            </w:r>
          </w:p>
          <w:p w:rsidR="009C4E91" w:rsidRDefault="009C4E91" w:rsidP="009C4E91">
            <w:r>
              <w:t>T=0</w:t>
            </w:r>
          </w:p>
          <w:p w:rsidR="009C4E91" w:rsidRDefault="009C4E91" w:rsidP="009C4E91">
            <w:r>
              <w:t>T=1</w:t>
            </w:r>
          </w:p>
          <w:p w:rsidR="009C4E91" w:rsidRDefault="009C4E91" w:rsidP="009C4E91">
            <w:r>
              <w:t>T=2</w:t>
            </w:r>
          </w:p>
          <w:p w:rsidR="009C4E91" w:rsidRDefault="009C4E91" w:rsidP="009C4E91">
            <w:r>
              <w:t>T=3</w:t>
            </w:r>
          </w:p>
          <w:p w:rsidR="009C4E91" w:rsidRDefault="009C4E91" w:rsidP="009C4E91">
            <w:r>
              <w:t xml:space="preserve">T=4 </w:t>
            </w:r>
          </w:p>
          <w:p w:rsidR="009C4E91" w:rsidRDefault="009C4E91" w:rsidP="009C4E91">
            <w:r>
              <w:t>T=5</w:t>
            </w:r>
          </w:p>
        </w:tc>
        <w:tc>
          <w:tcPr>
            <w:tcW w:w="807" w:type="pct"/>
            <w:tcBorders>
              <w:top w:val="nil"/>
              <w:bottom w:val="nil"/>
            </w:tcBorders>
          </w:tcPr>
          <w:p w:rsidR="009C4E91" w:rsidRDefault="00863D61" w:rsidP="009C4E91">
            <w:pPr>
              <w:jc w:val="right"/>
            </w:pPr>
            <w:r>
              <w:t>-0,42%</w:t>
            </w:r>
          </w:p>
          <w:p w:rsidR="00863D61" w:rsidRDefault="00863D61" w:rsidP="009C4E91">
            <w:pPr>
              <w:jc w:val="right"/>
            </w:pPr>
            <w:r>
              <w:t>0,36%</w:t>
            </w:r>
          </w:p>
          <w:p w:rsidR="00863D61" w:rsidRDefault="00863D61" w:rsidP="009C4E91">
            <w:pPr>
              <w:jc w:val="right"/>
            </w:pPr>
            <w:r>
              <w:t>-0,62%</w:t>
            </w:r>
          </w:p>
          <w:p w:rsidR="00863D61" w:rsidRDefault="00863D61" w:rsidP="009C4E91">
            <w:pPr>
              <w:jc w:val="right"/>
            </w:pPr>
            <w:r>
              <w:t>0,72%</w:t>
            </w:r>
          </w:p>
          <w:p w:rsidR="00863D61" w:rsidRDefault="00863D61" w:rsidP="009C4E91">
            <w:pPr>
              <w:jc w:val="right"/>
            </w:pPr>
            <w:r>
              <w:t>3,45%</w:t>
            </w:r>
          </w:p>
          <w:p w:rsidR="00863D61" w:rsidRDefault="00863D61" w:rsidP="009C4E91">
            <w:pPr>
              <w:jc w:val="right"/>
            </w:pPr>
            <w:r>
              <w:t>1,18%</w:t>
            </w:r>
          </w:p>
          <w:p w:rsidR="00863D61" w:rsidRDefault="00863D61" w:rsidP="009C4E91">
            <w:pPr>
              <w:jc w:val="right"/>
            </w:pPr>
            <w:r>
              <w:t>-0,04%</w:t>
            </w:r>
          </w:p>
          <w:p w:rsidR="00863D61" w:rsidRDefault="00863D61" w:rsidP="009C4E91">
            <w:pPr>
              <w:jc w:val="right"/>
            </w:pPr>
            <w:r>
              <w:t>0,35%</w:t>
            </w:r>
          </w:p>
          <w:p w:rsidR="00863D61" w:rsidRDefault="00863D61" w:rsidP="009C4E91">
            <w:pPr>
              <w:jc w:val="right"/>
            </w:pPr>
            <w:r>
              <w:t>0,61%</w:t>
            </w:r>
          </w:p>
          <w:p w:rsidR="00863D61" w:rsidRDefault="00863D61" w:rsidP="009C4E91">
            <w:pPr>
              <w:jc w:val="right"/>
            </w:pPr>
            <w:r>
              <w:t>-0,69%</w:t>
            </w:r>
          </w:p>
        </w:tc>
        <w:tc>
          <w:tcPr>
            <w:tcW w:w="916" w:type="pct"/>
            <w:tcBorders>
              <w:top w:val="nil"/>
              <w:bottom w:val="nil"/>
            </w:tcBorders>
            <w:noWrap/>
          </w:tcPr>
          <w:p w:rsidR="009C4E91" w:rsidRPr="008C0087" w:rsidRDefault="00863D61" w:rsidP="009C4E91">
            <w:pPr>
              <w:jc w:val="right"/>
              <w:rPr>
                <w:color w:val="FFFFFF" w:themeColor="background1"/>
                <w:vertAlign w:val="superscript"/>
              </w:rPr>
            </w:pPr>
            <w:r w:rsidRPr="00863D61">
              <w:t>-0,917</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0,605</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-1,327</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rsidRPr="0018184E">
              <w:t>2,504</w:t>
            </w:r>
            <w:r w:rsidR="008C0087" w:rsidRPr="0018184E">
              <w:rPr>
                <w:b/>
                <w:vertAlign w:val="superscript"/>
              </w:rPr>
              <w:t>**</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2,290</w:t>
            </w:r>
            <w:r w:rsidR="008C0087" w:rsidRPr="0018184E">
              <w:rPr>
                <w:b/>
                <w:vertAlign w:val="superscript"/>
              </w:rPr>
              <w:t>*</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2,410</w:t>
            </w:r>
            <w:r w:rsidR="008C0087" w:rsidRPr="00DD4E33">
              <w:rPr>
                <w:b/>
                <w:vertAlign w:val="superscript"/>
              </w:rPr>
              <w:t>*</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-0,053</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1,418</w:t>
            </w:r>
            <w:r w:rsidR="008C0087">
              <w:rPr>
                <w:color w:val="FFFFFF" w:themeColor="background1"/>
                <w:vertAlign w:val="superscript"/>
              </w:rPr>
              <w:t>***</w:t>
            </w:r>
          </w:p>
          <w:p w:rsidR="00863D61" w:rsidRPr="008C0087" w:rsidRDefault="00863D61" w:rsidP="009C4E91">
            <w:pPr>
              <w:jc w:val="right"/>
              <w:rPr>
                <w:color w:val="FFFFFF" w:themeColor="background1"/>
                <w:vertAlign w:val="superscript"/>
              </w:rPr>
            </w:pPr>
            <w:r>
              <w:t>1,421</w:t>
            </w:r>
            <w:r w:rsidR="008C0087">
              <w:rPr>
                <w:color w:val="FFFFFF" w:themeColor="background1"/>
                <w:vertAlign w:val="superscript"/>
              </w:rPr>
              <w:t>***</w:t>
            </w:r>
          </w:p>
          <w:p w:rsidR="00863D61" w:rsidRPr="008C0087" w:rsidRDefault="002E6C2B" w:rsidP="009C4E91">
            <w:pPr>
              <w:jc w:val="right"/>
              <w:rPr>
                <w:color w:val="FFFFFF" w:themeColor="background1"/>
                <w:vertAlign w:val="superscript"/>
              </w:rPr>
            </w:pPr>
            <w:r>
              <w:t>-2,089</w:t>
            </w:r>
            <w:r w:rsidR="008C0087" w:rsidRPr="00DD4E33">
              <w:rPr>
                <w:b/>
                <w:vertAlign w:val="superscript"/>
              </w:rPr>
              <w:t>*</w:t>
            </w:r>
            <w:r w:rsidR="008C0087">
              <w:rPr>
                <w:color w:val="FFFFFF" w:themeColor="background1"/>
                <w:vertAlign w:val="superscript"/>
              </w:rPr>
              <w:t>**</w:t>
            </w:r>
          </w:p>
        </w:tc>
        <w:tc>
          <w:tcPr>
            <w:tcW w:w="857" w:type="pct"/>
            <w:tcBorders>
              <w:top w:val="nil"/>
              <w:bottom w:val="nil"/>
            </w:tcBorders>
          </w:tcPr>
          <w:p w:rsidR="009C4E91" w:rsidRDefault="002E6C2B" w:rsidP="009C4E91">
            <w:pPr>
              <w:jc w:val="right"/>
            </w:pPr>
            <w:r>
              <w:t>2</w:t>
            </w:r>
          </w:p>
          <w:p w:rsidR="002E6C2B" w:rsidRDefault="002E6C2B" w:rsidP="009C4E91">
            <w:pPr>
              <w:jc w:val="right"/>
            </w:pPr>
            <w:r>
              <w:t>4</w:t>
            </w:r>
          </w:p>
          <w:p w:rsidR="002E6C2B" w:rsidRDefault="002E6C2B" w:rsidP="009C4E91">
            <w:pPr>
              <w:jc w:val="right"/>
            </w:pPr>
            <w:r>
              <w:t>3</w:t>
            </w:r>
          </w:p>
          <w:p w:rsidR="002E6C2B" w:rsidRDefault="002E6C2B" w:rsidP="009C4E91">
            <w:pPr>
              <w:jc w:val="right"/>
            </w:pPr>
            <w:r>
              <w:t>6</w:t>
            </w:r>
          </w:p>
          <w:p w:rsidR="002E6C2B" w:rsidRDefault="002E6C2B" w:rsidP="009C4E91">
            <w:pPr>
              <w:jc w:val="right"/>
            </w:pPr>
            <w:r>
              <w:t>5</w:t>
            </w:r>
          </w:p>
          <w:p w:rsidR="002E6C2B" w:rsidRDefault="002E6C2B" w:rsidP="009C4E91">
            <w:pPr>
              <w:jc w:val="right"/>
            </w:pPr>
            <w:r>
              <w:t>6</w:t>
            </w:r>
          </w:p>
          <w:p w:rsidR="002E6C2B" w:rsidRDefault="002E6C2B" w:rsidP="009C4E91">
            <w:pPr>
              <w:jc w:val="right"/>
            </w:pPr>
            <w:r>
              <w:t>3</w:t>
            </w:r>
          </w:p>
          <w:p w:rsidR="002E6C2B" w:rsidRDefault="002E6C2B" w:rsidP="009C4E91">
            <w:pPr>
              <w:jc w:val="right"/>
            </w:pPr>
            <w:r>
              <w:t>4</w:t>
            </w:r>
          </w:p>
          <w:p w:rsidR="002E6C2B" w:rsidRDefault="002E6C2B" w:rsidP="009C4E91">
            <w:pPr>
              <w:jc w:val="right"/>
            </w:pPr>
            <w:r>
              <w:t>5</w:t>
            </w:r>
          </w:p>
          <w:p w:rsidR="002E6C2B" w:rsidRDefault="002E6C2B" w:rsidP="009C4E91">
            <w:pPr>
              <w:jc w:val="right"/>
            </w:pPr>
            <w:r>
              <w:t>2</w:t>
            </w:r>
          </w:p>
        </w:tc>
        <w:tc>
          <w:tcPr>
            <w:tcW w:w="808" w:type="pct"/>
            <w:tcBorders>
              <w:top w:val="nil"/>
              <w:bottom w:val="nil"/>
            </w:tcBorders>
          </w:tcPr>
          <w:p w:rsidR="009C4E91" w:rsidRDefault="002E6C2B" w:rsidP="009C4E91">
            <w:pPr>
              <w:jc w:val="right"/>
            </w:pPr>
            <w:r>
              <w:t>5</w:t>
            </w:r>
          </w:p>
          <w:p w:rsidR="002E6C2B" w:rsidRDefault="002E6C2B" w:rsidP="009C4E91">
            <w:pPr>
              <w:jc w:val="right"/>
            </w:pPr>
            <w:r>
              <w:t>3</w:t>
            </w:r>
          </w:p>
          <w:p w:rsidR="002E6C2B" w:rsidRDefault="002E6C2B" w:rsidP="009C4E91">
            <w:pPr>
              <w:jc w:val="right"/>
            </w:pPr>
            <w:r>
              <w:t>4</w:t>
            </w:r>
          </w:p>
          <w:p w:rsidR="002E6C2B" w:rsidRDefault="002E6C2B" w:rsidP="009C4E91">
            <w:pPr>
              <w:jc w:val="right"/>
            </w:pPr>
            <w:r>
              <w:t>1</w:t>
            </w:r>
          </w:p>
          <w:p w:rsidR="002E6C2B" w:rsidRDefault="002E6C2B" w:rsidP="009C4E91">
            <w:pPr>
              <w:jc w:val="right"/>
            </w:pPr>
            <w:r>
              <w:t>2</w:t>
            </w:r>
          </w:p>
          <w:p w:rsidR="002E6C2B" w:rsidRDefault="002E6C2B" w:rsidP="009C4E91">
            <w:pPr>
              <w:jc w:val="right"/>
            </w:pPr>
            <w:r>
              <w:t>1</w:t>
            </w:r>
          </w:p>
          <w:p w:rsidR="002E6C2B" w:rsidRDefault="002E6C2B" w:rsidP="009C4E91">
            <w:pPr>
              <w:jc w:val="right"/>
            </w:pPr>
            <w:r>
              <w:t>4</w:t>
            </w:r>
          </w:p>
          <w:p w:rsidR="002E6C2B" w:rsidRDefault="002E6C2B" w:rsidP="009C4E91">
            <w:pPr>
              <w:jc w:val="right"/>
            </w:pPr>
            <w:r>
              <w:t>3</w:t>
            </w:r>
          </w:p>
          <w:p w:rsidR="002E6C2B" w:rsidRDefault="002E6C2B" w:rsidP="009C4E91">
            <w:pPr>
              <w:jc w:val="right"/>
            </w:pPr>
            <w:r>
              <w:t>2</w:t>
            </w:r>
          </w:p>
          <w:p w:rsidR="002E6C2B" w:rsidRDefault="002E6C2B" w:rsidP="009C4E91">
            <w:pPr>
              <w:jc w:val="right"/>
            </w:pPr>
            <w:r>
              <w:t>5</w:t>
            </w:r>
          </w:p>
        </w:tc>
        <w:tc>
          <w:tcPr>
            <w:tcW w:w="805" w:type="pct"/>
            <w:tcBorders>
              <w:top w:val="nil"/>
              <w:bottom w:val="nil"/>
            </w:tcBorders>
          </w:tcPr>
          <w:p w:rsidR="009C4E91" w:rsidRPr="008C0087" w:rsidRDefault="002E6C2B" w:rsidP="009C4E91">
            <w:pPr>
              <w:jc w:val="right"/>
              <w:rPr>
                <w:color w:val="FFFFFF" w:themeColor="background1"/>
                <w:vertAlign w:val="superscript"/>
              </w:rPr>
            </w:pPr>
            <w:r w:rsidRPr="002E6C2B">
              <w:t>0,453</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1,000</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1,000</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0,125</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0,453</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0,125</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1,000</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1,000</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0,453</w:t>
            </w:r>
            <w:r w:rsidR="008C0087">
              <w:rPr>
                <w:color w:val="FFFFFF" w:themeColor="background1"/>
                <w:vertAlign w:val="superscript"/>
              </w:rPr>
              <w:t>***</w:t>
            </w:r>
          </w:p>
          <w:p w:rsidR="002E6C2B" w:rsidRPr="008C0087" w:rsidRDefault="002E6C2B" w:rsidP="009C4E91">
            <w:pPr>
              <w:jc w:val="right"/>
              <w:rPr>
                <w:color w:val="FFFFFF" w:themeColor="background1"/>
                <w:vertAlign w:val="superscript"/>
              </w:rPr>
            </w:pPr>
            <w:r>
              <w:t>0,453</w:t>
            </w:r>
            <w:r w:rsidR="008C0087">
              <w:rPr>
                <w:color w:val="FFFFFF" w:themeColor="background1"/>
                <w:vertAlign w:val="superscript"/>
              </w:rPr>
              <w:t>***</w:t>
            </w:r>
          </w:p>
        </w:tc>
      </w:tr>
      <w:tr w:rsidR="009C4E91" w:rsidTr="009C4E91">
        <w:trPr>
          <w:cnfStyle w:val="010000000000"/>
        </w:trPr>
        <w:tc>
          <w:tcPr>
            <w:tcW w:w="807" w:type="pct"/>
            <w:tcBorders>
              <w:top w:val="nil"/>
            </w:tcBorders>
          </w:tcPr>
          <w:p w:rsidR="009C4E91" w:rsidRDefault="009C4E91" w:rsidP="00CF61D9"/>
        </w:tc>
        <w:tc>
          <w:tcPr>
            <w:tcW w:w="807" w:type="pct"/>
            <w:tcBorders>
              <w:top w:val="nil"/>
            </w:tcBorders>
          </w:tcPr>
          <w:p w:rsidR="009C4E91" w:rsidRDefault="009C4E91" w:rsidP="00CF61D9"/>
        </w:tc>
        <w:tc>
          <w:tcPr>
            <w:tcW w:w="916" w:type="pct"/>
            <w:tcBorders>
              <w:top w:val="nil"/>
            </w:tcBorders>
            <w:noWrap/>
          </w:tcPr>
          <w:p w:rsidR="009C4E91" w:rsidRDefault="009C4E91" w:rsidP="00CF61D9"/>
        </w:tc>
        <w:tc>
          <w:tcPr>
            <w:tcW w:w="857" w:type="pct"/>
            <w:tcBorders>
              <w:top w:val="nil"/>
            </w:tcBorders>
          </w:tcPr>
          <w:p w:rsidR="009C4E91" w:rsidRDefault="009C4E91" w:rsidP="00CF61D9"/>
        </w:tc>
        <w:tc>
          <w:tcPr>
            <w:tcW w:w="808" w:type="pct"/>
            <w:tcBorders>
              <w:top w:val="nil"/>
            </w:tcBorders>
          </w:tcPr>
          <w:p w:rsidR="009C4E91" w:rsidRDefault="009C4E91" w:rsidP="00CF61D9"/>
        </w:tc>
        <w:tc>
          <w:tcPr>
            <w:tcW w:w="805" w:type="pct"/>
            <w:tcBorders>
              <w:top w:val="nil"/>
            </w:tcBorders>
          </w:tcPr>
          <w:p w:rsidR="009C4E91" w:rsidRDefault="009C4E91" w:rsidP="00CF61D9"/>
        </w:tc>
      </w:tr>
    </w:tbl>
    <w:p w:rsidR="004F2927" w:rsidRPr="00C4515C" w:rsidRDefault="009C4E91" w:rsidP="00C4515C">
      <w:pPr>
        <w:pStyle w:val="Caption"/>
        <w:jc w:val="both"/>
        <w:rPr>
          <w:b w:val="0"/>
        </w:rPr>
      </w:pPr>
      <w:r>
        <w:t xml:space="preserve">Tabel </w:t>
      </w:r>
      <w:r w:rsidR="00992938">
        <w:t>7</w:t>
      </w:r>
      <w:r>
        <w:t>: Statistische testen boven de 10% van het uitstaande aandelenkapitaal</w:t>
      </w:r>
      <w:r w:rsidR="00B70E2B">
        <w:t xml:space="preserve"> (subgroep C)</w:t>
      </w:r>
      <w:r w:rsidR="00AD3231">
        <w:t>.</w:t>
      </w:r>
    </w:p>
    <w:p w:rsidR="009C4E91" w:rsidRPr="00A16C92" w:rsidRDefault="00652E61" w:rsidP="00855842">
      <w:pPr>
        <w:pStyle w:val="Heading2"/>
        <w:numPr>
          <w:ilvl w:val="1"/>
          <w:numId w:val="2"/>
        </w:numPr>
        <w:rPr>
          <w:color w:val="auto"/>
        </w:rPr>
      </w:pPr>
      <w:bookmarkStart w:id="23" w:name="_Toc361526576"/>
      <w:r>
        <w:rPr>
          <w:color w:val="auto"/>
        </w:rPr>
        <w:lastRenderedPageBreak/>
        <w:t>B</w:t>
      </w:r>
      <w:r w:rsidR="002041B9">
        <w:rPr>
          <w:color w:val="auto"/>
        </w:rPr>
        <w:t xml:space="preserve">elangrijke gebeurtenissen anders dan </w:t>
      </w:r>
      <w:r w:rsidR="00793412">
        <w:rPr>
          <w:color w:val="auto"/>
        </w:rPr>
        <w:t xml:space="preserve">het </w:t>
      </w:r>
      <w:proofErr w:type="spellStart"/>
      <w:r w:rsidR="00793412">
        <w:rPr>
          <w:color w:val="auto"/>
        </w:rPr>
        <w:t>aandeleninkoopprogramma</w:t>
      </w:r>
      <w:proofErr w:type="spellEnd"/>
      <w:r w:rsidR="00793412">
        <w:rPr>
          <w:color w:val="auto"/>
        </w:rPr>
        <w:t xml:space="preserve"> op de dag van</w:t>
      </w:r>
      <w:r w:rsidR="002041B9">
        <w:rPr>
          <w:color w:val="auto"/>
        </w:rPr>
        <w:t xml:space="preserve"> aankondiging</w:t>
      </w:r>
      <w:bookmarkEnd w:id="23"/>
    </w:p>
    <w:p w:rsidR="00CC30E1" w:rsidRDefault="009C4E91" w:rsidP="009965EB">
      <w:pPr>
        <w:pStyle w:val="NoSpacing"/>
        <w:spacing w:before="120"/>
        <w:jc w:val="both"/>
      </w:pPr>
      <w:r>
        <w:t xml:space="preserve">Als laatste </w:t>
      </w:r>
      <w:r w:rsidR="00CC30E1">
        <w:t>is gekeken</w:t>
      </w:r>
      <w:r>
        <w:t xml:space="preserve"> naar de invloed van (andere) belangrijke gebeurtenissen op de dag van aankondiging</w:t>
      </w:r>
      <w:r w:rsidR="00040405">
        <w:t xml:space="preserve"> op de resultaten. </w:t>
      </w:r>
      <w:r w:rsidR="00CC30E1">
        <w:t xml:space="preserve">In </w:t>
      </w:r>
      <w:r w:rsidR="00CC30E1" w:rsidRPr="00122BEF">
        <w:t xml:space="preserve">figuur </w:t>
      </w:r>
      <w:r w:rsidR="00D3439B" w:rsidRPr="00122BEF">
        <w:t>8</w:t>
      </w:r>
      <w:r w:rsidR="00CC30E1" w:rsidRPr="00122BEF">
        <w:t xml:space="preserve"> </w:t>
      </w:r>
      <w:r w:rsidR="0079097E" w:rsidRPr="00122BEF">
        <w:t xml:space="preserve">en figuur </w:t>
      </w:r>
      <w:r w:rsidR="00D3439B" w:rsidRPr="00122BEF">
        <w:t>9</w:t>
      </w:r>
      <w:r w:rsidR="0079097E" w:rsidRPr="00122BEF">
        <w:t xml:space="preserve"> </w:t>
      </w:r>
      <w:r w:rsidR="00CC30E1">
        <w:t xml:space="preserve">is het abnormaal rendement van de </w:t>
      </w:r>
      <w:proofErr w:type="spellStart"/>
      <w:r w:rsidR="00CC30E1">
        <w:t>aandeleninkoopprogramma’s</w:t>
      </w:r>
      <w:proofErr w:type="spellEnd"/>
      <w:r w:rsidR="00CC30E1">
        <w:t xml:space="preserve"> </w:t>
      </w:r>
      <w:r w:rsidR="0079097E">
        <w:t>met</w:t>
      </w:r>
      <w:r w:rsidR="00CC30E1">
        <w:t xml:space="preserve"> </w:t>
      </w:r>
      <w:r w:rsidR="00652E61">
        <w:t xml:space="preserve">belangrijke </w:t>
      </w:r>
      <w:r w:rsidR="00CC30E1">
        <w:t>gebeurtenissen</w:t>
      </w:r>
      <w:r w:rsidR="002B3BBE">
        <w:t>,</w:t>
      </w:r>
      <w:r w:rsidR="00CC30E1">
        <w:t xml:space="preserve"> vergeleken met </w:t>
      </w:r>
      <w:r w:rsidR="0079097E">
        <w:t xml:space="preserve">het abnormaal rendement zonder </w:t>
      </w:r>
      <w:r w:rsidR="00652E61">
        <w:t xml:space="preserve">belangrijke </w:t>
      </w:r>
      <w:r w:rsidR="0079097E">
        <w:t xml:space="preserve">gebeurtenissen. De hoogte van het abnormaal rendement is bij het </w:t>
      </w:r>
      <w:proofErr w:type="spellStart"/>
      <w:r w:rsidR="0079097E">
        <w:t>Market-Adjusted</w:t>
      </w:r>
      <w:proofErr w:type="spellEnd"/>
      <w:r w:rsidR="0079097E">
        <w:t xml:space="preserve"> Return Model wederom iets hoger dan bij het Markt Model. Uit deze grafieken is af te leiden dat het abnormaal rendement </w:t>
      </w:r>
      <w:r w:rsidR="00B53F09">
        <w:t xml:space="preserve">op de dag van aankondiging </w:t>
      </w:r>
      <w:r w:rsidR="0079097E">
        <w:t xml:space="preserve">bij de groep met </w:t>
      </w:r>
      <w:r w:rsidR="004D6E11">
        <w:t>gebeurtenissen</w:t>
      </w:r>
      <w:r w:rsidR="0079097E">
        <w:t xml:space="preserve"> hoger ligt dan de groep zonder gebeurtenissen.  </w:t>
      </w:r>
    </w:p>
    <w:p w:rsidR="00CC30E1" w:rsidRDefault="00CC30E1" w:rsidP="009C4E91">
      <w:pPr>
        <w:pStyle w:val="NoSpacing"/>
      </w:pPr>
    </w:p>
    <w:p w:rsidR="0079097E" w:rsidRDefault="0079097E" w:rsidP="009C4E91">
      <w:pPr>
        <w:pStyle w:val="NoSpacing"/>
      </w:pPr>
      <w:r w:rsidRPr="0079097E">
        <w:rPr>
          <w:noProof/>
          <w:lang w:val="en-US"/>
        </w:rPr>
        <w:drawing>
          <wp:inline distT="0" distB="0" distL="0" distR="0">
            <wp:extent cx="5219700" cy="2971801"/>
            <wp:effectExtent l="19050" t="0" r="19050" b="0"/>
            <wp:docPr id="2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C30E1" w:rsidRDefault="0079097E" w:rsidP="0079097E">
      <w:pPr>
        <w:pStyle w:val="Caption"/>
      </w:pPr>
      <w:r>
        <w:t xml:space="preserve">Figuur </w:t>
      </w:r>
      <w:r w:rsidR="00D3439B">
        <w:t>8</w:t>
      </w:r>
      <w:r>
        <w:t xml:space="preserve">: Het abnormaal rendement volgens het </w:t>
      </w:r>
      <w:proofErr w:type="spellStart"/>
      <w:r>
        <w:t>Market-Adjusted</w:t>
      </w:r>
      <w:proofErr w:type="spellEnd"/>
      <w:r>
        <w:t xml:space="preserve"> </w:t>
      </w:r>
      <w:r w:rsidR="000F3872">
        <w:t>R</w:t>
      </w:r>
      <w:r>
        <w:t>eturn Model met en zonder belangrijke gebeurtenissen op de dag van  aankondiging</w:t>
      </w:r>
      <w:r w:rsidR="00AD3231">
        <w:t>.</w:t>
      </w:r>
    </w:p>
    <w:p w:rsidR="00CC30E1" w:rsidRDefault="00CC30E1" w:rsidP="00CC30E1">
      <w:pPr>
        <w:keepNext/>
      </w:pPr>
      <w:r w:rsidRPr="0003589A">
        <w:rPr>
          <w:noProof/>
          <w:lang w:val="en-US"/>
        </w:rPr>
        <w:drawing>
          <wp:inline distT="0" distB="0" distL="0" distR="0">
            <wp:extent cx="5219700" cy="2971801"/>
            <wp:effectExtent l="19050" t="0" r="19050" b="0"/>
            <wp:docPr id="2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9097E" w:rsidRDefault="0079097E" w:rsidP="0079097E">
      <w:pPr>
        <w:pStyle w:val="Caption"/>
      </w:pPr>
      <w:r>
        <w:t xml:space="preserve">Figuur </w:t>
      </w:r>
      <w:r w:rsidR="00D3439B">
        <w:t>9</w:t>
      </w:r>
      <w:r w:rsidR="000527DE">
        <w:t>:</w:t>
      </w:r>
      <w:r>
        <w:t xml:space="preserve"> Het abnormaal rendement volgens het Markt Model met en zonder belangrijke gebeurtenissen                                                   op de dag van  aankondiging</w:t>
      </w:r>
    </w:p>
    <w:p w:rsidR="00CC30E1" w:rsidRDefault="00CC30E1" w:rsidP="009C4E91">
      <w:pPr>
        <w:pStyle w:val="NoSpacing"/>
      </w:pPr>
    </w:p>
    <w:p w:rsidR="00425E6F" w:rsidRDefault="00425E6F" w:rsidP="009965EB">
      <w:pPr>
        <w:pStyle w:val="NoSpacing"/>
        <w:jc w:val="both"/>
      </w:pPr>
      <w:r>
        <w:lastRenderedPageBreak/>
        <w:t>De resultaten van de statis</w:t>
      </w:r>
      <w:r w:rsidR="002C795B">
        <w:t>tis</w:t>
      </w:r>
      <w:r>
        <w:t xml:space="preserve">che testen van de </w:t>
      </w:r>
      <w:proofErr w:type="spellStart"/>
      <w:r>
        <w:t>aandeleninkoopprogramma’s</w:t>
      </w:r>
      <w:proofErr w:type="spellEnd"/>
      <w:r>
        <w:t xml:space="preserve"> met en zonder gebeurtenissen zijn te vinden in </w:t>
      </w:r>
      <w:r w:rsidRPr="00122BEF">
        <w:t xml:space="preserve">bijlage </w:t>
      </w:r>
      <w:r w:rsidR="00D3439B" w:rsidRPr="00122BEF">
        <w:t>9</w:t>
      </w:r>
      <w:r w:rsidRPr="00122BEF">
        <w:t xml:space="preserve"> en tabel 8</w:t>
      </w:r>
      <w:r w:rsidR="003935C6">
        <w:rPr>
          <w:rStyle w:val="FootnoteReference"/>
        </w:rPr>
        <w:footnoteReference w:id="27"/>
      </w:r>
      <w:r w:rsidRPr="00122BEF">
        <w:t>.</w:t>
      </w:r>
      <w:r>
        <w:t xml:space="preserve"> Bij de </w:t>
      </w:r>
      <w:proofErr w:type="spellStart"/>
      <w:r>
        <w:t>aandeleninkoopprogramma’s</w:t>
      </w:r>
      <w:proofErr w:type="spellEnd"/>
      <w:r>
        <w:t xml:space="preserve"> zonder gebeurtenissen word</w:t>
      </w:r>
      <w:r w:rsidR="00777076">
        <w:t>t</w:t>
      </w:r>
      <w:r>
        <w:t xml:space="preserve"> op de dag van aankondiging bij </w:t>
      </w:r>
      <w:r w:rsidR="00197804">
        <w:t xml:space="preserve">zowel de </w:t>
      </w:r>
      <w:proofErr w:type="spellStart"/>
      <w:r w:rsidR="00197804">
        <w:t>t-toets</w:t>
      </w:r>
      <w:proofErr w:type="spellEnd"/>
      <w:r w:rsidR="00197804">
        <w:t xml:space="preserve"> als de tekentoets</w:t>
      </w:r>
      <w:r>
        <w:t xml:space="preserve"> een statistisch significant abnormaal rendement gevonden (</w:t>
      </w:r>
      <w:r w:rsidR="00E0506C">
        <w:t>tabel 8</w:t>
      </w:r>
      <w:r>
        <w:t xml:space="preserve">). Het abnormaal rendement middels de </w:t>
      </w:r>
      <w:proofErr w:type="spellStart"/>
      <w:r>
        <w:t>Market-Adjusted</w:t>
      </w:r>
      <w:proofErr w:type="spellEnd"/>
      <w:r>
        <w:t xml:space="preserve"> Return Model bedraagt hierbij 1,06% en het abnormaal rendement </w:t>
      </w:r>
      <w:r w:rsidR="00B53F09">
        <w:t xml:space="preserve">middels het Markt Model </w:t>
      </w:r>
      <w:r>
        <w:t xml:space="preserve">1,01%. Daarnaast </w:t>
      </w:r>
      <w:r w:rsidR="00777076">
        <w:t xml:space="preserve">is de </w:t>
      </w:r>
      <w:proofErr w:type="spellStart"/>
      <w:r w:rsidR="00777076">
        <w:t>t-toets</w:t>
      </w:r>
      <w:proofErr w:type="spellEnd"/>
      <w:r w:rsidR="00777076">
        <w:t xml:space="preserve"> op </w:t>
      </w:r>
      <w:r w:rsidR="00E0506C">
        <w:t>handelsdagen</w:t>
      </w:r>
      <w:r>
        <w:t xml:space="preserve"> </w:t>
      </w:r>
      <w:r w:rsidR="00E0506C">
        <w:t>t=-5, t=-3 en t=4 statistisch significant</w:t>
      </w:r>
      <w:r w:rsidR="00197804">
        <w:t xml:space="preserve">. </w:t>
      </w:r>
      <w:r w:rsidR="00777076">
        <w:t>Bij d</w:t>
      </w:r>
      <w:r w:rsidR="00197804">
        <w:t xml:space="preserve">e tekentoets </w:t>
      </w:r>
      <w:r w:rsidR="00777076">
        <w:t>wordt op</w:t>
      </w:r>
      <w:r w:rsidR="00197804">
        <w:t xml:space="preserve"> vier handelsdagen na de aankondiging</w:t>
      </w:r>
      <w:r w:rsidR="00777076">
        <w:t xml:space="preserve"> (t=4) een</w:t>
      </w:r>
      <w:r w:rsidR="00197804">
        <w:t xml:space="preserve"> statistisch significant</w:t>
      </w:r>
      <w:r w:rsidR="00777076">
        <w:t xml:space="preserve"> abnormaal rendement gevonden</w:t>
      </w:r>
      <w:r>
        <w:t xml:space="preserve">. </w:t>
      </w:r>
      <w:r w:rsidR="00197804">
        <w:t>Bij de</w:t>
      </w:r>
      <w:r>
        <w:t xml:space="preserve"> </w:t>
      </w:r>
      <w:proofErr w:type="spellStart"/>
      <w:r>
        <w:t>aandeleninkoopprogramma’s</w:t>
      </w:r>
      <w:proofErr w:type="spellEnd"/>
      <w:r>
        <w:t xml:space="preserve"> met gebeurtenissen wordt op de dag van aankondiging </w:t>
      </w:r>
      <w:r w:rsidR="00E0506C">
        <w:t xml:space="preserve">alleen bij de </w:t>
      </w:r>
      <w:proofErr w:type="spellStart"/>
      <w:r w:rsidR="00E0506C">
        <w:t>t-toets</w:t>
      </w:r>
      <w:proofErr w:type="spellEnd"/>
      <w:r w:rsidR="00E0506C">
        <w:t xml:space="preserve"> een</w:t>
      </w:r>
      <w:r>
        <w:t xml:space="preserve"> </w:t>
      </w:r>
      <w:r w:rsidR="00197804">
        <w:t xml:space="preserve">statistisch </w:t>
      </w:r>
      <w:r>
        <w:t>significant abnormaal rendement gevonden</w:t>
      </w:r>
      <w:r w:rsidR="00197804">
        <w:t xml:space="preserve"> (bijlage 9)</w:t>
      </w:r>
      <w:r>
        <w:t xml:space="preserve">. </w:t>
      </w:r>
      <w:r w:rsidR="00E0506C">
        <w:t xml:space="preserve">Het abnormaal rendement middels het Markt Model bedraagt hierbij 1,36%. </w:t>
      </w:r>
      <w:r>
        <w:t xml:space="preserve">Wat </w:t>
      </w:r>
      <w:r w:rsidR="00855842">
        <w:t xml:space="preserve">vooral </w:t>
      </w:r>
      <w:r>
        <w:t xml:space="preserve">opvalt </w:t>
      </w:r>
      <w:r w:rsidR="00FB1187">
        <w:t>is de lage waarde</w:t>
      </w:r>
      <w:r>
        <w:t xml:space="preserve"> van de tekentoets. Bij het Markt Model wordt bij 27 </w:t>
      </w:r>
      <w:proofErr w:type="spellStart"/>
      <w:r>
        <w:t>aandeleninkoopprogramma</w:t>
      </w:r>
      <w:r w:rsidR="00714724">
        <w:t>’</w:t>
      </w:r>
      <w:r>
        <w:t>s</w:t>
      </w:r>
      <w:proofErr w:type="spellEnd"/>
      <w:r>
        <w:t xml:space="preserve"> een positief abnormaal rendement en bij 22 </w:t>
      </w:r>
      <w:proofErr w:type="spellStart"/>
      <w:r>
        <w:t>aandeleninkoopprogramma</w:t>
      </w:r>
      <w:r w:rsidR="00714724">
        <w:t>’</w:t>
      </w:r>
      <w:r>
        <w:t>s</w:t>
      </w:r>
      <w:proofErr w:type="spellEnd"/>
      <w:r>
        <w:t xml:space="preserve"> een negatief abnormaal rendement gevonden</w:t>
      </w:r>
      <w:r w:rsidR="00197804">
        <w:t>.</w:t>
      </w:r>
      <w:r w:rsidR="005D114C">
        <w:t xml:space="preserve"> </w:t>
      </w:r>
    </w:p>
    <w:p w:rsidR="00425E6F" w:rsidRDefault="00425E6F" w:rsidP="009C4E91">
      <w:pPr>
        <w:pStyle w:val="NoSpacing"/>
      </w:pPr>
    </w:p>
    <w:tbl>
      <w:tblPr>
        <w:tblStyle w:val="MediumShading2-Accent5"/>
        <w:tblW w:w="5000" w:type="pct"/>
        <w:tblLook w:val="0660"/>
      </w:tblPr>
      <w:tblGrid>
        <w:gridCol w:w="1498"/>
        <w:gridCol w:w="1499"/>
        <w:gridCol w:w="1701"/>
        <w:gridCol w:w="1592"/>
        <w:gridCol w:w="1501"/>
        <w:gridCol w:w="1495"/>
      </w:tblGrid>
      <w:tr w:rsidR="00425E6F" w:rsidTr="00425E6F">
        <w:trPr>
          <w:cnfStyle w:val="100000000000"/>
        </w:trPr>
        <w:tc>
          <w:tcPr>
            <w:tcW w:w="807" w:type="pct"/>
          </w:tcPr>
          <w:p w:rsidR="00425E6F" w:rsidRDefault="00425E6F" w:rsidP="00425E6F">
            <w:r>
              <w:t xml:space="preserve">Dag </w:t>
            </w:r>
          </w:p>
        </w:tc>
        <w:tc>
          <w:tcPr>
            <w:tcW w:w="807" w:type="pct"/>
          </w:tcPr>
          <w:p w:rsidR="00425E6F" w:rsidRDefault="00425E6F" w:rsidP="00425E6F">
            <w:pPr>
              <w:jc w:val="right"/>
            </w:pPr>
            <w:proofErr w:type="spellStart"/>
            <w:r>
              <w:t>Gemiddeld</w:t>
            </w:r>
            <w:proofErr w:type="spellEnd"/>
            <w:r>
              <w:t xml:space="preserve"> AR</w:t>
            </w:r>
          </w:p>
        </w:tc>
        <w:tc>
          <w:tcPr>
            <w:tcW w:w="916" w:type="pct"/>
            <w:noWrap/>
          </w:tcPr>
          <w:p w:rsidR="00425E6F" w:rsidRDefault="00A04D14" w:rsidP="00A04D14">
            <w:pPr>
              <w:jc w:val="center"/>
            </w:pPr>
            <w:r>
              <w:t xml:space="preserve">          </w:t>
            </w:r>
            <w:r w:rsidR="00425E6F">
              <w:t>T-</w:t>
            </w:r>
            <w:proofErr w:type="spellStart"/>
            <w:r w:rsidR="00425E6F">
              <w:t>toets</w:t>
            </w:r>
            <w:proofErr w:type="spellEnd"/>
          </w:p>
          <w:p w:rsidR="00A04D14" w:rsidRDefault="00A04D14" w:rsidP="00425E6F">
            <w:pPr>
              <w:jc w:val="right"/>
            </w:pPr>
            <w:r>
              <w:t>(t-</w:t>
            </w:r>
            <w:proofErr w:type="spellStart"/>
            <w:r>
              <w:t>waarde</w:t>
            </w:r>
            <w:proofErr w:type="spellEnd"/>
            <w:r>
              <w:t>)</w:t>
            </w:r>
          </w:p>
        </w:tc>
        <w:tc>
          <w:tcPr>
            <w:tcW w:w="857" w:type="pct"/>
          </w:tcPr>
          <w:p w:rsidR="00425E6F" w:rsidRDefault="00425E6F" w:rsidP="00425E6F">
            <w:pPr>
              <w:jc w:val="right"/>
            </w:pPr>
            <w:proofErr w:type="spellStart"/>
            <w:r>
              <w:t>Aantal</w:t>
            </w:r>
            <w:proofErr w:type="spellEnd"/>
            <w:r>
              <w:t xml:space="preserve"> pos.</w:t>
            </w:r>
          </w:p>
        </w:tc>
        <w:tc>
          <w:tcPr>
            <w:tcW w:w="808" w:type="pct"/>
          </w:tcPr>
          <w:p w:rsidR="00425E6F" w:rsidRDefault="00425E6F" w:rsidP="00425E6F">
            <w:pPr>
              <w:jc w:val="right"/>
            </w:pPr>
            <w:proofErr w:type="spellStart"/>
            <w:r>
              <w:t>Aantal</w:t>
            </w:r>
            <w:proofErr w:type="spellEnd"/>
            <w:r>
              <w:t xml:space="preserve"> neg.</w:t>
            </w:r>
          </w:p>
        </w:tc>
        <w:tc>
          <w:tcPr>
            <w:tcW w:w="805" w:type="pct"/>
          </w:tcPr>
          <w:p w:rsidR="00425E6F" w:rsidRDefault="00425E6F" w:rsidP="00425E6F">
            <w:pPr>
              <w:jc w:val="right"/>
            </w:pPr>
            <w:proofErr w:type="spellStart"/>
            <w:r>
              <w:t>Tekentoets</w:t>
            </w:r>
            <w:proofErr w:type="spellEnd"/>
          </w:p>
          <w:p w:rsidR="00A04D14" w:rsidRDefault="00A04D14" w:rsidP="00425E6F">
            <w:pPr>
              <w:jc w:val="right"/>
            </w:pPr>
            <w:r>
              <w:t>(p-</w:t>
            </w:r>
            <w:proofErr w:type="spellStart"/>
            <w:r>
              <w:t>waarde</w:t>
            </w:r>
            <w:proofErr w:type="spellEnd"/>
            <w:r>
              <w:t>)</w:t>
            </w:r>
          </w:p>
        </w:tc>
      </w:tr>
      <w:tr w:rsidR="00425E6F" w:rsidTr="00425E6F">
        <w:tc>
          <w:tcPr>
            <w:tcW w:w="5000" w:type="pct"/>
            <w:gridSpan w:val="6"/>
          </w:tcPr>
          <w:p w:rsidR="00425E6F" w:rsidRPr="006B267C" w:rsidRDefault="00425E6F" w:rsidP="00425E6F">
            <w:pPr>
              <w:rPr>
                <w:color w:val="FF0000"/>
              </w:rPr>
            </w:pPr>
            <w:r>
              <w:rPr>
                <w:rStyle w:val="SubtleEmphasis"/>
                <w:color w:val="FF0000"/>
              </w:rPr>
              <w:t>Market-Adjusted Return Model</w:t>
            </w:r>
          </w:p>
        </w:tc>
      </w:tr>
      <w:tr w:rsidR="00425E6F" w:rsidTr="00425E6F">
        <w:tc>
          <w:tcPr>
            <w:tcW w:w="807" w:type="pct"/>
            <w:tcBorders>
              <w:bottom w:val="nil"/>
            </w:tcBorders>
          </w:tcPr>
          <w:p w:rsidR="00425E6F" w:rsidRDefault="00425E6F" w:rsidP="00425E6F">
            <w:r>
              <w:t>T=-5</w:t>
            </w:r>
          </w:p>
        </w:tc>
        <w:tc>
          <w:tcPr>
            <w:tcW w:w="807" w:type="pct"/>
            <w:tcBorders>
              <w:bottom w:val="nil"/>
            </w:tcBorders>
          </w:tcPr>
          <w:p w:rsidR="00425E6F" w:rsidRDefault="00425E6F" w:rsidP="00425E6F">
            <w:pPr>
              <w:jc w:val="right"/>
            </w:pPr>
            <w:r>
              <w:t>0,76%</w:t>
            </w:r>
          </w:p>
        </w:tc>
        <w:tc>
          <w:tcPr>
            <w:tcW w:w="916" w:type="pct"/>
            <w:tcBorders>
              <w:bottom w:val="nil"/>
            </w:tcBorders>
            <w:noWrap/>
          </w:tcPr>
          <w:p w:rsidR="00425E6F" w:rsidRPr="00DD4E33" w:rsidRDefault="00425E6F" w:rsidP="00425E6F">
            <w:pPr>
              <w:jc w:val="right"/>
              <w:rPr>
                <w:color w:val="FFFFFF" w:themeColor="background1"/>
                <w:vertAlign w:val="superscript"/>
              </w:rPr>
            </w:pPr>
            <w:r w:rsidRPr="00DD4E33">
              <w:t>2,135</w:t>
            </w:r>
            <w:r w:rsidR="008C0087" w:rsidRPr="00DD4E33">
              <w:rPr>
                <w:b/>
                <w:vertAlign w:val="superscript"/>
              </w:rPr>
              <w:t>**</w:t>
            </w:r>
            <w:r w:rsidR="008C0087" w:rsidRPr="00DD4E33">
              <w:rPr>
                <w:color w:val="FFFFFF" w:themeColor="background1"/>
                <w:vertAlign w:val="superscript"/>
              </w:rPr>
              <w:t>*</w:t>
            </w:r>
          </w:p>
        </w:tc>
        <w:tc>
          <w:tcPr>
            <w:tcW w:w="857" w:type="pct"/>
            <w:tcBorders>
              <w:bottom w:val="nil"/>
            </w:tcBorders>
          </w:tcPr>
          <w:p w:rsidR="00425E6F" w:rsidRDefault="00425E6F" w:rsidP="00425E6F">
            <w:pPr>
              <w:jc w:val="right"/>
            </w:pPr>
            <w:r>
              <w:t>13</w:t>
            </w:r>
          </w:p>
        </w:tc>
        <w:tc>
          <w:tcPr>
            <w:tcW w:w="808" w:type="pct"/>
            <w:tcBorders>
              <w:bottom w:val="nil"/>
            </w:tcBorders>
          </w:tcPr>
          <w:p w:rsidR="00425E6F" w:rsidRDefault="00425E6F" w:rsidP="00425E6F">
            <w:pPr>
              <w:jc w:val="right"/>
            </w:pPr>
            <w:r>
              <w:t>6</w:t>
            </w:r>
          </w:p>
        </w:tc>
        <w:tc>
          <w:tcPr>
            <w:tcW w:w="805" w:type="pct"/>
            <w:tcBorders>
              <w:bottom w:val="nil"/>
            </w:tcBorders>
          </w:tcPr>
          <w:p w:rsidR="00425E6F" w:rsidRPr="008C0087" w:rsidRDefault="00425E6F" w:rsidP="00425E6F">
            <w:pPr>
              <w:jc w:val="right"/>
              <w:rPr>
                <w:color w:val="FFFFFF" w:themeColor="background1"/>
                <w:vertAlign w:val="superscript"/>
              </w:rPr>
            </w:pPr>
            <w:r>
              <w:t>0,167</w:t>
            </w:r>
            <w:r w:rsidR="008C0087">
              <w:rPr>
                <w:color w:val="FFFFFF" w:themeColor="background1"/>
                <w:vertAlign w:val="superscript"/>
              </w:rPr>
              <w:t>***</w:t>
            </w:r>
          </w:p>
        </w:tc>
      </w:tr>
      <w:tr w:rsidR="00425E6F" w:rsidTr="00425E6F">
        <w:tc>
          <w:tcPr>
            <w:tcW w:w="807" w:type="pct"/>
            <w:tcBorders>
              <w:top w:val="nil"/>
              <w:bottom w:val="single" w:sz="4" w:space="0" w:color="auto"/>
            </w:tcBorders>
          </w:tcPr>
          <w:p w:rsidR="00425E6F" w:rsidRDefault="00425E6F" w:rsidP="00425E6F">
            <w:r>
              <w:t>T=-4</w:t>
            </w:r>
          </w:p>
          <w:p w:rsidR="00425E6F" w:rsidRDefault="00425E6F" w:rsidP="00425E6F">
            <w:r>
              <w:t>T=-3</w:t>
            </w:r>
          </w:p>
          <w:p w:rsidR="00425E6F" w:rsidRDefault="00425E6F" w:rsidP="00425E6F">
            <w:r>
              <w:t>T=-2</w:t>
            </w:r>
          </w:p>
          <w:p w:rsidR="00425E6F" w:rsidRDefault="00425E6F" w:rsidP="00425E6F">
            <w:r>
              <w:t>T=-1</w:t>
            </w:r>
          </w:p>
          <w:p w:rsidR="00425E6F" w:rsidRDefault="00425E6F" w:rsidP="00425E6F">
            <w:r>
              <w:t>T=0</w:t>
            </w:r>
          </w:p>
          <w:p w:rsidR="00425E6F" w:rsidRDefault="00425E6F" w:rsidP="00425E6F">
            <w:r>
              <w:t>T=1</w:t>
            </w:r>
          </w:p>
          <w:p w:rsidR="00425E6F" w:rsidRDefault="00425E6F" w:rsidP="00425E6F">
            <w:r>
              <w:t>T=2</w:t>
            </w:r>
          </w:p>
          <w:p w:rsidR="00425E6F" w:rsidRDefault="00425E6F" w:rsidP="00425E6F">
            <w:r>
              <w:t>T=3</w:t>
            </w:r>
          </w:p>
          <w:p w:rsidR="00425E6F" w:rsidRDefault="00425E6F" w:rsidP="00425E6F">
            <w:r>
              <w:t xml:space="preserve">T=4 </w:t>
            </w:r>
          </w:p>
          <w:p w:rsidR="00425E6F" w:rsidRDefault="00425E6F" w:rsidP="00425E6F">
            <w:r>
              <w:t>T=5</w:t>
            </w:r>
          </w:p>
          <w:p w:rsidR="00425E6F" w:rsidRDefault="00425E6F" w:rsidP="00425E6F"/>
        </w:tc>
        <w:tc>
          <w:tcPr>
            <w:tcW w:w="807" w:type="pct"/>
            <w:tcBorders>
              <w:top w:val="nil"/>
              <w:bottom w:val="single" w:sz="4" w:space="0" w:color="auto"/>
            </w:tcBorders>
          </w:tcPr>
          <w:p w:rsidR="00425E6F" w:rsidRDefault="00425E6F" w:rsidP="00425E6F">
            <w:pPr>
              <w:jc w:val="right"/>
            </w:pPr>
            <w:r>
              <w:t>0,11%</w:t>
            </w:r>
          </w:p>
          <w:p w:rsidR="00425E6F" w:rsidRDefault="00425E6F" w:rsidP="00425E6F">
            <w:pPr>
              <w:jc w:val="right"/>
            </w:pPr>
            <w:r>
              <w:t>-0,61%</w:t>
            </w:r>
          </w:p>
          <w:p w:rsidR="00425E6F" w:rsidRDefault="00425E6F" w:rsidP="00425E6F">
            <w:pPr>
              <w:jc w:val="right"/>
            </w:pPr>
            <w:r>
              <w:t>-0,19%</w:t>
            </w:r>
          </w:p>
          <w:p w:rsidR="00425E6F" w:rsidRDefault="00425E6F" w:rsidP="00425E6F">
            <w:pPr>
              <w:jc w:val="right"/>
              <w:rPr>
                <w:lang w:val="nl-NL"/>
              </w:rPr>
            </w:pPr>
            <w:r>
              <w:t>0,22</w:t>
            </w:r>
            <w:r>
              <w:rPr>
                <w:lang w:val="nl-NL"/>
              </w:rPr>
              <w:t>%</w:t>
            </w:r>
          </w:p>
          <w:p w:rsidR="00425E6F" w:rsidRDefault="00425E6F" w:rsidP="00425E6F">
            <w:pPr>
              <w:jc w:val="right"/>
              <w:rPr>
                <w:lang w:val="nl-NL"/>
              </w:rPr>
            </w:pPr>
            <w:r>
              <w:rPr>
                <w:lang w:val="nl-NL"/>
              </w:rPr>
              <w:t>1,06%</w:t>
            </w:r>
          </w:p>
          <w:p w:rsidR="00425E6F" w:rsidRDefault="00425E6F" w:rsidP="00425E6F">
            <w:pPr>
              <w:jc w:val="right"/>
              <w:rPr>
                <w:lang w:val="nl-NL"/>
              </w:rPr>
            </w:pPr>
            <w:r>
              <w:rPr>
                <w:lang w:val="nl-NL"/>
              </w:rPr>
              <w:t>0,24%</w:t>
            </w:r>
          </w:p>
          <w:p w:rsidR="00425E6F" w:rsidRDefault="00425E6F" w:rsidP="00425E6F">
            <w:pPr>
              <w:jc w:val="right"/>
              <w:rPr>
                <w:lang w:val="nl-NL"/>
              </w:rPr>
            </w:pPr>
            <w:r>
              <w:rPr>
                <w:lang w:val="nl-NL"/>
              </w:rPr>
              <w:t>-0,01%</w:t>
            </w:r>
          </w:p>
          <w:p w:rsidR="00425E6F" w:rsidRDefault="00425E6F" w:rsidP="00425E6F">
            <w:pPr>
              <w:jc w:val="right"/>
              <w:rPr>
                <w:lang w:val="nl-NL"/>
              </w:rPr>
            </w:pPr>
            <w:r>
              <w:rPr>
                <w:lang w:val="nl-NL"/>
              </w:rPr>
              <w:t>-0,20%</w:t>
            </w:r>
          </w:p>
          <w:p w:rsidR="00425E6F" w:rsidRDefault="00425E6F" w:rsidP="00425E6F">
            <w:pPr>
              <w:jc w:val="right"/>
              <w:rPr>
                <w:lang w:val="nl-NL"/>
              </w:rPr>
            </w:pPr>
            <w:r>
              <w:rPr>
                <w:lang w:val="nl-NL"/>
              </w:rPr>
              <w:t>0,53%</w:t>
            </w:r>
          </w:p>
          <w:p w:rsidR="00425E6F" w:rsidRPr="004E7BBD" w:rsidRDefault="00425E6F" w:rsidP="00425E6F">
            <w:pPr>
              <w:jc w:val="right"/>
              <w:rPr>
                <w:lang w:val="nl-NL"/>
              </w:rPr>
            </w:pPr>
            <w:r>
              <w:rPr>
                <w:lang w:val="nl-NL"/>
              </w:rPr>
              <w:t>0,03%</w:t>
            </w:r>
          </w:p>
        </w:tc>
        <w:tc>
          <w:tcPr>
            <w:tcW w:w="916" w:type="pct"/>
            <w:tcBorders>
              <w:top w:val="nil"/>
              <w:bottom w:val="single" w:sz="4" w:space="0" w:color="auto"/>
            </w:tcBorders>
            <w:noWrap/>
          </w:tcPr>
          <w:p w:rsidR="00425E6F" w:rsidRPr="00DD4E33" w:rsidRDefault="00425E6F" w:rsidP="00425E6F">
            <w:pPr>
              <w:jc w:val="right"/>
              <w:rPr>
                <w:color w:val="FFFFFF" w:themeColor="background1"/>
                <w:vertAlign w:val="superscript"/>
              </w:rPr>
            </w:pPr>
            <w:r w:rsidRPr="00DD4E33">
              <w:t>0,468</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-1,917</w:t>
            </w:r>
            <w:r w:rsidR="008C0087" w:rsidRPr="00DD4E33">
              <w:rPr>
                <w:b/>
                <w:vertAlign w:val="superscript"/>
              </w:rPr>
              <w:t>*</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-0,556</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0,830</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2,560</w:t>
            </w:r>
            <w:r w:rsidR="008C0087" w:rsidRPr="00DD4E33">
              <w:rPr>
                <w:b/>
                <w:vertAlign w:val="superscript"/>
              </w:rPr>
              <w:t>**</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0,621</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-0,021</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-0,516</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3,711</w:t>
            </w:r>
            <w:r w:rsidR="008C0087" w:rsidRPr="00DD4E33">
              <w:rPr>
                <w:b/>
                <w:vertAlign w:val="superscript"/>
              </w:rPr>
              <w:t>***</w:t>
            </w:r>
          </w:p>
          <w:p w:rsidR="00425E6F" w:rsidRPr="00DD4E33" w:rsidRDefault="00425E6F" w:rsidP="00425E6F">
            <w:pPr>
              <w:jc w:val="right"/>
              <w:rPr>
                <w:color w:val="FFFFFF" w:themeColor="background1"/>
                <w:vertAlign w:val="superscript"/>
              </w:rPr>
            </w:pPr>
            <w:r w:rsidRPr="00DD4E33">
              <w:t>0,149</w:t>
            </w:r>
            <w:r w:rsidR="008C0087" w:rsidRPr="00DD4E33">
              <w:rPr>
                <w:color w:val="FFFFFF" w:themeColor="background1"/>
                <w:vertAlign w:val="superscript"/>
              </w:rPr>
              <w:t>***</w:t>
            </w:r>
          </w:p>
        </w:tc>
        <w:tc>
          <w:tcPr>
            <w:tcW w:w="857" w:type="pct"/>
            <w:tcBorders>
              <w:top w:val="nil"/>
              <w:bottom w:val="single" w:sz="4" w:space="0" w:color="auto"/>
            </w:tcBorders>
          </w:tcPr>
          <w:p w:rsidR="00425E6F" w:rsidRDefault="00425E6F" w:rsidP="00425E6F">
            <w:pPr>
              <w:jc w:val="right"/>
            </w:pPr>
            <w:r>
              <w:t>11</w:t>
            </w:r>
          </w:p>
          <w:p w:rsidR="00425E6F" w:rsidRDefault="00425E6F" w:rsidP="00425E6F">
            <w:pPr>
              <w:jc w:val="right"/>
            </w:pPr>
            <w:r>
              <w:t>7</w:t>
            </w:r>
          </w:p>
          <w:p w:rsidR="00425E6F" w:rsidRDefault="00425E6F" w:rsidP="00425E6F">
            <w:pPr>
              <w:jc w:val="right"/>
            </w:pPr>
            <w:r>
              <w:t>10</w:t>
            </w:r>
          </w:p>
          <w:p w:rsidR="00425E6F" w:rsidRDefault="00425E6F" w:rsidP="00425E6F">
            <w:pPr>
              <w:jc w:val="right"/>
            </w:pPr>
            <w:r>
              <w:t>11</w:t>
            </w:r>
          </w:p>
          <w:p w:rsidR="00425E6F" w:rsidRDefault="00425E6F" w:rsidP="00425E6F">
            <w:pPr>
              <w:jc w:val="right"/>
            </w:pPr>
            <w:r>
              <w:t>14</w:t>
            </w:r>
          </w:p>
          <w:p w:rsidR="00425E6F" w:rsidRDefault="00425E6F" w:rsidP="00425E6F">
            <w:pPr>
              <w:jc w:val="right"/>
            </w:pPr>
            <w:r>
              <w:t>8</w:t>
            </w:r>
          </w:p>
          <w:p w:rsidR="00425E6F" w:rsidRDefault="00425E6F" w:rsidP="00425E6F">
            <w:pPr>
              <w:jc w:val="right"/>
            </w:pPr>
            <w:r>
              <w:t>8</w:t>
            </w:r>
          </w:p>
          <w:p w:rsidR="00425E6F" w:rsidRDefault="00425E6F" w:rsidP="00425E6F">
            <w:pPr>
              <w:jc w:val="right"/>
            </w:pPr>
            <w:r>
              <w:t>8</w:t>
            </w:r>
          </w:p>
          <w:p w:rsidR="00425E6F" w:rsidRDefault="00425E6F" w:rsidP="00425E6F">
            <w:pPr>
              <w:jc w:val="right"/>
            </w:pPr>
            <w:r>
              <w:t>15</w:t>
            </w:r>
          </w:p>
          <w:p w:rsidR="00425E6F" w:rsidRDefault="00425E6F" w:rsidP="00425E6F">
            <w:pPr>
              <w:jc w:val="right"/>
            </w:pPr>
            <w:r>
              <w:t>9</w:t>
            </w:r>
          </w:p>
        </w:tc>
        <w:tc>
          <w:tcPr>
            <w:tcW w:w="808" w:type="pct"/>
            <w:tcBorders>
              <w:top w:val="nil"/>
              <w:bottom w:val="single" w:sz="4" w:space="0" w:color="auto"/>
            </w:tcBorders>
          </w:tcPr>
          <w:p w:rsidR="00425E6F" w:rsidRDefault="00425E6F" w:rsidP="00425E6F">
            <w:pPr>
              <w:jc w:val="right"/>
            </w:pPr>
            <w:r>
              <w:t>8</w:t>
            </w:r>
          </w:p>
          <w:p w:rsidR="00425E6F" w:rsidRDefault="00425E6F" w:rsidP="00425E6F">
            <w:pPr>
              <w:jc w:val="right"/>
            </w:pPr>
            <w:r>
              <w:t>12</w:t>
            </w:r>
          </w:p>
          <w:p w:rsidR="00425E6F" w:rsidRDefault="00425E6F" w:rsidP="00425E6F">
            <w:pPr>
              <w:jc w:val="right"/>
            </w:pPr>
            <w:r>
              <w:t>9</w:t>
            </w:r>
          </w:p>
          <w:p w:rsidR="00425E6F" w:rsidRDefault="00425E6F" w:rsidP="00425E6F">
            <w:pPr>
              <w:jc w:val="right"/>
            </w:pPr>
            <w:r>
              <w:t>8</w:t>
            </w:r>
          </w:p>
          <w:p w:rsidR="00425E6F" w:rsidRDefault="00425E6F" w:rsidP="00425E6F">
            <w:pPr>
              <w:jc w:val="right"/>
            </w:pPr>
            <w:r>
              <w:t>5</w:t>
            </w:r>
          </w:p>
          <w:p w:rsidR="00425E6F" w:rsidRDefault="00425E6F" w:rsidP="00425E6F">
            <w:pPr>
              <w:jc w:val="right"/>
            </w:pPr>
            <w:r>
              <w:t>11</w:t>
            </w:r>
          </w:p>
          <w:p w:rsidR="00425E6F" w:rsidRDefault="00425E6F" w:rsidP="00425E6F">
            <w:pPr>
              <w:jc w:val="right"/>
            </w:pPr>
            <w:r>
              <w:t>11</w:t>
            </w:r>
          </w:p>
          <w:p w:rsidR="00425E6F" w:rsidRDefault="00425E6F" w:rsidP="00425E6F">
            <w:pPr>
              <w:jc w:val="right"/>
            </w:pPr>
            <w:r>
              <w:t>11</w:t>
            </w:r>
          </w:p>
          <w:p w:rsidR="00425E6F" w:rsidRDefault="00425E6F" w:rsidP="00425E6F">
            <w:pPr>
              <w:jc w:val="right"/>
            </w:pPr>
            <w:r>
              <w:t>4</w:t>
            </w:r>
          </w:p>
          <w:p w:rsidR="00425E6F" w:rsidRDefault="00425E6F" w:rsidP="00425E6F">
            <w:pPr>
              <w:jc w:val="right"/>
            </w:pPr>
            <w:r>
              <w:t>10</w:t>
            </w:r>
          </w:p>
        </w:tc>
        <w:tc>
          <w:tcPr>
            <w:tcW w:w="805" w:type="pct"/>
            <w:tcBorders>
              <w:top w:val="nil"/>
              <w:bottom w:val="single" w:sz="4" w:space="0" w:color="auto"/>
            </w:tcBorders>
          </w:tcPr>
          <w:p w:rsidR="00425E6F" w:rsidRPr="008C0087" w:rsidRDefault="00425E6F" w:rsidP="00425E6F">
            <w:pPr>
              <w:jc w:val="right"/>
              <w:rPr>
                <w:color w:val="FFFFFF" w:themeColor="background1"/>
                <w:vertAlign w:val="superscript"/>
              </w:rPr>
            </w:pPr>
            <w:r>
              <w:t>0,648</w:t>
            </w:r>
            <w:r w:rsidR="008C0087">
              <w:rPr>
                <w:color w:val="FFFFFF" w:themeColor="background1"/>
                <w:vertAlign w:val="superscript"/>
              </w:rPr>
              <w:t>***</w:t>
            </w:r>
          </w:p>
          <w:p w:rsidR="00425E6F" w:rsidRPr="008C0087" w:rsidRDefault="00425E6F" w:rsidP="00425E6F">
            <w:pPr>
              <w:jc w:val="right"/>
              <w:rPr>
                <w:color w:val="FFFFFF" w:themeColor="background1"/>
                <w:vertAlign w:val="superscript"/>
              </w:rPr>
            </w:pPr>
            <w:r>
              <w:t>0,359</w:t>
            </w:r>
            <w:r w:rsidR="008C0087">
              <w:rPr>
                <w:color w:val="FFFFFF" w:themeColor="background1"/>
                <w:vertAlign w:val="superscript"/>
              </w:rPr>
              <w:t>***</w:t>
            </w:r>
          </w:p>
          <w:p w:rsidR="00425E6F" w:rsidRPr="008C0087" w:rsidRDefault="00425E6F" w:rsidP="00425E6F">
            <w:pPr>
              <w:jc w:val="right"/>
              <w:rPr>
                <w:color w:val="FFFFFF" w:themeColor="background1"/>
                <w:vertAlign w:val="superscript"/>
              </w:rPr>
            </w:pPr>
            <w:r>
              <w:t>1,000</w:t>
            </w:r>
            <w:r w:rsidR="008C0087">
              <w:rPr>
                <w:color w:val="FFFFFF" w:themeColor="background1"/>
                <w:vertAlign w:val="superscript"/>
              </w:rPr>
              <w:t>***</w:t>
            </w:r>
          </w:p>
          <w:p w:rsidR="00425E6F" w:rsidRPr="008C0087" w:rsidRDefault="00425E6F" w:rsidP="00425E6F">
            <w:pPr>
              <w:jc w:val="right"/>
              <w:rPr>
                <w:color w:val="FFFFFF" w:themeColor="background1"/>
                <w:vertAlign w:val="superscript"/>
              </w:rPr>
            </w:pPr>
            <w:r>
              <w:t>0,648</w:t>
            </w:r>
            <w:r w:rsidR="008C0087">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0,064</w:t>
            </w:r>
            <w:r w:rsidR="008C0087" w:rsidRPr="00DD4E33">
              <w:rPr>
                <w:b/>
                <w:vertAlign w:val="superscript"/>
              </w:rPr>
              <w:t>*</w:t>
            </w:r>
            <w:r w:rsidR="008C0087"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0,648</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0,648</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0,648</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0,019</w:t>
            </w:r>
            <w:r w:rsidR="00A04D14" w:rsidRPr="00DD4E33">
              <w:rPr>
                <w:b/>
                <w:vertAlign w:val="superscript"/>
              </w:rPr>
              <w:t>**</w:t>
            </w:r>
            <w:r w:rsidR="00A04D14" w:rsidRPr="00DD4E33">
              <w:rPr>
                <w:color w:val="FFFFFF" w:themeColor="background1"/>
                <w:vertAlign w:val="superscript"/>
              </w:rPr>
              <w:t>*</w:t>
            </w:r>
          </w:p>
          <w:p w:rsidR="00425E6F" w:rsidRPr="00A04D14" w:rsidRDefault="00425E6F" w:rsidP="00425E6F">
            <w:pPr>
              <w:jc w:val="right"/>
              <w:rPr>
                <w:color w:val="FFFFFF" w:themeColor="background1"/>
                <w:vertAlign w:val="superscript"/>
              </w:rPr>
            </w:pPr>
            <w:r>
              <w:t>1,000</w:t>
            </w:r>
            <w:r w:rsidR="00A04D14">
              <w:rPr>
                <w:color w:val="FFFFFF" w:themeColor="background1"/>
                <w:vertAlign w:val="superscript"/>
              </w:rPr>
              <w:t>***</w:t>
            </w:r>
          </w:p>
        </w:tc>
      </w:tr>
      <w:tr w:rsidR="00425E6F" w:rsidTr="00425E6F">
        <w:tc>
          <w:tcPr>
            <w:tcW w:w="5000" w:type="pct"/>
            <w:gridSpan w:val="6"/>
            <w:tcBorders>
              <w:top w:val="single" w:sz="4" w:space="0" w:color="auto"/>
            </w:tcBorders>
          </w:tcPr>
          <w:p w:rsidR="00425E6F" w:rsidRPr="006B267C" w:rsidRDefault="00425E6F" w:rsidP="00425E6F">
            <w:pPr>
              <w:rPr>
                <w:color w:val="FF0000"/>
              </w:rPr>
            </w:pPr>
            <w:proofErr w:type="spellStart"/>
            <w:r>
              <w:rPr>
                <w:rStyle w:val="SubtleEmphasis"/>
                <w:color w:val="FF0000"/>
              </w:rPr>
              <w:t>Markt</w:t>
            </w:r>
            <w:proofErr w:type="spellEnd"/>
            <w:r>
              <w:rPr>
                <w:rStyle w:val="SubtleEmphasis"/>
                <w:color w:val="FF0000"/>
              </w:rPr>
              <w:t xml:space="preserve"> Model</w:t>
            </w:r>
          </w:p>
        </w:tc>
      </w:tr>
      <w:tr w:rsidR="00425E6F" w:rsidTr="00425E6F">
        <w:tc>
          <w:tcPr>
            <w:tcW w:w="807" w:type="pct"/>
            <w:tcBorders>
              <w:top w:val="nil"/>
              <w:bottom w:val="nil"/>
            </w:tcBorders>
          </w:tcPr>
          <w:p w:rsidR="00425E6F" w:rsidRDefault="00425E6F" w:rsidP="00425E6F">
            <w:r>
              <w:t>T=-5</w:t>
            </w:r>
          </w:p>
        </w:tc>
        <w:tc>
          <w:tcPr>
            <w:tcW w:w="807" w:type="pct"/>
            <w:tcBorders>
              <w:top w:val="nil"/>
              <w:bottom w:val="nil"/>
            </w:tcBorders>
          </w:tcPr>
          <w:p w:rsidR="00425E6F" w:rsidRDefault="00425E6F" w:rsidP="00425E6F">
            <w:pPr>
              <w:jc w:val="right"/>
            </w:pPr>
            <w:r>
              <w:t>0,66%</w:t>
            </w:r>
          </w:p>
        </w:tc>
        <w:tc>
          <w:tcPr>
            <w:tcW w:w="916" w:type="pct"/>
            <w:tcBorders>
              <w:top w:val="nil"/>
              <w:bottom w:val="nil"/>
            </w:tcBorders>
            <w:noWrap/>
          </w:tcPr>
          <w:p w:rsidR="00425E6F" w:rsidRPr="00A04D14" w:rsidRDefault="00425E6F" w:rsidP="00425E6F">
            <w:pPr>
              <w:jc w:val="right"/>
              <w:rPr>
                <w:color w:val="FFFFFF" w:themeColor="background1"/>
                <w:vertAlign w:val="superscript"/>
              </w:rPr>
            </w:pPr>
            <w:r>
              <w:t>1,802</w:t>
            </w:r>
            <w:r w:rsidR="00A04D14" w:rsidRPr="00DD4E33">
              <w:rPr>
                <w:b/>
                <w:vertAlign w:val="superscript"/>
              </w:rPr>
              <w:t>*</w:t>
            </w:r>
            <w:r w:rsidR="00A04D14">
              <w:rPr>
                <w:color w:val="FFFFFF" w:themeColor="background1"/>
                <w:vertAlign w:val="superscript"/>
              </w:rPr>
              <w:t>**</w:t>
            </w:r>
          </w:p>
        </w:tc>
        <w:tc>
          <w:tcPr>
            <w:tcW w:w="857" w:type="pct"/>
            <w:tcBorders>
              <w:top w:val="nil"/>
              <w:bottom w:val="nil"/>
            </w:tcBorders>
          </w:tcPr>
          <w:p w:rsidR="00425E6F" w:rsidRDefault="00425E6F" w:rsidP="00425E6F">
            <w:pPr>
              <w:jc w:val="right"/>
            </w:pPr>
            <w:r>
              <w:t>13</w:t>
            </w:r>
          </w:p>
        </w:tc>
        <w:tc>
          <w:tcPr>
            <w:tcW w:w="808" w:type="pct"/>
            <w:tcBorders>
              <w:top w:val="nil"/>
              <w:bottom w:val="nil"/>
            </w:tcBorders>
          </w:tcPr>
          <w:p w:rsidR="00425E6F" w:rsidRDefault="00425E6F" w:rsidP="00425E6F">
            <w:pPr>
              <w:jc w:val="right"/>
            </w:pPr>
            <w:r>
              <w:t>6</w:t>
            </w:r>
          </w:p>
        </w:tc>
        <w:tc>
          <w:tcPr>
            <w:tcW w:w="805" w:type="pct"/>
            <w:tcBorders>
              <w:top w:val="nil"/>
              <w:bottom w:val="nil"/>
            </w:tcBorders>
          </w:tcPr>
          <w:p w:rsidR="00425E6F" w:rsidRPr="00A04D14" w:rsidRDefault="00425E6F" w:rsidP="00425E6F">
            <w:pPr>
              <w:jc w:val="right"/>
              <w:rPr>
                <w:color w:val="FFFFFF" w:themeColor="background1"/>
                <w:vertAlign w:val="superscript"/>
              </w:rPr>
            </w:pPr>
            <w:r>
              <w:t>0,167</w:t>
            </w:r>
            <w:r w:rsidR="00A04D14">
              <w:rPr>
                <w:color w:val="FFFFFF" w:themeColor="background1"/>
                <w:vertAlign w:val="superscript"/>
              </w:rPr>
              <w:t>***</w:t>
            </w:r>
          </w:p>
        </w:tc>
      </w:tr>
      <w:tr w:rsidR="00425E6F" w:rsidRPr="00CF0B7E" w:rsidTr="00425E6F">
        <w:tc>
          <w:tcPr>
            <w:tcW w:w="807" w:type="pct"/>
            <w:tcBorders>
              <w:top w:val="nil"/>
              <w:bottom w:val="nil"/>
            </w:tcBorders>
          </w:tcPr>
          <w:p w:rsidR="00425E6F" w:rsidRDefault="00425E6F" w:rsidP="00425E6F">
            <w:r>
              <w:t>T=-4</w:t>
            </w:r>
          </w:p>
          <w:p w:rsidR="00425E6F" w:rsidRDefault="00425E6F" w:rsidP="00425E6F">
            <w:r>
              <w:t>T=-3</w:t>
            </w:r>
          </w:p>
          <w:p w:rsidR="00425E6F" w:rsidRDefault="00425E6F" w:rsidP="00425E6F">
            <w:r>
              <w:t>T=-2</w:t>
            </w:r>
          </w:p>
          <w:p w:rsidR="00425E6F" w:rsidRDefault="00425E6F" w:rsidP="00425E6F">
            <w:r>
              <w:t>T=-1</w:t>
            </w:r>
          </w:p>
          <w:p w:rsidR="00425E6F" w:rsidRDefault="00425E6F" w:rsidP="00425E6F">
            <w:r>
              <w:t>T=0</w:t>
            </w:r>
          </w:p>
          <w:p w:rsidR="00425E6F" w:rsidRDefault="00425E6F" w:rsidP="00425E6F">
            <w:r>
              <w:t>T=1</w:t>
            </w:r>
          </w:p>
          <w:p w:rsidR="00425E6F" w:rsidRDefault="00425E6F" w:rsidP="00425E6F">
            <w:r>
              <w:t>T=2</w:t>
            </w:r>
          </w:p>
          <w:p w:rsidR="00425E6F" w:rsidRDefault="00425E6F" w:rsidP="00425E6F">
            <w:r>
              <w:t>T=3</w:t>
            </w:r>
          </w:p>
          <w:p w:rsidR="00425E6F" w:rsidRDefault="00425E6F" w:rsidP="00425E6F">
            <w:r>
              <w:t xml:space="preserve">T=4 </w:t>
            </w:r>
          </w:p>
          <w:p w:rsidR="00425E6F" w:rsidRDefault="00425E6F" w:rsidP="00425E6F">
            <w:r>
              <w:t>T=5</w:t>
            </w:r>
          </w:p>
        </w:tc>
        <w:tc>
          <w:tcPr>
            <w:tcW w:w="807" w:type="pct"/>
            <w:tcBorders>
              <w:top w:val="nil"/>
              <w:bottom w:val="nil"/>
            </w:tcBorders>
          </w:tcPr>
          <w:p w:rsidR="00425E6F" w:rsidRDefault="00425E6F" w:rsidP="00425E6F">
            <w:pPr>
              <w:jc w:val="right"/>
            </w:pPr>
            <w:r>
              <w:t>0,02%</w:t>
            </w:r>
          </w:p>
          <w:p w:rsidR="00425E6F" w:rsidRDefault="00425E6F" w:rsidP="00425E6F">
            <w:pPr>
              <w:jc w:val="right"/>
            </w:pPr>
            <w:r>
              <w:t>-0,75%</w:t>
            </w:r>
          </w:p>
          <w:p w:rsidR="00425E6F" w:rsidRDefault="00425E6F" w:rsidP="00425E6F">
            <w:pPr>
              <w:jc w:val="right"/>
            </w:pPr>
            <w:r>
              <w:t>-0,43%</w:t>
            </w:r>
          </w:p>
          <w:p w:rsidR="00425E6F" w:rsidRDefault="00425E6F" w:rsidP="00425E6F">
            <w:pPr>
              <w:jc w:val="right"/>
            </w:pPr>
            <w:r>
              <w:t>0,28%</w:t>
            </w:r>
          </w:p>
          <w:p w:rsidR="00425E6F" w:rsidRDefault="00425E6F" w:rsidP="00425E6F">
            <w:pPr>
              <w:jc w:val="right"/>
            </w:pPr>
            <w:r>
              <w:t>1,01%</w:t>
            </w:r>
          </w:p>
          <w:p w:rsidR="00425E6F" w:rsidRDefault="00425E6F" w:rsidP="00425E6F">
            <w:pPr>
              <w:jc w:val="right"/>
            </w:pPr>
            <w:r>
              <w:t>0,24%</w:t>
            </w:r>
          </w:p>
          <w:p w:rsidR="00425E6F" w:rsidRDefault="00425E6F" w:rsidP="00425E6F">
            <w:pPr>
              <w:jc w:val="right"/>
            </w:pPr>
            <w:r>
              <w:t>-0,01%</w:t>
            </w:r>
          </w:p>
          <w:p w:rsidR="00425E6F" w:rsidRDefault="00425E6F" w:rsidP="00425E6F">
            <w:pPr>
              <w:jc w:val="right"/>
            </w:pPr>
            <w:r>
              <w:t>-0,21%</w:t>
            </w:r>
          </w:p>
          <w:p w:rsidR="00425E6F" w:rsidRDefault="00425E6F" w:rsidP="00425E6F">
            <w:pPr>
              <w:jc w:val="right"/>
            </w:pPr>
            <w:r>
              <w:t>0,40%</w:t>
            </w:r>
          </w:p>
          <w:p w:rsidR="00425E6F" w:rsidRDefault="00425E6F" w:rsidP="00425E6F">
            <w:pPr>
              <w:jc w:val="right"/>
            </w:pPr>
            <w:r>
              <w:t>0,08%</w:t>
            </w:r>
          </w:p>
        </w:tc>
        <w:tc>
          <w:tcPr>
            <w:tcW w:w="916" w:type="pct"/>
            <w:tcBorders>
              <w:top w:val="nil"/>
              <w:bottom w:val="nil"/>
            </w:tcBorders>
            <w:noWrap/>
          </w:tcPr>
          <w:p w:rsidR="00425E6F" w:rsidRPr="00A04D14" w:rsidRDefault="00425E6F" w:rsidP="00425E6F">
            <w:pPr>
              <w:jc w:val="right"/>
              <w:rPr>
                <w:color w:val="FFFFFF" w:themeColor="background1"/>
                <w:vertAlign w:val="superscript"/>
              </w:rPr>
            </w:pPr>
            <w:r w:rsidRPr="00CF0B7E">
              <w:t>0,064</w:t>
            </w:r>
            <w:r w:rsidR="00A04D14">
              <w:rPr>
                <w:color w:val="FFFFFF" w:themeColor="background1"/>
                <w:vertAlign w:val="superscript"/>
              </w:rPr>
              <w:t>***</w:t>
            </w:r>
          </w:p>
          <w:p w:rsidR="00425E6F" w:rsidRPr="00DD4E33" w:rsidRDefault="00425E6F" w:rsidP="00425E6F">
            <w:pPr>
              <w:jc w:val="right"/>
              <w:rPr>
                <w:color w:val="FFFFFF" w:themeColor="background1"/>
                <w:vertAlign w:val="superscript"/>
              </w:rPr>
            </w:pPr>
            <w:r w:rsidRPr="00CF0B7E">
              <w:rPr>
                <w:b/>
              </w:rPr>
              <w:t>-</w:t>
            </w:r>
            <w:r w:rsidRPr="00DD4E33">
              <w:t>2,140</w:t>
            </w:r>
            <w:r w:rsidR="00A04D14" w:rsidRPr="00DD4E33">
              <w:rPr>
                <w:b/>
                <w:vertAlign w:val="superscript"/>
              </w:rPr>
              <w:t>**</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-1,215</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0,959</w:t>
            </w:r>
            <w:r w:rsidR="00A04D14" w:rsidRPr="00DD4E33">
              <w:rPr>
                <w:color w:val="FFFFFF" w:themeColor="background1"/>
                <w:vertAlign w:val="superscript"/>
              </w:rPr>
              <w:t>***</w:t>
            </w:r>
          </w:p>
          <w:p w:rsidR="00425E6F" w:rsidRPr="00A04D14" w:rsidRDefault="00425E6F" w:rsidP="00425E6F">
            <w:pPr>
              <w:jc w:val="right"/>
              <w:rPr>
                <w:color w:val="FFFFFF" w:themeColor="background1"/>
                <w:vertAlign w:val="superscript"/>
              </w:rPr>
            </w:pPr>
            <w:r w:rsidRPr="00DD4E33">
              <w:t>2,644</w:t>
            </w:r>
            <w:r w:rsidR="00A04D14" w:rsidRPr="00DD4E33">
              <w:rPr>
                <w:b/>
                <w:vertAlign w:val="superscript"/>
              </w:rPr>
              <w:t>**</w:t>
            </w:r>
            <w:r w:rsidR="00A04D14" w:rsidRPr="00DD4E33">
              <w:rPr>
                <w:color w:val="FFFFFF" w:themeColor="background1"/>
                <w:vertAlign w:val="superscript"/>
              </w:rPr>
              <w:t>*</w:t>
            </w:r>
          </w:p>
          <w:p w:rsidR="00425E6F" w:rsidRPr="00A04D14" w:rsidRDefault="00425E6F" w:rsidP="00425E6F">
            <w:pPr>
              <w:jc w:val="right"/>
              <w:rPr>
                <w:color w:val="FFFFFF" w:themeColor="background1"/>
                <w:vertAlign w:val="superscript"/>
              </w:rPr>
            </w:pPr>
            <w:r>
              <w:t>0,606</w:t>
            </w:r>
            <w:r w:rsidR="00A04D14">
              <w:rPr>
                <w:color w:val="FFFFFF" w:themeColor="background1"/>
                <w:vertAlign w:val="superscript"/>
              </w:rPr>
              <w:t>***</w:t>
            </w:r>
          </w:p>
          <w:p w:rsidR="00425E6F" w:rsidRPr="00A04D14" w:rsidRDefault="00425E6F" w:rsidP="00425E6F">
            <w:pPr>
              <w:jc w:val="right"/>
              <w:rPr>
                <w:color w:val="FFFFFF" w:themeColor="background1"/>
                <w:vertAlign w:val="superscript"/>
              </w:rPr>
            </w:pPr>
            <w:r>
              <w:t>-0,015</w:t>
            </w:r>
            <w:r w:rsidR="00A04D14">
              <w:rPr>
                <w:color w:val="FFFFFF" w:themeColor="background1"/>
                <w:vertAlign w:val="superscript"/>
              </w:rPr>
              <w:t>***</w:t>
            </w:r>
          </w:p>
          <w:p w:rsidR="00425E6F" w:rsidRPr="00A04D14" w:rsidRDefault="00425E6F" w:rsidP="00425E6F">
            <w:pPr>
              <w:jc w:val="right"/>
              <w:rPr>
                <w:color w:val="FFFFFF" w:themeColor="background1"/>
                <w:vertAlign w:val="superscript"/>
              </w:rPr>
            </w:pPr>
            <w:r>
              <w:t>-0,573</w:t>
            </w:r>
            <w:r w:rsidR="00A04D14">
              <w:rPr>
                <w:color w:val="FFFFFF" w:themeColor="background1"/>
                <w:vertAlign w:val="superscript"/>
              </w:rPr>
              <w:t>***</w:t>
            </w:r>
          </w:p>
          <w:p w:rsidR="00425E6F" w:rsidRPr="00A04D14" w:rsidRDefault="00425E6F" w:rsidP="00425E6F">
            <w:pPr>
              <w:jc w:val="right"/>
              <w:rPr>
                <w:color w:val="FFFFFF" w:themeColor="background1"/>
                <w:vertAlign w:val="superscript"/>
              </w:rPr>
            </w:pPr>
            <w:r w:rsidRPr="00DD4E33">
              <w:t>3,026</w:t>
            </w:r>
            <w:r w:rsidR="00A04D14" w:rsidRPr="00DD4E33">
              <w:rPr>
                <w:b/>
                <w:vertAlign w:val="superscript"/>
              </w:rPr>
              <w:t>***</w:t>
            </w:r>
          </w:p>
          <w:p w:rsidR="00425E6F" w:rsidRPr="00A04D14" w:rsidRDefault="00425E6F" w:rsidP="00425E6F">
            <w:pPr>
              <w:jc w:val="right"/>
              <w:rPr>
                <w:color w:val="FFFFFF" w:themeColor="background1"/>
                <w:vertAlign w:val="superscript"/>
              </w:rPr>
            </w:pPr>
            <w:r>
              <w:t>0,358</w:t>
            </w:r>
            <w:r w:rsidR="00A04D14">
              <w:rPr>
                <w:color w:val="FFFFFF" w:themeColor="background1"/>
                <w:vertAlign w:val="superscript"/>
              </w:rPr>
              <w:t>***</w:t>
            </w:r>
          </w:p>
        </w:tc>
        <w:tc>
          <w:tcPr>
            <w:tcW w:w="857" w:type="pct"/>
            <w:tcBorders>
              <w:top w:val="nil"/>
              <w:bottom w:val="nil"/>
            </w:tcBorders>
          </w:tcPr>
          <w:p w:rsidR="00425E6F" w:rsidRDefault="00425E6F" w:rsidP="00425E6F">
            <w:pPr>
              <w:jc w:val="right"/>
            </w:pPr>
            <w:r>
              <w:t>11</w:t>
            </w:r>
          </w:p>
          <w:p w:rsidR="00425E6F" w:rsidRDefault="00425E6F" w:rsidP="00425E6F">
            <w:pPr>
              <w:jc w:val="right"/>
            </w:pPr>
            <w:r>
              <w:t>6</w:t>
            </w:r>
          </w:p>
          <w:p w:rsidR="00425E6F" w:rsidRDefault="00425E6F" w:rsidP="00425E6F">
            <w:pPr>
              <w:jc w:val="right"/>
            </w:pPr>
            <w:r>
              <w:t>9</w:t>
            </w:r>
          </w:p>
          <w:p w:rsidR="00425E6F" w:rsidRDefault="00425E6F" w:rsidP="00425E6F">
            <w:pPr>
              <w:jc w:val="right"/>
            </w:pPr>
            <w:r>
              <w:t>11</w:t>
            </w:r>
          </w:p>
          <w:p w:rsidR="00425E6F" w:rsidRDefault="00425E6F" w:rsidP="00425E6F">
            <w:pPr>
              <w:jc w:val="right"/>
            </w:pPr>
            <w:r>
              <w:t>14</w:t>
            </w:r>
          </w:p>
          <w:p w:rsidR="00425E6F" w:rsidRDefault="00425E6F" w:rsidP="00425E6F">
            <w:pPr>
              <w:jc w:val="right"/>
            </w:pPr>
            <w:r>
              <w:t>10</w:t>
            </w:r>
          </w:p>
          <w:p w:rsidR="00425E6F" w:rsidRDefault="00425E6F" w:rsidP="00425E6F">
            <w:pPr>
              <w:jc w:val="right"/>
            </w:pPr>
            <w:r>
              <w:t>8</w:t>
            </w:r>
          </w:p>
          <w:p w:rsidR="00425E6F" w:rsidRDefault="00425E6F" w:rsidP="00425E6F">
            <w:pPr>
              <w:jc w:val="right"/>
            </w:pPr>
            <w:r>
              <w:t>8</w:t>
            </w:r>
          </w:p>
          <w:p w:rsidR="00425E6F" w:rsidRDefault="00425E6F" w:rsidP="00425E6F">
            <w:pPr>
              <w:jc w:val="right"/>
            </w:pPr>
            <w:r>
              <w:t>14</w:t>
            </w:r>
          </w:p>
          <w:p w:rsidR="00425E6F" w:rsidRDefault="00425E6F" w:rsidP="00425E6F">
            <w:pPr>
              <w:jc w:val="right"/>
            </w:pPr>
            <w:r>
              <w:t>10</w:t>
            </w:r>
          </w:p>
        </w:tc>
        <w:tc>
          <w:tcPr>
            <w:tcW w:w="808" w:type="pct"/>
            <w:tcBorders>
              <w:top w:val="nil"/>
              <w:bottom w:val="nil"/>
            </w:tcBorders>
          </w:tcPr>
          <w:p w:rsidR="00425E6F" w:rsidRDefault="00425E6F" w:rsidP="00425E6F">
            <w:pPr>
              <w:jc w:val="right"/>
            </w:pPr>
            <w:r>
              <w:t>8</w:t>
            </w:r>
          </w:p>
          <w:p w:rsidR="00425E6F" w:rsidRDefault="00425E6F" w:rsidP="00425E6F">
            <w:pPr>
              <w:jc w:val="right"/>
            </w:pPr>
            <w:r>
              <w:t>13</w:t>
            </w:r>
          </w:p>
          <w:p w:rsidR="00425E6F" w:rsidRDefault="00425E6F" w:rsidP="00425E6F">
            <w:pPr>
              <w:jc w:val="right"/>
            </w:pPr>
            <w:r>
              <w:t>10</w:t>
            </w:r>
          </w:p>
          <w:p w:rsidR="00425E6F" w:rsidRDefault="00425E6F" w:rsidP="00425E6F">
            <w:pPr>
              <w:jc w:val="right"/>
            </w:pPr>
            <w:r>
              <w:t>8</w:t>
            </w:r>
          </w:p>
          <w:p w:rsidR="00425E6F" w:rsidRDefault="00425E6F" w:rsidP="00425E6F">
            <w:pPr>
              <w:jc w:val="right"/>
            </w:pPr>
            <w:r>
              <w:t>5</w:t>
            </w:r>
          </w:p>
          <w:p w:rsidR="00425E6F" w:rsidRDefault="00425E6F" w:rsidP="00425E6F">
            <w:pPr>
              <w:jc w:val="right"/>
            </w:pPr>
            <w:r>
              <w:t>9</w:t>
            </w:r>
          </w:p>
          <w:p w:rsidR="00425E6F" w:rsidRDefault="00425E6F" w:rsidP="00425E6F">
            <w:pPr>
              <w:jc w:val="right"/>
            </w:pPr>
            <w:r>
              <w:t>11</w:t>
            </w:r>
          </w:p>
          <w:p w:rsidR="00425E6F" w:rsidRDefault="00425E6F" w:rsidP="00425E6F">
            <w:pPr>
              <w:jc w:val="right"/>
            </w:pPr>
            <w:r>
              <w:t>11</w:t>
            </w:r>
          </w:p>
          <w:p w:rsidR="00425E6F" w:rsidRDefault="00425E6F" w:rsidP="00425E6F">
            <w:pPr>
              <w:jc w:val="right"/>
            </w:pPr>
            <w:r>
              <w:t>5</w:t>
            </w:r>
          </w:p>
          <w:p w:rsidR="00425E6F" w:rsidRDefault="00425E6F" w:rsidP="00425E6F">
            <w:pPr>
              <w:jc w:val="right"/>
            </w:pPr>
            <w:r>
              <w:t>9</w:t>
            </w:r>
          </w:p>
        </w:tc>
        <w:tc>
          <w:tcPr>
            <w:tcW w:w="805" w:type="pct"/>
            <w:tcBorders>
              <w:top w:val="nil"/>
              <w:bottom w:val="nil"/>
            </w:tcBorders>
          </w:tcPr>
          <w:p w:rsidR="00425E6F" w:rsidRPr="00A04D14" w:rsidRDefault="00425E6F" w:rsidP="00425E6F">
            <w:pPr>
              <w:jc w:val="right"/>
              <w:rPr>
                <w:color w:val="FFFFFF" w:themeColor="background1"/>
                <w:vertAlign w:val="superscript"/>
              </w:rPr>
            </w:pPr>
            <w:r w:rsidRPr="00CF0B7E">
              <w:t>0,648</w:t>
            </w:r>
            <w:r w:rsidR="00A04D14">
              <w:rPr>
                <w:color w:val="FFFFFF" w:themeColor="background1"/>
                <w:vertAlign w:val="superscript"/>
              </w:rPr>
              <w:t>***</w:t>
            </w:r>
          </w:p>
          <w:p w:rsidR="00425E6F" w:rsidRPr="00A04D14" w:rsidRDefault="00425E6F" w:rsidP="00425E6F">
            <w:pPr>
              <w:jc w:val="right"/>
              <w:rPr>
                <w:color w:val="FFFFFF" w:themeColor="background1"/>
                <w:vertAlign w:val="superscript"/>
              </w:rPr>
            </w:pPr>
            <w:r w:rsidRPr="00CF0B7E">
              <w:t>0,167</w:t>
            </w:r>
            <w:r w:rsidR="00A04D14">
              <w:rPr>
                <w:color w:val="FFFFFF" w:themeColor="background1"/>
                <w:vertAlign w:val="superscript"/>
              </w:rPr>
              <w:t>***</w:t>
            </w:r>
          </w:p>
          <w:p w:rsidR="00425E6F" w:rsidRPr="00A04D14" w:rsidRDefault="00425E6F" w:rsidP="00425E6F">
            <w:pPr>
              <w:jc w:val="right"/>
              <w:rPr>
                <w:color w:val="FFFFFF" w:themeColor="background1"/>
                <w:vertAlign w:val="superscript"/>
              </w:rPr>
            </w:pPr>
            <w:r>
              <w:t>1,000</w:t>
            </w:r>
            <w:r w:rsidR="00A04D14">
              <w:rPr>
                <w:color w:val="FFFFFF" w:themeColor="background1"/>
                <w:vertAlign w:val="superscript"/>
              </w:rPr>
              <w:t>***</w:t>
            </w:r>
          </w:p>
          <w:p w:rsidR="00425E6F" w:rsidRPr="00A04D14" w:rsidRDefault="00425E6F" w:rsidP="00425E6F">
            <w:pPr>
              <w:jc w:val="right"/>
              <w:rPr>
                <w:color w:val="FFFFFF" w:themeColor="background1"/>
                <w:vertAlign w:val="superscript"/>
              </w:rPr>
            </w:pPr>
            <w:r>
              <w:t>0,648</w:t>
            </w:r>
            <w:r w:rsidR="00A04D14">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0,064</w:t>
            </w:r>
            <w:r w:rsidR="00A04D14" w:rsidRPr="00876075">
              <w:rPr>
                <w:b/>
                <w:vertAlign w:val="superscript"/>
              </w:rPr>
              <w:t>*</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1,000</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0,648</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0,648</w:t>
            </w:r>
            <w:r w:rsidR="00A04D14" w:rsidRPr="00DD4E33">
              <w:rPr>
                <w:color w:val="FFFFFF" w:themeColor="background1"/>
                <w:vertAlign w:val="superscript"/>
              </w:rPr>
              <w:t>***</w:t>
            </w:r>
          </w:p>
          <w:p w:rsidR="00425E6F" w:rsidRPr="00DD4E33" w:rsidRDefault="00425E6F" w:rsidP="00425E6F">
            <w:pPr>
              <w:jc w:val="right"/>
              <w:rPr>
                <w:color w:val="FFFFFF" w:themeColor="background1"/>
                <w:vertAlign w:val="superscript"/>
              </w:rPr>
            </w:pPr>
            <w:r w:rsidRPr="00DD4E33">
              <w:t>0,064</w:t>
            </w:r>
            <w:r w:rsidR="00A04D14" w:rsidRPr="00876075">
              <w:rPr>
                <w:b/>
                <w:vertAlign w:val="superscript"/>
              </w:rPr>
              <w:t>*</w:t>
            </w:r>
            <w:r w:rsidR="00A04D14" w:rsidRPr="00DD4E33">
              <w:rPr>
                <w:color w:val="FFFFFF" w:themeColor="background1"/>
                <w:vertAlign w:val="superscript"/>
              </w:rPr>
              <w:t>**</w:t>
            </w:r>
          </w:p>
          <w:p w:rsidR="00425E6F" w:rsidRPr="00A04D14" w:rsidRDefault="00425E6F" w:rsidP="00425E6F">
            <w:pPr>
              <w:jc w:val="right"/>
              <w:rPr>
                <w:color w:val="FFFFFF" w:themeColor="background1"/>
                <w:vertAlign w:val="superscript"/>
              </w:rPr>
            </w:pPr>
            <w:r>
              <w:t>1,000</w:t>
            </w:r>
            <w:r w:rsidR="00A04D14">
              <w:rPr>
                <w:color w:val="FFFFFF" w:themeColor="background1"/>
                <w:vertAlign w:val="superscript"/>
              </w:rPr>
              <w:t>***</w:t>
            </w:r>
          </w:p>
        </w:tc>
      </w:tr>
      <w:tr w:rsidR="00425E6F" w:rsidTr="00425E6F">
        <w:trPr>
          <w:cnfStyle w:val="010000000000"/>
        </w:trPr>
        <w:tc>
          <w:tcPr>
            <w:tcW w:w="807" w:type="pct"/>
            <w:tcBorders>
              <w:top w:val="nil"/>
            </w:tcBorders>
          </w:tcPr>
          <w:p w:rsidR="00425E6F" w:rsidRDefault="00425E6F" w:rsidP="00425E6F"/>
        </w:tc>
        <w:tc>
          <w:tcPr>
            <w:tcW w:w="807" w:type="pct"/>
            <w:tcBorders>
              <w:top w:val="nil"/>
            </w:tcBorders>
          </w:tcPr>
          <w:p w:rsidR="00425E6F" w:rsidRDefault="00425E6F" w:rsidP="00425E6F"/>
        </w:tc>
        <w:tc>
          <w:tcPr>
            <w:tcW w:w="916" w:type="pct"/>
            <w:tcBorders>
              <w:top w:val="nil"/>
            </w:tcBorders>
            <w:noWrap/>
          </w:tcPr>
          <w:p w:rsidR="00425E6F" w:rsidRDefault="00425E6F" w:rsidP="00425E6F"/>
        </w:tc>
        <w:tc>
          <w:tcPr>
            <w:tcW w:w="857" w:type="pct"/>
            <w:tcBorders>
              <w:top w:val="nil"/>
            </w:tcBorders>
          </w:tcPr>
          <w:p w:rsidR="00425E6F" w:rsidRDefault="00425E6F" w:rsidP="00425E6F"/>
        </w:tc>
        <w:tc>
          <w:tcPr>
            <w:tcW w:w="808" w:type="pct"/>
            <w:tcBorders>
              <w:top w:val="nil"/>
            </w:tcBorders>
          </w:tcPr>
          <w:p w:rsidR="00425E6F" w:rsidRDefault="00425E6F" w:rsidP="00425E6F"/>
        </w:tc>
        <w:tc>
          <w:tcPr>
            <w:tcW w:w="805" w:type="pct"/>
            <w:tcBorders>
              <w:top w:val="nil"/>
            </w:tcBorders>
          </w:tcPr>
          <w:p w:rsidR="00425E6F" w:rsidRDefault="00425E6F" w:rsidP="00425E6F"/>
        </w:tc>
      </w:tr>
    </w:tbl>
    <w:p w:rsidR="00425E6F" w:rsidRDefault="00425E6F" w:rsidP="00AD3231">
      <w:pPr>
        <w:pStyle w:val="Caption"/>
        <w:jc w:val="both"/>
      </w:pPr>
      <w:r>
        <w:t xml:space="preserve">Tabel </w:t>
      </w:r>
      <w:r w:rsidR="00FB1187">
        <w:t>8</w:t>
      </w:r>
      <w:r>
        <w:t xml:space="preserve">: Statische testen </w:t>
      </w:r>
      <w:proofErr w:type="spellStart"/>
      <w:r w:rsidR="00B70E2B">
        <w:t>aandeleninkoopprogramma’s</w:t>
      </w:r>
      <w:proofErr w:type="spellEnd"/>
      <w:r w:rsidR="00B70E2B">
        <w:t xml:space="preserve"> </w:t>
      </w:r>
      <w:r>
        <w:t>zonder belangrijke gebeurtenis</w:t>
      </w:r>
      <w:r w:rsidR="00B70E2B">
        <w:t>sen</w:t>
      </w:r>
      <w:r>
        <w:t xml:space="preserve"> op de dag van aankondiging</w:t>
      </w:r>
      <w:r w:rsidR="00AD3231">
        <w:t>.</w:t>
      </w:r>
    </w:p>
    <w:p w:rsidR="00FB1187" w:rsidRDefault="00FB1187" w:rsidP="009C4E91">
      <w:pPr>
        <w:pStyle w:val="NoSpacing"/>
      </w:pPr>
    </w:p>
    <w:p w:rsidR="00C62EDC" w:rsidRDefault="00C62EDC" w:rsidP="009C4E91">
      <w:pPr>
        <w:pStyle w:val="NoSpacing"/>
      </w:pPr>
    </w:p>
    <w:p w:rsidR="00C62EDC" w:rsidRDefault="00C62EDC" w:rsidP="009C4E91">
      <w:pPr>
        <w:pStyle w:val="NoSpacing"/>
      </w:pPr>
    </w:p>
    <w:p w:rsidR="00C62EDC" w:rsidRDefault="00C62EDC" w:rsidP="009C4E91">
      <w:pPr>
        <w:pStyle w:val="NoSpacing"/>
      </w:pPr>
    </w:p>
    <w:p w:rsidR="00C62EDC" w:rsidRDefault="00C62EDC" w:rsidP="009C4E91">
      <w:pPr>
        <w:pStyle w:val="NoSpacing"/>
      </w:pPr>
    </w:p>
    <w:p w:rsidR="00FB1187" w:rsidRDefault="00FB1187" w:rsidP="009965EB">
      <w:pPr>
        <w:pStyle w:val="NoSpacing"/>
        <w:jc w:val="both"/>
      </w:pPr>
      <w:r>
        <w:lastRenderedPageBreak/>
        <w:t xml:space="preserve">In </w:t>
      </w:r>
      <w:r w:rsidRPr="00122BEF">
        <w:t>figuur 1</w:t>
      </w:r>
      <w:r w:rsidR="00D3439B" w:rsidRPr="00122BEF">
        <w:t>0</w:t>
      </w:r>
      <w:r>
        <w:t xml:space="preserve"> is het abnormaal rendement op de dag van aankondiging van de gehele dataset, de </w:t>
      </w:r>
      <w:proofErr w:type="spellStart"/>
      <w:r>
        <w:t>leverage</w:t>
      </w:r>
      <w:proofErr w:type="spellEnd"/>
      <w:r>
        <w:t xml:space="preserve"> hypothese en </w:t>
      </w:r>
      <w:proofErr w:type="spellStart"/>
      <w:r>
        <w:t>aandeleninkoopprogramma</w:t>
      </w:r>
      <w:r w:rsidR="00714724">
        <w:t>’</w:t>
      </w:r>
      <w:r>
        <w:t>s</w:t>
      </w:r>
      <w:proofErr w:type="spellEnd"/>
      <w:r>
        <w:t xml:space="preserve"> met een omvang </w:t>
      </w:r>
      <w:r w:rsidR="00EC2447">
        <w:t xml:space="preserve">tussen de 0 en 5 procent van het uitstaande aandelenkapitaal </w:t>
      </w:r>
      <w:r>
        <w:t xml:space="preserve">grafisch weergeven. Van de overige testen zijn helaas onvoldoende </w:t>
      </w:r>
      <w:proofErr w:type="spellStart"/>
      <w:r>
        <w:t>aandeleninkoopprogramma</w:t>
      </w:r>
      <w:r w:rsidR="00714724">
        <w:t>’</w:t>
      </w:r>
      <w:r>
        <w:t>s</w:t>
      </w:r>
      <w:proofErr w:type="spellEnd"/>
      <w:r>
        <w:t xml:space="preserve"> beschikbaar van de groep zonder </w:t>
      </w:r>
      <w:r w:rsidR="00855842">
        <w:t xml:space="preserve">belangrijke </w:t>
      </w:r>
      <w:r>
        <w:t xml:space="preserve">gebeurtenissen om een goede vergelijking te kunnen maken. </w:t>
      </w:r>
    </w:p>
    <w:p w:rsidR="00FB1187" w:rsidRDefault="00FB1187" w:rsidP="009C4E91">
      <w:pPr>
        <w:pStyle w:val="NoSpacing"/>
      </w:pPr>
    </w:p>
    <w:p w:rsidR="00FB1187" w:rsidRDefault="00FB1187" w:rsidP="00FB1187">
      <w:pPr>
        <w:pStyle w:val="NoSpacing"/>
        <w:keepNext/>
      </w:pPr>
      <w:r w:rsidRPr="00FB1187">
        <w:rPr>
          <w:noProof/>
          <w:lang w:val="en-US"/>
        </w:rPr>
        <w:drawing>
          <wp:inline distT="0" distB="0" distL="0" distR="0">
            <wp:extent cx="4667250" cy="2343150"/>
            <wp:effectExtent l="19050" t="0" r="19050" b="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B1187" w:rsidRDefault="00FB1187" w:rsidP="00AD3231">
      <w:pPr>
        <w:pStyle w:val="Caption"/>
        <w:jc w:val="both"/>
      </w:pPr>
      <w:r>
        <w:t>Figuur 1</w:t>
      </w:r>
      <w:r w:rsidR="00D3439B">
        <w:t>0</w:t>
      </w:r>
      <w:r>
        <w:t>: Vergelijking abnormaal rendement met en zonder gebeurtenissen op de dag van aankondiging</w:t>
      </w:r>
      <w:r w:rsidR="00AD3231">
        <w:t>.</w:t>
      </w:r>
    </w:p>
    <w:p w:rsidR="00EC2447" w:rsidRDefault="00777076" w:rsidP="009965EB">
      <w:pPr>
        <w:pStyle w:val="NoSpacing"/>
        <w:jc w:val="both"/>
      </w:pPr>
      <w:r>
        <w:t>In</w:t>
      </w:r>
      <w:r w:rsidR="00FB1187">
        <w:t xml:space="preserve"> </w:t>
      </w:r>
      <w:r w:rsidR="00FB1187" w:rsidRPr="00122BEF">
        <w:t>figuur 1</w:t>
      </w:r>
      <w:r w:rsidR="00D3439B" w:rsidRPr="00122BEF">
        <w:t>0</w:t>
      </w:r>
      <w:r w:rsidR="00FB1187">
        <w:rPr>
          <w:b/>
        </w:rPr>
        <w:t xml:space="preserve"> </w:t>
      </w:r>
      <w:r w:rsidR="00FB1187">
        <w:t xml:space="preserve">valt vooral het </w:t>
      </w:r>
      <w:r>
        <w:t xml:space="preserve">grote </w:t>
      </w:r>
      <w:r w:rsidR="00FB1187">
        <w:t>verschil</w:t>
      </w:r>
      <w:r>
        <w:t xml:space="preserve"> in het abnormaal rendement</w:t>
      </w:r>
      <w:r w:rsidR="00FB1187">
        <w:t xml:space="preserve"> </w:t>
      </w:r>
      <w:r w:rsidR="00EC2447">
        <w:t>bij</w:t>
      </w:r>
      <w:r w:rsidR="00FB1187">
        <w:t xml:space="preserve"> de </w:t>
      </w:r>
      <w:proofErr w:type="spellStart"/>
      <w:r w:rsidR="00FB1187">
        <w:t>leverage</w:t>
      </w:r>
      <w:proofErr w:type="spellEnd"/>
      <w:r w:rsidR="00FB1187">
        <w:t xml:space="preserve"> hypothese op. In </w:t>
      </w:r>
      <w:r w:rsidR="00FB1187" w:rsidRPr="00122BEF">
        <w:t xml:space="preserve">tabel </w:t>
      </w:r>
      <w:r w:rsidR="00EE7706" w:rsidRPr="00122BEF">
        <w:t>9</w:t>
      </w:r>
      <w:r w:rsidR="00EE7706" w:rsidRPr="00EE7706">
        <w:rPr>
          <w:b/>
        </w:rPr>
        <w:t xml:space="preserve"> </w:t>
      </w:r>
      <w:r w:rsidR="00EE7706">
        <w:t xml:space="preserve">zijn de resultaten van de </w:t>
      </w:r>
      <w:proofErr w:type="spellStart"/>
      <w:r w:rsidR="00EE7706">
        <w:t>two</w:t>
      </w:r>
      <w:proofErr w:type="spellEnd"/>
      <w:r w:rsidR="00EE7706">
        <w:t xml:space="preserve"> sample </w:t>
      </w:r>
      <w:proofErr w:type="spellStart"/>
      <w:r w:rsidR="00EE7706">
        <w:t>t-t</w:t>
      </w:r>
      <w:r w:rsidR="00EE353C">
        <w:t>oets</w:t>
      </w:r>
      <w:proofErr w:type="spellEnd"/>
      <w:r w:rsidR="00EE7706">
        <w:t xml:space="preserve"> weergeven, waarbij getest is of de </w:t>
      </w:r>
      <w:proofErr w:type="spellStart"/>
      <w:r w:rsidR="00EE7706">
        <w:t>aandeleninkoopprogramma</w:t>
      </w:r>
      <w:r w:rsidR="00714724">
        <w:t>’</w:t>
      </w:r>
      <w:r w:rsidR="00EE7706">
        <w:t>s</w:t>
      </w:r>
      <w:proofErr w:type="spellEnd"/>
      <w:r w:rsidR="00EE7706">
        <w:t xml:space="preserve"> in een bepaalde groep signif</w:t>
      </w:r>
      <w:r w:rsidR="00666B70">
        <w:t>i</w:t>
      </w:r>
      <w:r w:rsidR="00EE7706">
        <w:t xml:space="preserve">cant van elkaar verschillen. Hieruit blijkt dat er sprake is van een statistisch significant verschil bij de </w:t>
      </w:r>
      <w:proofErr w:type="spellStart"/>
      <w:r w:rsidR="00EE7706">
        <w:t>leverage</w:t>
      </w:r>
      <w:proofErr w:type="spellEnd"/>
      <w:r w:rsidR="00EE7706">
        <w:t xml:space="preserve"> hypothese. </w:t>
      </w:r>
      <w:r w:rsidR="00666B70">
        <w:t xml:space="preserve">De statistische significantie van de </w:t>
      </w:r>
      <w:proofErr w:type="spellStart"/>
      <w:r w:rsidR="00666B70">
        <w:t>leverage</w:t>
      </w:r>
      <w:proofErr w:type="spellEnd"/>
      <w:r w:rsidR="00666B70">
        <w:t xml:space="preserve"> hypothese zou dus veroorzaakt kunnen zijn doordat de gebeurtenissen een positieve invloed hebben </w:t>
      </w:r>
      <w:r>
        <w:t xml:space="preserve">gehad </w:t>
      </w:r>
      <w:r w:rsidR="00666B70">
        <w:t xml:space="preserve">op de hoogte van het abnormaal rendement. </w:t>
      </w:r>
      <w:r w:rsidR="00EE7706">
        <w:t xml:space="preserve">Bij de gehele dataset en </w:t>
      </w:r>
      <w:proofErr w:type="spellStart"/>
      <w:r w:rsidR="00EE7706">
        <w:t>aandeleninkoopprogramma</w:t>
      </w:r>
      <w:r w:rsidR="00714724">
        <w:t>’</w:t>
      </w:r>
      <w:r w:rsidR="00EE7706">
        <w:t>s</w:t>
      </w:r>
      <w:proofErr w:type="spellEnd"/>
      <w:r w:rsidR="00EE7706">
        <w:t xml:space="preserve"> met een omvang </w:t>
      </w:r>
      <w:r w:rsidR="00B53F09">
        <w:t xml:space="preserve">tussen de 0 en </w:t>
      </w:r>
      <w:r w:rsidR="00EE7706">
        <w:t>5 procent</w:t>
      </w:r>
      <w:r w:rsidR="00B53F09">
        <w:t xml:space="preserve"> van het uitstaande aandelenkapitaal</w:t>
      </w:r>
      <w:r w:rsidR="00EE7706">
        <w:t xml:space="preserve"> is geen sprake van een statistisch </w:t>
      </w:r>
      <w:r w:rsidR="00666B70">
        <w:t xml:space="preserve">significant </w:t>
      </w:r>
      <w:r w:rsidR="00EE7706">
        <w:t xml:space="preserve">verschil. </w:t>
      </w:r>
    </w:p>
    <w:p w:rsidR="00FB1187" w:rsidRPr="00EE7706" w:rsidRDefault="00EE7706" w:rsidP="009965EB">
      <w:pPr>
        <w:pStyle w:val="NoSpacing"/>
        <w:jc w:val="both"/>
      </w:pPr>
      <w:r>
        <w:t xml:space="preserve">Het kan zo zijn dat het verschil in de </w:t>
      </w:r>
      <w:proofErr w:type="spellStart"/>
      <w:r>
        <w:t>leverage</w:t>
      </w:r>
      <w:proofErr w:type="spellEnd"/>
      <w:r>
        <w:t xml:space="preserve"> hypothese ontstaat doordat de omvang van de </w:t>
      </w:r>
      <w:proofErr w:type="spellStart"/>
      <w:r>
        <w:t>aandeleninkoopprogramma</w:t>
      </w:r>
      <w:r w:rsidR="00714724">
        <w:t>’</w:t>
      </w:r>
      <w:r>
        <w:t>s</w:t>
      </w:r>
      <w:proofErr w:type="spellEnd"/>
      <w:r>
        <w:t xml:space="preserve"> in de groep met gebeurtenissen veel groter is dan de </w:t>
      </w:r>
      <w:proofErr w:type="spellStart"/>
      <w:r>
        <w:t>aandeleninkoopprogramma</w:t>
      </w:r>
      <w:r w:rsidR="00714724">
        <w:t>’</w:t>
      </w:r>
      <w:r>
        <w:t>s</w:t>
      </w:r>
      <w:proofErr w:type="spellEnd"/>
      <w:r>
        <w:t xml:space="preserve"> zonder gebeurtenissen. Om dit te testen is gekeken naar </w:t>
      </w:r>
      <w:proofErr w:type="spellStart"/>
      <w:r>
        <w:t>aandeleninkoopprogramma</w:t>
      </w:r>
      <w:r w:rsidR="00714724">
        <w:t>’</w:t>
      </w:r>
      <w:r>
        <w:t>s</w:t>
      </w:r>
      <w:proofErr w:type="spellEnd"/>
      <w:r>
        <w:t xml:space="preserve"> met als theoretisch motief de </w:t>
      </w:r>
      <w:proofErr w:type="spellStart"/>
      <w:r>
        <w:t>leverage</w:t>
      </w:r>
      <w:proofErr w:type="spellEnd"/>
      <w:r>
        <w:t xml:space="preserve"> hypothese en met een omvang </w:t>
      </w:r>
      <w:r w:rsidR="00EC2447">
        <w:t>tussen de 0 en 5 procent</w:t>
      </w:r>
      <w:r>
        <w:t xml:space="preserve"> van het uitstaande aandelenkapitaal. </w:t>
      </w:r>
      <w:r w:rsidR="00666B70">
        <w:t xml:space="preserve">De </w:t>
      </w:r>
      <w:proofErr w:type="spellStart"/>
      <w:r w:rsidR="00666B70">
        <w:t>t-toets</w:t>
      </w:r>
      <w:proofErr w:type="spellEnd"/>
      <w:r w:rsidR="00666B70">
        <w:t xml:space="preserve"> is weliswaar niet significant</w:t>
      </w:r>
      <w:r>
        <w:t xml:space="preserve">, maar er </w:t>
      </w:r>
      <w:r w:rsidR="00777076">
        <w:t xml:space="preserve">is </w:t>
      </w:r>
      <w:r>
        <w:t>sprake van een groot verschil</w:t>
      </w:r>
      <w:r w:rsidR="00777076">
        <w:t xml:space="preserve"> in de hoogte van het abnormaal rendement tussen de twee groepen</w:t>
      </w:r>
      <w:r>
        <w:t xml:space="preserve">. In de </w:t>
      </w:r>
      <w:proofErr w:type="spellStart"/>
      <w:r>
        <w:t>aandeleninkoopprogramma</w:t>
      </w:r>
      <w:proofErr w:type="spellEnd"/>
      <w:r>
        <w:t xml:space="preserve"> met gebeurtenissen is het </w:t>
      </w:r>
      <w:r w:rsidR="00777076">
        <w:t xml:space="preserve">gemiddeld </w:t>
      </w:r>
      <w:r>
        <w:t>abnormaal rendement 2,37%</w:t>
      </w:r>
      <w:r w:rsidR="00777076">
        <w:t>. I</w:t>
      </w:r>
      <w:r>
        <w:t xml:space="preserve">n de </w:t>
      </w:r>
      <w:proofErr w:type="spellStart"/>
      <w:r>
        <w:t>aandeleninkoopprogramma</w:t>
      </w:r>
      <w:r w:rsidR="00714724">
        <w:t>’</w:t>
      </w:r>
      <w:r>
        <w:t>s</w:t>
      </w:r>
      <w:proofErr w:type="spellEnd"/>
      <w:r>
        <w:t xml:space="preserve"> zonder gebeurtenissen bedraagt deze slechts 0,97%. Het feit dat de </w:t>
      </w:r>
      <w:proofErr w:type="spellStart"/>
      <w:r>
        <w:t>t-toets</w:t>
      </w:r>
      <w:proofErr w:type="spellEnd"/>
      <w:r>
        <w:t xml:space="preserve"> niet leidt tot een </w:t>
      </w:r>
      <w:r w:rsidR="00777076">
        <w:t xml:space="preserve">statistisch </w:t>
      </w:r>
      <w:r>
        <w:t xml:space="preserve">significant verschil komt waarschijnlijk door het </w:t>
      </w:r>
      <w:r w:rsidR="00EC2447">
        <w:t xml:space="preserve">beperkt </w:t>
      </w:r>
      <w:r>
        <w:t xml:space="preserve">aantal </w:t>
      </w:r>
      <w:proofErr w:type="spellStart"/>
      <w:r>
        <w:t>aandeleninkoopprogramma’s</w:t>
      </w:r>
      <w:proofErr w:type="spellEnd"/>
      <w:r>
        <w:t xml:space="preserve"> (n</w:t>
      </w:r>
      <w:r>
        <w:rPr>
          <w:vertAlign w:val="subscript"/>
        </w:rPr>
        <w:t>1</w:t>
      </w:r>
      <w:r>
        <w:t xml:space="preserve"> en n</w:t>
      </w:r>
      <w:r>
        <w:rPr>
          <w:vertAlign w:val="subscript"/>
        </w:rPr>
        <w:t>2</w:t>
      </w:r>
      <w:r>
        <w:t>).</w:t>
      </w:r>
    </w:p>
    <w:p w:rsidR="00FB1187" w:rsidRDefault="00FB1187" w:rsidP="009C4E91">
      <w:pPr>
        <w:pStyle w:val="NoSpacing"/>
      </w:pPr>
    </w:p>
    <w:tbl>
      <w:tblPr>
        <w:tblStyle w:val="TableGrid"/>
        <w:tblW w:w="0" w:type="auto"/>
        <w:tblLook w:val="04A0"/>
      </w:tblPr>
      <w:tblGrid>
        <w:gridCol w:w="1199"/>
        <w:gridCol w:w="1151"/>
        <w:gridCol w:w="1151"/>
        <w:gridCol w:w="1151"/>
        <w:gridCol w:w="1151"/>
        <w:gridCol w:w="1151"/>
        <w:gridCol w:w="1152"/>
        <w:gridCol w:w="1152"/>
      </w:tblGrid>
      <w:tr w:rsidR="00FB1187" w:rsidTr="00D51924">
        <w:tc>
          <w:tcPr>
            <w:tcW w:w="1151" w:type="dxa"/>
            <w:shd w:val="clear" w:color="auto" w:fill="0070C0"/>
          </w:tcPr>
          <w:p w:rsidR="00FB1187" w:rsidRPr="00467EFB" w:rsidRDefault="00FB1187" w:rsidP="00D51924">
            <w:pPr>
              <w:rPr>
                <w:b/>
                <w:color w:val="FFFFFF" w:themeColor="background1"/>
              </w:rPr>
            </w:pPr>
          </w:p>
        </w:tc>
        <w:tc>
          <w:tcPr>
            <w:tcW w:w="1151" w:type="dxa"/>
            <w:shd w:val="clear" w:color="auto" w:fill="0070C0"/>
          </w:tcPr>
          <w:p w:rsidR="00FB1187" w:rsidRPr="00467EFB" w:rsidRDefault="00FB1187" w:rsidP="00D51924">
            <w:pPr>
              <w:rPr>
                <w:b/>
                <w:color w:val="FFFFFF" w:themeColor="background1"/>
                <w:vertAlign w:val="subscript"/>
              </w:rPr>
            </w:pPr>
            <w:r w:rsidRPr="00467EFB">
              <w:rPr>
                <w:b/>
                <w:color w:val="FFFFFF" w:themeColor="background1"/>
              </w:rPr>
              <w:t>AR</w:t>
            </w:r>
            <w:r w:rsidRPr="00467EFB">
              <w:rPr>
                <w:b/>
                <w:color w:val="FFFFFF" w:themeColor="background1"/>
                <w:vertAlign w:val="subscript"/>
              </w:rPr>
              <w:t>1</w:t>
            </w:r>
          </w:p>
        </w:tc>
        <w:tc>
          <w:tcPr>
            <w:tcW w:w="1151" w:type="dxa"/>
            <w:shd w:val="clear" w:color="auto" w:fill="0070C0"/>
          </w:tcPr>
          <w:p w:rsidR="00FB1187" w:rsidRPr="00467EFB" w:rsidRDefault="00FB1187" w:rsidP="00D51924">
            <w:pPr>
              <w:rPr>
                <w:b/>
                <w:color w:val="FFFFFF" w:themeColor="background1"/>
                <w:vertAlign w:val="subscript"/>
              </w:rPr>
            </w:pPr>
            <w:r w:rsidRPr="00467EFB">
              <w:rPr>
                <w:b/>
                <w:color w:val="FFFFFF" w:themeColor="background1"/>
              </w:rPr>
              <w:t>AR</w:t>
            </w:r>
            <w:r w:rsidRPr="00467EFB">
              <w:rPr>
                <w:b/>
                <w:color w:val="FFFFFF" w:themeColor="background1"/>
                <w:vertAlign w:val="subscript"/>
              </w:rPr>
              <w:t>2</w:t>
            </w:r>
          </w:p>
        </w:tc>
        <w:tc>
          <w:tcPr>
            <w:tcW w:w="1151" w:type="dxa"/>
            <w:shd w:val="clear" w:color="auto" w:fill="0070C0"/>
          </w:tcPr>
          <w:p w:rsidR="00FB1187" w:rsidRPr="00467EFB" w:rsidRDefault="00FB1187" w:rsidP="00D51924">
            <w:pPr>
              <w:rPr>
                <w:b/>
                <w:color w:val="FFFFFF" w:themeColor="background1"/>
                <w:vertAlign w:val="subscript"/>
              </w:rPr>
            </w:pPr>
            <w:r w:rsidRPr="00467EFB">
              <w:rPr>
                <w:b/>
                <w:color w:val="FFFFFF" w:themeColor="background1"/>
              </w:rPr>
              <w:t>s</w:t>
            </w:r>
            <w:r w:rsidRPr="00467EFB">
              <w:rPr>
                <w:b/>
                <w:color w:val="FFFFFF" w:themeColor="background1"/>
                <w:vertAlign w:val="subscript"/>
              </w:rPr>
              <w:t>1</w:t>
            </w:r>
          </w:p>
        </w:tc>
        <w:tc>
          <w:tcPr>
            <w:tcW w:w="1151" w:type="dxa"/>
            <w:shd w:val="clear" w:color="auto" w:fill="0070C0"/>
          </w:tcPr>
          <w:p w:rsidR="00FB1187" w:rsidRPr="00467EFB" w:rsidRDefault="00FB1187" w:rsidP="00D51924">
            <w:pPr>
              <w:rPr>
                <w:b/>
                <w:color w:val="FFFFFF" w:themeColor="background1"/>
                <w:vertAlign w:val="subscript"/>
              </w:rPr>
            </w:pPr>
            <w:r w:rsidRPr="00467EFB">
              <w:rPr>
                <w:b/>
                <w:color w:val="FFFFFF" w:themeColor="background1"/>
              </w:rPr>
              <w:t>s</w:t>
            </w:r>
            <w:r w:rsidRPr="00467EFB">
              <w:rPr>
                <w:b/>
                <w:color w:val="FFFFFF" w:themeColor="background1"/>
                <w:vertAlign w:val="subscript"/>
              </w:rPr>
              <w:t>2</w:t>
            </w:r>
          </w:p>
        </w:tc>
        <w:tc>
          <w:tcPr>
            <w:tcW w:w="1151" w:type="dxa"/>
            <w:shd w:val="clear" w:color="auto" w:fill="0070C0"/>
          </w:tcPr>
          <w:p w:rsidR="00FB1187" w:rsidRPr="00467EFB" w:rsidRDefault="00FB1187" w:rsidP="00D51924">
            <w:pPr>
              <w:rPr>
                <w:b/>
                <w:color w:val="FFFFFF" w:themeColor="background1"/>
                <w:vertAlign w:val="subscript"/>
              </w:rPr>
            </w:pPr>
            <w:r w:rsidRPr="00467EFB">
              <w:rPr>
                <w:b/>
                <w:color w:val="FFFFFF" w:themeColor="background1"/>
              </w:rPr>
              <w:t>n</w:t>
            </w:r>
            <w:r w:rsidRPr="00467EFB">
              <w:rPr>
                <w:b/>
                <w:color w:val="FFFFFF" w:themeColor="background1"/>
                <w:vertAlign w:val="subscript"/>
              </w:rPr>
              <w:t>1</w:t>
            </w:r>
          </w:p>
        </w:tc>
        <w:tc>
          <w:tcPr>
            <w:tcW w:w="1152" w:type="dxa"/>
            <w:shd w:val="clear" w:color="auto" w:fill="0070C0"/>
          </w:tcPr>
          <w:p w:rsidR="00FB1187" w:rsidRPr="00467EFB" w:rsidRDefault="00FB1187" w:rsidP="00D51924">
            <w:pPr>
              <w:rPr>
                <w:b/>
                <w:color w:val="FFFFFF" w:themeColor="background1"/>
                <w:vertAlign w:val="subscript"/>
              </w:rPr>
            </w:pPr>
            <w:r w:rsidRPr="00467EFB">
              <w:rPr>
                <w:b/>
                <w:color w:val="FFFFFF" w:themeColor="background1"/>
              </w:rPr>
              <w:t>n</w:t>
            </w:r>
            <w:r w:rsidRPr="00467EFB">
              <w:rPr>
                <w:b/>
                <w:color w:val="FFFFFF" w:themeColor="background1"/>
                <w:vertAlign w:val="subscript"/>
              </w:rPr>
              <w:t>2</w:t>
            </w:r>
          </w:p>
        </w:tc>
        <w:tc>
          <w:tcPr>
            <w:tcW w:w="1152" w:type="dxa"/>
            <w:shd w:val="clear" w:color="auto" w:fill="0070C0"/>
          </w:tcPr>
          <w:p w:rsidR="00FB1187" w:rsidRPr="00467EFB" w:rsidRDefault="00FB1187" w:rsidP="00D51924">
            <w:pPr>
              <w:rPr>
                <w:b/>
                <w:color w:val="FFFFFF" w:themeColor="background1"/>
              </w:rPr>
            </w:pPr>
            <w:proofErr w:type="spellStart"/>
            <w:r w:rsidRPr="00467EFB">
              <w:rPr>
                <w:b/>
                <w:color w:val="FFFFFF" w:themeColor="background1"/>
              </w:rPr>
              <w:t>t-toets</w:t>
            </w:r>
            <w:proofErr w:type="spellEnd"/>
          </w:p>
        </w:tc>
      </w:tr>
      <w:tr w:rsidR="00FB1187" w:rsidTr="00D51924">
        <w:tc>
          <w:tcPr>
            <w:tcW w:w="1151" w:type="dxa"/>
            <w:shd w:val="clear" w:color="auto" w:fill="D9D9D9" w:themeFill="background1" w:themeFillShade="D9"/>
          </w:tcPr>
          <w:p w:rsidR="00FB1187" w:rsidRDefault="00FB1187" w:rsidP="00D51924">
            <w:r>
              <w:t>Gehele dataset</w:t>
            </w:r>
          </w:p>
        </w:tc>
        <w:tc>
          <w:tcPr>
            <w:tcW w:w="1151" w:type="dxa"/>
          </w:tcPr>
          <w:p w:rsidR="00FB1187" w:rsidRDefault="00FB1187" w:rsidP="00D51924">
            <w:r>
              <w:t>1,36%</w:t>
            </w:r>
          </w:p>
        </w:tc>
        <w:tc>
          <w:tcPr>
            <w:tcW w:w="1151" w:type="dxa"/>
          </w:tcPr>
          <w:p w:rsidR="00FB1187" w:rsidRDefault="00FB1187" w:rsidP="00D51924">
            <w:r>
              <w:t>1,01%</w:t>
            </w:r>
          </w:p>
        </w:tc>
        <w:tc>
          <w:tcPr>
            <w:tcW w:w="1151" w:type="dxa"/>
          </w:tcPr>
          <w:p w:rsidR="00FB1187" w:rsidRDefault="00FB1187" w:rsidP="00D51924">
            <w:r>
              <w:t>0,4032</w:t>
            </w:r>
          </w:p>
        </w:tc>
        <w:tc>
          <w:tcPr>
            <w:tcW w:w="1151" w:type="dxa"/>
          </w:tcPr>
          <w:p w:rsidR="00FB1187" w:rsidRDefault="00FB1187" w:rsidP="00D51924">
            <w:r>
              <w:t>0,01672</w:t>
            </w:r>
          </w:p>
        </w:tc>
        <w:tc>
          <w:tcPr>
            <w:tcW w:w="1151" w:type="dxa"/>
          </w:tcPr>
          <w:p w:rsidR="00FB1187" w:rsidRDefault="00FB1187" w:rsidP="00D51924">
            <w:r>
              <w:t>49</w:t>
            </w:r>
          </w:p>
        </w:tc>
        <w:tc>
          <w:tcPr>
            <w:tcW w:w="1152" w:type="dxa"/>
          </w:tcPr>
          <w:p w:rsidR="00FB1187" w:rsidRDefault="00FB1187" w:rsidP="00D51924">
            <w:r>
              <w:t>19</w:t>
            </w:r>
          </w:p>
        </w:tc>
        <w:tc>
          <w:tcPr>
            <w:tcW w:w="1152" w:type="dxa"/>
          </w:tcPr>
          <w:p w:rsidR="00FB1187" w:rsidRDefault="00FB1187" w:rsidP="00D51924">
            <w:r>
              <w:t>0,06</w:t>
            </w:r>
          </w:p>
        </w:tc>
      </w:tr>
      <w:tr w:rsidR="00FB1187" w:rsidTr="00D51924">
        <w:tc>
          <w:tcPr>
            <w:tcW w:w="1151" w:type="dxa"/>
            <w:shd w:val="clear" w:color="auto" w:fill="D9D9D9" w:themeFill="background1" w:themeFillShade="D9"/>
          </w:tcPr>
          <w:p w:rsidR="00FB1187" w:rsidRDefault="00FB1187" w:rsidP="00D51924">
            <w:proofErr w:type="spellStart"/>
            <w:r>
              <w:t>Leverage</w:t>
            </w:r>
            <w:proofErr w:type="spellEnd"/>
          </w:p>
        </w:tc>
        <w:tc>
          <w:tcPr>
            <w:tcW w:w="1151" w:type="dxa"/>
          </w:tcPr>
          <w:p w:rsidR="00FB1187" w:rsidRDefault="00FB1187" w:rsidP="00D51924">
            <w:r>
              <w:t>2,24%</w:t>
            </w:r>
          </w:p>
        </w:tc>
        <w:tc>
          <w:tcPr>
            <w:tcW w:w="1151" w:type="dxa"/>
          </w:tcPr>
          <w:p w:rsidR="00FB1187" w:rsidRDefault="00FB1187" w:rsidP="00D51924">
            <w:r>
              <w:t>0,88%</w:t>
            </w:r>
          </w:p>
        </w:tc>
        <w:tc>
          <w:tcPr>
            <w:tcW w:w="1151" w:type="dxa"/>
          </w:tcPr>
          <w:p w:rsidR="00FB1187" w:rsidRDefault="00FB1187" w:rsidP="00D51924">
            <w:r>
              <w:t>0,0447</w:t>
            </w:r>
          </w:p>
        </w:tc>
        <w:tc>
          <w:tcPr>
            <w:tcW w:w="1151" w:type="dxa"/>
          </w:tcPr>
          <w:p w:rsidR="00FB1187" w:rsidRDefault="00FB1187" w:rsidP="00D51924">
            <w:r>
              <w:t>0,01697</w:t>
            </w:r>
          </w:p>
        </w:tc>
        <w:tc>
          <w:tcPr>
            <w:tcW w:w="1151" w:type="dxa"/>
          </w:tcPr>
          <w:p w:rsidR="00FB1187" w:rsidRDefault="00FB1187" w:rsidP="00D51924">
            <w:r>
              <w:t>20</w:t>
            </w:r>
          </w:p>
        </w:tc>
        <w:tc>
          <w:tcPr>
            <w:tcW w:w="1152" w:type="dxa"/>
          </w:tcPr>
          <w:p w:rsidR="00FB1187" w:rsidRDefault="00FB1187" w:rsidP="00D51924">
            <w:r>
              <w:t>15</w:t>
            </w:r>
          </w:p>
        </w:tc>
        <w:tc>
          <w:tcPr>
            <w:tcW w:w="1152" w:type="dxa"/>
          </w:tcPr>
          <w:p w:rsidR="00FB1187" w:rsidRPr="00714724" w:rsidRDefault="00FB1187" w:rsidP="00D51924">
            <w:pPr>
              <w:rPr>
                <w:b/>
                <w:vertAlign w:val="superscript"/>
              </w:rPr>
            </w:pPr>
            <w:r w:rsidRPr="00714724">
              <w:t>2,05</w:t>
            </w:r>
            <w:r w:rsidR="00714724">
              <w:rPr>
                <w:b/>
                <w:vertAlign w:val="superscript"/>
              </w:rPr>
              <w:t>**</w:t>
            </w:r>
          </w:p>
        </w:tc>
      </w:tr>
      <w:tr w:rsidR="00FB1187" w:rsidTr="00D51924">
        <w:tc>
          <w:tcPr>
            <w:tcW w:w="1151" w:type="dxa"/>
            <w:shd w:val="clear" w:color="auto" w:fill="D9D9D9" w:themeFill="background1" w:themeFillShade="D9"/>
          </w:tcPr>
          <w:p w:rsidR="00FB1187" w:rsidRDefault="00FB1187" w:rsidP="00D51924">
            <w:r>
              <w:t xml:space="preserve">0-5% </w:t>
            </w:r>
            <w:proofErr w:type="spellStart"/>
            <w:r>
              <w:t>uits</w:t>
            </w:r>
            <w:proofErr w:type="spellEnd"/>
            <w:r>
              <w:t xml:space="preserve">. </w:t>
            </w:r>
            <w:proofErr w:type="spellStart"/>
            <w:r>
              <w:t>aandelenk</w:t>
            </w:r>
            <w:proofErr w:type="spellEnd"/>
            <w:r>
              <w:t>.</w:t>
            </w:r>
          </w:p>
        </w:tc>
        <w:tc>
          <w:tcPr>
            <w:tcW w:w="1151" w:type="dxa"/>
          </w:tcPr>
          <w:p w:rsidR="00FB1187" w:rsidRDefault="00FB1187" w:rsidP="00D51924">
            <w:r>
              <w:t>1,09%</w:t>
            </w:r>
          </w:p>
        </w:tc>
        <w:tc>
          <w:tcPr>
            <w:tcW w:w="1151" w:type="dxa"/>
          </w:tcPr>
          <w:p w:rsidR="00FB1187" w:rsidRDefault="00FB1187" w:rsidP="00D51924">
            <w:r>
              <w:t>1,07%</w:t>
            </w:r>
          </w:p>
        </w:tc>
        <w:tc>
          <w:tcPr>
            <w:tcW w:w="1151" w:type="dxa"/>
          </w:tcPr>
          <w:p w:rsidR="00FB1187" w:rsidRDefault="00FB1187" w:rsidP="00D51924">
            <w:r>
              <w:t>0,04151</w:t>
            </w:r>
          </w:p>
        </w:tc>
        <w:tc>
          <w:tcPr>
            <w:tcW w:w="1151" w:type="dxa"/>
          </w:tcPr>
          <w:p w:rsidR="00FB1187" w:rsidRDefault="00FB1187" w:rsidP="00D51924">
            <w:r>
              <w:t>0,01352</w:t>
            </w:r>
          </w:p>
        </w:tc>
        <w:tc>
          <w:tcPr>
            <w:tcW w:w="1151" w:type="dxa"/>
          </w:tcPr>
          <w:p w:rsidR="00FB1187" w:rsidRDefault="00FB1187" w:rsidP="00D51924">
            <w:r>
              <w:t>29</w:t>
            </w:r>
          </w:p>
        </w:tc>
        <w:tc>
          <w:tcPr>
            <w:tcW w:w="1152" w:type="dxa"/>
          </w:tcPr>
          <w:p w:rsidR="00FB1187" w:rsidRDefault="00FB1187" w:rsidP="00D51924">
            <w:r>
              <w:t>14</w:t>
            </w:r>
          </w:p>
        </w:tc>
        <w:tc>
          <w:tcPr>
            <w:tcW w:w="1152" w:type="dxa"/>
          </w:tcPr>
          <w:p w:rsidR="00FB1187" w:rsidRDefault="00FB1187" w:rsidP="00D51924">
            <w:r>
              <w:t>0,02</w:t>
            </w:r>
          </w:p>
        </w:tc>
      </w:tr>
      <w:tr w:rsidR="00FB1187" w:rsidTr="00D51924">
        <w:tc>
          <w:tcPr>
            <w:tcW w:w="1151" w:type="dxa"/>
            <w:shd w:val="clear" w:color="auto" w:fill="D9D9D9" w:themeFill="background1" w:themeFillShade="D9"/>
          </w:tcPr>
          <w:p w:rsidR="00FB1187" w:rsidRDefault="00FB1187" w:rsidP="00D51924">
            <w:proofErr w:type="spellStart"/>
            <w:r>
              <w:t>Leverage</w:t>
            </w:r>
            <w:proofErr w:type="spellEnd"/>
            <w:r>
              <w:t xml:space="preserve"> 0-5% </w:t>
            </w:r>
          </w:p>
        </w:tc>
        <w:tc>
          <w:tcPr>
            <w:tcW w:w="1151" w:type="dxa"/>
          </w:tcPr>
          <w:p w:rsidR="00FB1187" w:rsidRDefault="00FB1187" w:rsidP="00D51924">
            <w:r>
              <w:t>2,37%</w:t>
            </w:r>
          </w:p>
        </w:tc>
        <w:tc>
          <w:tcPr>
            <w:tcW w:w="1151" w:type="dxa"/>
          </w:tcPr>
          <w:p w:rsidR="00FB1187" w:rsidRDefault="00FB1187" w:rsidP="00D51924">
            <w:r>
              <w:t>0,96%</w:t>
            </w:r>
          </w:p>
        </w:tc>
        <w:tc>
          <w:tcPr>
            <w:tcW w:w="1151" w:type="dxa"/>
          </w:tcPr>
          <w:p w:rsidR="00FB1187" w:rsidRDefault="00FB1187" w:rsidP="00D51924">
            <w:r>
              <w:t>0,05328</w:t>
            </w:r>
          </w:p>
        </w:tc>
        <w:tc>
          <w:tcPr>
            <w:tcW w:w="1151" w:type="dxa"/>
          </w:tcPr>
          <w:p w:rsidR="00FB1187" w:rsidRDefault="00FB1187" w:rsidP="00D51924">
            <w:r>
              <w:t>0,01410</w:t>
            </w:r>
          </w:p>
        </w:tc>
        <w:tc>
          <w:tcPr>
            <w:tcW w:w="1151" w:type="dxa"/>
          </w:tcPr>
          <w:p w:rsidR="00FB1187" w:rsidRDefault="00FB1187" w:rsidP="00D51924">
            <w:r>
              <w:t>13</w:t>
            </w:r>
          </w:p>
        </w:tc>
        <w:tc>
          <w:tcPr>
            <w:tcW w:w="1152" w:type="dxa"/>
          </w:tcPr>
          <w:p w:rsidR="00FB1187" w:rsidRDefault="00FB1187" w:rsidP="00D51924">
            <w:r>
              <w:t>12</w:t>
            </w:r>
          </w:p>
        </w:tc>
        <w:tc>
          <w:tcPr>
            <w:tcW w:w="1152" w:type="dxa"/>
          </w:tcPr>
          <w:p w:rsidR="00FB1187" w:rsidRDefault="00FB1187" w:rsidP="00FB1187">
            <w:pPr>
              <w:keepNext/>
            </w:pPr>
            <w:r>
              <w:t>0,92</w:t>
            </w:r>
          </w:p>
        </w:tc>
      </w:tr>
    </w:tbl>
    <w:p w:rsidR="00FB1187" w:rsidRDefault="00FB1187" w:rsidP="00AD3231">
      <w:pPr>
        <w:pStyle w:val="Caption"/>
        <w:jc w:val="both"/>
      </w:pPr>
      <w:r>
        <w:t xml:space="preserve">Tabel 9: </w:t>
      </w:r>
      <w:proofErr w:type="spellStart"/>
      <w:r w:rsidR="00B70E2B">
        <w:t>T</w:t>
      </w:r>
      <w:r>
        <w:t>wo</w:t>
      </w:r>
      <w:proofErr w:type="spellEnd"/>
      <w:r>
        <w:t xml:space="preserve"> sample </w:t>
      </w:r>
      <w:proofErr w:type="spellStart"/>
      <w:r>
        <w:t>t-t</w:t>
      </w:r>
      <w:r w:rsidR="00304E24">
        <w:t>oets</w:t>
      </w:r>
      <w:proofErr w:type="spellEnd"/>
      <w:r w:rsidR="00EE7706">
        <w:t xml:space="preserve">: </w:t>
      </w:r>
      <w:r w:rsidR="00B70E2B">
        <w:t xml:space="preserve">Het gemiddeld abnormaal rendement </w:t>
      </w:r>
      <w:r w:rsidR="00EE7706">
        <w:t>met belangrijke gebeurtenissen</w:t>
      </w:r>
      <w:r w:rsidR="00B70E2B">
        <w:t xml:space="preserve"> (AR</w:t>
      </w:r>
      <w:r w:rsidR="00B70E2B">
        <w:rPr>
          <w:vertAlign w:val="subscript"/>
        </w:rPr>
        <w:t>1</w:t>
      </w:r>
      <w:r w:rsidR="00B70E2B">
        <w:t>)</w:t>
      </w:r>
      <w:r w:rsidR="00EE7706">
        <w:t xml:space="preserve"> en zonder belangrijke gebeurtenissen</w:t>
      </w:r>
      <w:r w:rsidR="00B70E2B">
        <w:t xml:space="preserve"> (AR</w:t>
      </w:r>
      <w:r w:rsidR="00B70E2B">
        <w:rPr>
          <w:vertAlign w:val="subscript"/>
        </w:rPr>
        <w:t>2</w:t>
      </w:r>
      <w:r w:rsidR="00B70E2B">
        <w:t>)</w:t>
      </w:r>
      <w:r w:rsidR="00EE7706">
        <w:t>.</w:t>
      </w:r>
      <w:r w:rsidR="002556BF">
        <w:t xml:space="preserve"> De methode gebruikt om het normaal rendement te berekenen is het Markt Model.</w:t>
      </w:r>
      <w:r w:rsidR="00EE7706">
        <w:t xml:space="preserve"> </w:t>
      </w:r>
      <w:r w:rsidR="00B70E2B">
        <w:t xml:space="preserve">                     </w:t>
      </w:r>
      <w:r w:rsidR="00666B70">
        <w:t>NB</w:t>
      </w:r>
      <w:r w:rsidR="00666B70">
        <w:rPr>
          <w:vertAlign w:val="subscript"/>
        </w:rPr>
        <w:t>1</w:t>
      </w:r>
      <w:r w:rsidR="00666B70">
        <w:t xml:space="preserve">: </w:t>
      </w:r>
      <w:r w:rsidR="00714724">
        <w:t xml:space="preserve">**= </w:t>
      </w:r>
      <w:r w:rsidR="00714724" w:rsidRPr="00714724">
        <w:t xml:space="preserve">Het abnormaal rendement verschilt significant van nul op een 5% niveau op basis van een tweezijdige toets. </w:t>
      </w:r>
      <w:r w:rsidR="00EE7706">
        <w:t>NB</w:t>
      </w:r>
      <w:r w:rsidR="00666B70">
        <w:rPr>
          <w:vertAlign w:val="subscript"/>
        </w:rPr>
        <w:t>2</w:t>
      </w:r>
      <w:r w:rsidR="00EE7706">
        <w:t>: voor def</w:t>
      </w:r>
      <w:r w:rsidR="00D3439B">
        <w:t xml:space="preserve">inities variabelen </w:t>
      </w:r>
      <w:r w:rsidR="00C62EDC">
        <w:t>(</w:t>
      </w:r>
      <w:r w:rsidR="00D3439B">
        <w:t>zie voetnoot</w:t>
      </w:r>
      <w:r w:rsidR="00C62EDC">
        <w:t xml:space="preserve"> 17, p. 1</w:t>
      </w:r>
      <w:r w:rsidR="003935C6">
        <w:t>4</w:t>
      </w:r>
      <w:r w:rsidR="00C62EDC">
        <w:t>)</w:t>
      </w:r>
      <w:r w:rsidR="00EE7706">
        <w:t xml:space="preserve"> </w:t>
      </w:r>
    </w:p>
    <w:p w:rsidR="00FB1187" w:rsidRDefault="00D51924" w:rsidP="009965EB">
      <w:pPr>
        <w:pStyle w:val="NoSpacing"/>
        <w:jc w:val="both"/>
      </w:pPr>
      <w:r>
        <w:lastRenderedPageBreak/>
        <w:t xml:space="preserve">Aangezien uit de </w:t>
      </w:r>
      <w:proofErr w:type="spellStart"/>
      <w:r>
        <w:t>t-t</w:t>
      </w:r>
      <w:r w:rsidR="00EE353C">
        <w:t>oets</w:t>
      </w:r>
      <w:proofErr w:type="spellEnd"/>
      <w:r w:rsidR="00EE353C">
        <w:t xml:space="preserve"> </w:t>
      </w:r>
      <w:r>
        <w:t>is gebleken dat d</w:t>
      </w:r>
      <w:r w:rsidR="00364F42">
        <w:t xml:space="preserve">e </w:t>
      </w:r>
      <w:proofErr w:type="spellStart"/>
      <w:r>
        <w:t>leverage</w:t>
      </w:r>
      <w:proofErr w:type="spellEnd"/>
      <w:r>
        <w:t xml:space="preserve"> hypothese si</w:t>
      </w:r>
      <w:r w:rsidR="00B70E2B">
        <w:t>gnificant positief is beïnvloed</w:t>
      </w:r>
      <w:r>
        <w:t xml:space="preserve"> door gebeurtenissen op de dag van aankondiging</w:t>
      </w:r>
      <w:r w:rsidR="00777076">
        <w:t>,</w:t>
      </w:r>
      <w:r>
        <w:t xml:space="preserve"> is de </w:t>
      </w:r>
      <w:proofErr w:type="spellStart"/>
      <w:r>
        <w:t>leverage</w:t>
      </w:r>
      <w:proofErr w:type="spellEnd"/>
      <w:r>
        <w:t xml:space="preserve"> hypothese zonder gebeurtenissen statistisch getest. Er wordt op de dag van aankondiging </w:t>
      </w:r>
      <w:r w:rsidR="00381F5D">
        <w:t>bij</w:t>
      </w:r>
      <w:r>
        <w:t xml:space="preserve"> </w:t>
      </w:r>
      <w:r w:rsidR="00381F5D">
        <w:t xml:space="preserve">de </w:t>
      </w:r>
      <w:proofErr w:type="spellStart"/>
      <w:r w:rsidR="00381F5D">
        <w:t>t-toets</w:t>
      </w:r>
      <w:proofErr w:type="spellEnd"/>
      <w:r w:rsidR="00381F5D">
        <w:t xml:space="preserve"> een significant abnormaal rendement gevonden</w:t>
      </w:r>
      <w:r w:rsidR="00855842">
        <w:t xml:space="preserve"> bij een significantieniveau van 10%</w:t>
      </w:r>
      <w:r w:rsidR="00381F5D">
        <w:t xml:space="preserve"> </w:t>
      </w:r>
      <w:r>
        <w:t>(</w:t>
      </w:r>
      <w:r w:rsidRPr="00122BEF">
        <w:t>tabel 10</w:t>
      </w:r>
      <w:r>
        <w:t>).</w:t>
      </w:r>
      <w:r w:rsidR="00855842">
        <w:t xml:space="preserve"> In de eerdere test van de </w:t>
      </w:r>
      <w:proofErr w:type="spellStart"/>
      <w:r w:rsidR="00855842">
        <w:t>leverage</w:t>
      </w:r>
      <w:proofErr w:type="spellEnd"/>
      <w:r w:rsidR="00855842">
        <w:t xml:space="preserve"> hypothese was het abnormaal rendement nog significant bij een significantieniveau van 1%</w:t>
      </w:r>
      <w:r w:rsidR="00036074">
        <w:t xml:space="preserve"> (tabel 5, p. 23)</w:t>
      </w:r>
      <w:r w:rsidR="00381F5D">
        <w:t xml:space="preserve"> De tekentoets is, in tegenstelling tot de eerdere test van de </w:t>
      </w:r>
      <w:proofErr w:type="spellStart"/>
      <w:r w:rsidR="00381F5D">
        <w:t>leverage</w:t>
      </w:r>
      <w:proofErr w:type="spellEnd"/>
      <w:r w:rsidR="00381F5D">
        <w:t xml:space="preserve"> hypothese, niet meer significant. </w:t>
      </w:r>
      <w:r w:rsidR="0058046F">
        <w:t>Er kan geconcludeerd worden dat de</w:t>
      </w:r>
      <w:r w:rsidR="009A6972">
        <w:t xml:space="preserve"> belangrijke gebeurtenissen</w:t>
      </w:r>
      <w:r w:rsidR="00B000B3">
        <w:t xml:space="preserve"> </w:t>
      </w:r>
      <w:r w:rsidR="00EC2447">
        <w:t xml:space="preserve">een </w:t>
      </w:r>
      <w:r w:rsidR="00B000B3">
        <w:t>substantie</w:t>
      </w:r>
      <w:r w:rsidR="00EC2447">
        <w:t>el</w:t>
      </w:r>
      <w:r w:rsidR="00C62EDC">
        <w:t xml:space="preserve"> positieve invloed </w:t>
      </w:r>
      <w:r w:rsidR="00B53F09">
        <w:t>hebben</w:t>
      </w:r>
      <w:r w:rsidR="00C62EDC">
        <w:t xml:space="preserve"> gehad</w:t>
      </w:r>
      <w:r w:rsidR="00EC2447">
        <w:t xml:space="preserve"> op de resultaten van de </w:t>
      </w:r>
      <w:proofErr w:type="spellStart"/>
      <w:r w:rsidR="00EC2447">
        <w:t>leverage</w:t>
      </w:r>
      <w:proofErr w:type="spellEnd"/>
      <w:r w:rsidR="00EC2447">
        <w:t xml:space="preserve"> hypothese</w:t>
      </w:r>
      <w:r w:rsidR="00C62EDC">
        <w:t xml:space="preserve">. </w:t>
      </w:r>
    </w:p>
    <w:p w:rsidR="0079097E" w:rsidRDefault="0079097E" w:rsidP="009C4E91"/>
    <w:tbl>
      <w:tblPr>
        <w:tblStyle w:val="MediumShading2-Accent5"/>
        <w:tblW w:w="5000" w:type="pct"/>
        <w:tblLook w:val="0660"/>
      </w:tblPr>
      <w:tblGrid>
        <w:gridCol w:w="1498"/>
        <w:gridCol w:w="1499"/>
        <w:gridCol w:w="1701"/>
        <w:gridCol w:w="1592"/>
        <w:gridCol w:w="1501"/>
        <w:gridCol w:w="1495"/>
      </w:tblGrid>
      <w:tr w:rsidR="00D51924" w:rsidTr="00D51924">
        <w:trPr>
          <w:cnfStyle w:val="100000000000"/>
        </w:trPr>
        <w:tc>
          <w:tcPr>
            <w:tcW w:w="807" w:type="pct"/>
          </w:tcPr>
          <w:p w:rsidR="00D51924" w:rsidRDefault="00D51924" w:rsidP="00D51924">
            <w:r>
              <w:t xml:space="preserve">Dag </w:t>
            </w:r>
          </w:p>
        </w:tc>
        <w:tc>
          <w:tcPr>
            <w:tcW w:w="807" w:type="pct"/>
          </w:tcPr>
          <w:p w:rsidR="00D51924" w:rsidRDefault="00D51924" w:rsidP="00D51924">
            <w:pPr>
              <w:jc w:val="right"/>
            </w:pPr>
            <w:proofErr w:type="spellStart"/>
            <w:r>
              <w:t>Gemiddeld</w:t>
            </w:r>
            <w:proofErr w:type="spellEnd"/>
            <w:r>
              <w:t xml:space="preserve"> AR</w:t>
            </w:r>
          </w:p>
        </w:tc>
        <w:tc>
          <w:tcPr>
            <w:tcW w:w="916" w:type="pct"/>
            <w:noWrap/>
          </w:tcPr>
          <w:p w:rsidR="00D51924" w:rsidRDefault="00704512" w:rsidP="00704512">
            <w:pPr>
              <w:jc w:val="center"/>
            </w:pPr>
            <w:r>
              <w:t xml:space="preserve">           </w:t>
            </w:r>
            <w:r w:rsidR="00D51924">
              <w:t>T-</w:t>
            </w:r>
            <w:proofErr w:type="spellStart"/>
            <w:r w:rsidR="00D51924">
              <w:t>toets</w:t>
            </w:r>
            <w:proofErr w:type="spellEnd"/>
          </w:p>
          <w:p w:rsidR="00704512" w:rsidRDefault="00704512" w:rsidP="00D51924">
            <w:pPr>
              <w:jc w:val="right"/>
            </w:pPr>
            <w:r>
              <w:t>(t-</w:t>
            </w:r>
            <w:proofErr w:type="spellStart"/>
            <w:r>
              <w:t>waarde</w:t>
            </w:r>
            <w:proofErr w:type="spellEnd"/>
            <w:r>
              <w:t>)</w:t>
            </w:r>
          </w:p>
        </w:tc>
        <w:tc>
          <w:tcPr>
            <w:tcW w:w="857" w:type="pct"/>
          </w:tcPr>
          <w:p w:rsidR="00D51924" w:rsidRDefault="00D51924" w:rsidP="00D51924">
            <w:pPr>
              <w:jc w:val="right"/>
            </w:pPr>
            <w:proofErr w:type="spellStart"/>
            <w:r>
              <w:t>Aantal</w:t>
            </w:r>
            <w:proofErr w:type="spellEnd"/>
            <w:r>
              <w:t xml:space="preserve"> pos.</w:t>
            </w:r>
          </w:p>
        </w:tc>
        <w:tc>
          <w:tcPr>
            <w:tcW w:w="808" w:type="pct"/>
          </w:tcPr>
          <w:p w:rsidR="00D51924" w:rsidRDefault="00D51924" w:rsidP="00D51924">
            <w:pPr>
              <w:jc w:val="right"/>
            </w:pPr>
            <w:proofErr w:type="spellStart"/>
            <w:r>
              <w:t>Aantal</w:t>
            </w:r>
            <w:proofErr w:type="spellEnd"/>
            <w:r>
              <w:t xml:space="preserve"> neg.</w:t>
            </w:r>
          </w:p>
        </w:tc>
        <w:tc>
          <w:tcPr>
            <w:tcW w:w="805" w:type="pct"/>
          </w:tcPr>
          <w:p w:rsidR="00D51924" w:rsidRDefault="00D51924" w:rsidP="00D51924">
            <w:pPr>
              <w:jc w:val="right"/>
            </w:pPr>
            <w:proofErr w:type="spellStart"/>
            <w:r>
              <w:t>Tekentoets</w:t>
            </w:r>
            <w:proofErr w:type="spellEnd"/>
          </w:p>
          <w:p w:rsidR="00704512" w:rsidRDefault="00704512" w:rsidP="00D51924">
            <w:pPr>
              <w:jc w:val="right"/>
            </w:pPr>
            <w:r>
              <w:t>(p-</w:t>
            </w:r>
            <w:proofErr w:type="spellStart"/>
            <w:r>
              <w:t>waarde</w:t>
            </w:r>
            <w:proofErr w:type="spellEnd"/>
            <w:r>
              <w:t>)</w:t>
            </w:r>
          </w:p>
        </w:tc>
      </w:tr>
      <w:tr w:rsidR="00D51924" w:rsidTr="00D51924">
        <w:tc>
          <w:tcPr>
            <w:tcW w:w="5000" w:type="pct"/>
            <w:gridSpan w:val="6"/>
          </w:tcPr>
          <w:p w:rsidR="00D51924" w:rsidRPr="006B267C" w:rsidRDefault="00D51924" w:rsidP="00D51924">
            <w:pPr>
              <w:rPr>
                <w:color w:val="FF0000"/>
              </w:rPr>
            </w:pPr>
            <w:r>
              <w:rPr>
                <w:rStyle w:val="SubtleEmphasis"/>
                <w:color w:val="FF0000"/>
              </w:rPr>
              <w:t>Market-Adjusted Return Model</w:t>
            </w:r>
          </w:p>
        </w:tc>
      </w:tr>
      <w:tr w:rsidR="00D51924" w:rsidTr="00D51924">
        <w:tc>
          <w:tcPr>
            <w:tcW w:w="807" w:type="pct"/>
            <w:tcBorders>
              <w:bottom w:val="nil"/>
            </w:tcBorders>
          </w:tcPr>
          <w:p w:rsidR="00D51924" w:rsidRDefault="00D51924" w:rsidP="00D51924">
            <w:r>
              <w:t>T=-5</w:t>
            </w:r>
          </w:p>
        </w:tc>
        <w:tc>
          <w:tcPr>
            <w:tcW w:w="807" w:type="pct"/>
            <w:tcBorders>
              <w:bottom w:val="nil"/>
            </w:tcBorders>
          </w:tcPr>
          <w:p w:rsidR="00D51924" w:rsidRDefault="00D51924" w:rsidP="00D51924">
            <w:pPr>
              <w:jc w:val="right"/>
            </w:pPr>
            <w:r>
              <w:t>0,62%</w:t>
            </w:r>
          </w:p>
        </w:tc>
        <w:tc>
          <w:tcPr>
            <w:tcW w:w="916" w:type="pct"/>
            <w:tcBorders>
              <w:bottom w:val="nil"/>
            </w:tcBorders>
            <w:noWrap/>
          </w:tcPr>
          <w:p w:rsidR="00D51924" w:rsidRPr="00704512" w:rsidRDefault="00D51924" w:rsidP="00D51924">
            <w:pPr>
              <w:jc w:val="right"/>
              <w:rPr>
                <w:color w:val="FFFFFF" w:themeColor="background1"/>
                <w:vertAlign w:val="superscript"/>
              </w:rPr>
            </w:pPr>
            <w:r>
              <w:t>1,420</w:t>
            </w:r>
            <w:r w:rsidR="00704512">
              <w:rPr>
                <w:color w:val="FFFFFF" w:themeColor="background1"/>
                <w:vertAlign w:val="superscript"/>
              </w:rPr>
              <w:t>***</w:t>
            </w:r>
          </w:p>
        </w:tc>
        <w:tc>
          <w:tcPr>
            <w:tcW w:w="857" w:type="pct"/>
            <w:tcBorders>
              <w:bottom w:val="nil"/>
            </w:tcBorders>
          </w:tcPr>
          <w:p w:rsidR="00D51924" w:rsidRDefault="00D51924" w:rsidP="00D51924">
            <w:pPr>
              <w:jc w:val="right"/>
            </w:pPr>
            <w:r>
              <w:t>9</w:t>
            </w:r>
          </w:p>
        </w:tc>
        <w:tc>
          <w:tcPr>
            <w:tcW w:w="808" w:type="pct"/>
            <w:tcBorders>
              <w:bottom w:val="nil"/>
            </w:tcBorders>
          </w:tcPr>
          <w:p w:rsidR="00D51924" w:rsidRDefault="00D51924" w:rsidP="00D51924">
            <w:pPr>
              <w:jc w:val="right"/>
            </w:pPr>
            <w:r>
              <w:t>6</w:t>
            </w:r>
          </w:p>
        </w:tc>
        <w:tc>
          <w:tcPr>
            <w:tcW w:w="805" w:type="pct"/>
            <w:tcBorders>
              <w:bottom w:val="nil"/>
            </w:tcBorders>
          </w:tcPr>
          <w:p w:rsidR="00D51924" w:rsidRPr="00704512" w:rsidRDefault="00D51924" w:rsidP="00D51924">
            <w:pPr>
              <w:jc w:val="right"/>
              <w:rPr>
                <w:color w:val="FFFFFF" w:themeColor="background1"/>
                <w:vertAlign w:val="superscript"/>
              </w:rPr>
            </w:pPr>
            <w:r>
              <w:t>0,607</w:t>
            </w:r>
            <w:r w:rsidR="00704512">
              <w:rPr>
                <w:color w:val="FFFFFF" w:themeColor="background1"/>
                <w:vertAlign w:val="superscript"/>
              </w:rPr>
              <w:t>***</w:t>
            </w:r>
          </w:p>
        </w:tc>
      </w:tr>
      <w:tr w:rsidR="00D51924" w:rsidTr="00D51924">
        <w:tc>
          <w:tcPr>
            <w:tcW w:w="807" w:type="pct"/>
            <w:tcBorders>
              <w:top w:val="nil"/>
              <w:bottom w:val="single" w:sz="4" w:space="0" w:color="auto"/>
            </w:tcBorders>
          </w:tcPr>
          <w:p w:rsidR="00D51924" w:rsidRDefault="00D51924" w:rsidP="00D51924">
            <w:r>
              <w:t>T=-4</w:t>
            </w:r>
          </w:p>
          <w:p w:rsidR="00D51924" w:rsidRDefault="00D51924" w:rsidP="00D51924">
            <w:r>
              <w:t>T=-3</w:t>
            </w:r>
          </w:p>
          <w:p w:rsidR="00D51924" w:rsidRDefault="00D51924" w:rsidP="00D51924">
            <w:r>
              <w:t>T=-2</w:t>
            </w:r>
          </w:p>
          <w:p w:rsidR="00D51924" w:rsidRDefault="00D51924" w:rsidP="00D51924">
            <w:r>
              <w:t>T=-1</w:t>
            </w:r>
          </w:p>
          <w:p w:rsidR="00D51924" w:rsidRDefault="00D51924" w:rsidP="00D51924">
            <w:r>
              <w:t>T=0</w:t>
            </w:r>
          </w:p>
          <w:p w:rsidR="00D51924" w:rsidRDefault="00D51924" w:rsidP="00D51924">
            <w:r>
              <w:t>T=1</w:t>
            </w:r>
          </w:p>
          <w:p w:rsidR="00D51924" w:rsidRDefault="00D51924" w:rsidP="00D51924">
            <w:r>
              <w:t>T=2</w:t>
            </w:r>
          </w:p>
          <w:p w:rsidR="00D51924" w:rsidRDefault="00D51924" w:rsidP="00D51924">
            <w:r>
              <w:t>T=3</w:t>
            </w:r>
          </w:p>
          <w:p w:rsidR="00D51924" w:rsidRDefault="00D51924" w:rsidP="00D51924">
            <w:r>
              <w:t xml:space="preserve">T=4 </w:t>
            </w:r>
          </w:p>
          <w:p w:rsidR="00D51924" w:rsidRDefault="00D51924" w:rsidP="00D51924">
            <w:r>
              <w:t>T=5</w:t>
            </w:r>
          </w:p>
          <w:p w:rsidR="00D51924" w:rsidRDefault="00D51924" w:rsidP="00D51924"/>
        </w:tc>
        <w:tc>
          <w:tcPr>
            <w:tcW w:w="807" w:type="pct"/>
            <w:tcBorders>
              <w:top w:val="nil"/>
              <w:bottom w:val="single" w:sz="4" w:space="0" w:color="auto"/>
            </w:tcBorders>
          </w:tcPr>
          <w:p w:rsidR="00D51924" w:rsidRDefault="00D51924" w:rsidP="00D51924">
            <w:pPr>
              <w:jc w:val="right"/>
            </w:pPr>
            <w:r>
              <w:t>0,08%</w:t>
            </w:r>
          </w:p>
          <w:p w:rsidR="00D51924" w:rsidRDefault="00D51924" w:rsidP="00D51924">
            <w:pPr>
              <w:jc w:val="right"/>
            </w:pPr>
            <w:r>
              <w:t>-0,57%</w:t>
            </w:r>
          </w:p>
          <w:p w:rsidR="00D51924" w:rsidRDefault="00D51924" w:rsidP="00D51924">
            <w:pPr>
              <w:jc w:val="right"/>
            </w:pPr>
            <w:r>
              <w:t>-0,28%</w:t>
            </w:r>
          </w:p>
          <w:p w:rsidR="00D51924" w:rsidRDefault="00D51924" w:rsidP="00D51924">
            <w:pPr>
              <w:jc w:val="right"/>
            </w:pPr>
            <w:r>
              <w:t>0,19%</w:t>
            </w:r>
          </w:p>
          <w:p w:rsidR="00D51924" w:rsidRDefault="00D51924" w:rsidP="00D51924">
            <w:pPr>
              <w:jc w:val="right"/>
            </w:pPr>
            <w:r>
              <w:t>0,92%</w:t>
            </w:r>
          </w:p>
          <w:p w:rsidR="00D51924" w:rsidRDefault="00D51924" w:rsidP="00D51924">
            <w:pPr>
              <w:jc w:val="right"/>
            </w:pPr>
            <w:r>
              <w:t>0,42%</w:t>
            </w:r>
          </w:p>
          <w:p w:rsidR="00D51924" w:rsidRDefault="00D51924" w:rsidP="00D51924">
            <w:pPr>
              <w:jc w:val="right"/>
            </w:pPr>
            <w:r>
              <w:t>-0,15%</w:t>
            </w:r>
          </w:p>
          <w:p w:rsidR="00D51924" w:rsidRDefault="00D51924" w:rsidP="00D51924">
            <w:pPr>
              <w:jc w:val="right"/>
            </w:pPr>
            <w:r>
              <w:t>-0,19%</w:t>
            </w:r>
          </w:p>
          <w:p w:rsidR="00D51924" w:rsidRDefault="00D51924" w:rsidP="00D51924">
            <w:pPr>
              <w:jc w:val="right"/>
            </w:pPr>
            <w:r>
              <w:t>0,52%</w:t>
            </w:r>
          </w:p>
          <w:p w:rsidR="00D51924" w:rsidRDefault="00D51924" w:rsidP="00D51924">
            <w:pPr>
              <w:jc w:val="right"/>
            </w:pPr>
            <w:r>
              <w:t>0,15%</w:t>
            </w:r>
          </w:p>
        </w:tc>
        <w:tc>
          <w:tcPr>
            <w:tcW w:w="916" w:type="pct"/>
            <w:tcBorders>
              <w:top w:val="nil"/>
              <w:bottom w:val="single" w:sz="4" w:space="0" w:color="auto"/>
            </w:tcBorders>
            <w:noWrap/>
          </w:tcPr>
          <w:p w:rsidR="00D51924" w:rsidRPr="00704512" w:rsidRDefault="00D51924" w:rsidP="00D51924">
            <w:pPr>
              <w:jc w:val="right"/>
              <w:rPr>
                <w:color w:val="FFFFFF" w:themeColor="background1"/>
                <w:vertAlign w:val="superscript"/>
              </w:rPr>
            </w:pPr>
            <w:r>
              <w:t>0,258</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-1,516</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-0,647</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0,599</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1,923</w:t>
            </w:r>
            <w:r w:rsidR="00704512" w:rsidRPr="00090809">
              <w:rPr>
                <w:b/>
                <w:vertAlign w:val="superscript"/>
              </w:rPr>
              <w:t>*</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0,884</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-0,320</w:t>
            </w:r>
            <w:r w:rsidR="00704512">
              <w:rPr>
                <w:color w:val="FFFFFF" w:themeColor="background1"/>
                <w:vertAlign w:val="superscript"/>
              </w:rPr>
              <w:t>***</w:t>
            </w:r>
          </w:p>
          <w:p w:rsidR="00D51924" w:rsidRPr="00704512" w:rsidRDefault="00D51924" w:rsidP="00D51924">
            <w:pPr>
              <w:jc w:val="right"/>
              <w:rPr>
                <w:color w:val="FFFFFF" w:themeColor="background1"/>
                <w:vertAlign w:val="superscript"/>
              </w:rPr>
            </w:pPr>
            <w:r>
              <w:t>-0,375</w:t>
            </w:r>
            <w:r w:rsidR="00704512">
              <w:rPr>
                <w:color w:val="FFFFFF" w:themeColor="background1"/>
                <w:vertAlign w:val="superscript"/>
              </w:rPr>
              <w:t>***</w:t>
            </w:r>
          </w:p>
          <w:p w:rsidR="00D51924" w:rsidRPr="00090809" w:rsidRDefault="00D51924" w:rsidP="00D51924">
            <w:pPr>
              <w:jc w:val="right"/>
              <w:rPr>
                <w:b/>
                <w:vertAlign w:val="superscript"/>
              </w:rPr>
            </w:pPr>
            <w:r w:rsidRPr="00090809">
              <w:t>3,478</w:t>
            </w:r>
            <w:r w:rsidR="00704512" w:rsidRPr="00090809">
              <w:rPr>
                <w:b/>
                <w:vertAlign w:val="superscript"/>
              </w:rPr>
              <w:t>***</w:t>
            </w:r>
          </w:p>
          <w:p w:rsidR="00D51924" w:rsidRPr="00704512" w:rsidRDefault="00D51924" w:rsidP="00D51924">
            <w:pPr>
              <w:jc w:val="right"/>
              <w:rPr>
                <w:color w:val="FFFFFF" w:themeColor="background1"/>
                <w:vertAlign w:val="superscript"/>
              </w:rPr>
            </w:pPr>
            <w:r>
              <w:t>0,613</w:t>
            </w:r>
            <w:r w:rsidR="00704512">
              <w:rPr>
                <w:color w:val="FFFFFF" w:themeColor="background1"/>
                <w:vertAlign w:val="superscript"/>
              </w:rPr>
              <w:t>***</w:t>
            </w:r>
          </w:p>
        </w:tc>
        <w:tc>
          <w:tcPr>
            <w:tcW w:w="857" w:type="pct"/>
            <w:tcBorders>
              <w:top w:val="nil"/>
              <w:bottom w:val="single" w:sz="4" w:space="0" w:color="auto"/>
            </w:tcBorders>
          </w:tcPr>
          <w:p w:rsidR="00D51924" w:rsidRDefault="007653D1" w:rsidP="00D51924">
            <w:pPr>
              <w:jc w:val="right"/>
            </w:pPr>
            <w:r>
              <w:t>9</w:t>
            </w:r>
          </w:p>
          <w:p w:rsidR="00D51924" w:rsidRDefault="007653D1" w:rsidP="00D51924">
            <w:pPr>
              <w:jc w:val="right"/>
            </w:pPr>
            <w:r>
              <w:t>6</w:t>
            </w:r>
          </w:p>
          <w:p w:rsidR="00D51924" w:rsidRDefault="007653D1" w:rsidP="00D51924">
            <w:pPr>
              <w:jc w:val="right"/>
            </w:pPr>
            <w:r>
              <w:t>7</w:t>
            </w:r>
          </w:p>
          <w:p w:rsidR="00D51924" w:rsidRDefault="007653D1" w:rsidP="00D51924">
            <w:pPr>
              <w:jc w:val="right"/>
            </w:pPr>
            <w:r>
              <w:t>8</w:t>
            </w:r>
          </w:p>
          <w:p w:rsidR="00D51924" w:rsidRDefault="007653D1" w:rsidP="00D51924">
            <w:pPr>
              <w:jc w:val="right"/>
            </w:pPr>
            <w:r>
              <w:t>11</w:t>
            </w:r>
          </w:p>
          <w:p w:rsidR="00D51924" w:rsidRDefault="007653D1" w:rsidP="00D51924">
            <w:pPr>
              <w:jc w:val="right"/>
            </w:pPr>
            <w:r>
              <w:t>7</w:t>
            </w:r>
          </w:p>
          <w:p w:rsidR="00D51924" w:rsidRDefault="007653D1" w:rsidP="00D51924">
            <w:pPr>
              <w:jc w:val="right"/>
            </w:pPr>
            <w:r>
              <w:t>6</w:t>
            </w:r>
          </w:p>
          <w:p w:rsidR="00D51924" w:rsidRDefault="007653D1" w:rsidP="00D51924">
            <w:pPr>
              <w:jc w:val="right"/>
            </w:pPr>
            <w:r>
              <w:t>7</w:t>
            </w:r>
          </w:p>
          <w:p w:rsidR="00D51924" w:rsidRDefault="007653D1" w:rsidP="00D51924">
            <w:pPr>
              <w:jc w:val="right"/>
            </w:pPr>
            <w:r>
              <w:t>12</w:t>
            </w:r>
          </w:p>
          <w:p w:rsidR="00D51924" w:rsidRDefault="007653D1" w:rsidP="00D51924">
            <w:pPr>
              <w:jc w:val="right"/>
            </w:pPr>
            <w:r>
              <w:t>8</w:t>
            </w:r>
          </w:p>
        </w:tc>
        <w:tc>
          <w:tcPr>
            <w:tcW w:w="808" w:type="pct"/>
            <w:tcBorders>
              <w:top w:val="nil"/>
              <w:bottom w:val="single" w:sz="4" w:space="0" w:color="auto"/>
            </w:tcBorders>
          </w:tcPr>
          <w:p w:rsidR="00D51924" w:rsidRDefault="007653D1" w:rsidP="00D51924">
            <w:pPr>
              <w:jc w:val="right"/>
            </w:pPr>
            <w:r>
              <w:t>6</w:t>
            </w:r>
          </w:p>
          <w:p w:rsidR="00D51924" w:rsidRDefault="007653D1" w:rsidP="00D51924">
            <w:pPr>
              <w:jc w:val="right"/>
            </w:pPr>
            <w:r>
              <w:t>9</w:t>
            </w:r>
          </w:p>
          <w:p w:rsidR="00D51924" w:rsidRDefault="007653D1" w:rsidP="00D51924">
            <w:pPr>
              <w:jc w:val="right"/>
            </w:pPr>
            <w:r>
              <w:t>8</w:t>
            </w:r>
          </w:p>
          <w:p w:rsidR="00D51924" w:rsidRDefault="007653D1" w:rsidP="00D51924">
            <w:pPr>
              <w:jc w:val="right"/>
            </w:pPr>
            <w:r>
              <w:t>7</w:t>
            </w:r>
          </w:p>
          <w:p w:rsidR="00D51924" w:rsidRDefault="007653D1" w:rsidP="00D51924">
            <w:pPr>
              <w:jc w:val="right"/>
            </w:pPr>
            <w:r>
              <w:t>4</w:t>
            </w:r>
          </w:p>
          <w:p w:rsidR="00D51924" w:rsidRDefault="007653D1" w:rsidP="00D51924">
            <w:pPr>
              <w:jc w:val="right"/>
            </w:pPr>
            <w:r>
              <w:t>8</w:t>
            </w:r>
          </w:p>
          <w:p w:rsidR="00D51924" w:rsidRDefault="007653D1" w:rsidP="00D51924">
            <w:pPr>
              <w:jc w:val="right"/>
            </w:pPr>
            <w:r>
              <w:t>9</w:t>
            </w:r>
          </w:p>
          <w:p w:rsidR="00D51924" w:rsidRDefault="007653D1" w:rsidP="00D51924">
            <w:pPr>
              <w:jc w:val="right"/>
            </w:pPr>
            <w:r>
              <w:t>8</w:t>
            </w:r>
          </w:p>
          <w:p w:rsidR="00D51924" w:rsidRDefault="007653D1" w:rsidP="00D51924">
            <w:pPr>
              <w:jc w:val="right"/>
            </w:pPr>
            <w:r>
              <w:t>3</w:t>
            </w:r>
          </w:p>
          <w:p w:rsidR="00D51924" w:rsidRDefault="007653D1" w:rsidP="00D51924">
            <w:pPr>
              <w:jc w:val="right"/>
            </w:pPr>
            <w:r>
              <w:t>7</w:t>
            </w:r>
          </w:p>
        </w:tc>
        <w:tc>
          <w:tcPr>
            <w:tcW w:w="805" w:type="pct"/>
            <w:tcBorders>
              <w:top w:val="nil"/>
              <w:bottom w:val="single" w:sz="4" w:space="0" w:color="auto"/>
            </w:tcBorders>
          </w:tcPr>
          <w:p w:rsidR="00D51924"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0,118</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rsidRPr="00090809">
              <w:t>0,035</w:t>
            </w:r>
            <w:r w:rsidR="00704512" w:rsidRPr="00090809">
              <w:rPr>
                <w:b/>
                <w:vertAlign w:val="superscript"/>
              </w:rPr>
              <w:t>**</w:t>
            </w:r>
            <w:r w:rsidR="00704512">
              <w:rPr>
                <w:color w:val="FFFFFF" w:themeColor="background1"/>
                <w:vertAlign w:val="superscript"/>
              </w:rPr>
              <w:t>*</w:t>
            </w:r>
          </w:p>
          <w:p w:rsidR="00D51924"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tc>
      </w:tr>
      <w:tr w:rsidR="00D51924" w:rsidTr="00D51924">
        <w:tc>
          <w:tcPr>
            <w:tcW w:w="5000" w:type="pct"/>
            <w:gridSpan w:val="6"/>
            <w:tcBorders>
              <w:top w:val="single" w:sz="4" w:space="0" w:color="auto"/>
            </w:tcBorders>
          </w:tcPr>
          <w:p w:rsidR="00D51924" w:rsidRPr="006B267C" w:rsidRDefault="00D51924" w:rsidP="00D51924">
            <w:pPr>
              <w:rPr>
                <w:color w:val="FF0000"/>
              </w:rPr>
            </w:pPr>
            <w:proofErr w:type="spellStart"/>
            <w:r>
              <w:rPr>
                <w:rStyle w:val="SubtleEmphasis"/>
                <w:color w:val="FF0000"/>
              </w:rPr>
              <w:t>Markt</w:t>
            </w:r>
            <w:proofErr w:type="spellEnd"/>
            <w:r>
              <w:rPr>
                <w:rStyle w:val="SubtleEmphasis"/>
                <w:color w:val="FF0000"/>
              </w:rPr>
              <w:t xml:space="preserve"> Model</w:t>
            </w:r>
          </w:p>
        </w:tc>
      </w:tr>
      <w:tr w:rsidR="00D51924" w:rsidTr="00D51924">
        <w:tc>
          <w:tcPr>
            <w:tcW w:w="807" w:type="pct"/>
            <w:tcBorders>
              <w:top w:val="nil"/>
              <w:bottom w:val="nil"/>
            </w:tcBorders>
          </w:tcPr>
          <w:p w:rsidR="00D51924" w:rsidRDefault="00D51924" w:rsidP="00D51924">
            <w:r>
              <w:t>T=-5</w:t>
            </w:r>
          </w:p>
        </w:tc>
        <w:tc>
          <w:tcPr>
            <w:tcW w:w="807" w:type="pct"/>
            <w:tcBorders>
              <w:top w:val="nil"/>
              <w:bottom w:val="nil"/>
            </w:tcBorders>
          </w:tcPr>
          <w:p w:rsidR="00D51924" w:rsidRDefault="007653D1" w:rsidP="00D51924">
            <w:pPr>
              <w:jc w:val="right"/>
            </w:pPr>
            <w:r>
              <w:t>0,55%</w:t>
            </w:r>
          </w:p>
        </w:tc>
        <w:tc>
          <w:tcPr>
            <w:tcW w:w="916" w:type="pct"/>
            <w:tcBorders>
              <w:top w:val="nil"/>
              <w:bottom w:val="nil"/>
            </w:tcBorders>
            <w:noWrap/>
          </w:tcPr>
          <w:p w:rsidR="00D51924" w:rsidRPr="00704512" w:rsidRDefault="007653D1" w:rsidP="00D51924">
            <w:pPr>
              <w:jc w:val="right"/>
              <w:rPr>
                <w:color w:val="FFFFFF" w:themeColor="background1"/>
                <w:vertAlign w:val="superscript"/>
              </w:rPr>
            </w:pPr>
            <w:r>
              <w:t>1,201</w:t>
            </w:r>
            <w:r w:rsidR="00704512">
              <w:rPr>
                <w:color w:val="FFFFFF" w:themeColor="background1"/>
                <w:vertAlign w:val="superscript"/>
              </w:rPr>
              <w:t>***</w:t>
            </w:r>
          </w:p>
        </w:tc>
        <w:tc>
          <w:tcPr>
            <w:tcW w:w="857" w:type="pct"/>
            <w:tcBorders>
              <w:top w:val="nil"/>
              <w:bottom w:val="nil"/>
            </w:tcBorders>
          </w:tcPr>
          <w:p w:rsidR="00D51924" w:rsidRDefault="007653D1" w:rsidP="00D51924">
            <w:pPr>
              <w:jc w:val="right"/>
            </w:pPr>
            <w:r>
              <w:t>9</w:t>
            </w:r>
          </w:p>
        </w:tc>
        <w:tc>
          <w:tcPr>
            <w:tcW w:w="808" w:type="pct"/>
            <w:tcBorders>
              <w:top w:val="nil"/>
              <w:bottom w:val="nil"/>
            </w:tcBorders>
          </w:tcPr>
          <w:p w:rsidR="00D51924" w:rsidRDefault="007653D1" w:rsidP="00D51924">
            <w:pPr>
              <w:jc w:val="right"/>
            </w:pPr>
            <w:r>
              <w:t>6</w:t>
            </w:r>
          </w:p>
        </w:tc>
        <w:tc>
          <w:tcPr>
            <w:tcW w:w="805" w:type="pct"/>
            <w:tcBorders>
              <w:top w:val="nil"/>
              <w:bottom w:val="nil"/>
            </w:tcBorders>
          </w:tcPr>
          <w:p w:rsidR="00D51924"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tc>
      </w:tr>
      <w:tr w:rsidR="00D51924" w:rsidTr="00D51924">
        <w:tc>
          <w:tcPr>
            <w:tcW w:w="807" w:type="pct"/>
            <w:tcBorders>
              <w:top w:val="nil"/>
              <w:bottom w:val="nil"/>
            </w:tcBorders>
          </w:tcPr>
          <w:p w:rsidR="00D51924" w:rsidRDefault="00D51924" w:rsidP="00D51924">
            <w:r>
              <w:t>T=-4</w:t>
            </w:r>
          </w:p>
          <w:p w:rsidR="00D51924" w:rsidRDefault="00D51924" w:rsidP="00D51924">
            <w:r>
              <w:t>T=-3</w:t>
            </w:r>
          </w:p>
          <w:p w:rsidR="00D51924" w:rsidRDefault="00D51924" w:rsidP="00D51924">
            <w:r>
              <w:t>T=-2</w:t>
            </w:r>
          </w:p>
          <w:p w:rsidR="00D51924" w:rsidRDefault="00D51924" w:rsidP="00D51924">
            <w:r>
              <w:t>T=-1</w:t>
            </w:r>
          </w:p>
          <w:p w:rsidR="00D51924" w:rsidRDefault="00D51924" w:rsidP="00D51924">
            <w:r>
              <w:t>T=0</w:t>
            </w:r>
          </w:p>
          <w:p w:rsidR="00D51924" w:rsidRDefault="00D51924" w:rsidP="00D51924">
            <w:r>
              <w:t>T=1</w:t>
            </w:r>
          </w:p>
          <w:p w:rsidR="00D51924" w:rsidRDefault="00D51924" w:rsidP="00D51924">
            <w:r>
              <w:t>T=2</w:t>
            </w:r>
          </w:p>
          <w:p w:rsidR="00D51924" w:rsidRDefault="00D51924" w:rsidP="00D51924">
            <w:r>
              <w:t>T=3</w:t>
            </w:r>
          </w:p>
          <w:p w:rsidR="00D51924" w:rsidRDefault="00D51924" w:rsidP="00D51924">
            <w:r>
              <w:t xml:space="preserve">T=4 </w:t>
            </w:r>
          </w:p>
          <w:p w:rsidR="00D51924" w:rsidRDefault="00D51924" w:rsidP="00D51924">
            <w:r>
              <w:t>T=5</w:t>
            </w:r>
          </w:p>
        </w:tc>
        <w:tc>
          <w:tcPr>
            <w:tcW w:w="807" w:type="pct"/>
            <w:tcBorders>
              <w:top w:val="nil"/>
              <w:bottom w:val="nil"/>
            </w:tcBorders>
          </w:tcPr>
          <w:p w:rsidR="00D51924" w:rsidRDefault="007653D1" w:rsidP="00D51924">
            <w:pPr>
              <w:jc w:val="right"/>
            </w:pPr>
            <w:r>
              <w:t>0,03%</w:t>
            </w:r>
          </w:p>
          <w:p w:rsidR="007653D1" w:rsidRDefault="007653D1" w:rsidP="00D51924">
            <w:pPr>
              <w:jc w:val="right"/>
            </w:pPr>
            <w:r>
              <w:t>-0,76%</w:t>
            </w:r>
          </w:p>
          <w:p w:rsidR="007653D1" w:rsidRDefault="007653D1" w:rsidP="00D51924">
            <w:pPr>
              <w:jc w:val="right"/>
            </w:pPr>
            <w:r>
              <w:t>-0,54%</w:t>
            </w:r>
          </w:p>
          <w:p w:rsidR="007653D1" w:rsidRDefault="007653D1" w:rsidP="00D51924">
            <w:pPr>
              <w:jc w:val="right"/>
            </w:pPr>
            <w:r>
              <w:t>0,24%</w:t>
            </w:r>
          </w:p>
          <w:p w:rsidR="007653D1" w:rsidRDefault="007653D1" w:rsidP="00D51924">
            <w:pPr>
              <w:jc w:val="right"/>
            </w:pPr>
            <w:r>
              <w:t>0,88%</w:t>
            </w:r>
          </w:p>
          <w:p w:rsidR="007653D1" w:rsidRDefault="007653D1" w:rsidP="00D51924">
            <w:pPr>
              <w:jc w:val="right"/>
            </w:pPr>
            <w:r>
              <w:t>0,42%</w:t>
            </w:r>
          </w:p>
          <w:p w:rsidR="007653D1" w:rsidRDefault="007653D1" w:rsidP="00D51924">
            <w:pPr>
              <w:jc w:val="right"/>
            </w:pPr>
            <w:r>
              <w:t>-0,13%</w:t>
            </w:r>
          </w:p>
          <w:p w:rsidR="007653D1" w:rsidRDefault="007653D1" w:rsidP="00D51924">
            <w:pPr>
              <w:jc w:val="right"/>
            </w:pPr>
            <w:r>
              <w:t>-0,23%</w:t>
            </w:r>
          </w:p>
          <w:p w:rsidR="007653D1" w:rsidRDefault="007653D1" w:rsidP="00D51924">
            <w:pPr>
              <w:jc w:val="right"/>
            </w:pPr>
            <w:r>
              <w:t>0,39%</w:t>
            </w:r>
          </w:p>
          <w:p w:rsidR="007653D1" w:rsidRDefault="007653D1" w:rsidP="00D51924">
            <w:pPr>
              <w:jc w:val="right"/>
            </w:pPr>
            <w:r>
              <w:t>0,24%</w:t>
            </w:r>
          </w:p>
        </w:tc>
        <w:tc>
          <w:tcPr>
            <w:tcW w:w="916" w:type="pct"/>
            <w:tcBorders>
              <w:top w:val="nil"/>
              <w:bottom w:val="nil"/>
            </w:tcBorders>
            <w:noWrap/>
          </w:tcPr>
          <w:p w:rsidR="00D51924" w:rsidRPr="00704512" w:rsidRDefault="007653D1" w:rsidP="00D51924">
            <w:pPr>
              <w:jc w:val="right"/>
              <w:rPr>
                <w:color w:val="FFFFFF" w:themeColor="background1"/>
                <w:vertAlign w:val="superscript"/>
              </w:rPr>
            </w:pPr>
            <w:r>
              <w:t>0,099</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-1,778</w:t>
            </w:r>
            <w:r w:rsidR="00704512" w:rsidRPr="00090809">
              <w:rPr>
                <w:b/>
                <w:vertAlign w:val="superscript"/>
              </w:rPr>
              <w:t>*</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-1,232</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0,661</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2,007</w:t>
            </w:r>
            <w:r w:rsidR="00704512" w:rsidRPr="00090809">
              <w:rPr>
                <w:b/>
                <w:vertAlign w:val="superscript"/>
              </w:rPr>
              <w:t>*</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0,868</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-0,300</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-0,484</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rsidRPr="00090809">
              <w:t>2,638</w:t>
            </w:r>
            <w:r w:rsidR="00704512" w:rsidRPr="00090809">
              <w:rPr>
                <w:b/>
                <w:vertAlign w:val="superscript"/>
              </w:rPr>
              <w:t>**</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0,959</w:t>
            </w:r>
            <w:r w:rsidR="00704512">
              <w:rPr>
                <w:color w:val="FFFFFF" w:themeColor="background1"/>
                <w:vertAlign w:val="superscript"/>
              </w:rPr>
              <w:t>***</w:t>
            </w:r>
          </w:p>
        </w:tc>
        <w:tc>
          <w:tcPr>
            <w:tcW w:w="857" w:type="pct"/>
            <w:tcBorders>
              <w:top w:val="nil"/>
              <w:bottom w:val="nil"/>
            </w:tcBorders>
          </w:tcPr>
          <w:p w:rsidR="00D51924" w:rsidRDefault="007653D1" w:rsidP="00D51924">
            <w:pPr>
              <w:jc w:val="right"/>
            </w:pPr>
            <w:r>
              <w:t>9</w:t>
            </w:r>
          </w:p>
          <w:p w:rsidR="007653D1" w:rsidRDefault="007653D1" w:rsidP="00D51924">
            <w:pPr>
              <w:jc w:val="right"/>
            </w:pPr>
            <w:r>
              <w:t>5</w:t>
            </w:r>
          </w:p>
          <w:p w:rsidR="007653D1" w:rsidRDefault="007653D1" w:rsidP="00D51924">
            <w:pPr>
              <w:jc w:val="right"/>
            </w:pPr>
            <w:r>
              <w:t>6</w:t>
            </w:r>
          </w:p>
          <w:p w:rsidR="007653D1" w:rsidRDefault="007653D1" w:rsidP="00D51924">
            <w:pPr>
              <w:jc w:val="right"/>
            </w:pPr>
            <w:r>
              <w:t>8</w:t>
            </w:r>
          </w:p>
          <w:p w:rsidR="007653D1" w:rsidRDefault="007653D1" w:rsidP="00D51924">
            <w:pPr>
              <w:jc w:val="right"/>
            </w:pPr>
            <w:r>
              <w:t>11</w:t>
            </w:r>
          </w:p>
          <w:p w:rsidR="007653D1" w:rsidRDefault="007653D1" w:rsidP="00D51924">
            <w:pPr>
              <w:jc w:val="right"/>
            </w:pPr>
            <w:r>
              <w:t>9</w:t>
            </w:r>
          </w:p>
          <w:p w:rsidR="007653D1" w:rsidRDefault="007653D1" w:rsidP="00D51924">
            <w:pPr>
              <w:jc w:val="right"/>
            </w:pPr>
            <w:r>
              <w:t>6</w:t>
            </w:r>
          </w:p>
          <w:p w:rsidR="007653D1" w:rsidRDefault="007653D1" w:rsidP="00D51924">
            <w:pPr>
              <w:jc w:val="right"/>
            </w:pPr>
            <w:r>
              <w:t>7</w:t>
            </w:r>
          </w:p>
          <w:p w:rsidR="007653D1" w:rsidRDefault="007653D1" w:rsidP="00D51924">
            <w:pPr>
              <w:jc w:val="right"/>
            </w:pPr>
            <w:r>
              <w:t>11</w:t>
            </w:r>
          </w:p>
          <w:p w:rsidR="007653D1" w:rsidRDefault="007653D1" w:rsidP="00D51924">
            <w:pPr>
              <w:jc w:val="right"/>
            </w:pPr>
            <w:r>
              <w:t>9</w:t>
            </w:r>
          </w:p>
        </w:tc>
        <w:tc>
          <w:tcPr>
            <w:tcW w:w="808" w:type="pct"/>
            <w:tcBorders>
              <w:top w:val="nil"/>
              <w:bottom w:val="nil"/>
            </w:tcBorders>
          </w:tcPr>
          <w:p w:rsidR="00D51924" w:rsidRDefault="007653D1" w:rsidP="00D51924">
            <w:pPr>
              <w:jc w:val="right"/>
            </w:pPr>
            <w:r>
              <w:t>6</w:t>
            </w:r>
          </w:p>
          <w:p w:rsidR="007653D1" w:rsidRDefault="007653D1" w:rsidP="00D51924">
            <w:pPr>
              <w:jc w:val="right"/>
            </w:pPr>
            <w:r>
              <w:t>10</w:t>
            </w:r>
          </w:p>
          <w:p w:rsidR="007653D1" w:rsidRDefault="007653D1" w:rsidP="00D51924">
            <w:pPr>
              <w:jc w:val="right"/>
            </w:pPr>
            <w:r>
              <w:t>9</w:t>
            </w:r>
          </w:p>
          <w:p w:rsidR="007653D1" w:rsidRDefault="007653D1" w:rsidP="00D51924">
            <w:pPr>
              <w:jc w:val="right"/>
            </w:pPr>
            <w:r>
              <w:t>7</w:t>
            </w:r>
          </w:p>
          <w:p w:rsidR="007653D1" w:rsidRDefault="007653D1" w:rsidP="00D51924">
            <w:pPr>
              <w:jc w:val="right"/>
            </w:pPr>
            <w:r>
              <w:t>4</w:t>
            </w:r>
          </w:p>
          <w:p w:rsidR="007653D1" w:rsidRDefault="007653D1" w:rsidP="00D51924">
            <w:pPr>
              <w:jc w:val="right"/>
            </w:pPr>
            <w:r>
              <w:t>6</w:t>
            </w:r>
          </w:p>
          <w:p w:rsidR="007653D1" w:rsidRDefault="007653D1" w:rsidP="00D51924">
            <w:pPr>
              <w:jc w:val="right"/>
            </w:pPr>
            <w:r>
              <w:t>9</w:t>
            </w:r>
          </w:p>
          <w:p w:rsidR="007653D1" w:rsidRDefault="007653D1" w:rsidP="00D51924">
            <w:pPr>
              <w:jc w:val="right"/>
            </w:pPr>
            <w:r>
              <w:t>8</w:t>
            </w:r>
          </w:p>
          <w:p w:rsidR="007653D1" w:rsidRDefault="007653D1" w:rsidP="00D51924">
            <w:pPr>
              <w:jc w:val="right"/>
            </w:pPr>
            <w:r>
              <w:t>4</w:t>
            </w:r>
          </w:p>
          <w:p w:rsidR="007653D1" w:rsidRDefault="007653D1" w:rsidP="00D51924">
            <w:pPr>
              <w:jc w:val="right"/>
            </w:pPr>
            <w:r>
              <w:t>6</w:t>
            </w:r>
          </w:p>
        </w:tc>
        <w:tc>
          <w:tcPr>
            <w:tcW w:w="805" w:type="pct"/>
            <w:tcBorders>
              <w:top w:val="nil"/>
              <w:bottom w:val="nil"/>
            </w:tcBorders>
          </w:tcPr>
          <w:p w:rsidR="00D51924"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0,302</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0,118</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1,000</w:t>
            </w:r>
            <w:r w:rsidR="00704512">
              <w:rPr>
                <w:color w:val="FFFFFF" w:themeColor="background1"/>
                <w:vertAlign w:val="superscript"/>
              </w:rPr>
              <w:t>***</w:t>
            </w:r>
          </w:p>
          <w:p w:rsidR="007653D1" w:rsidRPr="00704512" w:rsidRDefault="009A6972" w:rsidP="00D51924">
            <w:pPr>
              <w:jc w:val="right"/>
              <w:rPr>
                <w:color w:val="FFFFFF" w:themeColor="background1"/>
                <w:vertAlign w:val="superscript"/>
              </w:rPr>
            </w:pPr>
            <w:r>
              <w:t>0</w:t>
            </w:r>
            <w:r w:rsidR="007653D1">
              <w:t>,</w:t>
            </w:r>
            <w:r>
              <w:t>118</w:t>
            </w:r>
            <w:r w:rsidR="00704512">
              <w:rPr>
                <w:color w:val="FFFFFF" w:themeColor="background1"/>
                <w:vertAlign w:val="superscript"/>
              </w:rPr>
              <w:t>***</w:t>
            </w:r>
          </w:p>
          <w:p w:rsidR="007653D1" w:rsidRPr="00704512" w:rsidRDefault="007653D1" w:rsidP="00D51924">
            <w:pPr>
              <w:jc w:val="right"/>
              <w:rPr>
                <w:color w:val="FFFFFF" w:themeColor="background1"/>
                <w:vertAlign w:val="superscript"/>
              </w:rPr>
            </w:pPr>
            <w:r>
              <w:t>0,607</w:t>
            </w:r>
            <w:r w:rsidR="00704512">
              <w:rPr>
                <w:color w:val="FFFFFF" w:themeColor="background1"/>
                <w:vertAlign w:val="superscript"/>
              </w:rPr>
              <w:t>***</w:t>
            </w:r>
          </w:p>
        </w:tc>
      </w:tr>
      <w:tr w:rsidR="00D51924" w:rsidTr="00D51924">
        <w:trPr>
          <w:cnfStyle w:val="010000000000"/>
        </w:trPr>
        <w:tc>
          <w:tcPr>
            <w:tcW w:w="807" w:type="pct"/>
            <w:tcBorders>
              <w:top w:val="nil"/>
            </w:tcBorders>
          </w:tcPr>
          <w:p w:rsidR="00D51924" w:rsidRDefault="00D51924" w:rsidP="00D51924"/>
        </w:tc>
        <w:tc>
          <w:tcPr>
            <w:tcW w:w="807" w:type="pct"/>
            <w:tcBorders>
              <w:top w:val="nil"/>
            </w:tcBorders>
          </w:tcPr>
          <w:p w:rsidR="00D51924" w:rsidRDefault="00D51924" w:rsidP="00D51924"/>
        </w:tc>
        <w:tc>
          <w:tcPr>
            <w:tcW w:w="916" w:type="pct"/>
            <w:tcBorders>
              <w:top w:val="nil"/>
            </w:tcBorders>
            <w:noWrap/>
          </w:tcPr>
          <w:p w:rsidR="00D51924" w:rsidRDefault="00D51924" w:rsidP="00D51924"/>
        </w:tc>
        <w:tc>
          <w:tcPr>
            <w:tcW w:w="857" w:type="pct"/>
            <w:tcBorders>
              <w:top w:val="nil"/>
            </w:tcBorders>
          </w:tcPr>
          <w:p w:rsidR="00D51924" w:rsidRDefault="00D51924" w:rsidP="00D51924"/>
        </w:tc>
        <w:tc>
          <w:tcPr>
            <w:tcW w:w="808" w:type="pct"/>
            <w:tcBorders>
              <w:top w:val="nil"/>
            </w:tcBorders>
          </w:tcPr>
          <w:p w:rsidR="00D51924" w:rsidRDefault="00D51924" w:rsidP="00D51924"/>
        </w:tc>
        <w:tc>
          <w:tcPr>
            <w:tcW w:w="805" w:type="pct"/>
            <w:tcBorders>
              <w:top w:val="nil"/>
            </w:tcBorders>
          </w:tcPr>
          <w:p w:rsidR="00D51924" w:rsidRDefault="00D51924" w:rsidP="00D51924"/>
        </w:tc>
      </w:tr>
    </w:tbl>
    <w:p w:rsidR="00D51924" w:rsidRDefault="00D51924" w:rsidP="00AD3231">
      <w:pPr>
        <w:pStyle w:val="Caption"/>
        <w:jc w:val="both"/>
      </w:pPr>
      <w:r>
        <w:t xml:space="preserve">Tabel 10: Statische testen </w:t>
      </w:r>
      <w:proofErr w:type="spellStart"/>
      <w:r>
        <w:t>leverage</w:t>
      </w:r>
      <w:proofErr w:type="spellEnd"/>
      <w:r>
        <w:t xml:space="preserve"> hypothese zonder gebeurtenissen op de dag van aankondiging</w:t>
      </w:r>
      <w:r w:rsidR="00AD3231">
        <w:t>.</w:t>
      </w:r>
    </w:p>
    <w:p w:rsidR="0079097E" w:rsidRDefault="0079097E" w:rsidP="009C4E91"/>
    <w:p w:rsidR="0079097E" w:rsidRDefault="0079097E" w:rsidP="009C4E91"/>
    <w:p w:rsidR="0079097E" w:rsidRDefault="0079097E" w:rsidP="009C4E91"/>
    <w:p w:rsidR="0079097E" w:rsidRDefault="0079097E" w:rsidP="009C4E91"/>
    <w:p w:rsidR="0079097E" w:rsidRDefault="0079097E" w:rsidP="009C4E91"/>
    <w:p w:rsidR="0079097E" w:rsidRDefault="0079097E" w:rsidP="009C4E91"/>
    <w:p w:rsidR="0079097E" w:rsidRDefault="0079097E" w:rsidP="009C4E91"/>
    <w:p w:rsidR="00381F5D" w:rsidRDefault="00381F5D" w:rsidP="009C4E91"/>
    <w:p w:rsidR="003935C6" w:rsidRDefault="003935C6" w:rsidP="009C4E91"/>
    <w:p w:rsidR="003935C6" w:rsidRDefault="003935C6" w:rsidP="009C4E91"/>
    <w:p w:rsidR="003935C6" w:rsidRDefault="003935C6" w:rsidP="009C4E91"/>
    <w:p w:rsidR="00381F5D" w:rsidRPr="005C609A" w:rsidRDefault="00D16164" w:rsidP="009C4E91">
      <w:pPr>
        <w:pStyle w:val="Heading2"/>
        <w:numPr>
          <w:ilvl w:val="1"/>
          <w:numId w:val="2"/>
        </w:numPr>
        <w:jc w:val="both"/>
        <w:rPr>
          <w:color w:val="auto"/>
        </w:rPr>
      </w:pPr>
      <w:bookmarkStart w:id="24" w:name="_Toc361526577"/>
      <w:r>
        <w:rPr>
          <w:color w:val="auto"/>
        </w:rPr>
        <w:lastRenderedPageBreak/>
        <w:t>Het abnormaal rendement verklaren middels regressiemodellen</w:t>
      </w:r>
      <w:bookmarkEnd w:id="24"/>
    </w:p>
    <w:p w:rsidR="003935C6" w:rsidRDefault="005C609A" w:rsidP="00326BB7">
      <w:pPr>
        <w:pStyle w:val="NoSpacing"/>
        <w:spacing w:before="120"/>
        <w:jc w:val="both"/>
      </w:pPr>
      <w:r>
        <w:t>In de paragraven</w:t>
      </w:r>
      <w:r w:rsidR="00527AD7">
        <w:t xml:space="preserve"> 4.2 tot en met 4.5</w:t>
      </w:r>
      <w:r>
        <w:t xml:space="preserve"> </w:t>
      </w:r>
      <w:r w:rsidR="0077533B">
        <w:t>is getoond</w:t>
      </w:r>
      <w:r>
        <w:t xml:space="preserve"> dat er </w:t>
      </w:r>
      <w:r w:rsidR="00527AD7">
        <w:t>(</w:t>
      </w:r>
      <w:r>
        <w:t>voor de gehele dataset</w:t>
      </w:r>
      <w:r w:rsidR="00527AD7">
        <w:t>)</w:t>
      </w:r>
      <w:r>
        <w:t xml:space="preserve"> op de dag van aankondiging een </w:t>
      </w:r>
      <w:r w:rsidR="00B659E1">
        <w:t xml:space="preserve">statistisch </w:t>
      </w:r>
      <w:r>
        <w:t xml:space="preserve">significant abnormaal rendement wordt gevonden. De </w:t>
      </w:r>
      <w:proofErr w:type="spellStart"/>
      <w:r>
        <w:t>leverage</w:t>
      </w:r>
      <w:proofErr w:type="spellEnd"/>
      <w:r>
        <w:t xml:space="preserve"> hypothese is het belangrijkste theoretische motief en lijkt een positieve invloed te hebben op de hoogte van het abnormaal rendement. Het hoogste abnormaal rendement wordt gevonden bij de groep met de grootste omvang, waardoor de omvang een positieve invloed zou kunnen hebben op de hoogte van het abnormaal rendement. De statistische testen </w:t>
      </w:r>
      <w:r w:rsidR="00BB589A">
        <w:t xml:space="preserve">uit paragraaf 4.4 vinden hier overigens geen ondersteuning voor. Daarnaast blijkt dat de belangrijke gebeurtenissen een positieve invloed hebben op de hoogte van het abnormaal rendement. Dit verschil is echter niet significant. De belangrijke gebeurtenissen blijken wel een significant positieve invloed te hebben op de resultaten van de </w:t>
      </w:r>
      <w:proofErr w:type="spellStart"/>
      <w:r w:rsidR="00BB589A">
        <w:t>leverage</w:t>
      </w:r>
      <w:proofErr w:type="spellEnd"/>
      <w:r w:rsidR="00BB589A">
        <w:t xml:space="preserve"> hypothese.</w:t>
      </w:r>
    </w:p>
    <w:p w:rsidR="00BB589A" w:rsidRDefault="00BB589A" w:rsidP="00326BB7">
      <w:pPr>
        <w:pStyle w:val="NoSpacing"/>
        <w:jc w:val="both"/>
      </w:pPr>
    </w:p>
    <w:p w:rsidR="00211894" w:rsidRDefault="00BB589A" w:rsidP="00326BB7">
      <w:pPr>
        <w:pStyle w:val="NoSpacing"/>
        <w:jc w:val="both"/>
      </w:pPr>
      <w:r>
        <w:t xml:space="preserve">Deze bevindingen </w:t>
      </w:r>
      <w:r w:rsidR="00B659E1">
        <w:t>worden nu</w:t>
      </w:r>
      <w:r>
        <w:t xml:space="preserve"> getest met een andere methode (dan de </w:t>
      </w:r>
      <w:proofErr w:type="spellStart"/>
      <w:r>
        <w:t>t-toets</w:t>
      </w:r>
      <w:proofErr w:type="spellEnd"/>
      <w:r>
        <w:t xml:space="preserve"> en tekentoets), namelijk via twee regressiemodellen. </w:t>
      </w:r>
      <w:r w:rsidR="00036074">
        <w:t xml:space="preserve">Bij beide modellen wordt het Markt Model gebruikt om het abnormaal rendement te bepalen. </w:t>
      </w:r>
      <w:r>
        <w:t xml:space="preserve">Bij het eerste model wordt de hoogte van het abnormaal rendement verklaard worden door 2 onafhankelijke variabelen, namelijk de omvang en een dummy variabele die de waarde één aanneemt indien de </w:t>
      </w:r>
      <w:proofErr w:type="spellStart"/>
      <w:r>
        <w:t>leverage</w:t>
      </w:r>
      <w:proofErr w:type="spellEnd"/>
      <w:r>
        <w:t xml:space="preserve"> hypothese het theoretisch motief is</w:t>
      </w:r>
      <w:r w:rsidR="00B659E1">
        <w:t xml:space="preserve"> van</w:t>
      </w:r>
      <w:r>
        <w:t xml:space="preserve"> het </w:t>
      </w:r>
      <w:proofErr w:type="spellStart"/>
      <w:r>
        <w:t>aandeleninkoopprogramma</w:t>
      </w:r>
      <w:proofErr w:type="spellEnd"/>
      <w:r>
        <w:t>. Bij het tweede mode</w:t>
      </w:r>
      <w:r w:rsidR="00D73544">
        <w:t>l wordt hier</w:t>
      </w:r>
      <w:r>
        <w:t xml:space="preserve"> een dummy </w:t>
      </w:r>
      <w:r w:rsidR="00D73544">
        <w:t xml:space="preserve">aan </w:t>
      </w:r>
      <w:r>
        <w:t>toegevoegd voor belangrijke gebeurtenissen. Deze dummy neemt de waarde één aan indien er op de dag van aankondigin</w:t>
      </w:r>
      <w:r w:rsidR="00211894">
        <w:t>g een belangrijke gebeurtenis</w:t>
      </w:r>
      <w:r>
        <w:t xml:space="preserve"> plaatsvind</w:t>
      </w:r>
      <w:r w:rsidR="00211894">
        <w:t>t</w:t>
      </w:r>
      <w:r>
        <w:t>.</w:t>
      </w:r>
      <w:r w:rsidR="00211894">
        <w:t xml:space="preserve"> De modellen kunnen als volgt omschreven worden:</w:t>
      </w:r>
    </w:p>
    <w:p w:rsidR="00211894" w:rsidRDefault="00211894" w:rsidP="00326BB7">
      <w:pPr>
        <w:pStyle w:val="NoSpacing"/>
        <w:jc w:val="both"/>
      </w:pPr>
    </w:p>
    <w:p w:rsidR="00BB589A" w:rsidRDefault="00211894" w:rsidP="00BB589A">
      <w:pPr>
        <w:pStyle w:val="NoSpacing"/>
      </w:pPr>
      <m:oMath>
        <m:r>
          <w:rPr>
            <w:rFonts w:ascii="Cambria Math" w:hAnsi="Cambria Math"/>
          </w:rPr>
          <m:t xml:space="preserve">Model 1: </m:t>
        </m:r>
        <m:sSub>
          <m:sSubPr>
            <m:ctrlPr>
              <w:rPr>
                <w:rFonts w:ascii="Cambria Math" w:hAnsi="Cambria Math"/>
                <w:i/>
              </w:rPr>
            </m:ctrlPr>
          </m:sSubPr>
          <m:e>
            <m:r>
              <w:rPr>
                <w:rFonts w:ascii="Cambria Math" w:hAnsi="Cambria Math"/>
              </w:rPr>
              <m:t>AR</m:t>
            </m:r>
          </m:e>
          <m:sub>
            <m:r>
              <w:rPr>
                <w:rFonts w:ascii="Cambria Math" w:hAnsi="Cambria Math"/>
              </w:rPr>
              <m:t xml:space="preserve"> 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d_leverage+</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Omvang+ε</m:t>
        </m:r>
      </m:oMath>
      <w:r w:rsidR="00BB589A">
        <w:t xml:space="preserve">   </w:t>
      </w:r>
      <w:r w:rsidR="008703F9">
        <w:t>(4)</w:t>
      </w:r>
    </w:p>
    <w:p w:rsidR="00211894" w:rsidRDefault="00211894" w:rsidP="00BB589A">
      <w:pPr>
        <w:pStyle w:val="NoSpacing"/>
      </w:pPr>
    </w:p>
    <w:p w:rsidR="00211894" w:rsidRDefault="00211894" w:rsidP="00BB589A">
      <w:pPr>
        <w:pStyle w:val="NoSpacing"/>
      </w:pPr>
      <m:oMath>
        <m:r>
          <w:rPr>
            <w:rFonts w:ascii="Cambria Math" w:hAnsi="Cambria Math"/>
          </w:rPr>
          <m:t>Model 2:</m:t>
        </m:r>
        <m:sSub>
          <m:sSubPr>
            <m:ctrlPr>
              <w:rPr>
                <w:rFonts w:ascii="Cambria Math" w:hAnsi="Cambria Math"/>
                <w:i/>
              </w:rPr>
            </m:ctrlPr>
          </m:sSubPr>
          <m:e>
            <m:r>
              <w:rPr>
                <w:rFonts w:ascii="Cambria Math" w:hAnsi="Cambria Math"/>
              </w:rPr>
              <m:t>AR</m:t>
            </m:r>
          </m:e>
          <m:sub>
            <m:r>
              <w:rPr>
                <w:rFonts w:ascii="Cambria Math" w:hAnsi="Cambria Math"/>
              </w:rPr>
              <m:t>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d</m:t>
            </m:r>
          </m:e>
          <m:sub>
            <m:r>
              <w:rPr>
                <w:rFonts w:ascii="Cambria Math" w:hAnsi="Cambria Math"/>
              </w:rPr>
              <m:t>leverage</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Omvang+</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d_belangrijke gebeurtenissen +ε</m:t>
        </m:r>
      </m:oMath>
      <w:r w:rsidR="002B3BBE">
        <w:t xml:space="preserve">  (5)</w:t>
      </w:r>
    </w:p>
    <w:p w:rsidR="002B3BBE" w:rsidRDefault="002B3BBE" w:rsidP="00BB589A">
      <w:pPr>
        <w:pStyle w:val="NoSpacing"/>
      </w:pPr>
      <w:r>
        <w:tab/>
      </w:r>
      <w:r>
        <w:tab/>
      </w:r>
      <w:r>
        <w:tab/>
      </w:r>
      <w:r>
        <w:tab/>
      </w:r>
      <w:r>
        <w:tab/>
      </w:r>
      <w:r>
        <w:tab/>
      </w:r>
      <w:r>
        <w:tab/>
      </w:r>
      <w:r>
        <w:tab/>
      </w:r>
      <w:r>
        <w:tab/>
      </w:r>
      <w:r>
        <w:tab/>
      </w:r>
      <w:r>
        <w:tab/>
      </w:r>
      <w:r>
        <w:tab/>
        <w:t xml:space="preserve">      </w:t>
      </w:r>
    </w:p>
    <w:p w:rsidR="00211894" w:rsidRDefault="00211894" w:rsidP="00BB589A">
      <w:pPr>
        <w:pStyle w:val="NoSpacing"/>
      </w:pPr>
    </w:p>
    <w:p w:rsidR="00211894" w:rsidRDefault="00211894" w:rsidP="00BB589A">
      <w:pPr>
        <w:pStyle w:val="NoSpacing"/>
      </w:pPr>
      <w:r>
        <w:t>Waarin</w:t>
      </w:r>
      <w:r w:rsidR="008703F9">
        <w:t>:</w:t>
      </w:r>
    </w:p>
    <w:p w:rsidR="00211894" w:rsidRDefault="008703F9" w:rsidP="00BB589A">
      <w:pPr>
        <w:pStyle w:val="NoSpacing"/>
      </w:pPr>
      <w:proofErr w:type="spellStart"/>
      <w:r>
        <w:t>AR</w:t>
      </w:r>
      <w:r>
        <w:rPr>
          <w:vertAlign w:val="subscript"/>
        </w:rPr>
        <w:t>t</w:t>
      </w:r>
      <w:proofErr w:type="spellEnd"/>
      <w:r>
        <w:rPr>
          <w:vertAlign w:val="subscript"/>
        </w:rPr>
        <w:t>=0</w:t>
      </w:r>
      <w:r>
        <w:t xml:space="preserve"> </w:t>
      </w:r>
      <w:r w:rsidR="00197804">
        <w:tab/>
      </w:r>
      <w:r w:rsidR="00197804">
        <w:tab/>
      </w:r>
      <w:r w:rsidR="00197804">
        <w:tab/>
      </w:r>
      <w:r w:rsidR="00197804">
        <w:tab/>
        <w:t>=</w:t>
      </w:r>
      <w:r w:rsidR="002779DD">
        <w:t xml:space="preserve"> </w:t>
      </w:r>
      <w:r>
        <w:t>het abnormaal rendement</w:t>
      </w:r>
      <w:r w:rsidR="006E4A64">
        <w:t xml:space="preserve"> </w:t>
      </w:r>
      <w:r>
        <w:t xml:space="preserve"> in procenten</w:t>
      </w:r>
      <w:r w:rsidR="00551EAB">
        <w:t xml:space="preserve"> op de dag van </w:t>
      </w:r>
    </w:p>
    <w:p w:rsidR="006E4A64" w:rsidRPr="006E4A64" w:rsidRDefault="006E4A64" w:rsidP="00BB589A">
      <w:pPr>
        <w:pStyle w:val="NoSpacing"/>
      </w:pPr>
      <w:r>
        <w:tab/>
      </w:r>
      <w:r>
        <w:tab/>
      </w:r>
      <w:r>
        <w:tab/>
      </w:r>
      <w:r>
        <w:tab/>
      </w:r>
      <w:r>
        <w:rPr>
          <w:color w:val="FFFFFF" w:themeColor="background1"/>
        </w:rPr>
        <w:t xml:space="preserve">= </w:t>
      </w:r>
      <w:r w:rsidR="00551EAB">
        <w:t xml:space="preserve">aankondiging van het </w:t>
      </w:r>
      <w:proofErr w:type="spellStart"/>
      <w:r w:rsidR="00551EAB">
        <w:t>aandeleninkoopprogramma</w:t>
      </w:r>
      <w:proofErr w:type="spellEnd"/>
      <w:r w:rsidR="00551EAB">
        <w:t>.</w:t>
      </w:r>
    </w:p>
    <w:p w:rsidR="00197804" w:rsidRDefault="002B3BBE" w:rsidP="008703F9">
      <w:pPr>
        <w:pStyle w:val="NoSpacing"/>
      </w:pPr>
      <w:r>
        <w:t>d</w:t>
      </w:r>
      <w:r w:rsidR="00197804">
        <w:t>_</w:t>
      </w:r>
      <w:proofErr w:type="spellStart"/>
      <w:r w:rsidR="00197804">
        <w:t>leverage</w:t>
      </w:r>
      <w:proofErr w:type="spellEnd"/>
      <w:r w:rsidR="00197804">
        <w:tab/>
      </w:r>
      <w:r w:rsidR="00197804">
        <w:tab/>
      </w:r>
      <w:r w:rsidR="00197804">
        <w:tab/>
        <w:t>=</w:t>
      </w:r>
      <w:r w:rsidR="002779DD">
        <w:t xml:space="preserve"> </w:t>
      </w:r>
      <w:r>
        <w:t xml:space="preserve"> </w:t>
      </w:r>
      <w:r w:rsidR="003100EC">
        <w:t xml:space="preserve">de </w:t>
      </w:r>
      <w:r w:rsidR="008703F9">
        <w:t xml:space="preserve">dummy voor de </w:t>
      </w:r>
      <w:proofErr w:type="spellStart"/>
      <w:r w:rsidR="008703F9">
        <w:t>leverage</w:t>
      </w:r>
      <w:proofErr w:type="spellEnd"/>
      <w:r w:rsidR="008703F9">
        <w:t xml:space="preserve"> hypothese. </w:t>
      </w:r>
    </w:p>
    <w:p w:rsidR="008703F9" w:rsidRPr="008703F9" w:rsidRDefault="002B3BBE" w:rsidP="008703F9">
      <w:pPr>
        <w:pStyle w:val="NoSpacing"/>
      </w:pPr>
      <w:r>
        <w:t>o</w:t>
      </w:r>
      <w:r w:rsidR="008703F9">
        <w:t>mvang</w:t>
      </w:r>
      <w:r w:rsidR="00197804">
        <w:tab/>
      </w:r>
      <w:r w:rsidR="00197804">
        <w:tab/>
      </w:r>
      <w:r w:rsidR="00197804">
        <w:tab/>
        <w:t>=</w:t>
      </w:r>
      <w:r w:rsidR="002779DD">
        <w:t xml:space="preserve"> </w:t>
      </w:r>
      <w:r w:rsidR="008703F9">
        <w:t xml:space="preserve">de omvang van het </w:t>
      </w:r>
      <w:proofErr w:type="spellStart"/>
      <w:r w:rsidR="008703F9">
        <w:t>aandeleninkoopprogramma</w:t>
      </w:r>
      <w:proofErr w:type="spellEnd"/>
      <w:r w:rsidR="008703F9">
        <w:t xml:space="preserve"> in procenten.</w:t>
      </w:r>
    </w:p>
    <w:p w:rsidR="008703F9" w:rsidRDefault="002B3BBE" w:rsidP="00BB589A">
      <w:pPr>
        <w:pStyle w:val="NoSpacing"/>
      </w:pPr>
      <w:r>
        <w:t>d</w:t>
      </w:r>
      <w:r w:rsidR="008703F9">
        <w:t>_belangrijke gebeurtenissen</w:t>
      </w:r>
      <w:r w:rsidR="00197804">
        <w:tab/>
        <w:t xml:space="preserve">= </w:t>
      </w:r>
      <w:r w:rsidR="003100EC">
        <w:t xml:space="preserve">de </w:t>
      </w:r>
      <w:r w:rsidR="008703F9">
        <w:t>dummy voor belangrijke gebeurtenissen.</w:t>
      </w:r>
    </w:p>
    <w:p w:rsidR="00197804" w:rsidRDefault="00E77650" w:rsidP="00BB589A">
      <w:pPr>
        <w:pStyle w:val="NoSpacing"/>
      </w:pP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197804">
        <w:t xml:space="preserve"> </w:t>
      </w:r>
      <w:r w:rsidR="00197804">
        <w:tab/>
      </w:r>
      <w:r w:rsidR="00197804">
        <w:tab/>
      </w:r>
      <w:r w:rsidR="00197804">
        <w:tab/>
      </w:r>
      <w:r w:rsidR="00197804">
        <w:tab/>
        <w:t xml:space="preserve">= </w:t>
      </w:r>
      <w:r w:rsidR="003100EC">
        <w:t xml:space="preserve">de </w:t>
      </w:r>
      <w:r w:rsidR="00197804">
        <w:t>constante term</w:t>
      </w:r>
      <w:r w:rsidR="002D7D33">
        <w:t xml:space="preserve"> van het model</w:t>
      </w:r>
      <w:r w:rsidR="009C5823">
        <w:t>.</w:t>
      </w:r>
    </w:p>
    <w:p w:rsidR="009C5823" w:rsidRDefault="00E77650" w:rsidP="00C400D7">
      <w:pPr>
        <w:pStyle w:val="NoSpacing"/>
      </w:pP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00197804">
        <w:t xml:space="preserve"> </w:t>
      </w:r>
      <w:r w:rsidR="00197804">
        <w:tab/>
      </w:r>
      <w:r w:rsidR="00197804">
        <w:tab/>
      </w:r>
      <w:r w:rsidR="00197804">
        <w:tab/>
      </w:r>
      <w:r w:rsidR="00197804">
        <w:tab/>
        <w:t xml:space="preserve">= de parameter van de regressieanalyse tussen het abnormaal </w:t>
      </w:r>
      <w:r w:rsidR="00197804">
        <w:tab/>
      </w:r>
      <w:r w:rsidR="00197804">
        <w:tab/>
        <w:t xml:space="preserve">                                      </w:t>
      </w:r>
      <w:r w:rsidR="00197804">
        <w:tab/>
      </w:r>
      <w:r w:rsidR="009C5823" w:rsidRPr="009C5823">
        <w:rPr>
          <w:color w:val="FFFFFF" w:themeColor="background1"/>
        </w:rPr>
        <w:t xml:space="preserve">= </w:t>
      </w:r>
      <w:r w:rsidR="009C5823">
        <w:t xml:space="preserve">rendement op de </w:t>
      </w:r>
      <w:proofErr w:type="spellStart"/>
      <w:r w:rsidR="009C5823">
        <w:t>aankondigingsdag</w:t>
      </w:r>
      <w:proofErr w:type="spellEnd"/>
      <w:r w:rsidR="009C5823">
        <w:t xml:space="preserve"> en de dummy voor de </w:t>
      </w:r>
      <w:proofErr w:type="spellStart"/>
      <w:r w:rsidR="009C5823">
        <w:t>leverage</w:t>
      </w:r>
      <w:proofErr w:type="spellEnd"/>
      <w:r w:rsidR="009C5823">
        <w:t xml:space="preserve"> </w:t>
      </w:r>
      <w:r w:rsidR="009C5823">
        <w:tab/>
      </w:r>
      <w:r w:rsidR="009C5823">
        <w:tab/>
      </w:r>
      <w:r w:rsidR="009C5823">
        <w:tab/>
      </w:r>
      <w:r w:rsidR="009C5823">
        <w:tab/>
      </w:r>
      <w:r w:rsidR="009C5823">
        <w:rPr>
          <w:color w:val="FFFFFF" w:themeColor="background1"/>
        </w:rPr>
        <w:t xml:space="preserve">= </w:t>
      </w:r>
      <w:r w:rsidR="009C5823">
        <w:t>hypothese.</w:t>
      </w:r>
    </w:p>
    <w:p w:rsidR="009C5823" w:rsidRDefault="00E77650" w:rsidP="00C400D7">
      <w:pPr>
        <w:pStyle w:val="NoSpacing"/>
      </w:pP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9C5823">
        <w:t xml:space="preserve">  </w:t>
      </w:r>
      <w:r w:rsidR="009C5823">
        <w:tab/>
      </w:r>
      <w:r w:rsidR="009C5823">
        <w:tab/>
      </w:r>
      <w:r w:rsidR="009C5823">
        <w:tab/>
      </w:r>
      <w:r w:rsidR="009C5823">
        <w:tab/>
        <w:t xml:space="preserve">= de parameter van de regressieanalyse tussen het abnormaal </w:t>
      </w:r>
      <w:r w:rsidR="009C5823">
        <w:tab/>
      </w:r>
      <w:r w:rsidR="009C5823">
        <w:tab/>
        <w:t xml:space="preserve">                                      </w:t>
      </w:r>
      <w:r w:rsidR="009C5823">
        <w:tab/>
      </w:r>
      <w:r w:rsidR="009C5823" w:rsidRPr="009C5823">
        <w:rPr>
          <w:color w:val="FFFFFF" w:themeColor="background1"/>
        </w:rPr>
        <w:t xml:space="preserve">= </w:t>
      </w:r>
      <w:r w:rsidR="009C5823">
        <w:t xml:space="preserve">rendement op de </w:t>
      </w:r>
      <w:proofErr w:type="spellStart"/>
      <w:r w:rsidR="009C5823">
        <w:t>aankondigingsdag</w:t>
      </w:r>
      <w:proofErr w:type="spellEnd"/>
      <w:r w:rsidR="009C5823">
        <w:t xml:space="preserve"> en de omvang van het </w:t>
      </w:r>
    </w:p>
    <w:p w:rsidR="009C5823" w:rsidRDefault="009C5823" w:rsidP="00C400D7">
      <w:pPr>
        <w:pStyle w:val="NoSpacing"/>
      </w:pPr>
      <w:r>
        <w:tab/>
      </w:r>
      <w:r>
        <w:tab/>
      </w:r>
      <w:r>
        <w:tab/>
      </w:r>
      <w:r>
        <w:tab/>
      </w:r>
      <w:r>
        <w:rPr>
          <w:color w:val="FFFFFF" w:themeColor="background1"/>
        </w:rPr>
        <w:t xml:space="preserve">= </w:t>
      </w:r>
      <w:proofErr w:type="spellStart"/>
      <w:r>
        <w:t>aandeleninkoopprogramma</w:t>
      </w:r>
      <w:proofErr w:type="spellEnd"/>
      <w:r>
        <w:t>.</w:t>
      </w:r>
    </w:p>
    <w:p w:rsidR="009C5823" w:rsidRDefault="00E77650" w:rsidP="009C5823">
      <w:pPr>
        <w:pStyle w:val="NoSpacing"/>
      </w:pP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9C5823">
        <w:t xml:space="preserve"> </w:t>
      </w:r>
      <w:r w:rsidR="009C5823">
        <w:tab/>
      </w:r>
      <w:r w:rsidR="009C5823">
        <w:tab/>
      </w:r>
      <w:r w:rsidR="009C5823">
        <w:tab/>
      </w:r>
      <w:r w:rsidR="009C5823">
        <w:tab/>
        <w:t xml:space="preserve">= de parameter van de regressieanalyse tussen het abnormaal </w:t>
      </w:r>
      <w:r w:rsidR="009C5823">
        <w:tab/>
      </w:r>
      <w:r w:rsidR="009C5823">
        <w:tab/>
        <w:t xml:space="preserve">                                      </w:t>
      </w:r>
      <w:r w:rsidR="009C5823">
        <w:tab/>
      </w:r>
      <w:r w:rsidR="009C5823" w:rsidRPr="009C5823">
        <w:rPr>
          <w:color w:val="FFFFFF" w:themeColor="background1"/>
        </w:rPr>
        <w:t xml:space="preserve">= </w:t>
      </w:r>
      <w:r w:rsidR="009C5823">
        <w:t xml:space="preserve">rendement op de </w:t>
      </w:r>
      <w:proofErr w:type="spellStart"/>
      <w:r w:rsidR="009C5823">
        <w:t>aankondigingsdag</w:t>
      </w:r>
      <w:proofErr w:type="spellEnd"/>
      <w:r w:rsidR="009C5823">
        <w:t xml:space="preserve"> en de dummy voor belangrijke </w:t>
      </w:r>
      <w:r w:rsidR="009C5823">
        <w:tab/>
      </w:r>
      <w:r w:rsidR="009C5823">
        <w:tab/>
      </w:r>
      <w:r w:rsidR="009C5823">
        <w:tab/>
      </w:r>
      <w:r w:rsidR="009C5823">
        <w:tab/>
      </w:r>
      <w:r w:rsidR="009C5823">
        <w:rPr>
          <w:color w:val="FFFFFF" w:themeColor="background1"/>
        </w:rPr>
        <w:t xml:space="preserve">= </w:t>
      </w:r>
      <w:r w:rsidR="009C5823">
        <w:t>gebeurtenissen.</w:t>
      </w:r>
    </w:p>
    <w:p w:rsidR="00E0619A" w:rsidRDefault="00E0619A" w:rsidP="009C5823">
      <w:pPr>
        <w:pStyle w:val="NoSpacing"/>
      </w:pPr>
      <m:oMath>
        <m:r>
          <w:rPr>
            <w:rFonts w:ascii="Cambria Math" w:hAnsi="Cambria Math"/>
          </w:rPr>
          <m:t>ε</m:t>
        </m:r>
      </m:oMath>
      <w:r>
        <w:t xml:space="preserve"> </w:t>
      </w:r>
      <w:r>
        <w:tab/>
      </w:r>
      <w:r>
        <w:tab/>
      </w:r>
      <w:r>
        <w:tab/>
      </w:r>
      <w:r>
        <w:tab/>
        <w:t xml:space="preserve">= </w:t>
      </w:r>
      <w:r w:rsidR="003100EC">
        <w:t xml:space="preserve">de </w:t>
      </w:r>
      <w:r>
        <w:t xml:space="preserve">storingsterm </w:t>
      </w:r>
      <w:r w:rsidR="002B3BBE">
        <w:t>van het model</w:t>
      </w:r>
      <w:r w:rsidR="00551EAB">
        <w:t>.</w:t>
      </w:r>
    </w:p>
    <w:p w:rsidR="009C5823" w:rsidRPr="009C5823" w:rsidRDefault="009C5823" w:rsidP="00C400D7">
      <w:pPr>
        <w:pStyle w:val="NoSpacing"/>
      </w:pPr>
    </w:p>
    <w:p w:rsidR="009C5823" w:rsidRDefault="009C5823" w:rsidP="00C400D7">
      <w:pPr>
        <w:pStyle w:val="NoSpacing"/>
      </w:pPr>
      <w:r>
        <w:t>De resultaten van de 2 modellen zijn op weergeven in tabel 11.</w:t>
      </w:r>
    </w:p>
    <w:p w:rsidR="009C5823" w:rsidRDefault="009C5823" w:rsidP="00C400D7">
      <w:pPr>
        <w:pStyle w:val="NoSpacing"/>
      </w:pPr>
    </w:p>
    <w:p w:rsidR="009C5823" w:rsidRDefault="009C5823" w:rsidP="00C400D7">
      <w:pPr>
        <w:pStyle w:val="NoSpacing"/>
      </w:pPr>
    </w:p>
    <w:p w:rsidR="009C5823" w:rsidRDefault="009C5823" w:rsidP="00C400D7">
      <w:pPr>
        <w:pStyle w:val="NoSpacing"/>
      </w:pPr>
    </w:p>
    <w:p w:rsidR="009C5823" w:rsidRDefault="009C5823" w:rsidP="00C400D7">
      <w:pPr>
        <w:pStyle w:val="NoSpacing"/>
      </w:pPr>
    </w:p>
    <w:p w:rsidR="00036074" w:rsidRDefault="00036074" w:rsidP="00C400D7">
      <w:pPr>
        <w:pStyle w:val="NoSpacing"/>
      </w:pPr>
    </w:p>
    <w:tbl>
      <w:tblPr>
        <w:tblpPr w:leftFromText="141" w:rightFromText="141" w:vertAnchor="text" w:horzAnchor="margin" w:tblpY="72"/>
        <w:tblW w:w="9584" w:type="dxa"/>
        <w:tblCellMar>
          <w:left w:w="70" w:type="dxa"/>
          <w:right w:w="70" w:type="dxa"/>
        </w:tblCellMar>
        <w:tblLook w:val="04A0"/>
      </w:tblPr>
      <w:tblGrid>
        <w:gridCol w:w="3060"/>
        <w:gridCol w:w="1236"/>
        <w:gridCol w:w="1739"/>
        <w:gridCol w:w="1370"/>
        <w:gridCol w:w="1160"/>
        <w:gridCol w:w="1019"/>
      </w:tblGrid>
      <w:tr w:rsidR="004E41AF" w:rsidRPr="00660125" w:rsidTr="009C5823">
        <w:trPr>
          <w:trHeight w:val="189"/>
        </w:trPr>
        <w:tc>
          <w:tcPr>
            <w:tcW w:w="3060" w:type="dxa"/>
            <w:tcBorders>
              <w:top w:val="nil"/>
              <w:left w:val="nil"/>
              <w:right w:val="nil"/>
            </w:tcBorders>
            <w:shd w:val="clear" w:color="000000" w:fill="17375D"/>
            <w:noWrap/>
            <w:vAlign w:val="bottom"/>
            <w:hideMark/>
          </w:tcPr>
          <w:p w:rsidR="004E41AF" w:rsidRPr="00660125" w:rsidRDefault="004E41AF" w:rsidP="004E41AF">
            <w:pPr>
              <w:spacing w:line="240" w:lineRule="auto"/>
              <w:rPr>
                <w:rFonts w:ascii="Calibri" w:eastAsia="Times New Roman" w:hAnsi="Calibri" w:cs="Times New Roman"/>
                <w:b/>
                <w:bCs/>
                <w:color w:val="FFFFFF"/>
                <w:lang w:eastAsia="nl-NL"/>
              </w:rPr>
            </w:pPr>
            <w:r w:rsidRPr="00660125">
              <w:rPr>
                <w:rFonts w:ascii="Calibri" w:eastAsia="Times New Roman" w:hAnsi="Calibri" w:cs="Times New Roman"/>
                <w:b/>
                <w:bCs/>
                <w:color w:val="FFFFFF"/>
                <w:lang w:eastAsia="nl-NL"/>
              </w:rPr>
              <w:lastRenderedPageBreak/>
              <w:t>Variabele</w:t>
            </w:r>
          </w:p>
        </w:tc>
        <w:tc>
          <w:tcPr>
            <w:tcW w:w="1236" w:type="dxa"/>
            <w:tcBorders>
              <w:top w:val="nil"/>
              <w:left w:val="nil"/>
              <w:bottom w:val="nil"/>
              <w:right w:val="nil"/>
            </w:tcBorders>
            <w:shd w:val="clear" w:color="000000" w:fill="17375D"/>
            <w:noWrap/>
            <w:vAlign w:val="bottom"/>
            <w:hideMark/>
          </w:tcPr>
          <w:p w:rsidR="004E41AF" w:rsidRPr="00660125" w:rsidRDefault="004E41AF" w:rsidP="004E41AF">
            <w:pPr>
              <w:spacing w:line="240" w:lineRule="auto"/>
              <w:rPr>
                <w:rFonts w:ascii="Calibri" w:eastAsia="Times New Roman" w:hAnsi="Calibri" w:cs="Times New Roman"/>
                <w:b/>
                <w:bCs/>
                <w:color w:val="FFFFFF"/>
                <w:lang w:eastAsia="nl-NL"/>
              </w:rPr>
            </w:pPr>
            <w:r w:rsidRPr="00660125">
              <w:rPr>
                <w:rFonts w:ascii="Calibri" w:eastAsia="Times New Roman" w:hAnsi="Calibri" w:cs="Times New Roman"/>
                <w:b/>
                <w:bCs/>
                <w:color w:val="FFFFFF"/>
                <w:lang w:eastAsia="nl-NL"/>
              </w:rPr>
              <w:t>Coëfficiënt</w:t>
            </w:r>
          </w:p>
        </w:tc>
        <w:tc>
          <w:tcPr>
            <w:tcW w:w="1739" w:type="dxa"/>
            <w:tcBorders>
              <w:top w:val="nil"/>
              <w:left w:val="nil"/>
              <w:bottom w:val="nil"/>
              <w:right w:val="nil"/>
            </w:tcBorders>
            <w:shd w:val="clear" w:color="000000" w:fill="17375D"/>
            <w:noWrap/>
            <w:vAlign w:val="bottom"/>
            <w:hideMark/>
          </w:tcPr>
          <w:p w:rsidR="004E41AF" w:rsidRPr="00660125" w:rsidRDefault="004E41AF" w:rsidP="004E41AF">
            <w:pPr>
              <w:spacing w:line="240" w:lineRule="auto"/>
              <w:rPr>
                <w:rFonts w:ascii="Calibri" w:eastAsia="Times New Roman" w:hAnsi="Calibri" w:cs="Times New Roman"/>
                <w:b/>
                <w:bCs/>
                <w:color w:val="FFFFFF"/>
                <w:lang w:eastAsia="nl-NL"/>
              </w:rPr>
            </w:pPr>
            <w:r w:rsidRPr="00660125">
              <w:rPr>
                <w:rFonts w:ascii="Calibri" w:eastAsia="Times New Roman" w:hAnsi="Calibri" w:cs="Times New Roman"/>
                <w:b/>
                <w:bCs/>
                <w:color w:val="FFFFFF"/>
                <w:lang w:eastAsia="nl-NL"/>
              </w:rPr>
              <w:t>Verwacht teke</w:t>
            </w:r>
            <w:r>
              <w:rPr>
                <w:rFonts w:ascii="Calibri" w:eastAsia="Times New Roman" w:hAnsi="Calibri" w:cs="Times New Roman"/>
                <w:b/>
                <w:bCs/>
                <w:color w:val="FFFFFF"/>
                <w:lang w:eastAsia="nl-NL"/>
              </w:rPr>
              <w:t>n</w:t>
            </w:r>
          </w:p>
        </w:tc>
        <w:tc>
          <w:tcPr>
            <w:tcW w:w="1370" w:type="dxa"/>
            <w:tcBorders>
              <w:top w:val="nil"/>
              <w:left w:val="nil"/>
              <w:bottom w:val="nil"/>
              <w:right w:val="nil"/>
            </w:tcBorders>
            <w:shd w:val="clear" w:color="000000" w:fill="17375D"/>
            <w:noWrap/>
            <w:vAlign w:val="bottom"/>
            <w:hideMark/>
          </w:tcPr>
          <w:p w:rsidR="004E41AF" w:rsidRPr="00660125" w:rsidRDefault="004E41AF" w:rsidP="004E41AF">
            <w:pPr>
              <w:spacing w:line="240" w:lineRule="auto"/>
              <w:rPr>
                <w:rFonts w:ascii="Calibri" w:eastAsia="Times New Roman" w:hAnsi="Calibri" w:cs="Times New Roman"/>
                <w:b/>
                <w:bCs/>
                <w:color w:val="FFFFFF"/>
                <w:lang w:eastAsia="nl-NL"/>
              </w:rPr>
            </w:pPr>
            <w:r w:rsidRPr="00660125">
              <w:rPr>
                <w:rFonts w:ascii="Calibri" w:eastAsia="Times New Roman" w:hAnsi="Calibri" w:cs="Times New Roman"/>
                <w:b/>
                <w:bCs/>
                <w:color w:val="FFFFFF"/>
                <w:lang w:eastAsia="nl-NL"/>
              </w:rPr>
              <w:t>Enkelvoudig</w:t>
            </w:r>
          </w:p>
        </w:tc>
        <w:tc>
          <w:tcPr>
            <w:tcW w:w="1160" w:type="dxa"/>
            <w:tcBorders>
              <w:top w:val="nil"/>
              <w:left w:val="nil"/>
              <w:bottom w:val="nil"/>
              <w:right w:val="nil"/>
            </w:tcBorders>
            <w:shd w:val="clear" w:color="000000" w:fill="17375D"/>
            <w:noWrap/>
            <w:vAlign w:val="bottom"/>
            <w:hideMark/>
          </w:tcPr>
          <w:p w:rsidR="004E41AF" w:rsidRPr="00660125" w:rsidRDefault="004E41AF" w:rsidP="004E41AF">
            <w:pPr>
              <w:spacing w:line="240" w:lineRule="auto"/>
              <w:rPr>
                <w:rFonts w:ascii="Calibri" w:eastAsia="Times New Roman" w:hAnsi="Calibri" w:cs="Times New Roman"/>
                <w:b/>
                <w:bCs/>
                <w:color w:val="FFFFFF"/>
                <w:lang w:eastAsia="nl-NL"/>
              </w:rPr>
            </w:pPr>
            <w:r w:rsidRPr="00660125">
              <w:rPr>
                <w:rFonts w:ascii="Calibri" w:eastAsia="Times New Roman" w:hAnsi="Calibri" w:cs="Times New Roman"/>
                <w:b/>
                <w:bCs/>
                <w:color w:val="FFFFFF"/>
                <w:lang w:eastAsia="nl-NL"/>
              </w:rPr>
              <w:t>Model 1</w:t>
            </w:r>
          </w:p>
        </w:tc>
        <w:tc>
          <w:tcPr>
            <w:tcW w:w="1019" w:type="dxa"/>
            <w:tcBorders>
              <w:top w:val="nil"/>
              <w:left w:val="nil"/>
              <w:right w:val="nil"/>
            </w:tcBorders>
            <w:shd w:val="clear" w:color="000000" w:fill="17375D"/>
            <w:noWrap/>
            <w:vAlign w:val="bottom"/>
            <w:hideMark/>
          </w:tcPr>
          <w:p w:rsidR="004E41AF" w:rsidRPr="00660125" w:rsidRDefault="004E41AF" w:rsidP="004E41AF">
            <w:pPr>
              <w:spacing w:line="240" w:lineRule="auto"/>
              <w:rPr>
                <w:rFonts w:ascii="Calibri" w:eastAsia="Times New Roman" w:hAnsi="Calibri" w:cs="Times New Roman"/>
                <w:b/>
                <w:bCs/>
                <w:color w:val="FFFFFF"/>
                <w:lang w:eastAsia="nl-NL"/>
              </w:rPr>
            </w:pPr>
            <w:r w:rsidRPr="00660125">
              <w:rPr>
                <w:rFonts w:ascii="Calibri" w:eastAsia="Times New Roman" w:hAnsi="Calibri" w:cs="Times New Roman"/>
                <w:b/>
                <w:bCs/>
                <w:color w:val="FFFFFF"/>
                <w:lang w:eastAsia="nl-NL"/>
              </w:rPr>
              <w:t>Model 2</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Constante</w:t>
            </w: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β</w:t>
            </w:r>
            <w:r w:rsidRPr="00660125">
              <w:rPr>
                <w:rFonts w:ascii="Calibri" w:eastAsia="Times New Roman" w:hAnsi="Calibri" w:cs="Times New Roman"/>
                <w:color w:val="000000"/>
                <w:sz w:val="20"/>
                <w:szCs w:val="20"/>
                <w:lang w:eastAsia="nl-NL"/>
              </w:rPr>
              <w:t>0</w:t>
            </w:r>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-0,226</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-0,719</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roofErr w:type="spellStart"/>
            <w:r w:rsidRPr="00660125">
              <w:rPr>
                <w:rFonts w:ascii="Calibri" w:eastAsia="Times New Roman" w:hAnsi="Calibri" w:cs="Times New Roman"/>
                <w:color w:val="000000"/>
                <w:lang w:eastAsia="nl-NL"/>
              </w:rPr>
              <w:t>P-waarde</w:t>
            </w:r>
            <w:proofErr w:type="spellEnd"/>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10B6B">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0,781</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0,540</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D</w:t>
            </w:r>
            <w:r w:rsidRPr="00660125">
              <w:rPr>
                <w:rFonts w:ascii="Calibri" w:eastAsia="Times New Roman" w:hAnsi="Calibri" w:cs="Times New Roman"/>
                <w:color w:val="000000"/>
                <w:lang w:eastAsia="nl-NL"/>
              </w:rPr>
              <w:t>_</w:t>
            </w:r>
            <w:proofErr w:type="spellStart"/>
            <w:r w:rsidRPr="00660125">
              <w:rPr>
                <w:rFonts w:ascii="Calibri" w:eastAsia="Times New Roman" w:hAnsi="Calibri" w:cs="Times New Roman"/>
                <w:color w:val="000000"/>
                <w:lang w:eastAsia="nl-NL"/>
              </w:rPr>
              <w:t>leverage</w:t>
            </w:r>
            <w:proofErr w:type="spellEnd"/>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β</w:t>
            </w:r>
            <w:r w:rsidRPr="00660125">
              <w:rPr>
                <w:rFonts w:ascii="Calibri" w:eastAsia="Times New Roman" w:hAnsi="Calibri" w:cs="Times New Roman"/>
                <w:color w:val="000000"/>
                <w:sz w:val="20"/>
                <w:szCs w:val="20"/>
                <w:lang w:eastAsia="nl-NL"/>
              </w:rPr>
              <w:t>1</w:t>
            </w:r>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jc w:val="center"/>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w:t>
            </w: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0,814</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1,179</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1,352</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roofErr w:type="spellStart"/>
            <w:r w:rsidRPr="00660125">
              <w:rPr>
                <w:rFonts w:ascii="Calibri" w:eastAsia="Times New Roman" w:hAnsi="Calibri" w:cs="Times New Roman"/>
                <w:color w:val="000000"/>
                <w:lang w:eastAsia="nl-NL"/>
              </w:rPr>
              <w:t>P-waarde</w:t>
            </w:r>
            <w:proofErr w:type="spellEnd"/>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0,345</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0,174</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0,143</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O</w:t>
            </w:r>
            <w:r w:rsidRPr="00660125">
              <w:rPr>
                <w:rFonts w:ascii="Calibri" w:eastAsia="Times New Roman" w:hAnsi="Calibri" w:cs="Times New Roman"/>
                <w:color w:val="000000"/>
                <w:lang w:eastAsia="nl-NL"/>
              </w:rPr>
              <w:t>mvang</w:t>
            </w: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β</w:t>
            </w:r>
            <w:r w:rsidRPr="00660125">
              <w:rPr>
                <w:rFonts w:ascii="Calibri" w:eastAsia="Times New Roman" w:hAnsi="Calibri" w:cs="Times New Roman"/>
                <w:color w:val="000000"/>
                <w:sz w:val="20"/>
                <w:szCs w:val="20"/>
                <w:lang w:eastAsia="nl-NL"/>
              </w:rPr>
              <w:t>2</w:t>
            </w:r>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jc w:val="center"/>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w:t>
            </w: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0,153</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0,180</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0,175</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roofErr w:type="spellStart"/>
            <w:r w:rsidRPr="00660125">
              <w:rPr>
                <w:rFonts w:ascii="Calibri" w:eastAsia="Times New Roman" w:hAnsi="Calibri" w:cs="Times New Roman"/>
                <w:color w:val="000000"/>
                <w:lang w:eastAsia="nl-NL"/>
              </w:rPr>
              <w:t>P-waarde</w:t>
            </w:r>
            <w:proofErr w:type="spellEnd"/>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234665" w:rsidRDefault="004E41AF" w:rsidP="004E41AF">
            <w:pPr>
              <w:spacing w:line="240" w:lineRule="auto"/>
              <w:rPr>
                <w:rFonts w:ascii="Calibri" w:eastAsia="Times New Roman" w:hAnsi="Calibri" w:cs="Times New Roman"/>
                <w:b/>
                <w:vertAlign w:val="superscript"/>
                <w:lang w:eastAsia="nl-NL"/>
              </w:rPr>
            </w:pPr>
            <w:r w:rsidRPr="00660125">
              <w:rPr>
                <w:rFonts w:ascii="Calibri" w:eastAsia="Times New Roman" w:hAnsi="Calibri" w:cs="Times New Roman"/>
                <w:color w:val="000000"/>
                <w:lang w:eastAsia="nl-NL"/>
              </w:rPr>
              <w:t>0,09</w:t>
            </w:r>
            <w:r>
              <w:rPr>
                <w:rFonts w:ascii="Calibri" w:eastAsia="Times New Roman" w:hAnsi="Calibri" w:cs="Times New Roman"/>
                <w:color w:val="000000"/>
                <w:lang w:eastAsia="nl-NL"/>
              </w:rPr>
              <w:t>3</w:t>
            </w:r>
            <w:r>
              <w:rPr>
                <w:rFonts w:ascii="Calibri" w:eastAsia="Times New Roman" w:hAnsi="Calibri" w:cs="Times New Roman"/>
                <w:b/>
                <w:vertAlign w:val="superscript"/>
                <w:lang w:eastAsia="nl-NL"/>
              </w:rPr>
              <w:t>*</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vertAlign w:val="superscript"/>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0,053</w:t>
            </w:r>
            <w:r w:rsidRPr="00234665">
              <w:rPr>
                <w:rFonts w:ascii="Calibri" w:eastAsia="Times New Roman" w:hAnsi="Calibri" w:cs="Times New Roman"/>
                <w:b/>
                <w:color w:val="000000"/>
                <w:vertAlign w:val="superscript"/>
                <w:lang w:eastAsia="nl-NL"/>
              </w:rPr>
              <w:t>*</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vertAlign w:val="superscript"/>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0,061</w:t>
            </w:r>
            <w:r w:rsidRPr="00234665">
              <w:rPr>
                <w:rFonts w:ascii="Calibri" w:eastAsia="Times New Roman" w:hAnsi="Calibri" w:cs="Times New Roman"/>
                <w:b/>
                <w:color w:val="000000"/>
                <w:vertAlign w:val="superscript"/>
                <w:lang w:eastAsia="nl-NL"/>
              </w:rPr>
              <w:t>*</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D</w:t>
            </w:r>
            <w:r w:rsidRPr="00660125">
              <w:rPr>
                <w:rFonts w:ascii="Calibri" w:eastAsia="Times New Roman" w:hAnsi="Calibri" w:cs="Times New Roman"/>
                <w:color w:val="000000"/>
                <w:lang w:eastAsia="nl-NL"/>
              </w:rPr>
              <w:t xml:space="preserve">_ </w:t>
            </w:r>
            <w:r>
              <w:rPr>
                <w:rFonts w:ascii="Calibri" w:eastAsia="Times New Roman" w:hAnsi="Calibri" w:cs="Times New Roman"/>
                <w:color w:val="000000"/>
                <w:lang w:eastAsia="nl-NL"/>
              </w:rPr>
              <w:t xml:space="preserve">belangrijke </w:t>
            </w:r>
            <w:r w:rsidRPr="00660125">
              <w:rPr>
                <w:rFonts w:ascii="Calibri" w:eastAsia="Times New Roman" w:hAnsi="Calibri" w:cs="Times New Roman"/>
                <w:color w:val="000000"/>
                <w:lang w:eastAsia="nl-NL"/>
              </w:rPr>
              <w:t>gebeurtenissen</w:t>
            </w: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β</w:t>
            </w:r>
            <w:r w:rsidRPr="00660125">
              <w:rPr>
                <w:rFonts w:ascii="Calibri" w:eastAsia="Times New Roman" w:hAnsi="Calibri" w:cs="Times New Roman"/>
                <w:color w:val="000000"/>
                <w:sz w:val="20"/>
                <w:szCs w:val="20"/>
                <w:lang w:eastAsia="nl-NL"/>
              </w:rPr>
              <w:t>3</w:t>
            </w:r>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jc w:val="center"/>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w:t>
            </w: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0,345</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jc w:val="center"/>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0,590</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roofErr w:type="spellStart"/>
            <w:r w:rsidRPr="00660125">
              <w:rPr>
                <w:rFonts w:ascii="Calibri" w:eastAsia="Times New Roman" w:hAnsi="Calibri" w:cs="Times New Roman"/>
                <w:color w:val="000000"/>
                <w:lang w:eastAsia="nl-NL"/>
              </w:rPr>
              <w:t>P-waarde</w:t>
            </w:r>
            <w:proofErr w:type="spellEnd"/>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0,720</w:t>
            </w: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jc w:val="center"/>
              <w:rPr>
                <w:rFonts w:ascii="Calibri" w:eastAsia="Times New Roman" w:hAnsi="Calibri" w:cs="Times New Roman"/>
                <w:color w:val="000000"/>
                <w:lang w:eastAsia="nl-NL"/>
              </w:rPr>
            </w:pPr>
            <w:r w:rsidRPr="00660125">
              <w:rPr>
                <w:rFonts w:ascii="Calibri" w:eastAsia="Times New Roman" w:hAnsi="Calibri" w:cs="Times New Roman"/>
                <w:color w:val="000000"/>
                <w:lang w:eastAsia="nl-NL"/>
              </w:rPr>
              <w:t>-</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0,558</w:t>
            </w: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r>
      <w:tr w:rsidR="004E41AF" w:rsidRPr="00660125" w:rsidTr="009C5823">
        <w:trPr>
          <w:trHeight w:val="189"/>
        </w:trPr>
        <w:tc>
          <w:tcPr>
            <w:tcW w:w="3060" w:type="dxa"/>
            <w:tcBorders>
              <w:top w:val="nil"/>
              <w:left w:val="single" w:sz="4" w:space="0" w:color="auto"/>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roofErr w:type="spellStart"/>
            <w:r w:rsidRPr="00660125">
              <w:rPr>
                <w:rFonts w:ascii="Calibri" w:eastAsia="Times New Roman" w:hAnsi="Calibri" w:cs="Times New Roman"/>
                <w:color w:val="000000"/>
                <w:lang w:eastAsia="nl-NL"/>
              </w:rPr>
              <w:t>R-squared</w:t>
            </w:r>
            <w:proofErr w:type="spellEnd"/>
          </w:p>
        </w:tc>
        <w:tc>
          <w:tcPr>
            <w:tcW w:w="1236" w:type="dxa"/>
            <w:tcBorders>
              <w:top w:val="nil"/>
              <w:left w:val="nil"/>
              <w:bottom w:val="nil"/>
              <w:right w:val="nil"/>
            </w:tcBorders>
            <w:shd w:val="clear" w:color="auto" w:fill="auto"/>
            <w:noWrap/>
            <w:vAlign w:val="bottom"/>
            <w:hideMark/>
          </w:tcPr>
          <w:p w:rsidR="004E41AF" w:rsidRPr="00660125" w:rsidRDefault="004E41AF" w:rsidP="004E41AF">
            <w:pPr>
              <w:spacing w:line="240" w:lineRule="auto"/>
              <w:jc w:val="right"/>
              <w:rPr>
                <w:rFonts w:ascii="Calibri" w:eastAsia="Times New Roman" w:hAnsi="Calibri" w:cs="Times New Roman"/>
                <w:color w:val="000000"/>
                <w:lang w:eastAsia="nl-NL"/>
              </w:rPr>
            </w:pPr>
          </w:p>
        </w:tc>
        <w:tc>
          <w:tcPr>
            <w:tcW w:w="1739"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160" w:type="dxa"/>
            <w:tcBorders>
              <w:top w:val="nil"/>
              <w:left w:val="nil"/>
              <w:bottom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0,069</w:t>
            </w:r>
          </w:p>
        </w:tc>
        <w:tc>
          <w:tcPr>
            <w:tcW w:w="1019" w:type="dxa"/>
            <w:tcBorders>
              <w:top w:val="nil"/>
              <w:left w:val="nil"/>
              <w:bottom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0,074</w:t>
            </w:r>
          </w:p>
        </w:tc>
      </w:tr>
      <w:tr w:rsidR="004E41AF" w:rsidRPr="00660125" w:rsidTr="009C5823">
        <w:trPr>
          <w:trHeight w:val="189"/>
        </w:trPr>
        <w:tc>
          <w:tcPr>
            <w:tcW w:w="3060" w:type="dxa"/>
            <w:tcBorders>
              <w:top w:val="nil"/>
              <w:left w:val="single" w:sz="4" w:space="0" w:color="auto"/>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roofErr w:type="spellStart"/>
            <w:r w:rsidRPr="00660125">
              <w:rPr>
                <w:rFonts w:ascii="Calibri" w:eastAsia="Times New Roman" w:hAnsi="Calibri" w:cs="Times New Roman"/>
                <w:color w:val="000000"/>
                <w:lang w:eastAsia="nl-NL"/>
              </w:rPr>
              <w:t>Adjusted</w:t>
            </w:r>
            <w:proofErr w:type="spellEnd"/>
            <w:r w:rsidRPr="00660125">
              <w:rPr>
                <w:rFonts w:ascii="Calibri" w:eastAsia="Times New Roman" w:hAnsi="Calibri" w:cs="Times New Roman"/>
                <w:color w:val="000000"/>
                <w:lang w:eastAsia="nl-NL"/>
              </w:rPr>
              <w:t xml:space="preserve"> </w:t>
            </w:r>
            <w:proofErr w:type="spellStart"/>
            <w:r w:rsidRPr="00660125">
              <w:rPr>
                <w:rFonts w:ascii="Calibri" w:eastAsia="Times New Roman" w:hAnsi="Calibri" w:cs="Times New Roman"/>
                <w:color w:val="000000"/>
                <w:lang w:eastAsia="nl-NL"/>
              </w:rPr>
              <w:t>R-Squared</w:t>
            </w:r>
            <w:proofErr w:type="spellEnd"/>
          </w:p>
        </w:tc>
        <w:tc>
          <w:tcPr>
            <w:tcW w:w="1236" w:type="dxa"/>
            <w:tcBorders>
              <w:top w:val="nil"/>
              <w:left w:val="nil"/>
              <w:right w:val="nil"/>
            </w:tcBorders>
            <w:shd w:val="clear" w:color="auto" w:fill="auto"/>
            <w:noWrap/>
            <w:vAlign w:val="bottom"/>
            <w:hideMark/>
          </w:tcPr>
          <w:p w:rsidR="004E41AF" w:rsidRPr="00660125" w:rsidRDefault="004E41AF" w:rsidP="004E41AF">
            <w:pPr>
              <w:spacing w:line="240" w:lineRule="auto"/>
              <w:jc w:val="right"/>
              <w:rPr>
                <w:rFonts w:ascii="Calibri" w:eastAsia="Times New Roman" w:hAnsi="Calibri" w:cs="Times New Roman"/>
                <w:color w:val="000000"/>
                <w:lang w:eastAsia="nl-NL"/>
              </w:rPr>
            </w:pPr>
          </w:p>
        </w:tc>
        <w:tc>
          <w:tcPr>
            <w:tcW w:w="1739" w:type="dxa"/>
            <w:tcBorders>
              <w:top w:val="nil"/>
              <w:left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160" w:type="dxa"/>
            <w:tcBorders>
              <w:top w:val="nil"/>
              <w:left w:val="nil"/>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0,041</w:t>
            </w:r>
          </w:p>
        </w:tc>
        <w:tc>
          <w:tcPr>
            <w:tcW w:w="1019" w:type="dxa"/>
            <w:tcBorders>
              <w:top w:val="nil"/>
              <w:left w:val="nil"/>
              <w:right w:val="single" w:sz="4" w:space="0" w:color="auto"/>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0,031</w:t>
            </w:r>
          </w:p>
        </w:tc>
      </w:tr>
      <w:tr w:rsidR="004E41AF" w:rsidRPr="00660125" w:rsidTr="009C5823">
        <w:trPr>
          <w:trHeight w:val="189"/>
        </w:trPr>
        <w:tc>
          <w:tcPr>
            <w:tcW w:w="3060" w:type="dxa"/>
            <w:tcBorders>
              <w:top w:val="nil"/>
              <w:left w:val="single" w:sz="4" w:space="0" w:color="auto"/>
              <w:bottom w:val="single" w:sz="4" w:space="0" w:color="auto"/>
              <w:right w:val="nil"/>
            </w:tcBorders>
            <w:shd w:val="clear" w:color="auto" w:fill="auto"/>
            <w:noWrap/>
            <w:vAlign w:val="bottom"/>
            <w:hideMark/>
          </w:tcPr>
          <w:p w:rsidR="004E41AF"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ANOVA </w:t>
            </w:r>
            <w:proofErr w:type="spellStart"/>
            <w:r>
              <w:rPr>
                <w:rFonts w:ascii="Calibri" w:eastAsia="Times New Roman" w:hAnsi="Calibri" w:cs="Times New Roman"/>
                <w:color w:val="000000"/>
                <w:lang w:eastAsia="nl-NL"/>
              </w:rPr>
              <w:t>F-</w:t>
            </w:r>
            <w:r w:rsidR="003B48DD">
              <w:rPr>
                <w:rFonts w:ascii="Calibri" w:eastAsia="Times New Roman" w:hAnsi="Calibri" w:cs="Times New Roman"/>
                <w:color w:val="000000"/>
                <w:lang w:eastAsia="nl-NL"/>
              </w:rPr>
              <w:t>statistiek</w:t>
            </w:r>
            <w:proofErr w:type="spellEnd"/>
          </w:p>
          <w:p w:rsidR="004E41AF" w:rsidRPr="00660125" w:rsidRDefault="004E41AF" w:rsidP="004E41AF">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w:t>
            </w:r>
            <w:proofErr w:type="spellStart"/>
            <w:r>
              <w:rPr>
                <w:rFonts w:ascii="Calibri" w:eastAsia="Times New Roman" w:hAnsi="Calibri" w:cs="Times New Roman"/>
                <w:color w:val="000000"/>
                <w:lang w:eastAsia="nl-NL"/>
              </w:rPr>
              <w:t>p</w:t>
            </w:r>
            <w:r w:rsidRPr="00660125">
              <w:rPr>
                <w:rFonts w:ascii="Calibri" w:eastAsia="Times New Roman" w:hAnsi="Calibri" w:cs="Times New Roman"/>
                <w:color w:val="000000"/>
                <w:lang w:eastAsia="nl-NL"/>
              </w:rPr>
              <w:t>-waarde</w:t>
            </w:r>
            <w:proofErr w:type="spellEnd"/>
            <w:r w:rsidRPr="00660125">
              <w:rPr>
                <w:rFonts w:ascii="Calibri" w:eastAsia="Times New Roman" w:hAnsi="Calibri" w:cs="Times New Roman"/>
                <w:color w:val="000000"/>
                <w:lang w:eastAsia="nl-NL"/>
              </w:rPr>
              <w:t xml:space="preserve"> model</w:t>
            </w:r>
            <w:r>
              <w:rPr>
                <w:rFonts w:ascii="Calibri" w:eastAsia="Times New Roman" w:hAnsi="Calibri" w:cs="Times New Roman"/>
                <w:color w:val="000000"/>
                <w:lang w:eastAsia="nl-NL"/>
              </w:rPr>
              <w:t>)</w:t>
            </w:r>
          </w:p>
        </w:tc>
        <w:tc>
          <w:tcPr>
            <w:tcW w:w="1236" w:type="dxa"/>
            <w:tcBorders>
              <w:top w:val="nil"/>
              <w:left w:val="nil"/>
              <w:bottom w:val="single" w:sz="4" w:space="0" w:color="auto"/>
              <w:right w:val="nil"/>
            </w:tcBorders>
            <w:shd w:val="clear" w:color="auto" w:fill="auto"/>
            <w:noWrap/>
            <w:vAlign w:val="bottom"/>
            <w:hideMark/>
          </w:tcPr>
          <w:p w:rsidR="004E41AF" w:rsidRPr="00660125" w:rsidRDefault="004E41AF" w:rsidP="004E41AF">
            <w:pPr>
              <w:spacing w:line="240" w:lineRule="auto"/>
              <w:jc w:val="right"/>
              <w:rPr>
                <w:rFonts w:ascii="Calibri" w:eastAsia="Times New Roman" w:hAnsi="Calibri" w:cs="Times New Roman"/>
                <w:color w:val="000000"/>
                <w:lang w:eastAsia="nl-NL"/>
              </w:rPr>
            </w:pPr>
          </w:p>
        </w:tc>
        <w:tc>
          <w:tcPr>
            <w:tcW w:w="1739" w:type="dxa"/>
            <w:tcBorders>
              <w:top w:val="nil"/>
              <w:left w:val="nil"/>
              <w:bottom w:val="single" w:sz="4" w:space="0" w:color="auto"/>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370" w:type="dxa"/>
            <w:tcBorders>
              <w:top w:val="nil"/>
              <w:left w:val="nil"/>
              <w:bottom w:val="single" w:sz="4" w:space="0" w:color="auto"/>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lang w:eastAsia="nl-NL"/>
              </w:rPr>
            </w:pPr>
          </w:p>
        </w:tc>
        <w:tc>
          <w:tcPr>
            <w:tcW w:w="1160" w:type="dxa"/>
            <w:tcBorders>
              <w:top w:val="nil"/>
              <w:left w:val="nil"/>
              <w:bottom w:val="single" w:sz="4" w:space="0" w:color="auto"/>
              <w:right w:val="nil"/>
            </w:tcBorders>
            <w:shd w:val="clear" w:color="auto" w:fill="auto"/>
            <w:noWrap/>
            <w:vAlign w:val="bottom"/>
            <w:hideMark/>
          </w:tcPr>
          <w:p w:rsidR="004E41AF" w:rsidRPr="00660125" w:rsidRDefault="004E41AF" w:rsidP="004E41AF">
            <w:pPr>
              <w:spacing w:line="240" w:lineRule="auto"/>
              <w:rPr>
                <w:rFonts w:ascii="Calibri" w:eastAsia="Times New Roman" w:hAnsi="Calibri" w:cs="Times New Roman"/>
                <w:color w:val="000000"/>
                <w:vertAlign w:val="superscript"/>
                <w:lang w:eastAsia="nl-NL"/>
              </w:rPr>
            </w:pPr>
            <w:r w:rsidRPr="00B34869">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0,096</w:t>
            </w:r>
            <w:r>
              <w:rPr>
                <w:rFonts w:ascii="Calibri" w:eastAsia="Times New Roman" w:hAnsi="Calibri" w:cs="Times New Roman"/>
                <w:color w:val="000000"/>
                <w:vertAlign w:val="superscript"/>
                <w:lang w:eastAsia="nl-NL"/>
              </w:rPr>
              <w:t>*</w:t>
            </w:r>
          </w:p>
        </w:tc>
        <w:tc>
          <w:tcPr>
            <w:tcW w:w="1019" w:type="dxa"/>
            <w:tcBorders>
              <w:top w:val="nil"/>
              <w:left w:val="nil"/>
              <w:bottom w:val="single" w:sz="4" w:space="0" w:color="auto"/>
              <w:right w:val="single" w:sz="4" w:space="0" w:color="auto"/>
            </w:tcBorders>
            <w:shd w:val="clear" w:color="auto" w:fill="auto"/>
            <w:noWrap/>
            <w:vAlign w:val="bottom"/>
            <w:hideMark/>
          </w:tcPr>
          <w:p w:rsidR="004E41AF" w:rsidRPr="00660125" w:rsidRDefault="004E41AF" w:rsidP="004E41AF">
            <w:pPr>
              <w:keepNext/>
              <w:spacing w:line="240" w:lineRule="auto"/>
              <w:rPr>
                <w:rFonts w:ascii="Calibri" w:eastAsia="Times New Roman" w:hAnsi="Calibri" w:cs="Times New Roman"/>
                <w:color w:val="000000"/>
                <w:lang w:eastAsia="nl-NL"/>
              </w:rPr>
            </w:pPr>
            <w:r>
              <w:rPr>
                <w:rFonts w:ascii="Calibri" w:eastAsia="Times New Roman" w:hAnsi="Calibri" w:cs="Times New Roman"/>
                <w:color w:val="FFFFFF" w:themeColor="background1"/>
                <w:lang w:eastAsia="nl-NL"/>
              </w:rPr>
              <w:t>-</w:t>
            </w:r>
            <w:r w:rsidRPr="00660125">
              <w:rPr>
                <w:rFonts w:ascii="Calibri" w:eastAsia="Times New Roman" w:hAnsi="Calibri" w:cs="Times New Roman"/>
                <w:color w:val="000000"/>
                <w:lang w:eastAsia="nl-NL"/>
              </w:rPr>
              <w:t>0,173</w:t>
            </w:r>
          </w:p>
        </w:tc>
      </w:tr>
    </w:tbl>
    <w:p w:rsidR="004E41AF" w:rsidRDefault="004E41AF" w:rsidP="00036074">
      <w:pPr>
        <w:pStyle w:val="Caption"/>
      </w:pPr>
      <w:r>
        <w:t>Tabel 11: De resultaten van regressiemodellen met als afhankelijke variabele het abnormaal rendement op t=0,</w:t>
      </w:r>
      <w:r w:rsidR="00036074">
        <w:t xml:space="preserve"> n=68.</w:t>
      </w:r>
      <w:r>
        <w:t xml:space="preserve">               </w:t>
      </w:r>
      <w:r w:rsidR="002A0D60">
        <w:t xml:space="preserve"> </w:t>
      </w:r>
    </w:p>
    <w:p w:rsidR="008703F9" w:rsidRDefault="00326BB7" w:rsidP="00D61D4E">
      <w:pPr>
        <w:pStyle w:val="NoSpacing"/>
        <w:jc w:val="both"/>
      </w:pPr>
      <w:r>
        <w:t xml:space="preserve">De tekens van de onafhankelijke variabelen zijn in beide modellen </w:t>
      </w:r>
      <w:r w:rsidR="003100EC">
        <w:t>zoals verwacht.</w:t>
      </w:r>
      <w:r w:rsidR="008703F9">
        <w:t xml:space="preserve"> </w:t>
      </w:r>
      <w:r w:rsidR="003100EC">
        <w:t xml:space="preserve">Op basis van zowel de </w:t>
      </w:r>
      <w:r>
        <w:t xml:space="preserve"> </w:t>
      </w:r>
      <w:proofErr w:type="spellStart"/>
      <w:r>
        <w:t>Adjusted</w:t>
      </w:r>
      <w:proofErr w:type="spellEnd"/>
      <w:r>
        <w:t xml:space="preserve"> </w:t>
      </w:r>
      <w:proofErr w:type="spellStart"/>
      <w:r>
        <w:t>R-Squared</w:t>
      </w:r>
      <w:proofErr w:type="spellEnd"/>
      <w:r>
        <w:t xml:space="preserve"> en de </w:t>
      </w:r>
      <w:proofErr w:type="spellStart"/>
      <w:r>
        <w:t>p-waarde</w:t>
      </w:r>
      <w:proofErr w:type="spellEnd"/>
      <w:r>
        <w:t xml:space="preserve"> van het model </w:t>
      </w:r>
      <w:r w:rsidR="00D73544">
        <w:t>wordt</w:t>
      </w:r>
      <w:r>
        <w:t xml:space="preserve"> het eerste model </w:t>
      </w:r>
      <w:r w:rsidR="00D73544">
        <w:t>geprefereerd</w:t>
      </w:r>
      <w:r>
        <w:t xml:space="preserve">. </w:t>
      </w:r>
      <w:r w:rsidR="00527AD7">
        <w:t>Er wordt geen</w:t>
      </w:r>
      <w:r>
        <w:t xml:space="preserve"> </w:t>
      </w:r>
      <w:r w:rsidR="003100EC">
        <w:t xml:space="preserve">statistische </w:t>
      </w:r>
      <w:r>
        <w:t>ondersteuning</w:t>
      </w:r>
      <w:r w:rsidR="00527AD7">
        <w:t xml:space="preserve"> gevonden</w:t>
      </w:r>
      <w:r>
        <w:t xml:space="preserve"> voor de positieve invloed van</w:t>
      </w:r>
      <w:r w:rsidR="003100EC">
        <w:t xml:space="preserve"> de belangrijke gebeurtenissen.</w:t>
      </w:r>
      <w:r>
        <w:t xml:space="preserve"> In het eerste model is alleen de omvang statistisch significant. De interpretatie van de omvang is als volgt: indien de omvang met 1% stijgt, dan stijgt het abnormaal rendement op de dag van aankondiging naar verwachting met 0,180%. In beide modellen wordt geen statistische ondersteuning gevonden voor de positieve invloed</w:t>
      </w:r>
      <w:r w:rsidR="004E41AF">
        <w:t xml:space="preserve"> van de </w:t>
      </w:r>
      <w:proofErr w:type="spellStart"/>
      <w:r w:rsidR="004E41AF">
        <w:t>leverage</w:t>
      </w:r>
      <w:proofErr w:type="spellEnd"/>
      <w:r w:rsidR="004E41AF">
        <w:t xml:space="preserve"> hypothese. </w:t>
      </w:r>
      <w:r>
        <w:t xml:space="preserve">  </w:t>
      </w:r>
    </w:p>
    <w:p w:rsidR="00BE6577" w:rsidRDefault="00036074" w:rsidP="00D61D4E">
      <w:pPr>
        <w:pStyle w:val="NoSpacing"/>
        <w:jc w:val="both"/>
      </w:pPr>
      <w:r>
        <w:t xml:space="preserve">Wat opvalt is de lage verklaringskracht van beide modellen. </w:t>
      </w:r>
      <w:r w:rsidR="00807A87">
        <w:t>M</w:t>
      </w:r>
      <w:r>
        <w:t xml:space="preserve">odel 1 </w:t>
      </w:r>
      <w:r w:rsidR="00807A87">
        <w:t>verklaart</w:t>
      </w:r>
      <w:r>
        <w:t xml:space="preserve"> slechts 6,9% van de totale </w:t>
      </w:r>
      <w:proofErr w:type="spellStart"/>
      <w:r>
        <w:t>variantie</w:t>
      </w:r>
      <w:proofErr w:type="spellEnd"/>
      <w:r>
        <w:t xml:space="preserve">, model 2 </w:t>
      </w:r>
      <w:r w:rsidR="00807A87">
        <w:t xml:space="preserve">verklaart </w:t>
      </w:r>
      <w:r>
        <w:t xml:space="preserve">7,4% van de totale </w:t>
      </w:r>
      <w:proofErr w:type="spellStart"/>
      <w:r>
        <w:t>variantie</w:t>
      </w:r>
      <w:proofErr w:type="spellEnd"/>
      <w:r>
        <w:t>. Beide modellen kunnen hierdoor niet gebruikt worden om het abnormaal rendement op de dag van aankondiging te voorspellen.</w:t>
      </w:r>
      <w:r w:rsidR="00D61D4E">
        <w:t xml:space="preserve"> Het kan zijn dat </w:t>
      </w:r>
      <w:r w:rsidR="006535D0">
        <w:t xml:space="preserve">één </w:t>
      </w:r>
      <w:r w:rsidR="00D61D4E">
        <w:t xml:space="preserve">dummy voor belangrijke gebeurtenissen te eenvoudig is om de relatie met het abnormaal rendement te beschrijven. Een aparte dummy voor belangrijke gebeurtenissen die als positief door de markt worden beoordeeld en een aparte dummy voor belangrijke gebeurtenissen die als negatief door de markt worden beschouwd zouden wellicht kunnen leiden tot een hogere verklaringskracht van het model. </w:t>
      </w:r>
      <w:r w:rsidR="00C70D8C">
        <w:t>Het is echter lastig, om op een objectieve wijze, te beoordelen of een gebeurtenis een positieve of een negatieve invloed heeft gehad op de hoogte van het abnormaal rendement.</w:t>
      </w:r>
      <w:r w:rsidR="00D61D4E">
        <w:t xml:space="preserve"> </w:t>
      </w:r>
      <w:r w:rsidR="00C70D8C">
        <w:t>Op</w:t>
      </w:r>
      <w:r w:rsidR="00BE6577">
        <w:t xml:space="preserve"> de dag van aankondiging </w:t>
      </w:r>
      <w:r w:rsidR="00C70D8C">
        <w:t>spelen namelijk</w:t>
      </w:r>
      <w:r w:rsidR="00BE6577">
        <w:t xml:space="preserve"> twee </w:t>
      </w:r>
      <w:r w:rsidR="00C70D8C">
        <w:t>gebeurtenissen een rol</w:t>
      </w:r>
      <w:r w:rsidR="00BE6577">
        <w:t>, name</w:t>
      </w:r>
      <w:r w:rsidR="00D8276E">
        <w:t>lijk</w:t>
      </w:r>
      <w:r w:rsidR="00BE6577">
        <w:t xml:space="preserve"> het effect van de aankondiging van het </w:t>
      </w:r>
      <w:proofErr w:type="spellStart"/>
      <w:r w:rsidR="00BE6577">
        <w:t>aandeleninkoopprogramma</w:t>
      </w:r>
      <w:proofErr w:type="spellEnd"/>
      <w:r w:rsidR="00BE6577">
        <w:t xml:space="preserve"> en het effect van de belangrijke gebeurtenis</w:t>
      </w:r>
      <w:r w:rsidR="006535D0">
        <w:t xml:space="preserve"> (zie figuur 11)</w:t>
      </w:r>
      <w:r w:rsidR="00BE6577">
        <w:t xml:space="preserve">. </w:t>
      </w:r>
      <w:r w:rsidR="00C70D8C">
        <w:t>Voor een onderzoeker is alleen het abnormaal rendement op de dag van aankondiging zichtbaar en niet het afzonderlijk effect van beide gebeurtenissen.</w:t>
      </w:r>
    </w:p>
    <w:p w:rsidR="009C5823" w:rsidRDefault="009C5823" w:rsidP="00D61D4E">
      <w:pPr>
        <w:pStyle w:val="NoSpacing"/>
        <w:jc w:val="both"/>
      </w:pPr>
    </w:p>
    <w:p w:rsidR="00BE6577" w:rsidRDefault="00BE6577" w:rsidP="00BE6577">
      <w:pPr>
        <w:pStyle w:val="NoSpacing"/>
        <w:keepNext/>
        <w:jc w:val="both"/>
      </w:pPr>
      <w:r w:rsidRPr="00BE6577">
        <w:rPr>
          <w:noProof/>
          <w:lang w:val="en-US"/>
        </w:rPr>
        <w:drawing>
          <wp:inline distT="0" distB="0" distL="0" distR="0">
            <wp:extent cx="2438400" cy="2352675"/>
            <wp:effectExtent l="19050" t="0" r="0" b="0"/>
            <wp:docPr id="14"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84576" cy="4032448"/>
                      <a:chOff x="2051720" y="1484784"/>
                      <a:chExt cx="5184576" cy="4032448"/>
                    </a:xfrm>
                  </a:grpSpPr>
                  <a:sp>
                    <a:nvSpPr>
                      <a:cNvPr id="4" name="Rectangle 3"/>
                      <a:cNvSpPr/>
                    </a:nvSpPr>
                    <a:spPr>
                      <a:xfrm>
                        <a:off x="2699792" y="1484784"/>
                        <a:ext cx="3888432" cy="864096"/>
                      </a:xfrm>
                      <a:prstGeom prst="rect">
                        <a:avLst/>
                      </a:prstGeom>
                      <a:solidFill>
                        <a:schemeClr val="accent6">
                          <a:lumMod val="75000"/>
                        </a:schemeClr>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t>Abnormaal rendement</a:t>
                          </a:r>
                          <a:endParaRPr lang="nl-NL"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Up Arrow 7"/>
                      <a:cNvSpPr/>
                    </a:nvSpPr>
                    <a:spPr>
                      <a:xfrm>
                        <a:off x="5796136" y="2348880"/>
                        <a:ext cx="576064" cy="2160240"/>
                      </a:xfrm>
                      <a:prstGeom prst="upArrow">
                        <a:avLst/>
                      </a:prstGeom>
                      <a:solidFill>
                        <a:srgbClr val="7030A0"/>
                      </a:solidFill>
                    </a:spPr>
                    <a:txSp>
                      <a:txBody>
                        <a:bodyPr vert="vert270"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t>effect</a:t>
                          </a:r>
                          <a:endParaRPr lang="nl-NL"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Up Arrow 9"/>
                      <a:cNvSpPr/>
                    </a:nvSpPr>
                    <a:spPr>
                      <a:xfrm>
                        <a:off x="2915816" y="2348880"/>
                        <a:ext cx="576064" cy="2088232"/>
                      </a:xfrm>
                      <a:prstGeom prst="upArrow">
                        <a:avLst/>
                      </a:prstGeom>
                      <a:solidFill>
                        <a:srgbClr val="0070C0"/>
                      </a:solidFill>
                    </a:spPr>
                    <a:txSp>
                      <a:txBody>
                        <a:bodyPr vert="vert270"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t>effect</a:t>
                          </a:r>
                          <a:endParaRPr lang="nl-NL"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Plus 10"/>
                      <a:cNvSpPr/>
                    </a:nvSpPr>
                    <a:spPr>
                      <a:xfrm>
                        <a:off x="2627784" y="2348880"/>
                        <a:ext cx="360040" cy="288032"/>
                      </a:xfrm>
                      <a:prstGeom prst="mathPlus">
                        <a:avLst/>
                      </a:prstGeom>
                      <a:solidFill>
                        <a:srgbClr val="00B050"/>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Minus 12"/>
                      <a:cNvSpPr/>
                    </a:nvSpPr>
                    <a:spPr>
                      <a:xfrm>
                        <a:off x="3419872" y="2348880"/>
                        <a:ext cx="360000" cy="288000"/>
                      </a:xfrm>
                      <a:prstGeom prst="mathMinus">
                        <a:avLst/>
                      </a:prstGeom>
                      <a:solidFill>
                        <a:srgbClr val="FF0000"/>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Plus 13"/>
                      <a:cNvSpPr/>
                    </a:nvSpPr>
                    <a:spPr>
                      <a:xfrm>
                        <a:off x="5436096" y="2348880"/>
                        <a:ext cx="360040" cy="288032"/>
                      </a:xfrm>
                      <a:prstGeom prst="mathPlus">
                        <a:avLst/>
                      </a:prstGeom>
                      <a:solidFill>
                        <a:srgbClr val="00B050"/>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Minus 14"/>
                      <a:cNvSpPr/>
                    </a:nvSpPr>
                    <a:spPr>
                      <a:xfrm>
                        <a:off x="6300192" y="2348880"/>
                        <a:ext cx="360000" cy="288000"/>
                      </a:xfrm>
                      <a:prstGeom prst="mathMinus">
                        <a:avLst/>
                      </a:prstGeom>
                      <a:solidFill>
                        <a:srgbClr val="FF0000"/>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2051720" y="4437112"/>
                        <a:ext cx="2304256" cy="1080120"/>
                      </a:xfrm>
                      <a:prstGeom prst="rect">
                        <a:avLst/>
                      </a:prstGeom>
                      <a:solidFill>
                        <a:schemeClr val="bg1"/>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solidFill>
                                <a:schemeClr val="tx1"/>
                              </a:solidFill>
                            </a:rPr>
                            <a:t>Aankondiging aandeleninkoop-programma</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4932040" y="4437112"/>
                        <a:ext cx="2304256" cy="1080120"/>
                      </a:xfrm>
                      <a:prstGeom prst="rect">
                        <a:avLst/>
                      </a:prstGeom>
                      <a:solidFill>
                        <a:schemeClr val="bg1"/>
                      </a:solidFill>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solidFill>
                                <a:schemeClr val="tx1"/>
                              </a:solidFill>
                            </a:rPr>
                            <a:t>Belangrijke gebeurtenissen</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4E41AF" w:rsidRPr="004E41AF" w:rsidRDefault="00BE6577" w:rsidP="009C5823">
      <w:pPr>
        <w:pStyle w:val="Caption"/>
        <w:jc w:val="both"/>
      </w:pPr>
      <w:r>
        <w:t xml:space="preserve">Figuur 11: </w:t>
      </w:r>
      <w:r w:rsidR="006535D0">
        <w:t xml:space="preserve">Het abnormaal rendement op de </w:t>
      </w:r>
      <w:proofErr w:type="spellStart"/>
      <w:r w:rsidR="006535D0">
        <w:t>aankondigingsdag</w:t>
      </w:r>
      <w:proofErr w:type="spellEnd"/>
      <w:r w:rsidR="006535D0">
        <w:t xml:space="preserve"> wordt beïnvloed door twee </w:t>
      </w:r>
      <w:r w:rsidR="00C70D8C">
        <w:t>gebeurtenissen</w:t>
      </w:r>
      <w:r w:rsidR="006535D0">
        <w:t xml:space="preserve">, namelijk de aankondiging van het </w:t>
      </w:r>
      <w:proofErr w:type="spellStart"/>
      <w:r w:rsidR="006535D0">
        <w:t>aandeleninkoopprogramma</w:t>
      </w:r>
      <w:proofErr w:type="spellEnd"/>
      <w:r w:rsidR="006535D0">
        <w:t xml:space="preserve"> en andere belangrijke gebeurtenissen die op die dag plaatsvinden. </w:t>
      </w:r>
    </w:p>
    <w:p w:rsidR="003935C6" w:rsidRPr="00326BB7" w:rsidRDefault="004B0EE4" w:rsidP="003935C6">
      <w:pPr>
        <w:pStyle w:val="Heading2"/>
        <w:numPr>
          <w:ilvl w:val="1"/>
          <w:numId w:val="2"/>
        </w:numPr>
        <w:jc w:val="both"/>
        <w:rPr>
          <w:color w:val="auto"/>
        </w:rPr>
      </w:pPr>
      <w:bookmarkStart w:id="25" w:name="_Toc361526578"/>
      <w:r>
        <w:rPr>
          <w:color w:val="auto"/>
        </w:rPr>
        <w:lastRenderedPageBreak/>
        <w:t>Samenvatting</w:t>
      </w:r>
      <w:bookmarkEnd w:id="25"/>
      <w:r>
        <w:rPr>
          <w:color w:val="auto"/>
        </w:rPr>
        <w:t xml:space="preserve"> </w:t>
      </w:r>
      <w:r w:rsidR="00793412">
        <w:rPr>
          <w:color w:val="auto"/>
        </w:rPr>
        <w:t xml:space="preserve"> </w:t>
      </w:r>
    </w:p>
    <w:p w:rsidR="005D114C" w:rsidRDefault="008155B3" w:rsidP="005D114C">
      <w:pPr>
        <w:pStyle w:val="NoSpacing"/>
        <w:spacing w:before="120"/>
        <w:jc w:val="both"/>
      </w:pPr>
      <w:r>
        <w:t xml:space="preserve">Op de dag van de aankondiging van het </w:t>
      </w:r>
      <w:proofErr w:type="spellStart"/>
      <w:r>
        <w:t>aandeleninkoopprogramma</w:t>
      </w:r>
      <w:proofErr w:type="spellEnd"/>
      <w:r>
        <w:t xml:space="preserve"> wordt</w:t>
      </w:r>
      <w:r w:rsidR="00257828">
        <w:t xml:space="preserve"> voor de gehele dataset</w:t>
      </w:r>
      <w:r>
        <w:t xml:space="preserve"> </w:t>
      </w:r>
      <w:r w:rsidR="002779DD">
        <w:t xml:space="preserve">bij zowel de </w:t>
      </w:r>
      <w:proofErr w:type="spellStart"/>
      <w:r w:rsidR="002779DD">
        <w:t>t-toets</w:t>
      </w:r>
      <w:proofErr w:type="spellEnd"/>
      <w:r w:rsidR="002779DD">
        <w:t xml:space="preserve"> als de tekentoets een</w:t>
      </w:r>
      <w:r>
        <w:t xml:space="preserve"> statistisch significant abnormaal rendement gevonden middels het </w:t>
      </w:r>
      <w:proofErr w:type="spellStart"/>
      <w:r w:rsidR="002779DD">
        <w:t>Market-Adjusted</w:t>
      </w:r>
      <w:proofErr w:type="spellEnd"/>
      <w:r w:rsidR="002779DD">
        <w:t xml:space="preserve"> Return Model </w:t>
      </w:r>
      <w:r w:rsidR="00257828">
        <w:t>(</w:t>
      </w:r>
      <w:r w:rsidR="00257828" w:rsidRPr="00122BEF">
        <w:t>zie tabel 1</w:t>
      </w:r>
      <w:r w:rsidR="00BB589A">
        <w:t>2</w:t>
      </w:r>
      <w:r w:rsidR="00257828">
        <w:t>)</w:t>
      </w:r>
      <w:r>
        <w:t xml:space="preserve">. </w:t>
      </w:r>
      <w:r w:rsidR="00257828">
        <w:t xml:space="preserve">Bij het </w:t>
      </w:r>
      <w:r w:rsidR="002779DD">
        <w:t xml:space="preserve">Markt Model is alleen de </w:t>
      </w:r>
      <w:proofErr w:type="spellStart"/>
      <w:r w:rsidR="002779DD">
        <w:t>t-toets</w:t>
      </w:r>
      <w:proofErr w:type="spellEnd"/>
      <w:r w:rsidR="002779DD">
        <w:t xml:space="preserve"> statistisch significant</w:t>
      </w:r>
      <w:r w:rsidR="00257828">
        <w:t xml:space="preserve">. Het theoretisch motief lijkt (in eerste instantie) een grote invloed te hebben op de hoogte van het abnormaal rendement. Bij de </w:t>
      </w:r>
      <w:proofErr w:type="spellStart"/>
      <w:r w:rsidR="00257828">
        <w:t>leverage</w:t>
      </w:r>
      <w:proofErr w:type="spellEnd"/>
      <w:r w:rsidR="00257828">
        <w:t xml:space="preserve"> hypothese wordt een statistisch significant abnormaal rendement gevonden, bij de free cash </w:t>
      </w:r>
      <w:proofErr w:type="spellStart"/>
      <w:r w:rsidR="00257828">
        <w:t>flow</w:t>
      </w:r>
      <w:proofErr w:type="spellEnd"/>
      <w:r w:rsidR="00257828">
        <w:t xml:space="preserve"> hypothese niet. Er wordt geen statistische ondersteuning gevonden voor de positieve invloed van de omvang op het hoogte van abnormaal rendement</w:t>
      </w:r>
      <w:r w:rsidR="004932C0">
        <w:t>. D</w:t>
      </w:r>
      <w:r w:rsidR="002779DD">
        <w:t>e</w:t>
      </w:r>
      <w:r w:rsidR="00257828">
        <w:t xml:space="preserve"> </w:t>
      </w:r>
      <w:r w:rsidR="004932C0">
        <w:t xml:space="preserve">overschrijdingskans (de </w:t>
      </w:r>
      <w:proofErr w:type="spellStart"/>
      <w:r w:rsidR="004932C0">
        <w:t>p-waarde</w:t>
      </w:r>
      <w:proofErr w:type="spellEnd"/>
      <w:r w:rsidR="004932C0">
        <w:t>)</w:t>
      </w:r>
      <w:r w:rsidR="002779DD">
        <w:t xml:space="preserve"> van het abnormaal rendement op de dag van aankondiging</w:t>
      </w:r>
      <w:r w:rsidR="004932C0">
        <w:t xml:space="preserve"> is </w:t>
      </w:r>
      <w:r w:rsidR="004D06FD">
        <w:t xml:space="preserve">immers </w:t>
      </w:r>
      <w:r w:rsidR="004932C0">
        <w:t xml:space="preserve">bij zowel de </w:t>
      </w:r>
      <w:proofErr w:type="spellStart"/>
      <w:r w:rsidR="004932C0">
        <w:t>t-toets</w:t>
      </w:r>
      <w:proofErr w:type="spellEnd"/>
      <w:r w:rsidR="004932C0">
        <w:t xml:space="preserve"> als de tekentoets</w:t>
      </w:r>
      <w:r w:rsidR="002779DD">
        <w:t xml:space="preserve"> het </w:t>
      </w:r>
      <w:r w:rsidR="004932C0">
        <w:t>laagst</w:t>
      </w:r>
      <w:r w:rsidR="002779DD">
        <w:t xml:space="preserve"> is </w:t>
      </w:r>
      <w:r w:rsidR="00257828">
        <w:t xml:space="preserve">bij de subgroep met de kleinste omvang. Het hoogste rendement wordt wel gevonden bij de groep met de grootste omvang. Als gekeken wordt naar de </w:t>
      </w:r>
      <w:proofErr w:type="spellStart"/>
      <w:r w:rsidR="00257828">
        <w:t>aandeleninkoopprogramma</w:t>
      </w:r>
      <w:proofErr w:type="spellEnd"/>
      <w:r w:rsidR="00257828">
        <w:t xml:space="preserve"> </w:t>
      </w:r>
      <w:r w:rsidR="007652C3">
        <w:t>zonder</w:t>
      </w:r>
      <w:r w:rsidR="00257828">
        <w:t xml:space="preserve"> belangrijke gebeurtenissen, dan wordt er een statistisch en economisch significant abnormaal rendement gevonden. Uit de </w:t>
      </w:r>
      <w:proofErr w:type="spellStart"/>
      <w:r w:rsidR="00257828">
        <w:t>t</w:t>
      </w:r>
      <w:r w:rsidR="007652C3">
        <w:t>wo</w:t>
      </w:r>
      <w:proofErr w:type="spellEnd"/>
      <w:r w:rsidR="007652C3">
        <w:t xml:space="preserve"> sample </w:t>
      </w:r>
      <w:proofErr w:type="spellStart"/>
      <w:r w:rsidR="007652C3">
        <w:t>t-t</w:t>
      </w:r>
      <w:r w:rsidR="00364F42">
        <w:t>oets</w:t>
      </w:r>
      <w:proofErr w:type="spellEnd"/>
      <w:r w:rsidR="007652C3">
        <w:t xml:space="preserve"> blijkt dat de </w:t>
      </w:r>
      <w:r w:rsidR="00257828">
        <w:t>belangrijke gebeurtenissen een statis</w:t>
      </w:r>
      <w:r w:rsidR="007652C3">
        <w:t>tis</w:t>
      </w:r>
      <w:r w:rsidR="00257828">
        <w:t xml:space="preserve">ch significant positieve invloed </w:t>
      </w:r>
      <w:r w:rsidR="007652C3">
        <w:t>hebben</w:t>
      </w:r>
      <w:r w:rsidR="00257828">
        <w:t xml:space="preserve"> </w:t>
      </w:r>
      <w:r w:rsidR="004D06FD">
        <w:t xml:space="preserve">gehad </w:t>
      </w:r>
      <w:r w:rsidR="00257828">
        <w:t xml:space="preserve">op de hoogte van het abnormaal rendement van de </w:t>
      </w:r>
      <w:proofErr w:type="spellStart"/>
      <w:r w:rsidR="00257828">
        <w:t>leverage</w:t>
      </w:r>
      <w:proofErr w:type="spellEnd"/>
      <w:r w:rsidR="00257828">
        <w:t xml:space="preserve"> hypothese. Wanneer de </w:t>
      </w:r>
      <w:proofErr w:type="spellStart"/>
      <w:r w:rsidR="00257828">
        <w:t>leverage</w:t>
      </w:r>
      <w:proofErr w:type="spellEnd"/>
      <w:r w:rsidR="00257828">
        <w:t xml:space="preserve"> hypothese zonder jaarcijfers wordt getest, wordt </w:t>
      </w:r>
      <w:r w:rsidR="002779DD">
        <w:t xml:space="preserve">alleen bij de </w:t>
      </w:r>
      <w:proofErr w:type="spellStart"/>
      <w:r w:rsidR="002779DD">
        <w:t>t-toets</w:t>
      </w:r>
      <w:proofErr w:type="spellEnd"/>
      <w:r w:rsidR="002779DD">
        <w:t xml:space="preserve"> een</w:t>
      </w:r>
      <w:r w:rsidR="00257828">
        <w:t xml:space="preserve"> statistisch significant abnormaal rendement gevonden. Verder blijkt dat gebruikte methode een marginale invloed heeft op de hoogte van het abnormaal rendement. Het </w:t>
      </w:r>
      <w:proofErr w:type="spellStart"/>
      <w:r w:rsidR="00257828">
        <w:t>Market-Adjusted</w:t>
      </w:r>
      <w:proofErr w:type="spellEnd"/>
      <w:r w:rsidR="00257828">
        <w:t xml:space="preserve"> Return Model overschat het abnormaal ren</w:t>
      </w:r>
      <w:r w:rsidR="00FC2632">
        <w:t xml:space="preserve">dement in alle testen, maar dit </w:t>
      </w:r>
      <w:r w:rsidR="00257828">
        <w:t>v</w:t>
      </w:r>
      <w:r w:rsidR="00233765">
        <w:t>erschil is mi</w:t>
      </w:r>
      <w:r w:rsidR="007652C3">
        <w:t>nimaal</w:t>
      </w:r>
      <w:r w:rsidR="00233765">
        <w:t xml:space="preserve">. </w:t>
      </w:r>
      <w:r w:rsidR="00FC2632">
        <w:t xml:space="preserve">De gebruikte methode had hierdoor alleen invloed op de </w:t>
      </w:r>
      <w:r w:rsidR="005B3DCA">
        <w:t>tekentoets</w:t>
      </w:r>
      <w:r w:rsidR="00FC2632">
        <w:t xml:space="preserve"> van de gehele dataset.</w:t>
      </w:r>
      <w:r w:rsidR="002779DD">
        <w:t xml:space="preserve"> </w:t>
      </w:r>
    </w:p>
    <w:p w:rsidR="008155B3" w:rsidRDefault="00D73544" w:rsidP="005D114C">
      <w:pPr>
        <w:pStyle w:val="NoSpacing"/>
        <w:jc w:val="both"/>
      </w:pPr>
      <w:r>
        <w:t>Ook</w:t>
      </w:r>
      <w:r w:rsidR="007652C3">
        <w:t xml:space="preserve"> blijkt dat de</w:t>
      </w:r>
      <w:r w:rsidR="00233765">
        <w:t xml:space="preserve"> aankondiging van het </w:t>
      </w:r>
      <w:proofErr w:type="spellStart"/>
      <w:r w:rsidR="00233765">
        <w:t>aandeleninkoopprogramma</w:t>
      </w:r>
      <w:proofErr w:type="spellEnd"/>
      <w:r w:rsidR="00233765">
        <w:t xml:space="preserve"> niet direct in de koers wordt verwerkt. Op </w:t>
      </w:r>
      <w:r w:rsidR="004D06FD">
        <w:t>vier</w:t>
      </w:r>
      <w:r w:rsidR="00233765">
        <w:t xml:space="preserve"> dagen na de aankondiging wordt in</w:t>
      </w:r>
      <w:r w:rsidR="007652C3">
        <w:t xml:space="preserve"> </w:t>
      </w:r>
      <w:r w:rsidR="00233765">
        <w:t xml:space="preserve">diverse testen een statistisch en economisch significant abnormaal rendement gevonden. </w:t>
      </w:r>
      <w:r w:rsidR="002779DD">
        <w:t>Daarnaast</w:t>
      </w:r>
      <w:r w:rsidR="007652C3">
        <w:t xml:space="preserve"> blijkt dat de gevonden abnormale rendementen op de dag van aankondiging lager zijn dan in Baltus &amp; Schauten (2000).</w:t>
      </w:r>
    </w:p>
    <w:p w:rsidR="002779DD" w:rsidRDefault="002779DD" w:rsidP="009965EB">
      <w:pPr>
        <w:pStyle w:val="NoSpacing"/>
        <w:jc w:val="both"/>
      </w:pPr>
      <w:r>
        <w:t>De pos</w:t>
      </w:r>
      <w:r w:rsidR="00181B90">
        <w:t>i</w:t>
      </w:r>
      <w:r>
        <w:t xml:space="preserve">tieve invloed van de </w:t>
      </w:r>
      <w:proofErr w:type="spellStart"/>
      <w:r>
        <w:t>leverage</w:t>
      </w:r>
      <w:proofErr w:type="spellEnd"/>
      <w:r>
        <w:t xml:space="preserve"> hypothese, de omvang en </w:t>
      </w:r>
      <w:r w:rsidR="00B02892">
        <w:t>de belangrijke gebeurtenissen op</w:t>
      </w:r>
      <w:r w:rsidR="005B3DCA">
        <w:t xml:space="preserve"> het</w:t>
      </w:r>
      <w:r w:rsidR="00B02892">
        <w:t xml:space="preserve"> abnormaal rendement op de dag van aankondiging </w:t>
      </w:r>
      <w:r w:rsidR="00807A87">
        <w:t>is</w:t>
      </w:r>
      <w:r w:rsidR="00B02892">
        <w:t xml:space="preserve"> vervolgens getest middels 2 regressiemodellen. In deze modellen is alleen de positieve relatie tussen de omvang en de belangrijke gebeurtenissen statistisch significant. De verklaringskracht van </w:t>
      </w:r>
      <w:r w:rsidR="000F3872">
        <w:t>de</w:t>
      </w:r>
      <w:r w:rsidR="00B02892">
        <w:t xml:space="preserve"> modellen is erg laag, beide </w:t>
      </w:r>
      <w:r w:rsidR="004D06FD">
        <w:t>verklaren</w:t>
      </w:r>
      <w:r w:rsidR="00B02892">
        <w:t xml:space="preserve"> minder dan 8% van de totale </w:t>
      </w:r>
      <w:proofErr w:type="spellStart"/>
      <w:r w:rsidR="00B02892">
        <w:t>variantie</w:t>
      </w:r>
      <w:proofErr w:type="spellEnd"/>
      <w:r w:rsidR="00B02892">
        <w:t xml:space="preserve">. Hierdoor kunnen </w:t>
      </w:r>
      <w:r w:rsidR="005D114C">
        <w:t>de</w:t>
      </w:r>
      <w:r w:rsidR="00B02892">
        <w:t xml:space="preserve"> modellen niet gebruikt worden om het abnormaal rendement op de dag van aankondiging te voorspellen.  </w:t>
      </w:r>
    </w:p>
    <w:p w:rsidR="008155B3" w:rsidRPr="00415684" w:rsidRDefault="008155B3" w:rsidP="008155B3">
      <w:pPr>
        <w:pStyle w:val="NoSpacing"/>
      </w:pPr>
    </w:p>
    <w:tbl>
      <w:tblPr>
        <w:tblStyle w:val="TableGrid"/>
        <w:tblW w:w="0" w:type="auto"/>
        <w:tblLayout w:type="fixed"/>
        <w:tblLook w:val="04A0"/>
      </w:tblPr>
      <w:tblGrid>
        <w:gridCol w:w="2052"/>
        <w:gridCol w:w="1233"/>
        <w:gridCol w:w="934"/>
        <w:gridCol w:w="1276"/>
        <w:gridCol w:w="1325"/>
        <w:gridCol w:w="943"/>
        <w:gridCol w:w="1276"/>
      </w:tblGrid>
      <w:tr w:rsidR="00FB1708" w:rsidTr="00FB1708">
        <w:tc>
          <w:tcPr>
            <w:tcW w:w="2052" w:type="dxa"/>
            <w:vMerge w:val="restart"/>
            <w:shd w:val="clear" w:color="auto" w:fill="0070C0"/>
          </w:tcPr>
          <w:p w:rsidR="00FB1708" w:rsidRPr="0058046F" w:rsidRDefault="00FB1708" w:rsidP="00454B4D">
            <w:pPr>
              <w:pStyle w:val="NoSpacing"/>
              <w:rPr>
                <w:color w:val="FFFFFF" w:themeColor="background1"/>
                <w:sz w:val="20"/>
                <w:szCs w:val="20"/>
              </w:rPr>
            </w:pPr>
            <w:r w:rsidRPr="0058046F">
              <w:rPr>
                <w:color w:val="FFFFFF" w:themeColor="background1"/>
                <w:sz w:val="20"/>
                <w:szCs w:val="20"/>
              </w:rPr>
              <w:t>Gemiddeld abnormaal rendement op dag van aankondiging (t=0)</w:t>
            </w:r>
          </w:p>
        </w:tc>
        <w:tc>
          <w:tcPr>
            <w:tcW w:w="3443" w:type="dxa"/>
            <w:gridSpan w:val="3"/>
            <w:shd w:val="clear" w:color="auto" w:fill="0070C0"/>
          </w:tcPr>
          <w:p w:rsidR="00FB1708" w:rsidRPr="0058046F" w:rsidRDefault="00FB1708" w:rsidP="00454B4D">
            <w:pPr>
              <w:pStyle w:val="NoSpacing"/>
              <w:rPr>
                <w:color w:val="FFFFFF" w:themeColor="background1"/>
                <w:sz w:val="20"/>
                <w:szCs w:val="20"/>
              </w:rPr>
            </w:pPr>
            <w:proofErr w:type="spellStart"/>
            <w:r w:rsidRPr="0058046F">
              <w:rPr>
                <w:color w:val="FFFFFF" w:themeColor="background1"/>
                <w:sz w:val="20"/>
                <w:szCs w:val="20"/>
              </w:rPr>
              <w:t>Market-Adjusted</w:t>
            </w:r>
            <w:proofErr w:type="spellEnd"/>
            <w:r w:rsidRPr="0058046F">
              <w:rPr>
                <w:color w:val="FFFFFF" w:themeColor="background1"/>
                <w:sz w:val="20"/>
                <w:szCs w:val="20"/>
              </w:rPr>
              <w:t xml:space="preserve"> Return Model</w:t>
            </w:r>
          </w:p>
        </w:tc>
        <w:tc>
          <w:tcPr>
            <w:tcW w:w="3544" w:type="dxa"/>
            <w:gridSpan w:val="3"/>
            <w:shd w:val="clear" w:color="auto" w:fill="0070C0"/>
          </w:tcPr>
          <w:p w:rsidR="00FB1708" w:rsidRPr="0058046F" w:rsidRDefault="00FB1708" w:rsidP="00454B4D">
            <w:pPr>
              <w:pStyle w:val="NoSpacing"/>
              <w:rPr>
                <w:color w:val="FFFFFF" w:themeColor="background1"/>
                <w:sz w:val="20"/>
                <w:szCs w:val="20"/>
              </w:rPr>
            </w:pPr>
            <w:r w:rsidRPr="0058046F">
              <w:rPr>
                <w:color w:val="FFFFFF" w:themeColor="background1"/>
                <w:sz w:val="20"/>
                <w:szCs w:val="20"/>
              </w:rPr>
              <w:t>Markt Model</w:t>
            </w:r>
          </w:p>
        </w:tc>
      </w:tr>
      <w:tr w:rsidR="00FB1708" w:rsidTr="00FB1708">
        <w:tc>
          <w:tcPr>
            <w:tcW w:w="2052" w:type="dxa"/>
            <w:vMerge/>
            <w:shd w:val="clear" w:color="auto" w:fill="0070C0"/>
          </w:tcPr>
          <w:p w:rsidR="00FB1708" w:rsidRPr="0058046F" w:rsidRDefault="00FB1708" w:rsidP="00454B4D">
            <w:pPr>
              <w:pStyle w:val="NoSpacing"/>
              <w:rPr>
                <w:color w:val="FFFFFF" w:themeColor="background1"/>
                <w:sz w:val="20"/>
                <w:szCs w:val="20"/>
              </w:rPr>
            </w:pPr>
          </w:p>
        </w:tc>
        <w:tc>
          <w:tcPr>
            <w:tcW w:w="1233" w:type="dxa"/>
            <w:shd w:val="clear" w:color="auto" w:fill="0070C0"/>
          </w:tcPr>
          <w:p w:rsidR="00FB1708" w:rsidRPr="0058046F" w:rsidRDefault="00FB1708" w:rsidP="00454B4D">
            <w:pPr>
              <w:pStyle w:val="NoSpacing"/>
              <w:rPr>
                <w:color w:val="FFFFFF" w:themeColor="background1"/>
                <w:sz w:val="20"/>
                <w:szCs w:val="20"/>
              </w:rPr>
            </w:pPr>
            <w:r w:rsidRPr="0058046F">
              <w:rPr>
                <w:color w:val="FFFFFF" w:themeColor="background1"/>
                <w:sz w:val="20"/>
                <w:szCs w:val="20"/>
              </w:rPr>
              <w:t>Abnormaal rendement</w:t>
            </w:r>
          </w:p>
        </w:tc>
        <w:tc>
          <w:tcPr>
            <w:tcW w:w="934" w:type="dxa"/>
            <w:shd w:val="clear" w:color="auto" w:fill="0070C0"/>
          </w:tcPr>
          <w:p w:rsidR="00FB1708" w:rsidRPr="0058046F" w:rsidRDefault="00FB1708" w:rsidP="00454B4D">
            <w:pPr>
              <w:pStyle w:val="NoSpacing"/>
              <w:rPr>
                <w:color w:val="FFFFFF" w:themeColor="background1"/>
                <w:sz w:val="20"/>
                <w:szCs w:val="20"/>
              </w:rPr>
            </w:pPr>
            <w:proofErr w:type="spellStart"/>
            <w:r w:rsidRPr="0058046F">
              <w:rPr>
                <w:color w:val="FFFFFF" w:themeColor="background1"/>
                <w:sz w:val="20"/>
                <w:szCs w:val="20"/>
              </w:rPr>
              <w:t>t-toets</w:t>
            </w:r>
            <w:proofErr w:type="spellEnd"/>
          </w:p>
        </w:tc>
        <w:tc>
          <w:tcPr>
            <w:tcW w:w="1276" w:type="dxa"/>
            <w:shd w:val="clear" w:color="auto" w:fill="0070C0"/>
          </w:tcPr>
          <w:p w:rsidR="00FB1708" w:rsidRPr="0058046F" w:rsidRDefault="00FB1708" w:rsidP="00454B4D">
            <w:pPr>
              <w:pStyle w:val="NoSpacing"/>
              <w:rPr>
                <w:color w:val="FFFFFF" w:themeColor="background1"/>
                <w:sz w:val="20"/>
                <w:szCs w:val="20"/>
              </w:rPr>
            </w:pPr>
            <w:r w:rsidRPr="0058046F">
              <w:rPr>
                <w:color w:val="FFFFFF" w:themeColor="background1"/>
                <w:sz w:val="20"/>
                <w:szCs w:val="20"/>
              </w:rPr>
              <w:t>tekentoets</w:t>
            </w:r>
          </w:p>
        </w:tc>
        <w:tc>
          <w:tcPr>
            <w:tcW w:w="1325" w:type="dxa"/>
            <w:shd w:val="clear" w:color="auto" w:fill="0070C0"/>
          </w:tcPr>
          <w:p w:rsidR="00FB1708" w:rsidRPr="0058046F" w:rsidRDefault="00FB1708" w:rsidP="00454B4D">
            <w:pPr>
              <w:pStyle w:val="NoSpacing"/>
              <w:rPr>
                <w:color w:val="FFFFFF" w:themeColor="background1"/>
                <w:sz w:val="20"/>
                <w:szCs w:val="20"/>
              </w:rPr>
            </w:pPr>
            <w:r w:rsidRPr="0058046F">
              <w:rPr>
                <w:color w:val="FFFFFF" w:themeColor="background1"/>
                <w:sz w:val="20"/>
                <w:szCs w:val="20"/>
              </w:rPr>
              <w:t>Abnormaal rendement</w:t>
            </w:r>
          </w:p>
        </w:tc>
        <w:tc>
          <w:tcPr>
            <w:tcW w:w="943" w:type="dxa"/>
            <w:shd w:val="clear" w:color="auto" w:fill="0070C0"/>
          </w:tcPr>
          <w:p w:rsidR="00FB1708" w:rsidRPr="0058046F" w:rsidRDefault="00FB1708" w:rsidP="00454B4D">
            <w:pPr>
              <w:pStyle w:val="NoSpacing"/>
              <w:rPr>
                <w:color w:val="FFFFFF" w:themeColor="background1"/>
                <w:sz w:val="20"/>
                <w:szCs w:val="20"/>
              </w:rPr>
            </w:pPr>
            <w:proofErr w:type="spellStart"/>
            <w:r w:rsidRPr="0058046F">
              <w:rPr>
                <w:color w:val="FFFFFF" w:themeColor="background1"/>
                <w:sz w:val="20"/>
                <w:szCs w:val="20"/>
              </w:rPr>
              <w:t>t-toets</w:t>
            </w:r>
            <w:proofErr w:type="spellEnd"/>
          </w:p>
        </w:tc>
        <w:tc>
          <w:tcPr>
            <w:tcW w:w="1276" w:type="dxa"/>
            <w:shd w:val="clear" w:color="auto" w:fill="0070C0"/>
          </w:tcPr>
          <w:p w:rsidR="00FB1708" w:rsidRPr="0058046F" w:rsidRDefault="00FB1708" w:rsidP="00454B4D">
            <w:pPr>
              <w:pStyle w:val="NoSpacing"/>
              <w:rPr>
                <w:color w:val="FFFFFF" w:themeColor="background1"/>
                <w:sz w:val="20"/>
                <w:szCs w:val="20"/>
              </w:rPr>
            </w:pPr>
            <w:r w:rsidRPr="0058046F">
              <w:rPr>
                <w:color w:val="FFFFFF" w:themeColor="background1"/>
                <w:sz w:val="20"/>
                <w:szCs w:val="20"/>
              </w:rPr>
              <w:t>tekentoets</w:t>
            </w: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r w:rsidRPr="0058046F">
              <w:rPr>
                <w:sz w:val="20"/>
                <w:szCs w:val="20"/>
              </w:rPr>
              <w:t>Gehele dataset</w:t>
            </w:r>
          </w:p>
        </w:tc>
        <w:tc>
          <w:tcPr>
            <w:tcW w:w="1233" w:type="dxa"/>
          </w:tcPr>
          <w:p w:rsidR="00FB1708" w:rsidRPr="0058046F" w:rsidRDefault="00FB1708" w:rsidP="00454B4D">
            <w:pPr>
              <w:pStyle w:val="NoSpacing"/>
              <w:rPr>
                <w:b/>
                <w:sz w:val="20"/>
                <w:szCs w:val="20"/>
                <w:vertAlign w:val="superscript"/>
              </w:rPr>
            </w:pPr>
            <w:r w:rsidRPr="0058046F">
              <w:rPr>
                <w:sz w:val="20"/>
                <w:szCs w:val="20"/>
              </w:rPr>
              <w:t>1,33%</w:t>
            </w:r>
          </w:p>
        </w:tc>
        <w:tc>
          <w:tcPr>
            <w:tcW w:w="934" w:type="dxa"/>
          </w:tcPr>
          <w:p w:rsidR="00FB1708" w:rsidRPr="0058046F" w:rsidRDefault="00FB1708" w:rsidP="00454B4D">
            <w:pPr>
              <w:pStyle w:val="NoSpacing"/>
              <w:rPr>
                <w:sz w:val="20"/>
                <w:szCs w:val="20"/>
              </w:rPr>
            </w:pPr>
            <w:r w:rsidRPr="0058046F">
              <w:rPr>
                <w:sz w:val="20"/>
                <w:szCs w:val="20"/>
              </w:rPr>
              <w:t>***</w:t>
            </w:r>
          </w:p>
        </w:tc>
        <w:tc>
          <w:tcPr>
            <w:tcW w:w="1276" w:type="dxa"/>
          </w:tcPr>
          <w:p w:rsidR="00FB1708" w:rsidRPr="0058046F" w:rsidRDefault="00FB1708" w:rsidP="00454B4D">
            <w:pPr>
              <w:pStyle w:val="NoSpacing"/>
              <w:rPr>
                <w:sz w:val="20"/>
                <w:szCs w:val="20"/>
              </w:rPr>
            </w:pPr>
            <w:r w:rsidRPr="0058046F">
              <w:rPr>
                <w:sz w:val="20"/>
                <w:szCs w:val="20"/>
              </w:rPr>
              <w:t>*</w:t>
            </w:r>
          </w:p>
        </w:tc>
        <w:tc>
          <w:tcPr>
            <w:tcW w:w="1325" w:type="dxa"/>
          </w:tcPr>
          <w:p w:rsidR="00FB1708" w:rsidRPr="0058046F" w:rsidRDefault="00FB1708" w:rsidP="00454B4D">
            <w:pPr>
              <w:pStyle w:val="NoSpacing"/>
              <w:rPr>
                <w:sz w:val="20"/>
                <w:szCs w:val="20"/>
              </w:rPr>
            </w:pPr>
            <w:r w:rsidRPr="0058046F">
              <w:rPr>
                <w:sz w:val="20"/>
                <w:szCs w:val="20"/>
              </w:rPr>
              <w:t>1,26%</w:t>
            </w:r>
          </w:p>
        </w:tc>
        <w:tc>
          <w:tcPr>
            <w:tcW w:w="943" w:type="dxa"/>
          </w:tcPr>
          <w:p w:rsidR="00FB1708" w:rsidRPr="0058046F" w:rsidRDefault="00FB1708" w:rsidP="00454B4D">
            <w:pPr>
              <w:pStyle w:val="NoSpacing"/>
              <w:rPr>
                <w:sz w:val="20"/>
                <w:szCs w:val="20"/>
              </w:rPr>
            </w:pPr>
            <w:r w:rsidRPr="0058046F">
              <w:rPr>
                <w:sz w:val="20"/>
                <w:szCs w:val="20"/>
              </w:rPr>
              <w:t>***</w:t>
            </w:r>
          </w:p>
        </w:tc>
        <w:tc>
          <w:tcPr>
            <w:tcW w:w="1276" w:type="dxa"/>
          </w:tcPr>
          <w:p w:rsidR="00FB1708" w:rsidRPr="0058046F" w:rsidRDefault="00FB1708" w:rsidP="00454B4D">
            <w:pPr>
              <w:pStyle w:val="NoSpacing"/>
              <w:rPr>
                <w:sz w:val="20"/>
                <w:szCs w:val="20"/>
              </w:rPr>
            </w:pP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proofErr w:type="spellStart"/>
            <w:r w:rsidRPr="0058046F">
              <w:rPr>
                <w:sz w:val="20"/>
                <w:szCs w:val="20"/>
              </w:rPr>
              <w:t>Leverage</w:t>
            </w:r>
            <w:proofErr w:type="spellEnd"/>
            <w:r w:rsidRPr="0058046F">
              <w:rPr>
                <w:sz w:val="20"/>
                <w:szCs w:val="20"/>
              </w:rPr>
              <w:t xml:space="preserve"> hypothese</w:t>
            </w:r>
          </w:p>
        </w:tc>
        <w:tc>
          <w:tcPr>
            <w:tcW w:w="1233" w:type="dxa"/>
          </w:tcPr>
          <w:p w:rsidR="00FB1708" w:rsidRPr="0058046F" w:rsidRDefault="00FB1708" w:rsidP="00454B4D">
            <w:pPr>
              <w:pStyle w:val="NoSpacing"/>
              <w:rPr>
                <w:sz w:val="20"/>
                <w:szCs w:val="20"/>
              </w:rPr>
            </w:pPr>
            <w:r w:rsidRPr="0058046F">
              <w:rPr>
                <w:sz w:val="20"/>
                <w:szCs w:val="20"/>
              </w:rPr>
              <w:t>1,71%</w:t>
            </w:r>
          </w:p>
        </w:tc>
        <w:tc>
          <w:tcPr>
            <w:tcW w:w="934"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876075" w:rsidP="00454B4D">
            <w:pPr>
              <w:pStyle w:val="NoSpacing"/>
              <w:rPr>
                <w:sz w:val="20"/>
                <w:szCs w:val="20"/>
              </w:rPr>
            </w:pPr>
            <w:r w:rsidRPr="0058046F">
              <w:rPr>
                <w:sz w:val="20"/>
                <w:szCs w:val="20"/>
              </w:rPr>
              <w:t>**</w:t>
            </w:r>
          </w:p>
        </w:tc>
        <w:tc>
          <w:tcPr>
            <w:tcW w:w="1325" w:type="dxa"/>
          </w:tcPr>
          <w:p w:rsidR="00FB1708" w:rsidRPr="0058046F" w:rsidRDefault="00FB1708" w:rsidP="00454B4D">
            <w:pPr>
              <w:pStyle w:val="NoSpacing"/>
              <w:rPr>
                <w:sz w:val="20"/>
                <w:szCs w:val="20"/>
              </w:rPr>
            </w:pPr>
            <w:r w:rsidRPr="0058046F">
              <w:rPr>
                <w:sz w:val="20"/>
                <w:szCs w:val="20"/>
              </w:rPr>
              <w:t>1,66%</w:t>
            </w:r>
          </w:p>
        </w:tc>
        <w:tc>
          <w:tcPr>
            <w:tcW w:w="943"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876075" w:rsidP="00454B4D">
            <w:pPr>
              <w:pStyle w:val="NoSpacing"/>
              <w:rPr>
                <w:sz w:val="20"/>
                <w:szCs w:val="20"/>
              </w:rPr>
            </w:pPr>
            <w:r w:rsidRPr="0058046F">
              <w:rPr>
                <w:sz w:val="20"/>
                <w:szCs w:val="20"/>
              </w:rPr>
              <w:t>*</w:t>
            </w: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r w:rsidRPr="0058046F">
              <w:rPr>
                <w:sz w:val="20"/>
                <w:szCs w:val="20"/>
              </w:rPr>
              <w:t xml:space="preserve">Free cash </w:t>
            </w:r>
            <w:proofErr w:type="spellStart"/>
            <w:r w:rsidRPr="0058046F">
              <w:rPr>
                <w:sz w:val="20"/>
                <w:szCs w:val="20"/>
              </w:rPr>
              <w:t>flow</w:t>
            </w:r>
            <w:proofErr w:type="spellEnd"/>
            <w:r w:rsidRPr="0058046F">
              <w:rPr>
                <w:sz w:val="20"/>
                <w:szCs w:val="20"/>
              </w:rPr>
              <w:t xml:space="preserve"> hypothese</w:t>
            </w:r>
          </w:p>
        </w:tc>
        <w:tc>
          <w:tcPr>
            <w:tcW w:w="1233" w:type="dxa"/>
          </w:tcPr>
          <w:p w:rsidR="00FB1708" w:rsidRPr="0058046F" w:rsidRDefault="00FB1708" w:rsidP="00454B4D">
            <w:pPr>
              <w:pStyle w:val="NoSpacing"/>
              <w:rPr>
                <w:sz w:val="20"/>
                <w:szCs w:val="20"/>
              </w:rPr>
            </w:pPr>
            <w:r w:rsidRPr="0058046F">
              <w:rPr>
                <w:sz w:val="20"/>
                <w:szCs w:val="20"/>
              </w:rPr>
              <w:t>0,74%</w:t>
            </w:r>
          </w:p>
        </w:tc>
        <w:tc>
          <w:tcPr>
            <w:tcW w:w="934" w:type="dxa"/>
          </w:tcPr>
          <w:p w:rsidR="00FB1708" w:rsidRPr="0058046F" w:rsidRDefault="00FB1708" w:rsidP="00454B4D">
            <w:pPr>
              <w:pStyle w:val="NoSpacing"/>
              <w:rPr>
                <w:sz w:val="20"/>
                <w:szCs w:val="20"/>
              </w:rPr>
            </w:pPr>
          </w:p>
        </w:tc>
        <w:tc>
          <w:tcPr>
            <w:tcW w:w="1276" w:type="dxa"/>
          </w:tcPr>
          <w:p w:rsidR="00FB1708" w:rsidRPr="0058046F" w:rsidRDefault="00FB1708" w:rsidP="00454B4D">
            <w:pPr>
              <w:pStyle w:val="NoSpacing"/>
              <w:rPr>
                <w:sz w:val="20"/>
                <w:szCs w:val="20"/>
              </w:rPr>
            </w:pPr>
          </w:p>
        </w:tc>
        <w:tc>
          <w:tcPr>
            <w:tcW w:w="1325" w:type="dxa"/>
          </w:tcPr>
          <w:p w:rsidR="00FB1708" w:rsidRPr="0058046F" w:rsidRDefault="00FB1708" w:rsidP="00454B4D">
            <w:pPr>
              <w:pStyle w:val="NoSpacing"/>
              <w:rPr>
                <w:sz w:val="20"/>
                <w:szCs w:val="20"/>
              </w:rPr>
            </w:pPr>
            <w:r w:rsidRPr="0058046F">
              <w:rPr>
                <w:sz w:val="20"/>
                <w:szCs w:val="20"/>
              </w:rPr>
              <w:t>0,64%</w:t>
            </w:r>
          </w:p>
        </w:tc>
        <w:tc>
          <w:tcPr>
            <w:tcW w:w="943" w:type="dxa"/>
          </w:tcPr>
          <w:p w:rsidR="00FB1708" w:rsidRPr="0058046F" w:rsidRDefault="00FB1708" w:rsidP="00454B4D">
            <w:pPr>
              <w:pStyle w:val="NoSpacing"/>
              <w:rPr>
                <w:sz w:val="20"/>
                <w:szCs w:val="20"/>
              </w:rPr>
            </w:pPr>
          </w:p>
        </w:tc>
        <w:tc>
          <w:tcPr>
            <w:tcW w:w="1276" w:type="dxa"/>
          </w:tcPr>
          <w:p w:rsidR="00FB1708" w:rsidRPr="0058046F" w:rsidRDefault="00FB1708" w:rsidP="00454B4D">
            <w:pPr>
              <w:pStyle w:val="NoSpacing"/>
              <w:rPr>
                <w:sz w:val="20"/>
                <w:szCs w:val="20"/>
              </w:rPr>
            </w:pP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r w:rsidRPr="0058046F">
              <w:rPr>
                <w:sz w:val="20"/>
                <w:szCs w:val="20"/>
              </w:rPr>
              <w:t xml:space="preserve">0-5% </w:t>
            </w:r>
            <w:proofErr w:type="spellStart"/>
            <w:r w:rsidRPr="0058046F">
              <w:rPr>
                <w:sz w:val="20"/>
                <w:szCs w:val="20"/>
              </w:rPr>
              <w:t>uitst</w:t>
            </w:r>
            <w:proofErr w:type="spellEnd"/>
            <w:r w:rsidRPr="0058046F">
              <w:rPr>
                <w:sz w:val="20"/>
                <w:szCs w:val="20"/>
              </w:rPr>
              <w:t>. aandelenkapitaal</w:t>
            </w:r>
          </w:p>
        </w:tc>
        <w:tc>
          <w:tcPr>
            <w:tcW w:w="1233" w:type="dxa"/>
          </w:tcPr>
          <w:p w:rsidR="00FB1708" w:rsidRPr="0058046F" w:rsidRDefault="00FB1708" w:rsidP="00454B4D">
            <w:pPr>
              <w:pStyle w:val="NoSpacing"/>
              <w:rPr>
                <w:sz w:val="20"/>
                <w:szCs w:val="20"/>
              </w:rPr>
            </w:pPr>
            <w:r w:rsidRPr="0058046F">
              <w:rPr>
                <w:sz w:val="20"/>
                <w:szCs w:val="20"/>
              </w:rPr>
              <w:t>1,15%</w:t>
            </w:r>
          </w:p>
        </w:tc>
        <w:tc>
          <w:tcPr>
            <w:tcW w:w="934"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876075" w:rsidP="00454B4D">
            <w:pPr>
              <w:pStyle w:val="NoSpacing"/>
              <w:rPr>
                <w:sz w:val="20"/>
                <w:szCs w:val="20"/>
              </w:rPr>
            </w:pPr>
            <w:r w:rsidRPr="0058046F">
              <w:rPr>
                <w:sz w:val="20"/>
                <w:szCs w:val="20"/>
              </w:rPr>
              <w:t>**</w:t>
            </w:r>
          </w:p>
        </w:tc>
        <w:tc>
          <w:tcPr>
            <w:tcW w:w="1325" w:type="dxa"/>
          </w:tcPr>
          <w:p w:rsidR="00FB1708" w:rsidRPr="0058046F" w:rsidRDefault="00FB1708" w:rsidP="00454B4D">
            <w:pPr>
              <w:pStyle w:val="NoSpacing"/>
              <w:rPr>
                <w:sz w:val="20"/>
                <w:szCs w:val="20"/>
              </w:rPr>
            </w:pPr>
            <w:r w:rsidRPr="0058046F">
              <w:rPr>
                <w:sz w:val="20"/>
                <w:szCs w:val="20"/>
              </w:rPr>
              <w:t>1,09%</w:t>
            </w:r>
          </w:p>
        </w:tc>
        <w:tc>
          <w:tcPr>
            <w:tcW w:w="943"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876075" w:rsidP="00454B4D">
            <w:pPr>
              <w:pStyle w:val="NoSpacing"/>
              <w:rPr>
                <w:sz w:val="20"/>
                <w:szCs w:val="20"/>
              </w:rPr>
            </w:pPr>
            <w:r w:rsidRPr="0058046F">
              <w:rPr>
                <w:sz w:val="20"/>
                <w:szCs w:val="20"/>
              </w:rPr>
              <w:t>*</w:t>
            </w: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r w:rsidRPr="0058046F">
              <w:rPr>
                <w:sz w:val="20"/>
                <w:szCs w:val="20"/>
              </w:rPr>
              <w:t xml:space="preserve">5-10% </w:t>
            </w:r>
            <w:proofErr w:type="spellStart"/>
            <w:r w:rsidRPr="0058046F">
              <w:rPr>
                <w:sz w:val="20"/>
                <w:szCs w:val="20"/>
              </w:rPr>
              <w:t>uits</w:t>
            </w:r>
            <w:proofErr w:type="spellEnd"/>
            <w:r w:rsidRPr="0058046F">
              <w:rPr>
                <w:sz w:val="20"/>
                <w:szCs w:val="20"/>
              </w:rPr>
              <w:t>. aandelenkapitaal</w:t>
            </w:r>
          </w:p>
        </w:tc>
        <w:tc>
          <w:tcPr>
            <w:tcW w:w="1233" w:type="dxa"/>
          </w:tcPr>
          <w:p w:rsidR="00FB1708" w:rsidRPr="0058046F" w:rsidRDefault="00FB1708" w:rsidP="00454B4D">
            <w:pPr>
              <w:pStyle w:val="NoSpacing"/>
              <w:rPr>
                <w:sz w:val="20"/>
                <w:szCs w:val="20"/>
              </w:rPr>
            </w:pPr>
            <w:r w:rsidRPr="0058046F">
              <w:rPr>
                <w:sz w:val="20"/>
                <w:szCs w:val="20"/>
              </w:rPr>
              <w:t>0,92%</w:t>
            </w:r>
          </w:p>
        </w:tc>
        <w:tc>
          <w:tcPr>
            <w:tcW w:w="934" w:type="dxa"/>
          </w:tcPr>
          <w:p w:rsidR="00FB1708" w:rsidRPr="0058046F" w:rsidRDefault="00FB1708" w:rsidP="00454B4D">
            <w:pPr>
              <w:pStyle w:val="NoSpacing"/>
              <w:rPr>
                <w:sz w:val="20"/>
                <w:szCs w:val="20"/>
              </w:rPr>
            </w:pPr>
          </w:p>
        </w:tc>
        <w:tc>
          <w:tcPr>
            <w:tcW w:w="1276" w:type="dxa"/>
          </w:tcPr>
          <w:p w:rsidR="00FB1708" w:rsidRPr="0058046F" w:rsidRDefault="00FB1708" w:rsidP="00454B4D">
            <w:pPr>
              <w:pStyle w:val="NoSpacing"/>
              <w:rPr>
                <w:sz w:val="20"/>
                <w:szCs w:val="20"/>
              </w:rPr>
            </w:pPr>
          </w:p>
        </w:tc>
        <w:tc>
          <w:tcPr>
            <w:tcW w:w="1325" w:type="dxa"/>
          </w:tcPr>
          <w:p w:rsidR="00FB1708" w:rsidRPr="0058046F" w:rsidRDefault="00FB1708" w:rsidP="00454B4D">
            <w:pPr>
              <w:pStyle w:val="NoSpacing"/>
              <w:rPr>
                <w:sz w:val="20"/>
                <w:szCs w:val="20"/>
              </w:rPr>
            </w:pPr>
            <w:r w:rsidRPr="0058046F">
              <w:rPr>
                <w:sz w:val="20"/>
                <w:szCs w:val="20"/>
              </w:rPr>
              <w:t>0,83%</w:t>
            </w:r>
          </w:p>
        </w:tc>
        <w:tc>
          <w:tcPr>
            <w:tcW w:w="943" w:type="dxa"/>
          </w:tcPr>
          <w:p w:rsidR="00FB1708" w:rsidRPr="0058046F" w:rsidRDefault="00FB1708" w:rsidP="00454B4D">
            <w:pPr>
              <w:pStyle w:val="NoSpacing"/>
              <w:rPr>
                <w:sz w:val="20"/>
                <w:szCs w:val="20"/>
              </w:rPr>
            </w:pPr>
          </w:p>
        </w:tc>
        <w:tc>
          <w:tcPr>
            <w:tcW w:w="1276" w:type="dxa"/>
          </w:tcPr>
          <w:p w:rsidR="00FB1708" w:rsidRPr="0058046F" w:rsidRDefault="00FB1708" w:rsidP="00454B4D">
            <w:pPr>
              <w:pStyle w:val="NoSpacing"/>
              <w:rPr>
                <w:sz w:val="20"/>
                <w:szCs w:val="20"/>
              </w:rPr>
            </w:pP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r w:rsidRPr="0058046F">
              <w:rPr>
                <w:sz w:val="20"/>
                <w:szCs w:val="20"/>
              </w:rPr>
              <w:t xml:space="preserve">≥10% </w:t>
            </w:r>
            <w:proofErr w:type="spellStart"/>
            <w:r w:rsidRPr="0058046F">
              <w:rPr>
                <w:sz w:val="20"/>
                <w:szCs w:val="20"/>
              </w:rPr>
              <w:t>uits</w:t>
            </w:r>
            <w:proofErr w:type="spellEnd"/>
            <w:r w:rsidRPr="0058046F">
              <w:rPr>
                <w:sz w:val="20"/>
                <w:szCs w:val="20"/>
              </w:rPr>
              <w:t>. aandelenkapitaal</w:t>
            </w:r>
          </w:p>
        </w:tc>
        <w:tc>
          <w:tcPr>
            <w:tcW w:w="1233" w:type="dxa"/>
          </w:tcPr>
          <w:p w:rsidR="00FB1708" w:rsidRPr="0058046F" w:rsidRDefault="00FB1708" w:rsidP="00454B4D">
            <w:pPr>
              <w:pStyle w:val="NoSpacing"/>
              <w:rPr>
                <w:sz w:val="20"/>
                <w:szCs w:val="20"/>
              </w:rPr>
            </w:pPr>
            <w:r w:rsidRPr="0058046F">
              <w:rPr>
                <w:sz w:val="20"/>
                <w:szCs w:val="20"/>
              </w:rPr>
              <w:t>3,46%</w:t>
            </w:r>
          </w:p>
        </w:tc>
        <w:tc>
          <w:tcPr>
            <w:tcW w:w="934"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FB1708" w:rsidP="00454B4D">
            <w:pPr>
              <w:pStyle w:val="NoSpacing"/>
              <w:rPr>
                <w:sz w:val="20"/>
                <w:szCs w:val="20"/>
              </w:rPr>
            </w:pPr>
          </w:p>
        </w:tc>
        <w:tc>
          <w:tcPr>
            <w:tcW w:w="1325" w:type="dxa"/>
          </w:tcPr>
          <w:p w:rsidR="00FB1708" w:rsidRPr="0058046F" w:rsidRDefault="00FB1708" w:rsidP="00454B4D">
            <w:pPr>
              <w:pStyle w:val="NoSpacing"/>
              <w:rPr>
                <w:sz w:val="20"/>
                <w:szCs w:val="20"/>
              </w:rPr>
            </w:pPr>
            <w:r w:rsidRPr="0058046F">
              <w:rPr>
                <w:sz w:val="20"/>
                <w:szCs w:val="20"/>
              </w:rPr>
              <w:t>3,45%</w:t>
            </w:r>
          </w:p>
        </w:tc>
        <w:tc>
          <w:tcPr>
            <w:tcW w:w="943"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FB1708" w:rsidP="00454B4D">
            <w:pPr>
              <w:pStyle w:val="NoSpacing"/>
              <w:rPr>
                <w:sz w:val="20"/>
                <w:szCs w:val="20"/>
              </w:rPr>
            </w:pP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r w:rsidRPr="0058046F">
              <w:rPr>
                <w:sz w:val="20"/>
                <w:szCs w:val="20"/>
              </w:rPr>
              <w:t>Gehele dataset (zonder jaarcijfers)</w:t>
            </w:r>
          </w:p>
        </w:tc>
        <w:tc>
          <w:tcPr>
            <w:tcW w:w="1233" w:type="dxa"/>
          </w:tcPr>
          <w:p w:rsidR="00FB1708" w:rsidRPr="0058046F" w:rsidRDefault="00FB1708" w:rsidP="00454B4D">
            <w:pPr>
              <w:pStyle w:val="NoSpacing"/>
              <w:rPr>
                <w:sz w:val="20"/>
                <w:szCs w:val="20"/>
              </w:rPr>
            </w:pPr>
            <w:r w:rsidRPr="0058046F">
              <w:rPr>
                <w:sz w:val="20"/>
                <w:szCs w:val="20"/>
              </w:rPr>
              <w:t>1,06%</w:t>
            </w:r>
          </w:p>
        </w:tc>
        <w:tc>
          <w:tcPr>
            <w:tcW w:w="934"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876075" w:rsidP="00454B4D">
            <w:pPr>
              <w:pStyle w:val="NoSpacing"/>
              <w:rPr>
                <w:sz w:val="20"/>
                <w:szCs w:val="20"/>
              </w:rPr>
            </w:pPr>
            <w:r w:rsidRPr="0058046F">
              <w:rPr>
                <w:sz w:val="20"/>
                <w:szCs w:val="20"/>
              </w:rPr>
              <w:t>*</w:t>
            </w:r>
          </w:p>
        </w:tc>
        <w:tc>
          <w:tcPr>
            <w:tcW w:w="1325" w:type="dxa"/>
          </w:tcPr>
          <w:p w:rsidR="00FB1708" w:rsidRPr="0058046F" w:rsidRDefault="00FB1708" w:rsidP="00454B4D">
            <w:pPr>
              <w:pStyle w:val="NoSpacing"/>
              <w:rPr>
                <w:sz w:val="20"/>
                <w:szCs w:val="20"/>
              </w:rPr>
            </w:pPr>
            <w:r w:rsidRPr="0058046F">
              <w:rPr>
                <w:sz w:val="20"/>
                <w:szCs w:val="20"/>
              </w:rPr>
              <w:t>1,01%</w:t>
            </w:r>
          </w:p>
        </w:tc>
        <w:tc>
          <w:tcPr>
            <w:tcW w:w="943" w:type="dxa"/>
          </w:tcPr>
          <w:p w:rsidR="00FB1708" w:rsidRPr="0058046F" w:rsidRDefault="00876075" w:rsidP="00454B4D">
            <w:pPr>
              <w:pStyle w:val="NoSpacing"/>
              <w:rPr>
                <w:sz w:val="20"/>
                <w:szCs w:val="20"/>
              </w:rPr>
            </w:pPr>
            <w:r w:rsidRPr="0058046F">
              <w:rPr>
                <w:sz w:val="20"/>
                <w:szCs w:val="20"/>
              </w:rPr>
              <w:t>**</w:t>
            </w:r>
          </w:p>
        </w:tc>
        <w:tc>
          <w:tcPr>
            <w:tcW w:w="1276" w:type="dxa"/>
          </w:tcPr>
          <w:p w:rsidR="00FB1708" w:rsidRPr="0058046F" w:rsidRDefault="00876075" w:rsidP="00454B4D">
            <w:pPr>
              <w:pStyle w:val="NoSpacing"/>
              <w:rPr>
                <w:sz w:val="20"/>
                <w:szCs w:val="20"/>
              </w:rPr>
            </w:pPr>
            <w:r w:rsidRPr="0058046F">
              <w:rPr>
                <w:sz w:val="20"/>
                <w:szCs w:val="20"/>
              </w:rPr>
              <w:t>*</w:t>
            </w:r>
          </w:p>
        </w:tc>
      </w:tr>
      <w:tr w:rsidR="00FB1708" w:rsidTr="00FB1708">
        <w:tc>
          <w:tcPr>
            <w:tcW w:w="2052" w:type="dxa"/>
            <w:shd w:val="clear" w:color="auto" w:fill="D9D9D9" w:themeFill="background1" w:themeFillShade="D9"/>
          </w:tcPr>
          <w:p w:rsidR="00FB1708" w:rsidRPr="0058046F" w:rsidRDefault="00FB1708" w:rsidP="00454B4D">
            <w:pPr>
              <w:pStyle w:val="NoSpacing"/>
              <w:rPr>
                <w:sz w:val="20"/>
                <w:szCs w:val="20"/>
              </w:rPr>
            </w:pPr>
            <w:proofErr w:type="spellStart"/>
            <w:r w:rsidRPr="0058046F">
              <w:rPr>
                <w:sz w:val="20"/>
                <w:szCs w:val="20"/>
              </w:rPr>
              <w:t>Leverage</w:t>
            </w:r>
            <w:proofErr w:type="spellEnd"/>
            <w:r w:rsidRPr="0058046F">
              <w:rPr>
                <w:sz w:val="20"/>
                <w:szCs w:val="20"/>
              </w:rPr>
              <w:t xml:space="preserve"> hypothese (zonder </w:t>
            </w:r>
            <w:proofErr w:type="spellStart"/>
            <w:r w:rsidRPr="0058046F">
              <w:rPr>
                <w:sz w:val="20"/>
                <w:szCs w:val="20"/>
              </w:rPr>
              <w:t>jaarcijf</w:t>
            </w:r>
            <w:proofErr w:type="spellEnd"/>
            <w:r w:rsidRPr="0058046F">
              <w:rPr>
                <w:sz w:val="20"/>
                <w:szCs w:val="20"/>
              </w:rPr>
              <w:t>.)</w:t>
            </w:r>
          </w:p>
        </w:tc>
        <w:tc>
          <w:tcPr>
            <w:tcW w:w="1233" w:type="dxa"/>
          </w:tcPr>
          <w:p w:rsidR="00FB1708" w:rsidRPr="0058046F" w:rsidRDefault="00FB1708" w:rsidP="00454B4D">
            <w:pPr>
              <w:pStyle w:val="NoSpacing"/>
              <w:rPr>
                <w:sz w:val="20"/>
                <w:szCs w:val="20"/>
              </w:rPr>
            </w:pPr>
            <w:r w:rsidRPr="0058046F">
              <w:rPr>
                <w:sz w:val="20"/>
                <w:szCs w:val="20"/>
              </w:rPr>
              <w:t>0,92%</w:t>
            </w:r>
          </w:p>
        </w:tc>
        <w:tc>
          <w:tcPr>
            <w:tcW w:w="934" w:type="dxa"/>
          </w:tcPr>
          <w:p w:rsidR="00FB1708" w:rsidRPr="0058046F" w:rsidRDefault="00876075" w:rsidP="008155B3">
            <w:pPr>
              <w:pStyle w:val="NoSpacing"/>
              <w:keepNext/>
              <w:rPr>
                <w:sz w:val="20"/>
                <w:szCs w:val="20"/>
              </w:rPr>
            </w:pPr>
            <w:r w:rsidRPr="0058046F">
              <w:rPr>
                <w:sz w:val="20"/>
                <w:szCs w:val="20"/>
              </w:rPr>
              <w:t>*</w:t>
            </w:r>
          </w:p>
        </w:tc>
        <w:tc>
          <w:tcPr>
            <w:tcW w:w="1276" w:type="dxa"/>
          </w:tcPr>
          <w:p w:rsidR="00FB1708" w:rsidRPr="0058046F" w:rsidRDefault="00FB1708" w:rsidP="008155B3">
            <w:pPr>
              <w:pStyle w:val="NoSpacing"/>
              <w:keepNext/>
              <w:rPr>
                <w:sz w:val="20"/>
                <w:szCs w:val="20"/>
              </w:rPr>
            </w:pPr>
          </w:p>
        </w:tc>
        <w:tc>
          <w:tcPr>
            <w:tcW w:w="1325" w:type="dxa"/>
          </w:tcPr>
          <w:p w:rsidR="00FB1708" w:rsidRPr="0058046F" w:rsidRDefault="00FB1708" w:rsidP="008155B3">
            <w:pPr>
              <w:pStyle w:val="NoSpacing"/>
              <w:keepNext/>
              <w:rPr>
                <w:sz w:val="20"/>
                <w:szCs w:val="20"/>
              </w:rPr>
            </w:pPr>
            <w:r w:rsidRPr="0058046F">
              <w:rPr>
                <w:sz w:val="20"/>
                <w:szCs w:val="20"/>
              </w:rPr>
              <w:t>0,88%</w:t>
            </w:r>
          </w:p>
        </w:tc>
        <w:tc>
          <w:tcPr>
            <w:tcW w:w="943" w:type="dxa"/>
          </w:tcPr>
          <w:p w:rsidR="00FB1708" w:rsidRPr="0058046F" w:rsidRDefault="00876075" w:rsidP="008155B3">
            <w:pPr>
              <w:pStyle w:val="NoSpacing"/>
              <w:keepNext/>
              <w:rPr>
                <w:sz w:val="20"/>
                <w:szCs w:val="20"/>
              </w:rPr>
            </w:pPr>
            <w:r w:rsidRPr="0058046F">
              <w:rPr>
                <w:sz w:val="20"/>
                <w:szCs w:val="20"/>
              </w:rPr>
              <w:t>*</w:t>
            </w:r>
          </w:p>
        </w:tc>
        <w:tc>
          <w:tcPr>
            <w:tcW w:w="1276" w:type="dxa"/>
          </w:tcPr>
          <w:p w:rsidR="00FB1708" w:rsidRPr="0058046F" w:rsidRDefault="00FB1708" w:rsidP="008155B3">
            <w:pPr>
              <w:pStyle w:val="NoSpacing"/>
              <w:keepNext/>
              <w:rPr>
                <w:sz w:val="20"/>
                <w:szCs w:val="20"/>
              </w:rPr>
            </w:pPr>
          </w:p>
        </w:tc>
      </w:tr>
    </w:tbl>
    <w:p w:rsidR="006E7717" w:rsidRDefault="008155B3" w:rsidP="00B02892">
      <w:pPr>
        <w:pStyle w:val="Caption"/>
      </w:pPr>
      <w:r>
        <w:t>Tabel 1</w:t>
      </w:r>
      <w:r w:rsidR="00BB589A">
        <w:t>2</w:t>
      </w:r>
      <w:r>
        <w:t>: Statis</w:t>
      </w:r>
      <w:r w:rsidR="005B3DCA">
        <w:t>tis</w:t>
      </w:r>
      <w:r>
        <w:t xml:space="preserve">che testen abnormaal rendement op de dag van aankondiging                                                                    </w:t>
      </w:r>
      <w:r w:rsidR="00B02892">
        <w:t xml:space="preserve">                            </w:t>
      </w:r>
      <w:r w:rsidR="00FB1708">
        <w:t xml:space="preserve">                                                                                                                                                                                                                                   </w:t>
      </w:r>
      <w:r w:rsidR="00FF6C67">
        <w:t>*</w:t>
      </w:r>
      <w:r w:rsidR="00FF6C67">
        <w:tab/>
        <w:t>= Het abnormaal rendement verschilt significant van nul op een 10% niveau op basis van een tweezijdige toets. **</w:t>
      </w:r>
      <w:r w:rsidR="00FF6C67">
        <w:tab/>
        <w:t>= Het abnormaal rendement verschilt significant van nul op een 5% niveau op basis van een tweezijdige toets.                                   ***</w:t>
      </w:r>
      <w:r w:rsidR="00FF6C67">
        <w:tab/>
        <w:t xml:space="preserve">= Het abnormaal rendement verschilt significant van nul op een 1% niveau op basis van een tweezijdige toets.                                                                 </w:t>
      </w:r>
    </w:p>
    <w:p w:rsidR="00EA59D9" w:rsidRPr="006E7717" w:rsidRDefault="00793412" w:rsidP="001F71F2">
      <w:pPr>
        <w:pStyle w:val="Heading1"/>
        <w:numPr>
          <w:ilvl w:val="0"/>
          <w:numId w:val="3"/>
        </w:numPr>
        <w:rPr>
          <w:color w:val="auto"/>
        </w:rPr>
      </w:pPr>
      <w:bookmarkStart w:id="26" w:name="_Toc361526579"/>
      <w:r w:rsidRPr="006E7717">
        <w:rPr>
          <w:color w:val="auto"/>
        </w:rPr>
        <w:lastRenderedPageBreak/>
        <w:t>Conclusie</w:t>
      </w:r>
      <w:bookmarkEnd w:id="26"/>
    </w:p>
    <w:p w:rsidR="00855436" w:rsidRDefault="00BA18FF" w:rsidP="009965EB">
      <w:pPr>
        <w:pStyle w:val="NoSpacing"/>
        <w:spacing w:before="120"/>
        <w:jc w:val="both"/>
      </w:pPr>
      <w:r>
        <w:t xml:space="preserve">In dit onderzoek </w:t>
      </w:r>
      <w:r w:rsidR="007B1B87">
        <w:t>zijn</w:t>
      </w:r>
      <w:r>
        <w:t xml:space="preserve"> de koersreacties </w:t>
      </w:r>
      <w:r w:rsidR="007B1B87">
        <w:t xml:space="preserve">op en </w:t>
      </w:r>
      <w:r>
        <w:t>rondom de dag van aankondiging v</w:t>
      </w:r>
      <w:r w:rsidR="00867430">
        <w:t xml:space="preserve">an een </w:t>
      </w:r>
      <w:proofErr w:type="spellStart"/>
      <w:r w:rsidR="00867430">
        <w:t>aandelen</w:t>
      </w:r>
      <w:r w:rsidR="007B1B87">
        <w:t>-</w:t>
      </w:r>
      <w:r w:rsidR="00867430">
        <w:t>inkoopprogramma</w:t>
      </w:r>
      <w:proofErr w:type="spellEnd"/>
      <w:r w:rsidR="007B1B87">
        <w:t xml:space="preserve"> onderzocht</w:t>
      </w:r>
      <w:r w:rsidR="00867430">
        <w:t xml:space="preserve">. Eerst is de gehele dataset </w:t>
      </w:r>
      <w:r w:rsidR="00D73544">
        <w:t>onderzocht</w:t>
      </w:r>
      <w:r w:rsidR="00867430">
        <w:t xml:space="preserve"> op abnormale rendementen, waarbij zowel het </w:t>
      </w:r>
      <w:proofErr w:type="spellStart"/>
      <w:r w:rsidR="00867430">
        <w:t>Market-Adjusted</w:t>
      </w:r>
      <w:proofErr w:type="spellEnd"/>
      <w:r w:rsidR="00867430">
        <w:t xml:space="preserve"> Return Model als het Markt Model gebruikt is om het abnormaal rendement te bepalen. Daarnaast</w:t>
      </w:r>
      <w:r>
        <w:t xml:space="preserve"> </w:t>
      </w:r>
      <w:r w:rsidR="00B35F3F">
        <w:t>is</w:t>
      </w:r>
      <w:r>
        <w:t xml:space="preserve"> gekeken naar de invloed van het theoretisch motief, de omvang en </w:t>
      </w:r>
      <w:r w:rsidR="00A133E4">
        <w:t xml:space="preserve">de (andere) </w:t>
      </w:r>
      <w:r>
        <w:t>belangrijke gebeurtenissen op de dag van aankondiging.</w:t>
      </w:r>
      <w:r w:rsidR="00867430">
        <w:t xml:space="preserve"> </w:t>
      </w:r>
      <w:r>
        <w:t xml:space="preserve">Uit eerder onderzoek is gebleken dat de omvang en het theoretisch motief invloed </w:t>
      </w:r>
      <w:r w:rsidR="00B35F3F">
        <w:t>hebben</w:t>
      </w:r>
      <w:r>
        <w:t xml:space="preserve"> op de hoogte van het abnormaal rendement op de dag van aankondiging</w:t>
      </w:r>
      <w:r w:rsidR="004D0337">
        <w:t xml:space="preserve">. </w:t>
      </w:r>
      <w:r>
        <w:t xml:space="preserve">Er </w:t>
      </w:r>
      <w:r w:rsidR="00B35F3F">
        <w:t>was</w:t>
      </w:r>
      <w:r>
        <w:t xml:space="preserve"> echter nog geen onderzoek </w:t>
      </w:r>
      <w:r w:rsidR="00A133E4">
        <w:t>verricht</w:t>
      </w:r>
      <w:r>
        <w:t xml:space="preserve"> naar de invloed van de belangrijke gebeurtenissen op de dag van aankondiging</w:t>
      </w:r>
      <w:r w:rsidR="00855436">
        <w:t xml:space="preserve">, die </w:t>
      </w:r>
      <w:r w:rsidR="00A133E4">
        <w:t>eventueel</w:t>
      </w:r>
      <w:r w:rsidR="00855436">
        <w:t xml:space="preserve"> een verstorend variabele zou kunnen zijn</w:t>
      </w:r>
      <w:r>
        <w:t xml:space="preserve">. </w:t>
      </w:r>
      <w:r w:rsidR="00855436">
        <w:t xml:space="preserve">In dit onderzoek zijn gebeurtenissen als belangrijk bestempeld indien </w:t>
      </w:r>
      <w:r w:rsidR="00EF65F2">
        <w:t xml:space="preserve">de </w:t>
      </w:r>
      <w:r w:rsidR="00855436">
        <w:t>kwartaal-</w:t>
      </w:r>
      <w:r w:rsidR="00EF65F2">
        <w:t xml:space="preserve"> of </w:t>
      </w:r>
      <w:r w:rsidR="00855436">
        <w:t>half(jaarcijfers)</w:t>
      </w:r>
      <w:r w:rsidR="00EF65F2">
        <w:t xml:space="preserve"> werden gepresenteerd</w:t>
      </w:r>
      <w:r w:rsidR="00855436">
        <w:t xml:space="preserve"> of een a</w:t>
      </w:r>
      <w:r w:rsidR="00364F42">
        <w:t>c</w:t>
      </w:r>
      <w:r w:rsidR="00855436">
        <w:t xml:space="preserve">quisitie </w:t>
      </w:r>
      <w:r w:rsidR="00EF65F2">
        <w:t xml:space="preserve">werd </w:t>
      </w:r>
      <w:r w:rsidR="00855436">
        <w:t>aangekondigd</w:t>
      </w:r>
      <w:r w:rsidR="00867430">
        <w:t>.</w:t>
      </w:r>
      <w:r w:rsidR="00855436">
        <w:t xml:space="preserve"> </w:t>
      </w:r>
    </w:p>
    <w:p w:rsidR="00DC4769" w:rsidRDefault="00DC4769" w:rsidP="009965EB">
      <w:pPr>
        <w:pStyle w:val="NoSpacing"/>
        <w:jc w:val="both"/>
      </w:pPr>
    </w:p>
    <w:p w:rsidR="00DC4769" w:rsidRDefault="00BA18FF" w:rsidP="009965EB">
      <w:pPr>
        <w:pStyle w:val="NoSpacing"/>
        <w:jc w:val="both"/>
      </w:pPr>
      <w:r>
        <w:t xml:space="preserve">De </w:t>
      </w:r>
      <w:r w:rsidR="008F6DA6">
        <w:t xml:space="preserve">onderzochte </w:t>
      </w:r>
      <w:r>
        <w:t xml:space="preserve">dataset bestaat uit 68 </w:t>
      </w:r>
      <w:proofErr w:type="spellStart"/>
      <w:r>
        <w:t>aandeleninkoopprogramma’s</w:t>
      </w:r>
      <w:proofErr w:type="spellEnd"/>
      <w:r>
        <w:t xml:space="preserve"> die op de AEX in de periode januari 2001 tot en met maart 2013 zijn aangekondigd. Hierbij wordt bij 67 </w:t>
      </w:r>
      <w:proofErr w:type="spellStart"/>
      <w:r>
        <w:t>aandeleninkoopprogramma’s</w:t>
      </w:r>
      <w:proofErr w:type="spellEnd"/>
      <w:r>
        <w:t xml:space="preserve"> gebruik gemaakt van de</w:t>
      </w:r>
      <w:r w:rsidR="00B35F3F">
        <w:t xml:space="preserve"> open </w:t>
      </w:r>
      <w:proofErr w:type="spellStart"/>
      <w:r w:rsidR="00B35F3F">
        <w:t>market</w:t>
      </w:r>
      <w:proofErr w:type="spellEnd"/>
      <w:r w:rsidR="00B35F3F">
        <w:t xml:space="preserve"> </w:t>
      </w:r>
      <w:proofErr w:type="spellStart"/>
      <w:r w:rsidR="00B35F3F">
        <w:t>repurchase</w:t>
      </w:r>
      <w:proofErr w:type="spellEnd"/>
      <w:r w:rsidR="00B35F3F">
        <w:t xml:space="preserve"> methode. B</w:t>
      </w:r>
      <w:r>
        <w:t xml:space="preserve">ij één </w:t>
      </w:r>
      <w:proofErr w:type="spellStart"/>
      <w:r>
        <w:t>aandeleninkoopprogramma</w:t>
      </w:r>
      <w:proofErr w:type="spellEnd"/>
      <w:r w:rsidR="004D0337">
        <w:t xml:space="preserve"> </w:t>
      </w:r>
      <w:r w:rsidR="00B35F3F">
        <w:t xml:space="preserve">wordt </w:t>
      </w:r>
      <w:r w:rsidR="004D0337">
        <w:t xml:space="preserve">de direct </w:t>
      </w:r>
      <w:proofErr w:type="spellStart"/>
      <w:r w:rsidR="004D0337">
        <w:t>repurchase</w:t>
      </w:r>
      <w:proofErr w:type="spellEnd"/>
      <w:r w:rsidR="004D0337">
        <w:t xml:space="preserve"> methode</w:t>
      </w:r>
      <w:r w:rsidR="00B35F3F">
        <w:t xml:space="preserve"> toegepast</w:t>
      </w:r>
      <w:r w:rsidR="004D0337">
        <w:t xml:space="preserve">. Het belangrijkste motief om eigen aandelen in te kopen is de </w:t>
      </w:r>
      <w:proofErr w:type="spellStart"/>
      <w:r w:rsidR="004D0337">
        <w:t>leverage</w:t>
      </w:r>
      <w:proofErr w:type="spellEnd"/>
      <w:r w:rsidR="004D0337">
        <w:t xml:space="preserve"> hypothese. De free cash </w:t>
      </w:r>
      <w:proofErr w:type="spellStart"/>
      <w:r w:rsidR="004D0337">
        <w:t>flow</w:t>
      </w:r>
      <w:proofErr w:type="spellEnd"/>
      <w:r w:rsidR="004D0337">
        <w:t xml:space="preserve"> hypothese is ook een belangrijk motief, de invloed van de overige theoretische motieven is verwaarloosbaar. De meeste aangekondigde </w:t>
      </w:r>
      <w:proofErr w:type="spellStart"/>
      <w:r w:rsidR="004D0337">
        <w:t>aandeleninkoopprogramma’s</w:t>
      </w:r>
      <w:proofErr w:type="spellEnd"/>
      <w:r w:rsidR="004D0337">
        <w:t xml:space="preserve"> hebben een beperkte omvang, bij 43 </w:t>
      </w:r>
      <w:proofErr w:type="spellStart"/>
      <w:r w:rsidR="004D0337">
        <w:t>aandeleninkoopprogramma</w:t>
      </w:r>
      <w:r w:rsidR="001235D1">
        <w:t>’s</w:t>
      </w:r>
      <w:proofErr w:type="spellEnd"/>
      <w:r w:rsidR="004D0337">
        <w:t xml:space="preserve"> ligt de omvang tussen de 0 en 5 procent van het uitstaande aandelenkapitaal. Bij </w:t>
      </w:r>
      <w:r w:rsidR="00CD08EA">
        <w:t xml:space="preserve">de meerderheid van de aankondigingen van de </w:t>
      </w:r>
      <w:proofErr w:type="spellStart"/>
      <w:r w:rsidR="00CD08EA">
        <w:t>aandeleninkoopprogramma’s</w:t>
      </w:r>
      <w:proofErr w:type="spellEnd"/>
      <w:r w:rsidR="00CD08EA">
        <w:t xml:space="preserve"> vindt het </w:t>
      </w:r>
      <w:proofErr w:type="spellStart"/>
      <w:r w:rsidR="00CD08EA">
        <w:t>aandeleninkoopprogramma</w:t>
      </w:r>
      <w:proofErr w:type="spellEnd"/>
      <w:r w:rsidR="00CD08EA">
        <w:t xml:space="preserve"> tegelijkertijd plaats met een andere belangr</w:t>
      </w:r>
      <w:r w:rsidR="00B02892">
        <w:t>ijke gebeurtenis</w:t>
      </w:r>
      <w:r w:rsidR="00DC4769">
        <w:t xml:space="preserve"> (72%).</w:t>
      </w:r>
    </w:p>
    <w:p w:rsidR="00DC4769" w:rsidRDefault="00DC4769" w:rsidP="009965EB">
      <w:pPr>
        <w:pStyle w:val="NoSpacing"/>
        <w:jc w:val="both"/>
      </w:pPr>
    </w:p>
    <w:p w:rsidR="00CD1A76" w:rsidRDefault="00555D57" w:rsidP="009965EB">
      <w:pPr>
        <w:pStyle w:val="NoSpacing"/>
        <w:jc w:val="both"/>
      </w:pPr>
      <w:r>
        <w:t>In</w:t>
      </w:r>
      <w:r w:rsidR="00867430">
        <w:t xml:space="preserve"> dit onderzoek </w:t>
      </w:r>
      <w:r w:rsidR="00B35F3F">
        <w:t xml:space="preserve">wordt </w:t>
      </w:r>
      <w:r>
        <w:t>op de dag van aankondiging</w:t>
      </w:r>
      <w:r w:rsidR="00CD1A76">
        <w:t xml:space="preserve">, bij zowel de </w:t>
      </w:r>
      <w:proofErr w:type="spellStart"/>
      <w:r w:rsidR="00CD1A76">
        <w:t>t-toets</w:t>
      </w:r>
      <w:proofErr w:type="spellEnd"/>
      <w:r w:rsidR="00CD1A76">
        <w:t xml:space="preserve"> als de tekentoets,</w:t>
      </w:r>
      <w:r>
        <w:t xml:space="preserve"> </w:t>
      </w:r>
      <w:r w:rsidR="00B00C2D">
        <w:t>een</w:t>
      </w:r>
      <w:r>
        <w:t xml:space="preserve"> statistisch</w:t>
      </w:r>
      <w:r w:rsidR="00B00C2D">
        <w:t xml:space="preserve"> en economisch</w:t>
      </w:r>
      <w:r>
        <w:t xml:space="preserve"> significant abnormaal rendement </w:t>
      </w:r>
      <w:r w:rsidR="00B00C2D">
        <w:t xml:space="preserve">van 1,33% </w:t>
      </w:r>
      <w:r>
        <w:t xml:space="preserve">gevonden voor de gehele dataset, indien het </w:t>
      </w:r>
      <w:proofErr w:type="spellStart"/>
      <w:r w:rsidR="00B00C2D">
        <w:t>Market-Adjusted</w:t>
      </w:r>
      <w:proofErr w:type="spellEnd"/>
      <w:r w:rsidR="00B00C2D">
        <w:t xml:space="preserve"> Return Model </w:t>
      </w:r>
      <w:r>
        <w:t xml:space="preserve">wordt gebruikt. Bij het </w:t>
      </w:r>
      <w:r w:rsidR="00B00C2D">
        <w:t xml:space="preserve">Markt Model is alleen de </w:t>
      </w:r>
      <w:proofErr w:type="spellStart"/>
      <w:r w:rsidR="00B00C2D">
        <w:t>t-toets</w:t>
      </w:r>
      <w:proofErr w:type="spellEnd"/>
      <w:r w:rsidR="00B00C2D">
        <w:t xml:space="preserve"> statistisch significant en bedraagt het abnormaal rendement 1,26%</w:t>
      </w:r>
      <w:r>
        <w:t xml:space="preserve">. </w:t>
      </w:r>
      <w:r w:rsidR="00D177EF">
        <w:t xml:space="preserve">Het theoretisch motief lijkt </w:t>
      </w:r>
      <w:r w:rsidR="00B35F3F">
        <w:t xml:space="preserve">(in eerste instantie) </w:t>
      </w:r>
      <w:r w:rsidR="00D177EF">
        <w:t xml:space="preserve">een grote invloed te hebben op de hoogte van het abnormaal rendement. Bij de </w:t>
      </w:r>
      <w:proofErr w:type="spellStart"/>
      <w:r w:rsidR="00D177EF">
        <w:t>leverage</w:t>
      </w:r>
      <w:proofErr w:type="spellEnd"/>
      <w:r w:rsidR="00D177EF">
        <w:t xml:space="preserve"> hypothese wordt</w:t>
      </w:r>
      <w:r w:rsidR="001914EA">
        <w:t xml:space="preserve">, bij zowel de </w:t>
      </w:r>
      <w:proofErr w:type="spellStart"/>
      <w:r w:rsidR="001914EA">
        <w:t>t-toets</w:t>
      </w:r>
      <w:proofErr w:type="spellEnd"/>
      <w:r w:rsidR="001914EA">
        <w:t xml:space="preserve"> als de tekentoets,</w:t>
      </w:r>
      <w:r w:rsidR="00D177EF">
        <w:t xml:space="preserve"> een statistisch significant abnormaal rendement gevonden van 1,71% (</w:t>
      </w:r>
      <w:proofErr w:type="spellStart"/>
      <w:r w:rsidR="00D177EF">
        <w:t>Market-Adjusted</w:t>
      </w:r>
      <w:proofErr w:type="spellEnd"/>
      <w:r w:rsidR="00D177EF">
        <w:t xml:space="preserve"> Return Mod</w:t>
      </w:r>
      <w:r w:rsidR="001914EA">
        <w:t>el) en 1,66% (Mark</w:t>
      </w:r>
      <w:r w:rsidR="00D177EF">
        <w:t>t Mod</w:t>
      </w:r>
      <w:r w:rsidR="00CD1A76">
        <w:t>el) op de dag van aankondiging.</w:t>
      </w:r>
      <w:r w:rsidR="00255276">
        <w:t xml:space="preserve"> Bij de free cash </w:t>
      </w:r>
      <w:proofErr w:type="spellStart"/>
      <w:r w:rsidR="00255276">
        <w:t>flow</w:t>
      </w:r>
      <w:proofErr w:type="spellEnd"/>
      <w:r w:rsidR="00255276">
        <w:t xml:space="preserve"> hypothese wordt </w:t>
      </w:r>
      <w:r w:rsidR="008F6DA6">
        <w:t xml:space="preserve">op de </w:t>
      </w:r>
      <w:proofErr w:type="spellStart"/>
      <w:r w:rsidR="008F6DA6">
        <w:t>aankondig</w:t>
      </w:r>
      <w:r w:rsidR="00C40DBE">
        <w:t>ing</w:t>
      </w:r>
      <w:r w:rsidR="008F6DA6">
        <w:t>sdag</w:t>
      </w:r>
      <w:proofErr w:type="spellEnd"/>
      <w:r w:rsidR="008F6DA6">
        <w:t xml:space="preserve"> </w:t>
      </w:r>
      <w:r w:rsidR="00255276">
        <w:t>geen statistisch significant abnormaal rendement gevonden.</w:t>
      </w:r>
      <w:r w:rsidR="00B35F3F">
        <w:t xml:space="preserve"> </w:t>
      </w:r>
      <w:r w:rsidR="00D177EF">
        <w:t>De positieve invloed van de omvang op de hoogte van het abnormaal rendement wordt</w:t>
      </w:r>
      <w:r w:rsidR="00B35F3F">
        <w:t xml:space="preserve"> </w:t>
      </w:r>
      <w:r w:rsidR="00D177EF">
        <w:t xml:space="preserve">in </w:t>
      </w:r>
      <w:r w:rsidR="00D73544">
        <w:t>dit</w:t>
      </w:r>
      <w:r w:rsidR="00D177EF">
        <w:t xml:space="preserve"> onderzoek niet statistisch ondersteun</w:t>
      </w:r>
      <w:r w:rsidR="00C334D8">
        <w:t>d</w:t>
      </w:r>
      <w:r w:rsidR="001F05F1">
        <w:t xml:space="preserve"> (door de </w:t>
      </w:r>
      <w:proofErr w:type="spellStart"/>
      <w:r w:rsidR="001F05F1">
        <w:t>t-toets</w:t>
      </w:r>
      <w:proofErr w:type="spellEnd"/>
      <w:r w:rsidR="001F05F1">
        <w:t xml:space="preserve"> en de tekentoets)</w:t>
      </w:r>
      <w:r w:rsidR="00B35F3F">
        <w:t xml:space="preserve">. </w:t>
      </w:r>
      <w:r>
        <w:t xml:space="preserve">Het hoogste </w:t>
      </w:r>
      <w:r w:rsidR="00255276">
        <w:t xml:space="preserve">abnormaal </w:t>
      </w:r>
      <w:r>
        <w:t>rendement</w:t>
      </w:r>
      <w:r w:rsidR="00BB073B">
        <w:t xml:space="preserve"> </w:t>
      </w:r>
      <w:r>
        <w:t xml:space="preserve">op de dag van aankondiging </w:t>
      </w:r>
      <w:r w:rsidR="00BB073B">
        <w:t>(3,45%</w:t>
      </w:r>
      <w:r w:rsidR="001914EA">
        <w:t xml:space="preserve"> bij het Markt Model</w:t>
      </w:r>
      <w:r w:rsidR="00BB073B">
        <w:t xml:space="preserve">) </w:t>
      </w:r>
      <w:r>
        <w:t xml:space="preserve">wordt </w:t>
      </w:r>
      <w:r w:rsidR="00255276">
        <w:t xml:space="preserve">wel </w:t>
      </w:r>
      <w:r>
        <w:t xml:space="preserve">gevonden </w:t>
      </w:r>
      <w:r w:rsidR="00160A0B">
        <w:t>bij</w:t>
      </w:r>
      <w:r>
        <w:t xml:space="preserve"> de s</w:t>
      </w:r>
      <w:r w:rsidR="00D177EF">
        <w:t xml:space="preserve">ubgroep met de grootste omvang, waardoor de theorie van </w:t>
      </w:r>
      <w:proofErr w:type="spellStart"/>
      <w:r w:rsidR="00D177EF">
        <w:t>Vermaelen</w:t>
      </w:r>
      <w:proofErr w:type="spellEnd"/>
      <w:r w:rsidR="00D177EF">
        <w:t xml:space="preserve"> (1981) niet zomaar verworpen </w:t>
      </w:r>
      <w:r w:rsidR="00B35F3F">
        <w:t>kan worden</w:t>
      </w:r>
      <w:r w:rsidR="001914EA">
        <w:t>.</w:t>
      </w:r>
      <w:r w:rsidR="00B35F3F">
        <w:t xml:space="preserve"> </w:t>
      </w:r>
      <w:r w:rsidR="00D177EF">
        <w:t xml:space="preserve">De </w:t>
      </w:r>
      <w:r w:rsidR="00CD1A76">
        <w:t xml:space="preserve">(andere) </w:t>
      </w:r>
      <w:r w:rsidR="00D177EF">
        <w:t xml:space="preserve">belangrijke gebeurtenissen op de dag van aankondiging blijken </w:t>
      </w:r>
      <w:r w:rsidR="00D73544">
        <w:t xml:space="preserve">een grote </w:t>
      </w:r>
      <w:r w:rsidR="00D177EF">
        <w:t>invloed te hebben</w:t>
      </w:r>
      <w:r w:rsidR="00255276">
        <w:t xml:space="preserve"> gehad</w:t>
      </w:r>
      <w:r w:rsidR="00D177EF">
        <w:t xml:space="preserve"> op </w:t>
      </w:r>
      <w:r w:rsidR="00B35F3F">
        <w:t>de gevonden</w:t>
      </w:r>
      <w:r w:rsidR="00D177EF">
        <w:t xml:space="preserve"> resultaten. </w:t>
      </w:r>
      <w:r w:rsidR="00255276">
        <w:t>Bij de</w:t>
      </w:r>
      <w:r w:rsidR="00D177EF">
        <w:t xml:space="preserve"> aangekondigde </w:t>
      </w:r>
      <w:proofErr w:type="spellStart"/>
      <w:r w:rsidR="00D177EF">
        <w:t>aandeleninkoopprogramma’s</w:t>
      </w:r>
      <w:proofErr w:type="spellEnd"/>
      <w:r w:rsidR="00D177EF">
        <w:t xml:space="preserve"> zonder jaarcijfers wordt </w:t>
      </w:r>
      <w:r w:rsidR="00CD1A76">
        <w:t>op de dag van aankondiging, bij</w:t>
      </w:r>
      <w:r w:rsidR="00D177EF">
        <w:t xml:space="preserve"> zowel </w:t>
      </w:r>
      <w:r w:rsidR="00CD1A76">
        <w:t xml:space="preserve">de </w:t>
      </w:r>
      <w:proofErr w:type="spellStart"/>
      <w:r w:rsidR="00CD1A76">
        <w:t>t-toets</w:t>
      </w:r>
      <w:proofErr w:type="spellEnd"/>
      <w:r w:rsidR="00CD1A76">
        <w:t xml:space="preserve"> als de tekentoets,</w:t>
      </w:r>
      <w:r w:rsidR="00D177EF">
        <w:t xml:space="preserve"> een statistisch signif</w:t>
      </w:r>
      <w:r w:rsidR="00B35F3F">
        <w:t>i</w:t>
      </w:r>
      <w:r w:rsidR="00D177EF">
        <w:t>cant abnormaal rendement  gevonden.</w:t>
      </w:r>
      <w:r w:rsidR="00CD1A76" w:rsidRPr="00CD1A76">
        <w:t xml:space="preserve"> </w:t>
      </w:r>
      <w:r w:rsidR="00CD1A76">
        <w:t xml:space="preserve">De abnormaal rendementen bedragen bij het </w:t>
      </w:r>
      <w:proofErr w:type="spellStart"/>
      <w:r w:rsidR="00CD1A76">
        <w:t>Market-Adjusted</w:t>
      </w:r>
      <w:proofErr w:type="spellEnd"/>
      <w:r w:rsidR="00CD1A76">
        <w:t xml:space="preserve"> Return Model en het Markt Model respectievelijk 1,06% en 1,01%. </w:t>
      </w:r>
      <w:r w:rsidR="00D177EF">
        <w:t xml:space="preserve">De gebeurtenissen </w:t>
      </w:r>
      <w:r w:rsidR="004621AE">
        <w:t>hebben</w:t>
      </w:r>
      <w:r w:rsidR="00D177EF">
        <w:t xml:space="preserve"> een positieve invloed op de hoogte van het abnormaal rendement</w:t>
      </w:r>
      <w:r w:rsidR="00B35F3F">
        <w:t xml:space="preserve"> op de dag van aankondiging</w:t>
      </w:r>
      <w:r w:rsidR="00D177EF">
        <w:t xml:space="preserve">, maar dit verschil is niet </w:t>
      </w:r>
      <w:r w:rsidR="00B35F3F">
        <w:t xml:space="preserve">statistisch </w:t>
      </w:r>
      <w:r w:rsidR="00D177EF">
        <w:t xml:space="preserve">significant. Het verschil </w:t>
      </w:r>
      <w:r w:rsidR="004621AE">
        <w:t xml:space="preserve">in </w:t>
      </w:r>
      <w:r w:rsidR="005D114C">
        <w:t xml:space="preserve">het </w:t>
      </w:r>
      <w:r w:rsidR="00DC4769">
        <w:t xml:space="preserve">abnormaal </w:t>
      </w:r>
      <w:r w:rsidR="00D177EF">
        <w:t xml:space="preserve">rendement bij de </w:t>
      </w:r>
      <w:proofErr w:type="spellStart"/>
      <w:r w:rsidR="00D177EF">
        <w:t>leverage</w:t>
      </w:r>
      <w:proofErr w:type="spellEnd"/>
      <w:r w:rsidR="00D177EF">
        <w:t xml:space="preserve"> hypothese</w:t>
      </w:r>
      <w:r w:rsidR="00DC4769">
        <w:t xml:space="preserve"> </w:t>
      </w:r>
      <w:r w:rsidR="00CD1A76">
        <w:t xml:space="preserve">is </w:t>
      </w:r>
      <w:r w:rsidR="00DC4769">
        <w:t>wel sta</w:t>
      </w:r>
      <w:r w:rsidR="004621AE">
        <w:t xml:space="preserve">tistisch significant. </w:t>
      </w:r>
      <w:r w:rsidR="00255276">
        <w:t>Bij de</w:t>
      </w:r>
      <w:r w:rsidR="004621AE">
        <w:t xml:space="preserve"> </w:t>
      </w:r>
      <w:proofErr w:type="spellStart"/>
      <w:r w:rsidR="00DC4769">
        <w:t>aandeleninkoopprogramma</w:t>
      </w:r>
      <w:r w:rsidR="004621AE">
        <w:t>’</w:t>
      </w:r>
      <w:r w:rsidR="00DC4769">
        <w:t>s</w:t>
      </w:r>
      <w:proofErr w:type="spellEnd"/>
      <w:r w:rsidR="00DC4769">
        <w:t xml:space="preserve"> </w:t>
      </w:r>
      <w:r w:rsidR="004621AE">
        <w:t xml:space="preserve">zonder gebeurtenissen </w:t>
      </w:r>
      <w:r w:rsidR="00DC4769">
        <w:t xml:space="preserve">met de </w:t>
      </w:r>
      <w:proofErr w:type="spellStart"/>
      <w:r w:rsidR="00DC4769">
        <w:t>leverage</w:t>
      </w:r>
      <w:proofErr w:type="spellEnd"/>
      <w:r w:rsidR="00DC4769">
        <w:t xml:space="preserve"> hypothese </w:t>
      </w:r>
      <w:r w:rsidR="004621AE">
        <w:t xml:space="preserve">als theoretisch motief </w:t>
      </w:r>
      <w:r w:rsidR="00DC4769">
        <w:t>wo</w:t>
      </w:r>
      <w:r w:rsidR="00B00C2D">
        <w:t xml:space="preserve">rdt op de dag van aankondiging alleen bij de </w:t>
      </w:r>
      <w:proofErr w:type="spellStart"/>
      <w:r w:rsidR="00B00C2D">
        <w:t>t-toets</w:t>
      </w:r>
      <w:proofErr w:type="spellEnd"/>
      <w:r w:rsidR="00B00C2D">
        <w:t xml:space="preserve"> een</w:t>
      </w:r>
      <w:r w:rsidR="00DC4769">
        <w:t xml:space="preserve"> statistisch significant abnormaal rendement</w:t>
      </w:r>
      <w:r w:rsidR="00B00C2D">
        <w:t xml:space="preserve"> </w:t>
      </w:r>
      <w:r w:rsidR="00DC4769">
        <w:t>gevonden.</w:t>
      </w:r>
      <w:r w:rsidR="00B00C2D">
        <w:t xml:space="preserve"> Het abnormaal rendement op de dag van aankondiging bedraagt hierbij 0,92% bij het </w:t>
      </w:r>
      <w:proofErr w:type="spellStart"/>
      <w:r w:rsidR="00B00C2D">
        <w:t>Market-Adjusted</w:t>
      </w:r>
      <w:proofErr w:type="spellEnd"/>
      <w:r w:rsidR="00B00C2D">
        <w:t xml:space="preserve"> Return Model en 0,88% bij het Markt Model. De conclusie die hieruit kan worden getrokken is dat de</w:t>
      </w:r>
      <w:r w:rsidR="00DC4769">
        <w:t xml:space="preserve"> belangrijke gebeurtenissen een substanti</w:t>
      </w:r>
      <w:r w:rsidR="00B00C2D">
        <w:t>ële</w:t>
      </w:r>
      <w:r w:rsidR="00DC4769">
        <w:t xml:space="preserve"> </w:t>
      </w:r>
      <w:r w:rsidR="00CD1A76">
        <w:t xml:space="preserve">positieve invloed hebben gehad op de resultaten van de </w:t>
      </w:r>
      <w:proofErr w:type="spellStart"/>
      <w:r w:rsidR="00CD1A76">
        <w:t>l</w:t>
      </w:r>
      <w:r w:rsidR="00DC4769">
        <w:t>everage</w:t>
      </w:r>
      <w:proofErr w:type="spellEnd"/>
      <w:r w:rsidR="00DC4769">
        <w:t xml:space="preserve"> hypothese. </w:t>
      </w:r>
    </w:p>
    <w:p w:rsidR="00C334D8" w:rsidRDefault="00CD1A76" w:rsidP="009965EB">
      <w:pPr>
        <w:pStyle w:val="NoSpacing"/>
        <w:jc w:val="both"/>
      </w:pPr>
      <w:r>
        <w:lastRenderedPageBreak/>
        <w:t>U</w:t>
      </w:r>
      <w:r w:rsidR="00DC4769">
        <w:t xml:space="preserve">it de diverse testen </w:t>
      </w:r>
      <w:r>
        <w:t xml:space="preserve">blijkt </w:t>
      </w:r>
      <w:r w:rsidR="00255276">
        <w:t xml:space="preserve">verder </w:t>
      </w:r>
      <w:r w:rsidR="00DC4769">
        <w:t xml:space="preserve">dat het </w:t>
      </w:r>
      <w:proofErr w:type="spellStart"/>
      <w:r w:rsidR="00DC4769">
        <w:t>Market-Adjusted</w:t>
      </w:r>
      <w:proofErr w:type="spellEnd"/>
      <w:r w:rsidR="00DC4769">
        <w:t xml:space="preserve"> Return Model het abnormaal rendement </w:t>
      </w:r>
      <w:r w:rsidR="004621AE">
        <w:t>minimaal</w:t>
      </w:r>
      <w:r w:rsidR="00DC4769">
        <w:t xml:space="preserve"> overschat. De gebruikte methode heeft alleen invloed gehad op de </w:t>
      </w:r>
      <w:r w:rsidR="005D114C">
        <w:t xml:space="preserve">tekentoets </w:t>
      </w:r>
      <w:r w:rsidR="00DC4769">
        <w:t xml:space="preserve">van de gehele dataset. Ook blijkt dat </w:t>
      </w:r>
      <w:r w:rsidR="00C334D8">
        <w:t xml:space="preserve">de aankondiging van het </w:t>
      </w:r>
      <w:proofErr w:type="spellStart"/>
      <w:r w:rsidR="00C334D8">
        <w:t>aandeleninkoopprogramma</w:t>
      </w:r>
      <w:proofErr w:type="spellEnd"/>
      <w:r w:rsidR="00C334D8">
        <w:t xml:space="preserve"> niet direct in de koers wordt verwerkt. Op </w:t>
      </w:r>
      <w:r w:rsidR="003043D9">
        <w:t>vier</w:t>
      </w:r>
      <w:r w:rsidR="00C334D8">
        <w:t xml:space="preserve"> dagen na de aankondiging wordt in diverse testen een statistisch en economisch significant abnormaal rendement gevonden.</w:t>
      </w:r>
      <w:r w:rsidR="00B35F3F">
        <w:t xml:space="preserve"> De gevonden abnormale rendementen op de dag van aankondiging zijn </w:t>
      </w:r>
      <w:r w:rsidR="00D73544">
        <w:t xml:space="preserve">(in alle testen) </w:t>
      </w:r>
      <w:r w:rsidR="00B35F3F">
        <w:t>lager dan in Baltus &amp; Schauten (2000).</w:t>
      </w:r>
    </w:p>
    <w:p w:rsidR="00B00C2D" w:rsidRDefault="00B00C2D" w:rsidP="009965EB">
      <w:pPr>
        <w:pStyle w:val="NoSpacing"/>
        <w:jc w:val="both"/>
      </w:pPr>
    </w:p>
    <w:p w:rsidR="00B00C2D" w:rsidRDefault="00B00C2D" w:rsidP="00B00C2D">
      <w:pPr>
        <w:pStyle w:val="NoSpacing"/>
        <w:jc w:val="both"/>
      </w:pPr>
      <w:r>
        <w:t>De pos</w:t>
      </w:r>
      <w:r w:rsidR="00181B90">
        <w:t>i</w:t>
      </w:r>
      <w:r>
        <w:t xml:space="preserve">tieve invloed van de </w:t>
      </w:r>
      <w:proofErr w:type="spellStart"/>
      <w:r>
        <w:t>leverage</w:t>
      </w:r>
      <w:proofErr w:type="spellEnd"/>
      <w:r>
        <w:t xml:space="preserve"> hypothese, de omvang en de belangrijke gebeurtenissen op het abnormaal rendement op de dag van aankondiging is vervolgens getest middels </w:t>
      </w:r>
      <w:r w:rsidR="001F05F1">
        <w:t>twee</w:t>
      </w:r>
      <w:r>
        <w:t xml:space="preserve"> regressiemodellen.</w:t>
      </w:r>
      <w:r w:rsidR="001F05F1">
        <w:t xml:space="preserve"> </w:t>
      </w:r>
      <w:r w:rsidR="008A3493">
        <w:t xml:space="preserve">Bij het eerste model wordt de hoogte van het abnormaal rendement verklaard door </w:t>
      </w:r>
      <w:r w:rsidR="001F05F1">
        <w:t>twee</w:t>
      </w:r>
      <w:r w:rsidR="008A3493">
        <w:t xml:space="preserve"> onafhankelijke variabelen, namelijk de omvang en een dummy variabele </w:t>
      </w:r>
      <w:r w:rsidR="00255276">
        <w:t>voor de</w:t>
      </w:r>
      <w:r w:rsidR="008A3493">
        <w:t xml:space="preserve"> </w:t>
      </w:r>
      <w:proofErr w:type="spellStart"/>
      <w:r w:rsidR="008A3493">
        <w:t>leverage</w:t>
      </w:r>
      <w:proofErr w:type="spellEnd"/>
      <w:r w:rsidR="008A3493">
        <w:t xml:space="preserve"> hypothese. Bi</w:t>
      </w:r>
      <w:r w:rsidR="00D73544">
        <w:t>j het tweede model wordt hier</w:t>
      </w:r>
      <w:r w:rsidR="008A3493">
        <w:t xml:space="preserve"> een dummy </w:t>
      </w:r>
      <w:r w:rsidR="00D73544">
        <w:t xml:space="preserve">aan </w:t>
      </w:r>
      <w:r w:rsidR="008A3493">
        <w:t xml:space="preserve">toegevoegd voor belangrijke gebeurtenissen. </w:t>
      </w:r>
      <w:r>
        <w:t xml:space="preserve">In deze modellen is alleen de positieve relatie tussen de omvang en de belangrijke gebeurtenissen statistisch significant. </w:t>
      </w:r>
      <w:r w:rsidR="008A3493">
        <w:t>Beide modellen kunnen</w:t>
      </w:r>
      <w:r w:rsidR="00CA0168">
        <w:t xml:space="preserve"> echter</w:t>
      </w:r>
      <w:r w:rsidR="008A3493">
        <w:t xml:space="preserve"> niet gebruikt worden om het abnormaal rendement op de dag van aankondiging te voorspellen, aangezien </w:t>
      </w:r>
      <w:r w:rsidR="00CA0168">
        <w:t>de modellen</w:t>
      </w:r>
      <w:r w:rsidR="008A3493">
        <w:t xml:space="preserve"> </w:t>
      </w:r>
      <w:r>
        <w:t xml:space="preserve">minder dan 8% van de totale </w:t>
      </w:r>
      <w:proofErr w:type="spellStart"/>
      <w:r>
        <w:t>variantie</w:t>
      </w:r>
      <w:proofErr w:type="spellEnd"/>
      <w:r>
        <w:t xml:space="preserve"> </w:t>
      </w:r>
      <w:r w:rsidR="008A3493">
        <w:t>verklaren.</w:t>
      </w:r>
      <w:r>
        <w:t xml:space="preserve"> </w:t>
      </w:r>
      <w:r w:rsidR="008A3493">
        <w:t>Het kan zijn dat één dummy voor belangrijke gebeurtenissen te eenvoudig is om de relatie met het abnormaal rendement te beschrijven. Een aparte dummy voor belangrijke gebeurtenissen die als positief door de markt worden beoordeeld en een aparte dummy voor belangrijke gebeurtenissen die als negatief door de markt worden beschouwd zouden wellicht kunnen leiden t</w:t>
      </w:r>
      <w:r w:rsidR="00E0784C">
        <w:t xml:space="preserve">ot een hogere verklaringskracht. </w:t>
      </w:r>
    </w:p>
    <w:p w:rsidR="00B00C2D" w:rsidRDefault="00B00C2D" w:rsidP="009965EB">
      <w:pPr>
        <w:pStyle w:val="NoSpacing"/>
        <w:jc w:val="both"/>
      </w:pPr>
    </w:p>
    <w:p w:rsidR="00855436" w:rsidRDefault="00C334D8" w:rsidP="009965EB">
      <w:pPr>
        <w:pStyle w:val="NoSpacing"/>
        <w:jc w:val="both"/>
      </w:pPr>
      <w:r>
        <w:t>De aangetoonde invloed van belangrijke gebeurtenissen</w:t>
      </w:r>
      <w:r w:rsidR="00E0784C">
        <w:t xml:space="preserve"> </w:t>
      </w:r>
      <w:r w:rsidR="00CA0168">
        <w:t>(</w:t>
      </w:r>
      <w:r w:rsidR="00E0784C">
        <w:t xml:space="preserve">op de resultaten van de </w:t>
      </w:r>
      <w:proofErr w:type="spellStart"/>
      <w:r w:rsidR="00E0784C">
        <w:t>leverage</w:t>
      </w:r>
      <w:proofErr w:type="spellEnd"/>
      <w:r w:rsidR="00E0784C">
        <w:t xml:space="preserve"> hypothese</w:t>
      </w:r>
      <w:r w:rsidR="00CA0168">
        <w:t>)</w:t>
      </w:r>
      <w:r w:rsidR="00E0784C">
        <w:t xml:space="preserve"> </w:t>
      </w:r>
      <w:r>
        <w:t xml:space="preserve"> betekent dat </w:t>
      </w:r>
      <w:r w:rsidR="004621AE">
        <w:t>economen hier rekening mee moeten houden</w:t>
      </w:r>
      <w:r>
        <w:t xml:space="preserve">. Economen zullen bij </w:t>
      </w:r>
      <w:proofErr w:type="spellStart"/>
      <w:r>
        <w:t>event</w:t>
      </w:r>
      <w:proofErr w:type="spellEnd"/>
      <w:r>
        <w:t xml:space="preserve"> studies, indien zij betrouwbare resultaten willen </w:t>
      </w:r>
      <w:r w:rsidR="00BF2F06">
        <w:t>ver</w:t>
      </w:r>
      <w:r>
        <w:t xml:space="preserve">krijgen, actief data moeten onderzoeken. Indien </w:t>
      </w:r>
      <w:r w:rsidR="004621AE">
        <w:t>“</w:t>
      </w:r>
      <w:r>
        <w:t>passief</w:t>
      </w:r>
      <w:r w:rsidR="00E0784C">
        <w:t>”</w:t>
      </w:r>
      <w:r>
        <w:t xml:space="preserve"> gebruik</w:t>
      </w:r>
      <w:r w:rsidR="000B6F21">
        <w:t xml:space="preserve"> wordt  gemaakt  van databanken</w:t>
      </w:r>
      <w:r w:rsidR="00FE5531">
        <w:t xml:space="preserve">, </w:t>
      </w:r>
      <w:r>
        <w:t>zo</w:t>
      </w:r>
      <w:r w:rsidR="00FE5531">
        <w:t xml:space="preserve">als </w:t>
      </w:r>
      <w:proofErr w:type="spellStart"/>
      <w:r w:rsidR="00FE5531">
        <w:t>Thomson</w:t>
      </w:r>
      <w:proofErr w:type="spellEnd"/>
      <w:r w:rsidR="00FE5531">
        <w:t xml:space="preserve"> </w:t>
      </w:r>
      <w:proofErr w:type="spellStart"/>
      <w:r w:rsidR="00FE5531">
        <w:t>One</w:t>
      </w:r>
      <w:proofErr w:type="spellEnd"/>
      <w:r w:rsidR="00FE5531">
        <w:t xml:space="preserve"> </w:t>
      </w:r>
      <w:proofErr w:type="spellStart"/>
      <w:r w:rsidR="00FE5531">
        <w:t>Banker</w:t>
      </w:r>
      <w:proofErr w:type="spellEnd"/>
      <w:r w:rsidR="00FE5531">
        <w:t xml:space="preserve">, kan dit </w:t>
      </w:r>
      <w:r>
        <w:t>leiden tot verkeerde conclusies of overschatte abnormale rendementen. De invloed van de belangrijke gebeurtenissen op eerder onderzoek</w:t>
      </w:r>
      <w:r w:rsidR="000B6F21">
        <w:t xml:space="preserve"> </w:t>
      </w:r>
      <w:r w:rsidR="001F05F1">
        <w:t>(</w:t>
      </w:r>
      <w:r w:rsidR="000B6F21">
        <w:t xml:space="preserve">betreffende koersreacties </w:t>
      </w:r>
      <w:r w:rsidR="001F05F1">
        <w:t xml:space="preserve">op en </w:t>
      </w:r>
      <w:r w:rsidR="000B6F21">
        <w:t xml:space="preserve">rondom de </w:t>
      </w:r>
      <w:proofErr w:type="spellStart"/>
      <w:r w:rsidR="000B6F21">
        <w:t>aankondiging</w:t>
      </w:r>
      <w:r w:rsidR="001F05F1">
        <w:t>sdag</w:t>
      </w:r>
      <w:proofErr w:type="spellEnd"/>
      <w:r w:rsidR="000B6F21">
        <w:t xml:space="preserve"> van een </w:t>
      </w:r>
      <w:proofErr w:type="spellStart"/>
      <w:r w:rsidR="000B6F21">
        <w:t>aandeleninkoopprogramma</w:t>
      </w:r>
      <w:proofErr w:type="spellEnd"/>
      <w:r w:rsidR="001F05F1">
        <w:t>)</w:t>
      </w:r>
      <w:r>
        <w:t xml:space="preserve"> is onbekend. </w:t>
      </w:r>
      <w:r w:rsidR="00BF2F06">
        <w:t>Het kan zijn dat hier wel degelijk rekening mee is gehouden, maar dat dit niet in hun onderzoek is</w:t>
      </w:r>
      <w:r w:rsidR="001F05F1" w:rsidRPr="001F05F1">
        <w:t xml:space="preserve"> </w:t>
      </w:r>
      <w:r w:rsidR="001F05F1">
        <w:t>vermeld</w:t>
      </w:r>
      <w:r w:rsidR="00BF2F06">
        <w:t>.</w:t>
      </w:r>
      <w:r w:rsidR="00FE5531">
        <w:t xml:space="preserve"> Daarnaast kan het zijn dat in eerder periodes, d.w.z. voor 2000, </w:t>
      </w:r>
      <w:proofErr w:type="spellStart"/>
      <w:r w:rsidR="00FE5531">
        <w:t>aandeleninkoopprogramma’s</w:t>
      </w:r>
      <w:proofErr w:type="spellEnd"/>
      <w:r w:rsidR="00FE5531">
        <w:t xml:space="preserve"> niet </w:t>
      </w:r>
      <w:r w:rsidR="001F05F1">
        <w:t>gelijktijdig</w:t>
      </w:r>
      <w:r w:rsidR="00FE5531">
        <w:t xml:space="preserve"> met de jaarcijfers werden aangekondigd. </w:t>
      </w:r>
      <w:r>
        <w:t xml:space="preserve">Hier zal vervolgonderzoek naar moeten worden verricht. </w:t>
      </w:r>
    </w:p>
    <w:p w:rsidR="00BA18FF" w:rsidRDefault="00BA18FF" w:rsidP="00BA18FF">
      <w:pPr>
        <w:pStyle w:val="NoSpacing"/>
      </w:pPr>
    </w:p>
    <w:p w:rsidR="00793412" w:rsidRPr="00BA18FF" w:rsidRDefault="00BA18FF" w:rsidP="00BA18FF">
      <w:pPr>
        <w:pStyle w:val="NoSpacing"/>
      </w:pPr>
      <w:r>
        <w:br w:type="page"/>
      </w:r>
    </w:p>
    <w:p w:rsidR="00DC5F07" w:rsidRPr="00DC5F07" w:rsidRDefault="00793412" w:rsidP="00652E61">
      <w:pPr>
        <w:pStyle w:val="Heading1"/>
        <w:ind w:left="720"/>
        <w:rPr>
          <w:color w:val="auto"/>
        </w:rPr>
      </w:pPr>
      <w:bookmarkStart w:id="27" w:name="_Toc361526580"/>
      <w:proofErr w:type="spellStart"/>
      <w:r>
        <w:rPr>
          <w:color w:val="auto"/>
        </w:rPr>
        <w:lastRenderedPageBreak/>
        <w:t>Bijlages</w:t>
      </w:r>
      <w:bookmarkEnd w:id="27"/>
      <w:proofErr w:type="spellEnd"/>
    </w:p>
    <w:p w:rsidR="00DC5F07" w:rsidRDefault="00CF61D9" w:rsidP="00DC5F07">
      <w:pPr>
        <w:pStyle w:val="NoSpacing"/>
        <w:rPr>
          <w:b/>
        </w:rPr>
      </w:pPr>
      <w:r>
        <w:rPr>
          <w:b/>
        </w:rPr>
        <w:t xml:space="preserve">Bijlage 1: Aankondiging </w:t>
      </w:r>
      <w:proofErr w:type="spellStart"/>
      <w:r>
        <w:rPr>
          <w:b/>
        </w:rPr>
        <w:t>aandeleninkoopprogramma’</w:t>
      </w:r>
      <w:r w:rsidR="00DC5F07">
        <w:rPr>
          <w:b/>
        </w:rPr>
        <w:t>s</w:t>
      </w:r>
      <w:proofErr w:type="spellEnd"/>
      <w:r w:rsidR="00DC5F07">
        <w:rPr>
          <w:b/>
        </w:rPr>
        <w:t xml:space="preserve"> AEX in periode jan 2001 – </w:t>
      </w:r>
      <w:r w:rsidR="00CA0168">
        <w:rPr>
          <w:b/>
        </w:rPr>
        <w:t>maart</w:t>
      </w:r>
      <w:r w:rsidR="00DC5F07">
        <w:rPr>
          <w:b/>
        </w:rPr>
        <w:t xml:space="preserve"> 2013</w:t>
      </w:r>
    </w:p>
    <w:p w:rsidR="00D2649A" w:rsidRDefault="00D2649A" w:rsidP="00DC5F07">
      <w:pPr>
        <w:pStyle w:val="NoSpacing"/>
        <w:rPr>
          <w:b/>
        </w:rPr>
      </w:pPr>
    </w:p>
    <w:p w:rsidR="00DC5F07" w:rsidRDefault="00414BF1" w:rsidP="00DC5F07">
      <w:pPr>
        <w:pStyle w:val="NoSpacing"/>
        <w:rPr>
          <w:b/>
        </w:rPr>
      </w:pPr>
      <w:r w:rsidRPr="00414BF1">
        <w:rPr>
          <w:noProof/>
          <w:lang w:val="en-US"/>
        </w:rPr>
        <w:drawing>
          <wp:inline distT="0" distB="0" distL="0" distR="0">
            <wp:extent cx="5759450" cy="8012826"/>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5759450" cy="8012826"/>
                    </a:xfrm>
                    <a:prstGeom prst="rect">
                      <a:avLst/>
                    </a:prstGeom>
                    <a:noFill/>
                    <a:ln w="9525">
                      <a:noFill/>
                      <a:miter lim="800000"/>
                      <a:headEnd/>
                      <a:tailEnd/>
                    </a:ln>
                  </pic:spPr>
                </pic:pic>
              </a:graphicData>
            </a:graphic>
          </wp:inline>
        </w:drawing>
      </w:r>
    </w:p>
    <w:p w:rsidR="00DC5F07" w:rsidRPr="00DC5F07" w:rsidRDefault="00DC5F07" w:rsidP="00DC5F07">
      <w:pPr>
        <w:pStyle w:val="NoSpacing"/>
        <w:rPr>
          <w:b/>
        </w:rPr>
      </w:pPr>
    </w:p>
    <w:p w:rsidR="002756F5" w:rsidRDefault="00D2649A" w:rsidP="00CF61D9">
      <w:pPr>
        <w:pStyle w:val="NoSpacing"/>
        <w:keepNext/>
      </w:pPr>
      <w:r w:rsidRPr="00D2649A">
        <w:rPr>
          <w:noProof/>
          <w:lang w:val="en-US"/>
        </w:rPr>
        <w:lastRenderedPageBreak/>
        <w:drawing>
          <wp:inline distT="0" distB="0" distL="0" distR="0">
            <wp:extent cx="5759450" cy="252763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5759450" cy="2527635"/>
                    </a:xfrm>
                    <a:prstGeom prst="rect">
                      <a:avLst/>
                    </a:prstGeom>
                    <a:noFill/>
                    <a:ln w="9525">
                      <a:noFill/>
                      <a:miter lim="800000"/>
                      <a:headEnd/>
                      <a:tailEnd/>
                    </a:ln>
                  </pic:spPr>
                </pic:pic>
              </a:graphicData>
            </a:graphic>
          </wp:inline>
        </w:drawing>
      </w:r>
    </w:p>
    <w:p w:rsidR="00CF61D9" w:rsidRDefault="00CF61D9" w:rsidP="00CF61D9">
      <w:pPr>
        <w:pStyle w:val="Caption"/>
      </w:pPr>
      <w:r>
        <w:t xml:space="preserve">NB: Een * achter het betreffende onderneming betekent dat op de dag van de aankondiging een belangrijke andere gebeurtenis plaatsvond. Dit kan het presenteren van de </w:t>
      </w:r>
      <w:proofErr w:type="spellStart"/>
      <w:r>
        <w:t>kwartaal-</w:t>
      </w:r>
      <w:proofErr w:type="spellEnd"/>
      <w:r>
        <w:t>, (half)jaarcijfers of een overname</w:t>
      </w:r>
      <w:r w:rsidRPr="00F948D6">
        <w:t xml:space="preserve"> </w:t>
      </w:r>
      <w:r>
        <w:t xml:space="preserve">zijn.  </w:t>
      </w:r>
    </w:p>
    <w:p w:rsidR="00CF61D9" w:rsidRDefault="00CF61D9" w:rsidP="00CF61D9">
      <w:pPr>
        <w:pStyle w:val="NoSpacing"/>
      </w:pPr>
    </w:p>
    <w:tbl>
      <w:tblPr>
        <w:tblW w:w="7820" w:type="dxa"/>
        <w:tblInd w:w="55" w:type="dxa"/>
        <w:tblCellMar>
          <w:left w:w="70" w:type="dxa"/>
          <w:right w:w="70" w:type="dxa"/>
        </w:tblCellMar>
        <w:tblLook w:val="04A0"/>
      </w:tblPr>
      <w:tblGrid>
        <w:gridCol w:w="2620"/>
        <w:gridCol w:w="1040"/>
        <w:gridCol w:w="1040"/>
        <w:gridCol w:w="1040"/>
        <w:gridCol w:w="1040"/>
        <w:gridCol w:w="1072"/>
      </w:tblGrid>
      <w:tr w:rsidR="00544788" w:rsidRPr="00544788" w:rsidTr="00544788">
        <w:trPr>
          <w:trHeight w:val="300"/>
        </w:trPr>
        <w:tc>
          <w:tcPr>
            <w:tcW w:w="2620" w:type="dxa"/>
            <w:tcBorders>
              <w:top w:val="nil"/>
              <w:left w:val="nil"/>
              <w:bottom w:val="nil"/>
              <w:right w:val="nil"/>
            </w:tcBorders>
            <w:shd w:val="clear" w:color="000000" w:fill="254061"/>
            <w:noWrap/>
            <w:vAlign w:val="bottom"/>
            <w:hideMark/>
          </w:tcPr>
          <w:p w:rsidR="00544788" w:rsidRPr="00544788" w:rsidRDefault="00544788" w:rsidP="00544788">
            <w:pPr>
              <w:spacing w:line="240" w:lineRule="auto"/>
              <w:jc w:val="center"/>
              <w:rPr>
                <w:rFonts w:ascii="Calibri" w:eastAsia="Times New Roman" w:hAnsi="Calibri" w:cs="Times New Roman"/>
                <w:b/>
                <w:bCs/>
                <w:color w:val="FFFFFF"/>
                <w:lang w:eastAsia="nl-NL"/>
              </w:rPr>
            </w:pPr>
            <w:r w:rsidRPr="00544788">
              <w:rPr>
                <w:rFonts w:ascii="Calibri" w:eastAsia="Times New Roman" w:hAnsi="Calibri" w:cs="Times New Roman"/>
                <w:b/>
                <w:bCs/>
                <w:color w:val="FFFFFF"/>
                <w:lang w:eastAsia="nl-NL"/>
              </w:rPr>
              <w:t>Beschrijvende statistieken</w:t>
            </w:r>
          </w:p>
        </w:tc>
        <w:tc>
          <w:tcPr>
            <w:tcW w:w="1040" w:type="dxa"/>
            <w:tcBorders>
              <w:top w:val="nil"/>
              <w:left w:val="nil"/>
              <w:bottom w:val="nil"/>
              <w:right w:val="nil"/>
            </w:tcBorders>
            <w:shd w:val="clear" w:color="000000" w:fill="254061"/>
            <w:noWrap/>
            <w:vAlign w:val="bottom"/>
            <w:hideMark/>
          </w:tcPr>
          <w:p w:rsidR="00544788" w:rsidRPr="00544788" w:rsidRDefault="00544788" w:rsidP="00544788">
            <w:pPr>
              <w:spacing w:line="240" w:lineRule="auto"/>
              <w:jc w:val="center"/>
              <w:rPr>
                <w:rFonts w:ascii="Calibri" w:eastAsia="Times New Roman" w:hAnsi="Calibri" w:cs="Times New Roman"/>
                <w:b/>
                <w:bCs/>
                <w:color w:val="FFFFFF"/>
                <w:lang w:eastAsia="nl-NL"/>
              </w:rPr>
            </w:pPr>
            <w:r w:rsidRPr="00544788">
              <w:rPr>
                <w:rFonts w:ascii="Calibri" w:eastAsia="Times New Roman" w:hAnsi="Calibri" w:cs="Times New Roman"/>
                <w:b/>
                <w:bCs/>
                <w:color w:val="FFFFFF"/>
                <w:lang w:eastAsia="nl-NL"/>
              </w:rPr>
              <w:t>Minimum</w:t>
            </w:r>
          </w:p>
        </w:tc>
        <w:tc>
          <w:tcPr>
            <w:tcW w:w="1040" w:type="dxa"/>
            <w:tcBorders>
              <w:top w:val="nil"/>
              <w:left w:val="nil"/>
              <w:bottom w:val="nil"/>
              <w:right w:val="nil"/>
            </w:tcBorders>
            <w:shd w:val="clear" w:color="000000" w:fill="254061"/>
            <w:noWrap/>
            <w:vAlign w:val="bottom"/>
            <w:hideMark/>
          </w:tcPr>
          <w:p w:rsidR="00544788" w:rsidRPr="00544788" w:rsidRDefault="00544788" w:rsidP="00544788">
            <w:pPr>
              <w:spacing w:line="240" w:lineRule="auto"/>
              <w:jc w:val="center"/>
              <w:rPr>
                <w:rFonts w:ascii="Calibri" w:eastAsia="Times New Roman" w:hAnsi="Calibri" w:cs="Times New Roman"/>
                <w:b/>
                <w:bCs/>
                <w:color w:val="FFFFFF"/>
                <w:lang w:eastAsia="nl-NL"/>
              </w:rPr>
            </w:pPr>
            <w:r w:rsidRPr="00544788">
              <w:rPr>
                <w:rFonts w:ascii="Calibri" w:eastAsia="Times New Roman" w:hAnsi="Calibri" w:cs="Times New Roman"/>
                <w:b/>
                <w:bCs/>
                <w:color w:val="FFFFFF"/>
                <w:lang w:eastAsia="nl-NL"/>
              </w:rPr>
              <w:t>Q1</w:t>
            </w:r>
          </w:p>
        </w:tc>
        <w:tc>
          <w:tcPr>
            <w:tcW w:w="1040" w:type="dxa"/>
            <w:tcBorders>
              <w:top w:val="nil"/>
              <w:left w:val="nil"/>
              <w:bottom w:val="nil"/>
              <w:right w:val="nil"/>
            </w:tcBorders>
            <w:shd w:val="clear" w:color="000000" w:fill="254061"/>
            <w:noWrap/>
            <w:vAlign w:val="bottom"/>
            <w:hideMark/>
          </w:tcPr>
          <w:p w:rsidR="00544788" w:rsidRPr="00544788" w:rsidRDefault="00544788" w:rsidP="00544788">
            <w:pPr>
              <w:spacing w:line="240" w:lineRule="auto"/>
              <w:jc w:val="center"/>
              <w:rPr>
                <w:rFonts w:ascii="Calibri" w:eastAsia="Times New Roman" w:hAnsi="Calibri" w:cs="Times New Roman"/>
                <w:b/>
                <w:bCs/>
                <w:color w:val="FFFFFF"/>
                <w:lang w:eastAsia="nl-NL"/>
              </w:rPr>
            </w:pPr>
            <w:r w:rsidRPr="00544788">
              <w:rPr>
                <w:rFonts w:ascii="Calibri" w:eastAsia="Times New Roman" w:hAnsi="Calibri" w:cs="Times New Roman"/>
                <w:b/>
                <w:bCs/>
                <w:color w:val="FFFFFF"/>
                <w:lang w:eastAsia="nl-NL"/>
              </w:rPr>
              <w:t>Mediaan</w:t>
            </w:r>
          </w:p>
        </w:tc>
        <w:tc>
          <w:tcPr>
            <w:tcW w:w="1040" w:type="dxa"/>
            <w:tcBorders>
              <w:top w:val="nil"/>
              <w:left w:val="nil"/>
              <w:bottom w:val="nil"/>
              <w:right w:val="nil"/>
            </w:tcBorders>
            <w:shd w:val="clear" w:color="000000" w:fill="254061"/>
            <w:noWrap/>
            <w:vAlign w:val="bottom"/>
            <w:hideMark/>
          </w:tcPr>
          <w:p w:rsidR="00544788" w:rsidRPr="00544788" w:rsidRDefault="00544788" w:rsidP="00544788">
            <w:pPr>
              <w:spacing w:line="240" w:lineRule="auto"/>
              <w:jc w:val="center"/>
              <w:rPr>
                <w:rFonts w:ascii="Calibri" w:eastAsia="Times New Roman" w:hAnsi="Calibri" w:cs="Times New Roman"/>
                <w:b/>
                <w:bCs/>
                <w:color w:val="FFFFFF"/>
                <w:lang w:eastAsia="nl-NL"/>
              </w:rPr>
            </w:pPr>
            <w:r w:rsidRPr="00544788">
              <w:rPr>
                <w:rFonts w:ascii="Calibri" w:eastAsia="Times New Roman" w:hAnsi="Calibri" w:cs="Times New Roman"/>
                <w:b/>
                <w:bCs/>
                <w:color w:val="FFFFFF"/>
                <w:lang w:eastAsia="nl-NL"/>
              </w:rPr>
              <w:t>Q3</w:t>
            </w:r>
          </w:p>
        </w:tc>
        <w:tc>
          <w:tcPr>
            <w:tcW w:w="1040" w:type="dxa"/>
            <w:tcBorders>
              <w:top w:val="nil"/>
              <w:left w:val="nil"/>
              <w:bottom w:val="nil"/>
              <w:right w:val="nil"/>
            </w:tcBorders>
            <w:shd w:val="clear" w:color="000000" w:fill="254061"/>
            <w:noWrap/>
            <w:vAlign w:val="bottom"/>
            <w:hideMark/>
          </w:tcPr>
          <w:p w:rsidR="00544788" w:rsidRPr="00544788" w:rsidRDefault="00544788" w:rsidP="00544788">
            <w:pPr>
              <w:spacing w:line="240" w:lineRule="auto"/>
              <w:jc w:val="center"/>
              <w:rPr>
                <w:rFonts w:ascii="Calibri" w:eastAsia="Times New Roman" w:hAnsi="Calibri" w:cs="Times New Roman"/>
                <w:b/>
                <w:bCs/>
                <w:color w:val="FFFFFF"/>
                <w:lang w:eastAsia="nl-NL"/>
              </w:rPr>
            </w:pPr>
            <w:r w:rsidRPr="00544788">
              <w:rPr>
                <w:rFonts w:ascii="Calibri" w:eastAsia="Times New Roman" w:hAnsi="Calibri" w:cs="Times New Roman"/>
                <w:b/>
                <w:bCs/>
                <w:color w:val="FFFFFF"/>
                <w:lang w:eastAsia="nl-NL"/>
              </w:rPr>
              <w:t>Maximum</w:t>
            </w:r>
          </w:p>
        </w:tc>
      </w:tr>
      <w:tr w:rsidR="00544788" w:rsidRPr="00544788" w:rsidTr="00544788">
        <w:trPr>
          <w:trHeight w:val="300"/>
        </w:trPr>
        <w:tc>
          <w:tcPr>
            <w:tcW w:w="2620" w:type="dxa"/>
            <w:tcBorders>
              <w:top w:val="nil"/>
              <w:left w:val="nil"/>
              <w:bottom w:val="nil"/>
              <w:right w:val="nil"/>
            </w:tcBorders>
            <w:shd w:val="clear" w:color="000000" w:fill="D8D8D8"/>
            <w:noWrap/>
            <w:vAlign w:val="bottom"/>
            <w:hideMark/>
          </w:tcPr>
          <w:p w:rsidR="00544788" w:rsidRPr="00544788" w:rsidRDefault="00544788" w:rsidP="00544788">
            <w:pPr>
              <w:spacing w:line="240" w:lineRule="auto"/>
              <w:rPr>
                <w:rFonts w:ascii="Calibri" w:eastAsia="Times New Roman" w:hAnsi="Calibri" w:cs="Times New Roman"/>
                <w:color w:val="000000"/>
                <w:lang w:eastAsia="nl-NL"/>
              </w:rPr>
            </w:pPr>
            <w:r w:rsidRPr="00544788">
              <w:rPr>
                <w:rFonts w:ascii="Calibri" w:eastAsia="Times New Roman" w:hAnsi="Calibri" w:cs="Times New Roman"/>
                <w:color w:val="000000"/>
                <w:lang w:eastAsia="nl-NL"/>
              </w:rPr>
              <w:t xml:space="preserve"> Omvang</w:t>
            </w:r>
          </w:p>
        </w:tc>
        <w:tc>
          <w:tcPr>
            <w:tcW w:w="1040" w:type="dxa"/>
            <w:tcBorders>
              <w:top w:val="nil"/>
              <w:left w:val="nil"/>
              <w:bottom w:val="nil"/>
              <w:right w:val="nil"/>
            </w:tcBorders>
            <w:shd w:val="clear" w:color="auto" w:fill="auto"/>
            <w:noWrap/>
            <w:vAlign w:val="bottom"/>
            <w:hideMark/>
          </w:tcPr>
          <w:p w:rsidR="00544788" w:rsidRPr="00544788" w:rsidRDefault="00544788" w:rsidP="00544788">
            <w:pPr>
              <w:spacing w:line="240" w:lineRule="auto"/>
              <w:jc w:val="right"/>
              <w:rPr>
                <w:rFonts w:ascii="Calibri" w:eastAsia="Times New Roman" w:hAnsi="Calibri" w:cs="Times New Roman"/>
                <w:color w:val="000000"/>
                <w:lang w:eastAsia="nl-NL"/>
              </w:rPr>
            </w:pPr>
            <w:r w:rsidRPr="00544788">
              <w:rPr>
                <w:rFonts w:ascii="Calibri" w:eastAsia="Times New Roman" w:hAnsi="Calibri" w:cs="Times New Roman"/>
                <w:color w:val="000000"/>
                <w:lang w:eastAsia="nl-NL"/>
              </w:rPr>
              <w:t>0,2%</w:t>
            </w:r>
          </w:p>
        </w:tc>
        <w:tc>
          <w:tcPr>
            <w:tcW w:w="1040" w:type="dxa"/>
            <w:tcBorders>
              <w:top w:val="nil"/>
              <w:left w:val="nil"/>
              <w:bottom w:val="nil"/>
              <w:right w:val="nil"/>
            </w:tcBorders>
            <w:shd w:val="clear" w:color="auto" w:fill="auto"/>
            <w:noWrap/>
            <w:vAlign w:val="bottom"/>
            <w:hideMark/>
          </w:tcPr>
          <w:p w:rsidR="00544788" w:rsidRPr="00544788" w:rsidRDefault="00544788" w:rsidP="00544788">
            <w:pPr>
              <w:spacing w:line="240" w:lineRule="auto"/>
              <w:jc w:val="right"/>
              <w:rPr>
                <w:rFonts w:ascii="Calibri" w:eastAsia="Times New Roman" w:hAnsi="Calibri" w:cs="Times New Roman"/>
                <w:color w:val="000000"/>
                <w:lang w:eastAsia="nl-NL"/>
              </w:rPr>
            </w:pPr>
            <w:r w:rsidRPr="00544788">
              <w:rPr>
                <w:rFonts w:ascii="Calibri" w:eastAsia="Times New Roman" w:hAnsi="Calibri" w:cs="Times New Roman"/>
                <w:color w:val="000000"/>
                <w:lang w:eastAsia="nl-NL"/>
              </w:rPr>
              <w:t>0,9%</w:t>
            </w:r>
          </w:p>
        </w:tc>
        <w:tc>
          <w:tcPr>
            <w:tcW w:w="1040" w:type="dxa"/>
            <w:tcBorders>
              <w:top w:val="nil"/>
              <w:left w:val="nil"/>
              <w:bottom w:val="nil"/>
              <w:right w:val="nil"/>
            </w:tcBorders>
            <w:shd w:val="clear" w:color="auto" w:fill="auto"/>
            <w:noWrap/>
            <w:vAlign w:val="bottom"/>
            <w:hideMark/>
          </w:tcPr>
          <w:p w:rsidR="00544788" w:rsidRPr="00544788" w:rsidRDefault="00544788" w:rsidP="00544788">
            <w:pPr>
              <w:spacing w:line="240" w:lineRule="auto"/>
              <w:jc w:val="right"/>
              <w:rPr>
                <w:rFonts w:ascii="Calibri" w:eastAsia="Times New Roman" w:hAnsi="Calibri" w:cs="Times New Roman"/>
                <w:color w:val="000000"/>
                <w:lang w:eastAsia="nl-NL"/>
              </w:rPr>
            </w:pPr>
            <w:r w:rsidRPr="00544788">
              <w:rPr>
                <w:rFonts w:ascii="Calibri" w:eastAsia="Times New Roman" w:hAnsi="Calibri" w:cs="Times New Roman"/>
                <w:color w:val="000000"/>
                <w:lang w:eastAsia="nl-NL"/>
              </w:rPr>
              <w:t>3,2%</w:t>
            </w:r>
          </w:p>
        </w:tc>
        <w:tc>
          <w:tcPr>
            <w:tcW w:w="1040" w:type="dxa"/>
            <w:tcBorders>
              <w:top w:val="nil"/>
              <w:left w:val="nil"/>
              <w:bottom w:val="nil"/>
              <w:right w:val="nil"/>
            </w:tcBorders>
            <w:shd w:val="clear" w:color="auto" w:fill="auto"/>
            <w:noWrap/>
            <w:vAlign w:val="bottom"/>
            <w:hideMark/>
          </w:tcPr>
          <w:p w:rsidR="00544788" w:rsidRPr="00544788" w:rsidRDefault="00544788" w:rsidP="00544788">
            <w:pPr>
              <w:spacing w:line="240" w:lineRule="auto"/>
              <w:jc w:val="right"/>
              <w:rPr>
                <w:rFonts w:ascii="Calibri" w:eastAsia="Times New Roman" w:hAnsi="Calibri" w:cs="Times New Roman"/>
                <w:color w:val="000000"/>
                <w:lang w:eastAsia="nl-NL"/>
              </w:rPr>
            </w:pPr>
            <w:r w:rsidRPr="00544788">
              <w:rPr>
                <w:rFonts w:ascii="Calibri" w:eastAsia="Times New Roman" w:hAnsi="Calibri" w:cs="Times New Roman"/>
                <w:color w:val="000000"/>
                <w:lang w:eastAsia="nl-NL"/>
              </w:rPr>
              <w:t>7,2%</w:t>
            </w:r>
          </w:p>
        </w:tc>
        <w:tc>
          <w:tcPr>
            <w:tcW w:w="1040" w:type="dxa"/>
            <w:tcBorders>
              <w:top w:val="nil"/>
              <w:left w:val="nil"/>
              <w:bottom w:val="nil"/>
              <w:right w:val="nil"/>
            </w:tcBorders>
            <w:shd w:val="clear" w:color="auto" w:fill="auto"/>
            <w:noWrap/>
            <w:vAlign w:val="bottom"/>
            <w:hideMark/>
          </w:tcPr>
          <w:p w:rsidR="00544788" w:rsidRPr="00544788" w:rsidRDefault="00544788" w:rsidP="00544788">
            <w:pPr>
              <w:spacing w:line="240" w:lineRule="auto"/>
              <w:jc w:val="right"/>
              <w:rPr>
                <w:rFonts w:ascii="Calibri" w:eastAsia="Times New Roman" w:hAnsi="Calibri" w:cs="Times New Roman"/>
                <w:color w:val="000000"/>
                <w:lang w:eastAsia="nl-NL"/>
              </w:rPr>
            </w:pPr>
            <w:r w:rsidRPr="00544788">
              <w:rPr>
                <w:rFonts w:ascii="Calibri" w:eastAsia="Times New Roman" w:hAnsi="Calibri" w:cs="Times New Roman"/>
                <w:color w:val="000000"/>
                <w:lang w:eastAsia="nl-NL"/>
              </w:rPr>
              <w:t>21,9%</w:t>
            </w:r>
          </w:p>
        </w:tc>
      </w:tr>
    </w:tbl>
    <w:p w:rsidR="00CF61D9" w:rsidRDefault="00CF61D9" w:rsidP="00CF61D9">
      <w:pPr>
        <w:pStyle w:val="NoSpacing"/>
      </w:pPr>
      <w:r>
        <w:br w:type="page"/>
      </w:r>
    </w:p>
    <w:p w:rsidR="005422CF" w:rsidRPr="005422CF" w:rsidRDefault="005422CF" w:rsidP="005422CF">
      <w:pPr>
        <w:pStyle w:val="NoSpacing"/>
        <w:rPr>
          <w:b/>
        </w:rPr>
      </w:pPr>
      <w:r>
        <w:rPr>
          <w:b/>
        </w:rPr>
        <w:lastRenderedPageBreak/>
        <w:t xml:space="preserve">Bijlage 2: </w:t>
      </w:r>
      <w:proofErr w:type="spellStart"/>
      <w:r>
        <w:rPr>
          <w:b/>
        </w:rPr>
        <w:t>D</w:t>
      </w:r>
      <w:r w:rsidRPr="005422CF">
        <w:rPr>
          <w:b/>
        </w:rPr>
        <w:t>atastream</w:t>
      </w:r>
      <w:proofErr w:type="spellEnd"/>
      <w:r w:rsidRPr="005422CF">
        <w:rPr>
          <w:b/>
        </w:rPr>
        <w:t xml:space="preserve"> codes</w:t>
      </w:r>
    </w:p>
    <w:p w:rsidR="005422CF" w:rsidRPr="00F447A1" w:rsidRDefault="005422CF" w:rsidP="005422CF">
      <w:pPr>
        <w:pStyle w:val="NoSpacing"/>
        <w:rPr>
          <w:b/>
          <w:color w:val="FFFFFF" w:themeColor="background1"/>
        </w:rPr>
      </w:pPr>
    </w:p>
    <w:tbl>
      <w:tblPr>
        <w:tblW w:w="8720" w:type="dxa"/>
        <w:tblCellMar>
          <w:left w:w="0" w:type="dxa"/>
          <w:right w:w="0" w:type="dxa"/>
        </w:tblCellMar>
        <w:tblLook w:val="04A0"/>
      </w:tblPr>
      <w:tblGrid>
        <w:gridCol w:w="3960"/>
        <w:gridCol w:w="1660"/>
        <w:gridCol w:w="1840"/>
        <w:gridCol w:w="1260"/>
      </w:tblGrid>
      <w:tr w:rsidR="005422CF" w:rsidRPr="00F447A1" w:rsidTr="00705B37">
        <w:trPr>
          <w:trHeight w:val="300"/>
        </w:trPr>
        <w:tc>
          <w:tcPr>
            <w:tcW w:w="3960" w:type="dxa"/>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F447A1" w:rsidP="00F447A1">
            <w:pPr>
              <w:pStyle w:val="NoSpacing"/>
              <w:rPr>
                <w:b/>
                <w:color w:val="FFFFFF" w:themeColor="background1"/>
              </w:rPr>
            </w:pPr>
            <w:r w:rsidRPr="00F447A1">
              <w:rPr>
                <w:b/>
                <w:color w:val="FFFFFF" w:themeColor="background1"/>
              </w:rPr>
              <w:t>O</w:t>
            </w:r>
            <w:r w:rsidR="005422CF" w:rsidRPr="00F447A1">
              <w:rPr>
                <w:b/>
                <w:color w:val="FFFFFF" w:themeColor="background1"/>
              </w:rPr>
              <w:t>nderneming</w:t>
            </w:r>
          </w:p>
        </w:tc>
        <w:tc>
          <w:tcPr>
            <w:tcW w:w="1660" w:type="dxa"/>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ISIN code</w:t>
            </w:r>
          </w:p>
        </w:tc>
        <w:tc>
          <w:tcPr>
            <w:tcW w:w="1840" w:type="dxa"/>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DATASTREAM code</w:t>
            </w:r>
          </w:p>
        </w:tc>
        <w:tc>
          <w:tcPr>
            <w:tcW w:w="1260" w:type="dxa"/>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Valuta</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4B650F">
            <w:pPr>
              <w:pStyle w:val="NoSpacing"/>
              <w:rPr>
                <w:color w:val="000000"/>
              </w:rPr>
            </w:pPr>
            <w:r>
              <w:rPr>
                <w:color w:val="000000"/>
              </w:rPr>
              <w:t xml:space="preserve">ABN AMRO HOLDING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NL0000301109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505972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AEGON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NL0000303709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922956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AHOLD KON.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NL0006033250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916642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AKZO NOBEL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NL0000009132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912643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ARCELORMITTAL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LU0323134006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899069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ASML HOLDING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NL0010273215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152001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DSM KONINKLIJKE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NL0000009827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779426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HEINEKEN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NL0000009165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905001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ING GROEP</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NL0000303600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531865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KPN KON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NL0000009082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142440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PHILIPS ELTN.KONINKLIJKE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NL0000009538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933031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POSTNL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NL0009739416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681714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RANDSTAD HOLDING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NL0000379121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505482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REED ELSEVIER (A</w:t>
            </w:r>
            <w:r w:rsidR="00897794">
              <w:rPr>
                <w:color w:val="000000"/>
              </w:rPr>
              <w:t>msterdam</w:t>
            </w:r>
            <w:r>
              <w:rPr>
                <w:color w:val="00000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NL0006144495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981526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ROYAL DUTCH SHELL 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GB00B03MLX29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902178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UNILEVER CERTS.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NL0000009355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905478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89779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WOLTERS KLUWER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NL0000395903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932826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705B3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r>
      <w:tr w:rsidR="005422CF" w:rsidTr="00705B37">
        <w:trPr>
          <w:trHeight w:val="300"/>
        </w:trPr>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Marktindex</w:t>
            </w:r>
          </w:p>
        </w:tc>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proofErr w:type="spellStart"/>
            <w:r w:rsidRPr="00F447A1">
              <w:rPr>
                <w:b/>
                <w:color w:val="FFFFFF" w:themeColor="background1"/>
              </w:rPr>
              <w:t>Mnemonic</w:t>
            </w:r>
            <w:proofErr w:type="spellEnd"/>
          </w:p>
        </w:tc>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 </w:t>
            </w:r>
          </w:p>
        </w:tc>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Valuta</w:t>
            </w:r>
          </w:p>
        </w:tc>
      </w:tr>
      <w:tr w:rsidR="005422CF" w:rsidTr="00705B3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MSCI WORLD Euro</w:t>
            </w:r>
          </w:p>
        </w:tc>
        <w:tc>
          <w:tcPr>
            <w:tcW w:w="1660" w:type="dxa"/>
            <w:tcBorders>
              <w:top w:val="nil"/>
              <w:left w:val="nil"/>
              <w:bottom w:val="nil"/>
              <w:right w:val="nil"/>
            </w:tcBorders>
            <w:shd w:val="clear" w:color="auto" w:fill="auto"/>
            <w:tcMar>
              <w:top w:w="15" w:type="dxa"/>
              <w:left w:w="15" w:type="dxa"/>
              <w:bottom w:w="0" w:type="dxa"/>
              <w:right w:w="15" w:type="dxa"/>
            </w:tcMar>
            <w:vAlign w:val="bottom"/>
            <w:hideMark/>
          </w:tcPr>
          <w:p w:rsidR="005422CF" w:rsidRDefault="005422CF" w:rsidP="00F447A1">
            <w:pPr>
              <w:pStyle w:val="NoSpacing"/>
              <w:rPr>
                <w:color w:val="000000"/>
              </w:rPr>
            </w:pPr>
            <w:r>
              <w:rPr>
                <w:color w:val="000000"/>
              </w:rPr>
              <w:t>MSWRLDE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xml:space="preserve">Euro </w:t>
            </w:r>
          </w:p>
        </w:tc>
      </w:tr>
      <w:tr w:rsidR="005422CF" w:rsidTr="00705B3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r>
      <w:tr w:rsidR="005422CF" w:rsidTr="00705B37">
        <w:trPr>
          <w:trHeight w:val="300"/>
        </w:trPr>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Aantal uitstaande aandelen onderneming</w:t>
            </w:r>
          </w:p>
        </w:tc>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proofErr w:type="spellStart"/>
            <w:r w:rsidRPr="00F447A1">
              <w:rPr>
                <w:b/>
                <w:color w:val="FFFFFF" w:themeColor="background1"/>
              </w:rPr>
              <w:t>Mnemonic</w:t>
            </w:r>
            <w:proofErr w:type="spellEnd"/>
          </w:p>
        </w:tc>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Pr="00F447A1" w:rsidRDefault="005422CF" w:rsidP="00F447A1">
            <w:pPr>
              <w:pStyle w:val="NoSpacing"/>
              <w:rPr>
                <w:b/>
                <w:color w:val="FFFFFF" w:themeColor="background1"/>
              </w:rPr>
            </w:pPr>
            <w:r w:rsidRPr="00F447A1">
              <w:rPr>
                <w:b/>
                <w:color w:val="FFFFFF" w:themeColor="background1"/>
              </w:rPr>
              <w:t> </w:t>
            </w:r>
          </w:p>
        </w:tc>
        <w:tc>
          <w:tcPr>
            <w:tcW w:w="0" w:type="auto"/>
            <w:tcBorders>
              <w:top w:val="nil"/>
              <w:left w:val="nil"/>
              <w:bottom w:val="nil"/>
              <w:right w:val="nil"/>
            </w:tcBorders>
            <w:shd w:val="clear" w:color="000000" w:fill="0070C0"/>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 </w:t>
            </w:r>
          </w:p>
        </w:tc>
      </w:tr>
      <w:tr w:rsidR="005422CF" w:rsidTr="00705B3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Aantal uitstaande aandelen onderneming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r>
              <w:rPr>
                <w:color w:val="000000"/>
              </w:rPr>
              <w:t>NOSHC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422CF" w:rsidRDefault="005422CF" w:rsidP="00F447A1">
            <w:pPr>
              <w:pStyle w:val="NoSpacing"/>
              <w:rPr>
                <w:color w:val="000000"/>
              </w:rPr>
            </w:pPr>
          </w:p>
        </w:tc>
      </w:tr>
    </w:tbl>
    <w:p w:rsidR="005422CF" w:rsidRDefault="005422CF" w:rsidP="005422CF">
      <w:pPr>
        <w:pStyle w:val="NoSpacing"/>
      </w:pPr>
      <w:r>
        <w:br w:type="page"/>
      </w:r>
    </w:p>
    <w:p w:rsidR="00EB0E93" w:rsidRDefault="00EB0E93">
      <w:pPr>
        <w:rPr>
          <w:b/>
        </w:rPr>
      </w:pPr>
      <w:r>
        <w:rPr>
          <w:b/>
        </w:rPr>
        <w:lastRenderedPageBreak/>
        <w:t xml:space="preserve">Bijlage </w:t>
      </w:r>
      <w:r w:rsidR="00F447A1">
        <w:rPr>
          <w:b/>
        </w:rPr>
        <w:t>3</w:t>
      </w:r>
      <w:r>
        <w:rPr>
          <w:b/>
        </w:rPr>
        <w:t xml:space="preserve">: beschrijvende statistieken van het  </w:t>
      </w:r>
      <w:proofErr w:type="spellStart"/>
      <w:r>
        <w:rPr>
          <w:b/>
        </w:rPr>
        <w:t>Markt-Adjusted</w:t>
      </w:r>
      <w:proofErr w:type="spellEnd"/>
      <w:r>
        <w:rPr>
          <w:b/>
        </w:rPr>
        <w:t xml:space="preserve"> Return Model en het Markt Model.</w:t>
      </w:r>
    </w:p>
    <w:p w:rsidR="00EB0E93" w:rsidRDefault="00EB0E93" w:rsidP="00EB0E93">
      <w:pPr>
        <w:pStyle w:val="NoSpacing"/>
      </w:pPr>
    </w:p>
    <w:tbl>
      <w:tblPr>
        <w:tblStyle w:val="MediumShading2-Accent5"/>
        <w:tblW w:w="5000" w:type="pct"/>
        <w:tblLook w:val="0660"/>
      </w:tblPr>
      <w:tblGrid>
        <w:gridCol w:w="1498"/>
        <w:gridCol w:w="1499"/>
        <w:gridCol w:w="1701"/>
        <w:gridCol w:w="1592"/>
        <w:gridCol w:w="1501"/>
        <w:gridCol w:w="1495"/>
      </w:tblGrid>
      <w:tr w:rsidR="00EB0E93" w:rsidTr="001F2DE5">
        <w:trPr>
          <w:cnfStyle w:val="100000000000"/>
        </w:trPr>
        <w:tc>
          <w:tcPr>
            <w:tcW w:w="807" w:type="pct"/>
          </w:tcPr>
          <w:p w:rsidR="00EB0E93" w:rsidRDefault="00EB0E93" w:rsidP="001F2DE5">
            <w:r>
              <w:t xml:space="preserve">Dag </w:t>
            </w:r>
          </w:p>
        </w:tc>
        <w:tc>
          <w:tcPr>
            <w:tcW w:w="807" w:type="pct"/>
          </w:tcPr>
          <w:p w:rsidR="00EB0E93" w:rsidRDefault="00EB0E93" w:rsidP="001F2DE5">
            <w:pPr>
              <w:jc w:val="right"/>
            </w:pPr>
            <w:r>
              <w:t xml:space="preserve">Minimum </w:t>
            </w:r>
          </w:p>
        </w:tc>
        <w:tc>
          <w:tcPr>
            <w:tcW w:w="916" w:type="pct"/>
            <w:noWrap/>
          </w:tcPr>
          <w:p w:rsidR="00EB0E93" w:rsidRDefault="00EB0E93" w:rsidP="001F2DE5">
            <w:pPr>
              <w:jc w:val="right"/>
            </w:pPr>
            <w:r>
              <w:t>Q1</w:t>
            </w:r>
          </w:p>
        </w:tc>
        <w:tc>
          <w:tcPr>
            <w:tcW w:w="857" w:type="pct"/>
          </w:tcPr>
          <w:p w:rsidR="00EB0E93" w:rsidRDefault="00EB0E93" w:rsidP="001F2DE5">
            <w:pPr>
              <w:jc w:val="right"/>
            </w:pPr>
            <w:proofErr w:type="spellStart"/>
            <w:r>
              <w:t>Mediaan</w:t>
            </w:r>
            <w:proofErr w:type="spellEnd"/>
            <w:r>
              <w:t xml:space="preserve"> </w:t>
            </w:r>
          </w:p>
        </w:tc>
        <w:tc>
          <w:tcPr>
            <w:tcW w:w="808" w:type="pct"/>
          </w:tcPr>
          <w:p w:rsidR="00EB0E93" w:rsidRDefault="00EB0E93" w:rsidP="001F2DE5">
            <w:pPr>
              <w:jc w:val="right"/>
            </w:pPr>
            <w:r>
              <w:t>Q3</w:t>
            </w:r>
          </w:p>
        </w:tc>
        <w:tc>
          <w:tcPr>
            <w:tcW w:w="805" w:type="pct"/>
          </w:tcPr>
          <w:p w:rsidR="00EB0E93" w:rsidRDefault="00EB0E93" w:rsidP="001F2DE5">
            <w:pPr>
              <w:jc w:val="right"/>
            </w:pPr>
            <w:r>
              <w:t>Maximum</w:t>
            </w:r>
          </w:p>
        </w:tc>
      </w:tr>
      <w:tr w:rsidR="00EB0E93" w:rsidTr="001F2DE5">
        <w:tc>
          <w:tcPr>
            <w:tcW w:w="5000" w:type="pct"/>
            <w:gridSpan w:val="6"/>
          </w:tcPr>
          <w:p w:rsidR="00EB0E93" w:rsidRPr="006B267C" w:rsidRDefault="00EB0E93" w:rsidP="001F2DE5">
            <w:pPr>
              <w:rPr>
                <w:color w:val="FF0000"/>
              </w:rPr>
            </w:pPr>
            <w:r>
              <w:rPr>
                <w:rStyle w:val="SubtleEmphasis"/>
                <w:color w:val="FF0000"/>
              </w:rPr>
              <w:t>Market-Adjusted Return Model</w:t>
            </w:r>
          </w:p>
        </w:tc>
      </w:tr>
      <w:tr w:rsidR="00EB0E93" w:rsidTr="001F2DE5">
        <w:tc>
          <w:tcPr>
            <w:tcW w:w="807" w:type="pct"/>
            <w:tcBorders>
              <w:bottom w:val="nil"/>
            </w:tcBorders>
          </w:tcPr>
          <w:p w:rsidR="00EB0E93" w:rsidRDefault="00EB0E93" w:rsidP="00EB0E93">
            <w:pPr>
              <w:pStyle w:val="NoSpacing"/>
            </w:pPr>
            <w:r>
              <w:t>A.R. op t=-5</w:t>
            </w:r>
          </w:p>
        </w:tc>
        <w:tc>
          <w:tcPr>
            <w:tcW w:w="807" w:type="pct"/>
            <w:tcBorders>
              <w:bottom w:val="nil"/>
            </w:tcBorders>
          </w:tcPr>
          <w:p w:rsidR="00EB0E93" w:rsidRDefault="00EB0E93" w:rsidP="00EB0E93">
            <w:pPr>
              <w:pStyle w:val="NoSpacing"/>
              <w:jc w:val="right"/>
            </w:pPr>
            <w:r>
              <w:t>-3,59%</w:t>
            </w:r>
          </w:p>
        </w:tc>
        <w:tc>
          <w:tcPr>
            <w:tcW w:w="916" w:type="pct"/>
            <w:tcBorders>
              <w:bottom w:val="nil"/>
            </w:tcBorders>
            <w:noWrap/>
          </w:tcPr>
          <w:p w:rsidR="00EB0E93" w:rsidRDefault="00EB0E93" w:rsidP="00EB0E93">
            <w:pPr>
              <w:pStyle w:val="NoSpacing"/>
              <w:jc w:val="right"/>
            </w:pPr>
            <w:r>
              <w:t>-0,60%</w:t>
            </w:r>
          </w:p>
        </w:tc>
        <w:tc>
          <w:tcPr>
            <w:tcW w:w="857" w:type="pct"/>
            <w:tcBorders>
              <w:bottom w:val="nil"/>
            </w:tcBorders>
          </w:tcPr>
          <w:p w:rsidR="00EB0E93" w:rsidRDefault="00EB0E93" w:rsidP="00EB0E93">
            <w:pPr>
              <w:pStyle w:val="NoSpacing"/>
              <w:jc w:val="right"/>
            </w:pPr>
            <w:r>
              <w:t>0,08%</w:t>
            </w:r>
          </w:p>
        </w:tc>
        <w:tc>
          <w:tcPr>
            <w:tcW w:w="808" w:type="pct"/>
            <w:tcBorders>
              <w:bottom w:val="nil"/>
            </w:tcBorders>
          </w:tcPr>
          <w:p w:rsidR="00EB0E93" w:rsidRDefault="00EB0E93" w:rsidP="00EB0E93">
            <w:pPr>
              <w:pStyle w:val="NoSpacing"/>
              <w:jc w:val="right"/>
            </w:pPr>
            <w:r>
              <w:t>0,86%</w:t>
            </w:r>
          </w:p>
        </w:tc>
        <w:tc>
          <w:tcPr>
            <w:tcW w:w="805" w:type="pct"/>
            <w:tcBorders>
              <w:bottom w:val="nil"/>
            </w:tcBorders>
          </w:tcPr>
          <w:p w:rsidR="00EB0E93" w:rsidRDefault="00EB0E93" w:rsidP="00EB0E93">
            <w:pPr>
              <w:pStyle w:val="NoSpacing"/>
              <w:jc w:val="right"/>
            </w:pPr>
            <w:r>
              <w:t>6,08%</w:t>
            </w:r>
          </w:p>
        </w:tc>
      </w:tr>
      <w:tr w:rsidR="00EB0E93" w:rsidTr="001F2DE5">
        <w:tc>
          <w:tcPr>
            <w:tcW w:w="807" w:type="pct"/>
            <w:tcBorders>
              <w:top w:val="nil"/>
              <w:bottom w:val="single" w:sz="4" w:space="0" w:color="auto"/>
            </w:tcBorders>
          </w:tcPr>
          <w:p w:rsidR="00EB0E93" w:rsidRDefault="00EB0E93" w:rsidP="00EB0E93">
            <w:pPr>
              <w:pStyle w:val="NoSpacing"/>
            </w:pPr>
            <w:r>
              <w:t>A.R. op t=-4</w:t>
            </w:r>
          </w:p>
          <w:p w:rsidR="00EB0E93" w:rsidRDefault="00EB0E93" w:rsidP="00EB0E93">
            <w:pPr>
              <w:pStyle w:val="NoSpacing"/>
            </w:pPr>
            <w:r>
              <w:t>A.R. op t=-3</w:t>
            </w:r>
          </w:p>
          <w:p w:rsidR="00EB0E93" w:rsidRDefault="00EB0E93" w:rsidP="00EB0E93">
            <w:pPr>
              <w:pStyle w:val="NoSpacing"/>
            </w:pPr>
            <w:r>
              <w:t>A.R. op t=-2</w:t>
            </w:r>
          </w:p>
          <w:p w:rsidR="00EB0E93" w:rsidRDefault="00EB0E93" w:rsidP="00EB0E93">
            <w:pPr>
              <w:pStyle w:val="NoSpacing"/>
            </w:pPr>
            <w:r>
              <w:t>A.R. op t=-1</w:t>
            </w:r>
          </w:p>
          <w:p w:rsidR="00EB0E93" w:rsidRDefault="00EB0E93" w:rsidP="00EB0E93">
            <w:pPr>
              <w:pStyle w:val="NoSpacing"/>
            </w:pPr>
            <w:r>
              <w:t>A.R. op t=0</w:t>
            </w:r>
          </w:p>
          <w:p w:rsidR="00EB0E93" w:rsidRDefault="00EB0E93" w:rsidP="00EB0E93">
            <w:pPr>
              <w:pStyle w:val="NoSpacing"/>
            </w:pPr>
            <w:r>
              <w:t>A.R. op t=1</w:t>
            </w:r>
          </w:p>
          <w:p w:rsidR="00EB0E93" w:rsidRDefault="00EB0E93" w:rsidP="00EB0E93">
            <w:pPr>
              <w:pStyle w:val="NoSpacing"/>
            </w:pPr>
            <w:r>
              <w:t>A.R. op t=2</w:t>
            </w:r>
          </w:p>
          <w:p w:rsidR="00EB0E93" w:rsidRDefault="00EB0E93" w:rsidP="00EB0E93">
            <w:pPr>
              <w:pStyle w:val="NoSpacing"/>
            </w:pPr>
            <w:r>
              <w:t>A.R. op t=3</w:t>
            </w:r>
          </w:p>
          <w:p w:rsidR="00EB0E93" w:rsidRDefault="00EB0E93" w:rsidP="00EB0E93">
            <w:pPr>
              <w:pStyle w:val="NoSpacing"/>
            </w:pPr>
            <w:r>
              <w:t xml:space="preserve">A.R. op t=4 </w:t>
            </w:r>
          </w:p>
          <w:p w:rsidR="00EB0E93" w:rsidRDefault="00EB0E93" w:rsidP="00EB0E93">
            <w:pPr>
              <w:pStyle w:val="NoSpacing"/>
            </w:pPr>
            <w:r>
              <w:t>A.R. op t=5</w:t>
            </w:r>
          </w:p>
          <w:p w:rsidR="00EB0E93" w:rsidRDefault="00EB0E93" w:rsidP="00EB0E93">
            <w:pPr>
              <w:pStyle w:val="NoSpacing"/>
            </w:pPr>
          </w:p>
        </w:tc>
        <w:tc>
          <w:tcPr>
            <w:tcW w:w="807" w:type="pct"/>
            <w:tcBorders>
              <w:top w:val="nil"/>
              <w:bottom w:val="single" w:sz="4" w:space="0" w:color="auto"/>
            </w:tcBorders>
          </w:tcPr>
          <w:p w:rsidR="00EB0E93" w:rsidRDefault="00EB0E93" w:rsidP="00EB0E93">
            <w:pPr>
              <w:pStyle w:val="NoSpacing"/>
              <w:jc w:val="right"/>
            </w:pPr>
            <w:r>
              <w:t>-5,20%</w:t>
            </w:r>
          </w:p>
          <w:p w:rsidR="00EB0E93" w:rsidRDefault="00EB0E93" w:rsidP="00EB0E93">
            <w:pPr>
              <w:pStyle w:val="NoSpacing"/>
              <w:jc w:val="right"/>
            </w:pPr>
            <w:r>
              <w:t>-4,01%</w:t>
            </w:r>
          </w:p>
          <w:p w:rsidR="00EB0E93" w:rsidRDefault="00EB0E93" w:rsidP="00EB0E93">
            <w:pPr>
              <w:pStyle w:val="NoSpacing"/>
              <w:jc w:val="right"/>
            </w:pPr>
            <w:r>
              <w:t>-4,81%</w:t>
            </w:r>
          </w:p>
          <w:p w:rsidR="00EB0E93" w:rsidRDefault="00EB0E93" w:rsidP="00EB0E93">
            <w:pPr>
              <w:pStyle w:val="NoSpacing"/>
              <w:jc w:val="right"/>
            </w:pPr>
            <w:r>
              <w:t>-1,91%</w:t>
            </w:r>
          </w:p>
          <w:p w:rsidR="00EB0E93" w:rsidRDefault="00EB0E93" w:rsidP="00EB0E93">
            <w:pPr>
              <w:pStyle w:val="NoSpacing"/>
              <w:jc w:val="right"/>
            </w:pPr>
            <w:r>
              <w:t>-5,53%</w:t>
            </w:r>
          </w:p>
          <w:p w:rsidR="00EB0E93" w:rsidRDefault="00EB0E93" w:rsidP="00EB0E93">
            <w:pPr>
              <w:pStyle w:val="NoSpacing"/>
              <w:jc w:val="right"/>
            </w:pPr>
            <w:r>
              <w:t>-3,47%</w:t>
            </w:r>
          </w:p>
          <w:p w:rsidR="00EB0E93" w:rsidRDefault="00EB0E93" w:rsidP="00EB0E93">
            <w:pPr>
              <w:pStyle w:val="NoSpacing"/>
              <w:jc w:val="right"/>
            </w:pPr>
            <w:r>
              <w:t>-4,14%</w:t>
            </w:r>
          </w:p>
          <w:p w:rsidR="00EB0E93" w:rsidRDefault="00EB0E93" w:rsidP="00EB0E93">
            <w:pPr>
              <w:pStyle w:val="NoSpacing"/>
              <w:jc w:val="right"/>
            </w:pPr>
            <w:r>
              <w:t>-4,12%</w:t>
            </w:r>
          </w:p>
          <w:p w:rsidR="00EB0E93" w:rsidRDefault="00EB0E93" w:rsidP="00EB0E93">
            <w:pPr>
              <w:pStyle w:val="NoSpacing"/>
              <w:jc w:val="right"/>
            </w:pPr>
            <w:r>
              <w:t>-4,06%</w:t>
            </w:r>
          </w:p>
          <w:p w:rsidR="00EB0E93" w:rsidRDefault="00EB0E93" w:rsidP="00EB0E93">
            <w:pPr>
              <w:pStyle w:val="NoSpacing"/>
              <w:jc w:val="right"/>
            </w:pPr>
            <w:r>
              <w:t>-3,48%</w:t>
            </w:r>
          </w:p>
        </w:tc>
        <w:tc>
          <w:tcPr>
            <w:tcW w:w="916" w:type="pct"/>
            <w:tcBorders>
              <w:top w:val="nil"/>
              <w:bottom w:val="single" w:sz="4" w:space="0" w:color="auto"/>
            </w:tcBorders>
            <w:noWrap/>
          </w:tcPr>
          <w:p w:rsidR="00EB0E93" w:rsidRDefault="00EB0E93" w:rsidP="00EB0E93">
            <w:pPr>
              <w:pStyle w:val="NoSpacing"/>
              <w:jc w:val="right"/>
            </w:pPr>
            <w:r>
              <w:t>-0,80%</w:t>
            </w:r>
          </w:p>
          <w:p w:rsidR="00EB0E93" w:rsidRDefault="00EB0E93" w:rsidP="00EB0E93">
            <w:pPr>
              <w:pStyle w:val="NoSpacing"/>
              <w:jc w:val="right"/>
            </w:pPr>
            <w:r>
              <w:t>-0,66%</w:t>
            </w:r>
          </w:p>
          <w:p w:rsidR="00EB0E93" w:rsidRDefault="00EB0E93" w:rsidP="00EB0E93">
            <w:pPr>
              <w:pStyle w:val="NoSpacing"/>
              <w:jc w:val="right"/>
            </w:pPr>
            <w:r>
              <w:t>-0,74%</w:t>
            </w:r>
          </w:p>
          <w:p w:rsidR="00EB0E93" w:rsidRDefault="00EB0E93" w:rsidP="00EB0E93">
            <w:pPr>
              <w:pStyle w:val="NoSpacing"/>
              <w:jc w:val="right"/>
            </w:pPr>
            <w:r>
              <w:t>-0,79%</w:t>
            </w:r>
          </w:p>
          <w:p w:rsidR="00EB0E93" w:rsidRDefault="00EB0E93" w:rsidP="00EB0E93">
            <w:pPr>
              <w:pStyle w:val="NoSpacing"/>
              <w:jc w:val="right"/>
            </w:pPr>
            <w:r>
              <w:t>-0,95%</w:t>
            </w:r>
          </w:p>
          <w:p w:rsidR="00EB0E93" w:rsidRDefault="00EB0E93" w:rsidP="00EB0E93">
            <w:pPr>
              <w:pStyle w:val="NoSpacing"/>
              <w:jc w:val="right"/>
            </w:pPr>
            <w:r>
              <w:t>-0,52%</w:t>
            </w:r>
          </w:p>
          <w:p w:rsidR="00EB0E93" w:rsidRDefault="00EB0E93" w:rsidP="00EB0E93">
            <w:pPr>
              <w:pStyle w:val="NoSpacing"/>
              <w:jc w:val="right"/>
            </w:pPr>
            <w:r>
              <w:t>-0,52%</w:t>
            </w:r>
          </w:p>
          <w:p w:rsidR="00EB0E93" w:rsidRDefault="00EB0E93" w:rsidP="00EB0E93">
            <w:pPr>
              <w:pStyle w:val="NoSpacing"/>
              <w:jc w:val="right"/>
            </w:pPr>
            <w:r>
              <w:t>-1,01%</w:t>
            </w:r>
          </w:p>
          <w:p w:rsidR="00EB0E93" w:rsidRDefault="00EB0E93" w:rsidP="00EB0E93">
            <w:pPr>
              <w:pStyle w:val="NoSpacing"/>
              <w:jc w:val="right"/>
            </w:pPr>
            <w:r>
              <w:t>-0,33%</w:t>
            </w:r>
          </w:p>
          <w:p w:rsidR="00EB0E93" w:rsidRDefault="00EB0E93" w:rsidP="00EB0E93">
            <w:pPr>
              <w:pStyle w:val="NoSpacing"/>
              <w:jc w:val="right"/>
            </w:pPr>
            <w:r>
              <w:t>-0,90%</w:t>
            </w:r>
          </w:p>
        </w:tc>
        <w:tc>
          <w:tcPr>
            <w:tcW w:w="857" w:type="pct"/>
            <w:tcBorders>
              <w:top w:val="nil"/>
              <w:bottom w:val="single" w:sz="4" w:space="0" w:color="auto"/>
            </w:tcBorders>
          </w:tcPr>
          <w:p w:rsidR="00EB0E93" w:rsidRDefault="00EB0E93" w:rsidP="00EB0E93">
            <w:pPr>
              <w:pStyle w:val="NoSpacing"/>
              <w:jc w:val="right"/>
            </w:pPr>
            <w:r>
              <w:t>-0,19%</w:t>
            </w:r>
          </w:p>
          <w:p w:rsidR="00EB0E93" w:rsidRDefault="00EB0E93" w:rsidP="00EB0E93">
            <w:pPr>
              <w:pStyle w:val="NoSpacing"/>
              <w:jc w:val="right"/>
            </w:pPr>
            <w:r>
              <w:t>-0,02%</w:t>
            </w:r>
          </w:p>
          <w:p w:rsidR="00EB0E93" w:rsidRDefault="00EB0E93" w:rsidP="00EB0E93">
            <w:pPr>
              <w:pStyle w:val="NoSpacing"/>
              <w:jc w:val="right"/>
            </w:pPr>
            <w:r>
              <w:t>0,05%</w:t>
            </w:r>
          </w:p>
          <w:p w:rsidR="00EB0E93" w:rsidRDefault="00EB0E93" w:rsidP="00EB0E93">
            <w:pPr>
              <w:pStyle w:val="NoSpacing"/>
              <w:jc w:val="right"/>
            </w:pPr>
            <w:r>
              <w:t>0,11%</w:t>
            </w:r>
          </w:p>
          <w:p w:rsidR="00EB0E93" w:rsidRDefault="00EB0E93" w:rsidP="00EB0E93">
            <w:pPr>
              <w:pStyle w:val="NoSpacing"/>
              <w:jc w:val="right"/>
            </w:pPr>
            <w:r>
              <w:t>0,55%</w:t>
            </w:r>
          </w:p>
          <w:p w:rsidR="00EB0E93" w:rsidRDefault="00EB0E93" w:rsidP="00EB0E93">
            <w:pPr>
              <w:pStyle w:val="NoSpacing"/>
              <w:jc w:val="right"/>
            </w:pPr>
            <w:r>
              <w:t>0,42%</w:t>
            </w:r>
          </w:p>
          <w:p w:rsidR="00EB0E93" w:rsidRDefault="00EB0E93" w:rsidP="00EB0E93">
            <w:pPr>
              <w:pStyle w:val="NoSpacing"/>
              <w:jc w:val="right"/>
            </w:pPr>
            <w:r>
              <w:t>0,15%</w:t>
            </w:r>
          </w:p>
          <w:p w:rsidR="00EB0E93" w:rsidRDefault="00EB0E93" w:rsidP="00EB0E93">
            <w:pPr>
              <w:pStyle w:val="NoSpacing"/>
              <w:jc w:val="right"/>
            </w:pPr>
            <w:r>
              <w:t>-0,10%</w:t>
            </w:r>
          </w:p>
          <w:p w:rsidR="00EB0E93" w:rsidRDefault="00EB0E93" w:rsidP="00EB0E93">
            <w:pPr>
              <w:pStyle w:val="NoSpacing"/>
              <w:jc w:val="right"/>
            </w:pPr>
            <w:r>
              <w:t>0,36%</w:t>
            </w:r>
          </w:p>
          <w:p w:rsidR="00EB0E93" w:rsidRDefault="00EB0E93" w:rsidP="00EB0E93">
            <w:pPr>
              <w:pStyle w:val="NoSpacing"/>
              <w:jc w:val="right"/>
            </w:pPr>
            <w:r>
              <w:t>-0,20%</w:t>
            </w:r>
          </w:p>
        </w:tc>
        <w:tc>
          <w:tcPr>
            <w:tcW w:w="808" w:type="pct"/>
            <w:tcBorders>
              <w:top w:val="nil"/>
              <w:bottom w:val="single" w:sz="4" w:space="0" w:color="auto"/>
            </w:tcBorders>
          </w:tcPr>
          <w:p w:rsidR="00EB0E93" w:rsidRDefault="00EB0E93" w:rsidP="00EB0E93">
            <w:pPr>
              <w:pStyle w:val="NoSpacing"/>
              <w:jc w:val="right"/>
            </w:pPr>
            <w:r>
              <w:t>0,54%</w:t>
            </w:r>
          </w:p>
          <w:p w:rsidR="00EB0E93" w:rsidRDefault="00EB0E93" w:rsidP="00EB0E93">
            <w:pPr>
              <w:pStyle w:val="NoSpacing"/>
              <w:jc w:val="right"/>
            </w:pPr>
            <w:r>
              <w:t>0,88%</w:t>
            </w:r>
          </w:p>
          <w:p w:rsidR="00EB0E93" w:rsidRDefault="00EB0E93" w:rsidP="00EB0E93">
            <w:pPr>
              <w:pStyle w:val="NoSpacing"/>
              <w:jc w:val="right"/>
            </w:pPr>
            <w:r>
              <w:t>0,77%</w:t>
            </w:r>
          </w:p>
          <w:p w:rsidR="00EB0E93" w:rsidRDefault="00EB0E93" w:rsidP="00EB0E93">
            <w:pPr>
              <w:pStyle w:val="NoSpacing"/>
              <w:jc w:val="right"/>
            </w:pPr>
            <w:r>
              <w:t>0,85%</w:t>
            </w:r>
          </w:p>
          <w:p w:rsidR="00EB0E93" w:rsidRDefault="00EB0E93" w:rsidP="00EB0E93">
            <w:pPr>
              <w:pStyle w:val="NoSpacing"/>
              <w:jc w:val="right"/>
            </w:pPr>
            <w:r>
              <w:t>3,63%</w:t>
            </w:r>
          </w:p>
          <w:p w:rsidR="00EB0E93" w:rsidRDefault="00EB0E93" w:rsidP="00EB0E93">
            <w:pPr>
              <w:pStyle w:val="NoSpacing"/>
              <w:jc w:val="right"/>
            </w:pPr>
            <w:r>
              <w:t>1,75%</w:t>
            </w:r>
          </w:p>
          <w:p w:rsidR="00EB0E93" w:rsidRDefault="00EB0E93" w:rsidP="00EB0E93">
            <w:pPr>
              <w:pStyle w:val="NoSpacing"/>
              <w:jc w:val="right"/>
            </w:pPr>
            <w:r>
              <w:t>1,09%</w:t>
            </w:r>
          </w:p>
          <w:p w:rsidR="00EB0E93" w:rsidRDefault="00EB0E93" w:rsidP="00EB0E93">
            <w:pPr>
              <w:pStyle w:val="NoSpacing"/>
              <w:jc w:val="right"/>
            </w:pPr>
            <w:r>
              <w:t>1,09%</w:t>
            </w:r>
          </w:p>
          <w:p w:rsidR="00EB0E93" w:rsidRDefault="00EB0E93" w:rsidP="00EB0E93">
            <w:pPr>
              <w:pStyle w:val="NoSpacing"/>
              <w:jc w:val="right"/>
            </w:pPr>
            <w:r>
              <w:t>0,85%</w:t>
            </w:r>
          </w:p>
          <w:p w:rsidR="00EB0E93" w:rsidRDefault="00EB0E93" w:rsidP="00EB0E93">
            <w:pPr>
              <w:pStyle w:val="NoSpacing"/>
              <w:jc w:val="right"/>
            </w:pPr>
            <w:r>
              <w:t>0,66%</w:t>
            </w:r>
          </w:p>
        </w:tc>
        <w:tc>
          <w:tcPr>
            <w:tcW w:w="805" w:type="pct"/>
            <w:tcBorders>
              <w:top w:val="nil"/>
              <w:bottom w:val="single" w:sz="4" w:space="0" w:color="auto"/>
            </w:tcBorders>
          </w:tcPr>
          <w:p w:rsidR="00EB0E93" w:rsidRDefault="00EB0E93" w:rsidP="00EB0E93">
            <w:pPr>
              <w:pStyle w:val="NoSpacing"/>
              <w:jc w:val="right"/>
            </w:pPr>
            <w:r>
              <w:t>2,71%</w:t>
            </w:r>
          </w:p>
          <w:p w:rsidR="00EB0E93" w:rsidRDefault="00EB0E93" w:rsidP="00EB0E93">
            <w:pPr>
              <w:pStyle w:val="NoSpacing"/>
              <w:jc w:val="right"/>
            </w:pPr>
            <w:r>
              <w:t>6,34%</w:t>
            </w:r>
          </w:p>
          <w:p w:rsidR="00EB0E93" w:rsidRDefault="00EB0E93" w:rsidP="00EB0E93">
            <w:pPr>
              <w:pStyle w:val="NoSpacing"/>
              <w:jc w:val="right"/>
            </w:pPr>
            <w:r>
              <w:t>2,54%</w:t>
            </w:r>
          </w:p>
          <w:p w:rsidR="00EB0E93" w:rsidRDefault="00EB0E93" w:rsidP="00EB0E93">
            <w:pPr>
              <w:pStyle w:val="NoSpacing"/>
              <w:jc w:val="right"/>
            </w:pPr>
            <w:r>
              <w:t>2,48%</w:t>
            </w:r>
          </w:p>
          <w:p w:rsidR="00EB0E93" w:rsidRDefault="00EB0E93" w:rsidP="00EB0E93">
            <w:pPr>
              <w:pStyle w:val="NoSpacing"/>
              <w:jc w:val="right"/>
            </w:pPr>
            <w:r>
              <w:t>13,97%</w:t>
            </w:r>
          </w:p>
          <w:p w:rsidR="00EB0E93" w:rsidRDefault="00EB0E93" w:rsidP="00EB0E93">
            <w:pPr>
              <w:pStyle w:val="NoSpacing"/>
              <w:jc w:val="right"/>
            </w:pPr>
            <w:r>
              <w:t>4,42%</w:t>
            </w:r>
          </w:p>
          <w:p w:rsidR="00EB0E93" w:rsidRDefault="00EB0E93" w:rsidP="00EB0E93">
            <w:pPr>
              <w:pStyle w:val="NoSpacing"/>
              <w:jc w:val="right"/>
            </w:pPr>
            <w:r>
              <w:t>4,05%</w:t>
            </w:r>
          </w:p>
          <w:p w:rsidR="00EB0E93" w:rsidRDefault="00EB0E93" w:rsidP="00EB0E93">
            <w:pPr>
              <w:pStyle w:val="NoSpacing"/>
              <w:jc w:val="right"/>
            </w:pPr>
            <w:r>
              <w:t>4,62%</w:t>
            </w:r>
          </w:p>
          <w:p w:rsidR="00EB0E93" w:rsidRDefault="00EB0E93" w:rsidP="00EB0E93">
            <w:pPr>
              <w:pStyle w:val="NoSpacing"/>
              <w:jc w:val="right"/>
            </w:pPr>
            <w:r>
              <w:t>4,30%</w:t>
            </w:r>
          </w:p>
          <w:p w:rsidR="00EB0E93" w:rsidRDefault="00EB0E93" w:rsidP="00EB0E93">
            <w:pPr>
              <w:pStyle w:val="NoSpacing"/>
              <w:jc w:val="right"/>
            </w:pPr>
            <w:r>
              <w:t>6,14%</w:t>
            </w:r>
          </w:p>
        </w:tc>
      </w:tr>
      <w:tr w:rsidR="00EB0E93" w:rsidTr="001F2DE5">
        <w:tc>
          <w:tcPr>
            <w:tcW w:w="5000" w:type="pct"/>
            <w:gridSpan w:val="6"/>
            <w:tcBorders>
              <w:top w:val="single" w:sz="4" w:space="0" w:color="auto"/>
            </w:tcBorders>
          </w:tcPr>
          <w:p w:rsidR="00EB0E93" w:rsidRPr="006B267C" w:rsidRDefault="00EB0E93" w:rsidP="001F2DE5">
            <w:pPr>
              <w:rPr>
                <w:color w:val="FF0000"/>
              </w:rPr>
            </w:pPr>
            <w:proofErr w:type="spellStart"/>
            <w:r>
              <w:rPr>
                <w:rStyle w:val="SubtleEmphasis"/>
                <w:color w:val="FF0000"/>
              </w:rPr>
              <w:t>Markt</w:t>
            </w:r>
            <w:proofErr w:type="spellEnd"/>
            <w:r>
              <w:rPr>
                <w:rStyle w:val="SubtleEmphasis"/>
                <w:color w:val="FF0000"/>
              </w:rPr>
              <w:t xml:space="preserve"> Model</w:t>
            </w:r>
          </w:p>
        </w:tc>
      </w:tr>
      <w:tr w:rsidR="00EB0E93" w:rsidTr="001F2DE5">
        <w:tc>
          <w:tcPr>
            <w:tcW w:w="807" w:type="pct"/>
            <w:tcBorders>
              <w:top w:val="nil"/>
              <w:bottom w:val="nil"/>
            </w:tcBorders>
          </w:tcPr>
          <w:p w:rsidR="00EB0E93" w:rsidRDefault="00EB0E93" w:rsidP="00EB0E93">
            <w:pPr>
              <w:pStyle w:val="NoSpacing"/>
            </w:pPr>
            <w:r>
              <w:t>A.R. op t=-5</w:t>
            </w:r>
          </w:p>
        </w:tc>
        <w:tc>
          <w:tcPr>
            <w:tcW w:w="807" w:type="pct"/>
            <w:tcBorders>
              <w:top w:val="nil"/>
              <w:bottom w:val="nil"/>
            </w:tcBorders>
          </w:tcPr>
          <w:p w:rsidR="00EB0E93" w:rsidRDefault="00EB0E93" w:rsidP="00EB0E93">
            <w:pPr>
              <w:pStyle w:val="NoSpacing"/>
              <w:jc w:val="right"/>
            </w:pPr>
            <w:r>
              <w:t>-3,54%</w:t>
            </w:r>
          </w:p>
        </w:tc>
        <w:tc>
          <w:tcPr>
            <w:tcW w:w="916" w:type="pct"/>
            <w:tcBorders>
              <w:top w:val="nil"/>
              <w:bottom w:val="nil"/>
            </w:tcBorders>
            <w:noWrap/>
          </w:tcPr>
          <w:p w:rsidR="00EB0E93" w:rsidRDefault="00EB0E93" w:rsidP="00EB0E93">
            <w:pPr>
              <w:pStyle w:val="NoSpacing"/>
              <w:jc w:val="right"/>
            </w:pPr>
            <w:r>
              <w:t>-0,69%</w:t>
            </w:r>
          </w:p>
        </w:tc>
        <w:tc>
          <w:tcPr>
            <w:tcW w:w="857" w:type="pct"/>
            <w:tcBorders>
              <w:top w:val="nil"/>
              <w:bottom w:val="nil"/>
            </w:tcBorders>
          </w:tcPr>
          <w:p w:rsidR="00EB0E93" w:rsidRDefault="00EB0E93" w:rsidP="00EB0E93">
            <w:pPr>
              <w:pStyle w:val="NoSpacing"/>
              <w:jc w:val="right"/>
            </w:pPr>
            <w:r>
              <w:t>0,23%</w:t>
            </w:r>
          </w:p>
        </w:tc>
        <w:tc>
          <w:tcPr>
            <w:tcW w:w="808" w:type="pct"/>
            <w:tcBorders>
              <w:top w:val="nil"/>
              <w:bottom w:val="nil"/>
            </w:tcBorders>
          </w:tcPr>
          <w:p w:rsidR="00EB0E93" w:rsidRDefault="00EB0E93" w:rsidP="00EB0E93">
            <w:pPr>
              <w:pStyle w:val="NoSpacing"/>
              <w:jc w:val="right"/>
            </w:pPr>
            <w:r>
              <w:t>0,77%</w:t>
            </w:r>
          </w:p>
        </w:tc>
        <w:tc>
          <w:tcPr>
            <w:tcW w:w="805" w:type="pct"/>
            <w:tcBorders>
              <w:top w:val="nil"/>
              <w:bottom w:val="nil"/>
            </w:tcBorders>
          </w:tcPr>
          <w:p w:rsidR="00EB0E93" w:rsidRDefault="00EB0E93" w:rsidP="00EB0E93">
            <w:pPr>
              <w:pStyle w:val="NoSpacing"/>
              <w:jc w:val="right"/>
            </w:pPr>
            <w:r>
              <w:t>4,40%</w:t>
            </w:r>
          </w:p>
        </w:tc>
      </w:tr>
      <w:tr w:rsidR="00EB0E93" w:rsidTr="001F2DE5">
        <w:tc>
          <w:tcPr>
            <w:tcW w:w="807" w:type="pct"/>
            <w:tcBorders>
              <w:top w:val="nil"/>
              <w:bottom w:val="nil"/>
            </w:tcBorders>
          </w:tcPr>
          <w:p w:rsidR="00EB0E93" w:rsidRDefault="00EB0E93" w:rsidP="00EB0E93">
            <w:pPr>
              <w:pStyle w:val="NoSpacing"/>
            </w:pPr>
            <w:r>
              <w:t>A.R. op t=-4</w:t>
            </w:r>
          </w:p>
          <w:p w:rsidR="00EB0E93" w:rsidRDefault="00EB0E93" w:rsidP="00EB0E93">
            <w:pPr>
              <w:pStyle w:val="NoSpacing"/>
            </w:pPr>
            <w:r>
              <w:t>A.R. op t=-3</w:t>
            </w:r>
          </w:p>
          <w:p w:rsidR="00EB0E93" w:rsidRDefault="00EB0E93" w:rsidP="00EB0E93">
            <w:pPr>
              <w:pStyle w:val="NoSpacing"/>
            </w:pPr>
            <w:r>
              <w:t>A.R. op t=-2</w:t>
            </w:r>
          </w:p>
          <w:p w:rsidR="00EB0E93" w:rsidRDefault="00EB0E93" w:rsidP="00EB0E93">
            <w:pPr>
              <w:pStyle w:val="NoSpacing"/>
            </w:pPr>
            <w:r>
              <w:t>A.R. op t=-1</w:t>
            </w:r>
          </w:p>
          <w:p w:rsidR="00EB0E93" w:rsidRDefault="00EB0E93" w:rsidP="00EB0E93">
            <w:pPr>
              <w:pStyle w:val="NoSpacing"/>
            </w:pPr>
            <w:r>
              <w:t>A.R. op t=0</w:t>
            </w:r>
          </w:p>
          <w:p w:rsidR="00EB0E93" w:rsidRDefault="00EB0E93" w:rsidP="00EB0E93">
            <w:pPr>
              <w:pStyle w:val="NoSpacing"/>
            </w:pPr>
            <w:r>
              <w:t>A.R. op t=1</w:t>
            </w:r>
          </w:p>
          <w:p w:rsidR="00EB0E93" w:rsidRDefault="00EB0E93" w:rsidP="00EB0E93">
            <w:pPr>
              <w:pStyle w:val="NoSpacing"/>
            </w:pPr>
            <w:r>
              <w:t>A.R. op t=2</w:t>
            </w:r>
          </w:p>
          <w:p w:rsidR="00EB0E93" w:rsidRDefault="00EB0E93" w:rsidP="00EB0E93">
            <w:pPr>
              <w:pStyle w:val="NoSpacing"/>
            </w:pPr>
            <w:r>
              <w:t>A.R. op t=3</w:t>
            </w:r>
          </w:p>
          <w:p w:rsidR="00EB0E93" w:rsidRDefault="00EB0E93" w:rsidP="00EB0E93">
            <w:pPr>
              <w:pStyle w:val="NoSpacing"/>
            </w:pPr>
            <w:r>
              <w:t xml:space="preserve">A.R. op t=4 </w:t>
            </w:r>
          </w:p>
          <w:p w:rsidR="00EB0E93" w:rsidRDefault="00EB0E93" w:rsidP="00EB0E93">
            <w:pPr>
              <w:pStyle w:val="NoSpacing"/>
            </w:pPr>
            <w:r>
              <w:t>A.R. op t=5</w:t>
            </w:r>
          </w:p>
        </w:tc>
        <w:tc>
          <w:tcPr>
            <w:tcW w:w="807" w:type="pct"/>
            <w:tcBorders>
              <w:top w:val="nil"/>
              <w:bottom w:val="nil"/>
            </w:tcBorders>
          </w:tcPr>
          <w:p w:rsidR="00EB0E93" w:rsidRDefault="00EB0E93" w:rsidP="00EB0E93">
            <w:pPr>
              <w:pStyle w:val="NoSpacing"/>
              <w:jc w:val="right"/>
            </w:pPr>
            <w:r>
              <w:t>-5,62%</w:t>
            </w:r>
          </w:p>
          <w:p w:rsidR="00EB0E93" w:rsidRDefault="00EB0E93" w:rsidP="00EB0E93">
            <w:pPr>
              <w:pStyle w:val="NoSpacing"/>
              <w:jc w:val="right"/>
            </w:pPr>
            <w:r>
              <w:t>-5,45%</w:t>
            </w:r>
          </w:p>
          <w:p w:rsidR="00EB0E93" w:rsidRDefault="00EB0E93" w:rsidP="00EB0E93">
            <w:pPr>
              <w:pStyle w:val="NoSpacing"/>
              <w:jc w:val="right"/>
            </w:pPr>
            <w:r>
              <w:t>-4,85%</w:t>
            </w:r>
          </w:p>
          <w:p w:rsidR="00EB0E93" w:rsidRDefault="00EB0E93" w:rsidP="00EB0E93">
            <w:pPr>
              <w:pStyle w:val="NoSpacing"/>
              <w:jc w:val="right"/>
            </w:pPr>
            <w:r>
              <w:t>-1,78%</w:t>
            </w:r>
          </w:p>
          <w:p w:rsidR="00EB0E93" w:rsidRDefault="00EB0E93" w:rsidP="00EB0E93">
            <w:pPr>
              <w:pStyle w:val="NoSpacing"/>
              <w:jc w:val="right"/>
            </w:pPr>
            <w:r>
              <w:t>-5,48%</w:t>
            </w:r>
          </w:p>
          <w:p w:rsidR="00EB0E93" w:rsidRDefault="00EB0E93" w:rsidP="00EB0E93">
            <w:pPr>
              <w:pStyle w:val="NoSpacing"/>
              <w:jc w:val="right"/>
            </w:pPr>
            <w:r>
              <w:t>-3,60%</w:t>
            </w:r>
          </w:p>
          <w:p w:rsidR="00EB0E93" w:rsidRDefault="00EB0E93" w:rsidP="00EB0E93">
            <w:pPr>
              <w:pStyle w:val="NoSpacing"/>
              <w:jc w:val="right"/>
            </w:pPr>
            <w:r>
              <w:t>-4,18%</w:t>
            </w:r>
          </w:p>
          <w:p w:rsidR="00EB0E93" w:rsidRDefault="00EB0E93" w:rsidP="00EB0E93">
            <w:pPr>
              <w:pStyle w:val="NoSpacing"/>
              <w:jc w:val="right"/>
            </w:pPr>
            <w:r>
              <w:t>-4,16%</w:t>
            </w:r>
          </w:p>
          <w:p w:rsidR="00EB0E93" w:rsidRDefault="00EB0E93" w:rsidP="00EB0E93">
            <w:pPr>
              <w:pStyle w:val="NoSpacing"/>
              <w:jc w:val="right"/>
            </w:pPr>
            <w:r>
              <w:t>-2,47%</w:t>
            </w:r>
          </w:p>
          <w:p w:rsidR="00EB0E93" w:rsidRDefault="00EB0E93" w:rsidP="00EB0E93">
            <w:pPr>
              <w:pStyle w:val="NoSpacing"/>
              <w:jc w:val="right"/>
            </w:pPr>
            <w:r>
              <w:rPr>
                <w:lang w:val="nl-NL"/>
              </w:rPr>
              <w:t>-</w:t>
            </w:r>
            <w:r>
              <w:t>2,77%</w:t>
            </w:r>
          </w:p>
        </w:tc>
        <w:tc>
          <w:tcPr>
            <w:tcW w:w="916" w:type="pct"/>
            <w:tcBorders>
              <w:top w:val="nil"/>
              <w:bottom w:val="nil"/>
            </w:tcBorders>
            <w:noWrap/>
          </w:tcPr>
          <w:p w:rsidR="00EB0E93" w:rsidRDefault="00EB0E93" w:rsidP="00EB0E93">
            <w:pPr>
              <w:pStyle w:val="NoSpacing"/>
              <w:jc w:val="right"/>
            </w:pPr>
            <w:r>
              <w:t>-0,74%</w:t>
            </w:r>
          </w:p>
          <w:p w:rsidR="00EB0E93" w:rsidRDefault="00EB0E93" w:rsidP="00EB0E93">
            <w:pPr>
              <w:pStyle w:val="NoSpacing"/>
              <w:jc w:val="right"/>
            </w:pPr>
            <w:r>
              <w:t>-0,51%</w:t>
            </w:r>
          </w:p>
          <w:p w:rsidR="00EB0E93" w:rsidRDefault="00EB0E93" w:rsidP="00EB0E93">
            <w:pPr>
              <w:pStyle w:val="NoSpacing"/>
              <w:jc w:val="right"/>
            </w:pPr>
            <w:r>
              <w:t>-0,89%</w:t>
            </w:r>
          </w:p>
          <w:p w:rsidR="00EB0E93" w:rsidRDefault="00EB0E93" w:rsidP="00EB0E93">
            <w:pPr>
              <w:pStyle w:val="NoSpacing"/>
              <w:jc w:val="right"/>
            </w:pPr>
            <w:r>
              <w:t>-0,78%</w:t>
            </w:r>
          </w:p>
          <w:p w:rsidR="00EB0E93" w:rsidRDefault="00EB0E93" w:rsidP="00EB0E93">
            <w:pPr>
              <w:pStyle w:val="NoSpacing"/>
              <w:jc w:val="right"/>
            </w:pPr>
            <w:r>
              <w:t>-0,79%</w:t>
            </w:r>
          </w:p>
          <w:p w:rsidR="00EB0E93" w:rsidRDefault="00EB0E93" w:rsidP="00EB0E93">
            <w:pPr>
              <w:pStyle w:val="NoSpacing"/>
              <w:jc w:val="right"/>
            </w:pPr>
            <w:r>
              <w:t>-0,41%</w:t>
            </w:r>
          </w:p>
          <w:p w:rsidR="00EB0E93" w:rsidRDefault="00EB0E93" w:rsidP="00EB0E93">
            <w:pPr>
              <w:pStyle w:val="NoSpacing"/>
              <w:jc w:val="right"/>
            </w:pPr>
            <w:r>
              <w:t>-0,84%</w:t>
            </w:r>
          </w:p>
          <w:p w:rsidR="00EB0E93" w:rsidRDefault="00EB0E93" w:rsidP="00EB0E93">
            <w:pPr>
              <w:pStyle w:val="NoSpacing"/>
              <w:jc w:val="right"/>
            </w:pPr>
            <w:r>
              <w:t>-0,78%</w:t>
            </w:r>
          </w:p>
          <w:p w:rsidR="00EB0E93" w:rsidRDefault="00EB0E93" w:rsidP="00EB0E93">
            <w:pPr>
              <w:pStyle w:val="NoSpacing"/>
              <w:jc w:val="right"/>
            </w:pPr>
            <w:r>
              <w:t>-0,34%</w:t>
            </w:r>
          </w:p>
          <w:p w:rsidR="00EB0E93" w:rsidRDefault="00EB0E93" w:rsidP="00EB0E93">
            <w:pPr>
              <w:pStyle w:val="NoSpacing"/>
              <w:jc w:val="right"/>
            </w:pPr>
            <w:r>
              <w:t>-0,80%</w:t>
            </w:r>
          </w:p>
        </w:tc>
        <w:tc>
          <w:tcPr>
            <w:tcW w:w="857" w:type="pct"/>
            <w:tcBorders>
              <w:top w:val="nil"/>
              <w:bottom w:val="nil"/>
            </w:tcBorders>
          </w:tcPr>
          <w:p w:rsidR="00EB0E93" w:rsidRDefault="00EB0E93" w:rsidP="00EB0E93">
            <w:pPr>
              <w:pStyle w:val="NoSpacing"/>
              <w:jc w:val="right"/>
            </w:pPr>
            <w:r>
              <w:t>-0,28%</w:t>
            </w:r>
          </w:p>
          <w:p w:rsidR="00EB0E93" w:rsidRDefault="00EB0E93" w:rsidP="00EB0E93">
            <w:pPr>
              <w:pStyle w:val="NoSpacing"/>
              <w:jc w:val="right"/>
            </w:pPr>
            <w:r>
              <w:t>-0,03%</w:t>
            </w:r>
          </w:p>
          <w:p w:rsidR="00EB0E93" w:rsidRDefault="00EB0E93" w:rsidP="00EB0E93">
            <w:pPr>
              <w:pStyle w:val="NoSpacing"/>
              <w:jc w:val="right"/>
            </w:pPr>
            <w:r>
              <w:t>0,03%</w:t>
            </w:r>
          </w:p>
          <w:p w:rsidR="00EB0E93" w:rsidRDefault="00EB0E93" w:rsidP="00EB0E93">
            <w:pPr>
              <w:pStyle w:val="NoSpacing"/>
              <w:jc w:val="right"/>
            </w:pPr>
            <w:r>
              <w:t>0,06%</w:t>
            </w:r>
          </w:p>
          <w:p w:rsidR="00EB0E93" w:rsidRDefault="00EB0E93" w:rsidP="00EB0E93">
            <w:pPr>
              <w:pStyle w:val="NoSpacing"/>
              <w:jc w:val="right"/>
            </w:pPr>
            <w:r>
              <w:t>0,70%</w:t>
            </w:r>
          </w:p>
          <w:p w:rsidR="00EB0E93" w:rsidRDefault="00EB0E93" w:rsidP="00EB0E93">
            <w:pPr>
              <w:pStyle w:val="NoSpacing"/>
              <w:jc w:val="right"/>
            </w:pPr>
            <w:r>
              <w:t>0,37%</w:t>
            </w:r>
          </w:p>
          <w:p w:rsidR="00EB0E93" w:rsidRDefault="00EB0E93" w:rsidP="00EB0E93">
            <w:pPr>
              <w:pStyle w:val="NoSpacing"/>
              <w:jc w:val="right"/>
            </w:pPr>
            <w:r>
              <w:t>-0,01%</w:t>
            </w:r>
          </w:p>
          <w:p w:rsidR="00EB0E93" w:rsidRDefault="00EB0E93" w:rsidP="00EB0E93">
            <w:pPr>
              <w:pStyle w:val="NoSpacing"/>
              <w:jc w:val="right"/>
            </w:pPr>
            <w:r>
              <w:t>-0,14%</w:t>
            </w:r>
          </w:p>
          <w:p w:rsidR="00EB0E93" w:rsidRDefault="00EB0E93" w:rsidP="00EB0E93">
            <w:pPr>
              <w:pStyle w:val="NoSpacing"/>
              <w:jc w:val="right"/>
            </w:pPr>
            <w:r>
              <w:t>0,38%</w:t>
            </w:r>
          </w:p>
          <w:p w:rsidR="00EB0E93" w:rsidRPr="0032661E" w:rsidRDefault="00EB0E93" w:rsidP="00EB0E93">
            <w:pPr>
              <w:pStyle w:val="NoSpacing"/>
              <w:jc w:val="right"/>
              <w:rPr>
                <w:lang w:val="nl-NL"/>
              </w:rPr>
            </w:pPr>
            <w:r>
              <w:t>-0,21%</w:t>
            </w:r>
          </w:p>
        </w:tc>
        <w:tc>
          <w:tcPr>
            <w:tcW w:w="808" w:type="pct"/>
            <w:tcBorders>
              <w:top w:val="nil"/>
              <w:bottom w:val="nil"/>
            </w:tcBorders>
          </w:tcPr>
          <w:p w:rsidR="00EB0E93" w:rsidRDefault="00EB0E93" w:rsidP="00EB0E93">
            <w:pPr>
              <w:pStyle w:val="NoSpacing"/>
              <w:jc w:val="right"/>
            </w:pPr>
            <w:r>
              <w:t>0,45%</w:t>
            </w:r>
          </w:p>
          <w:p w:rsidR="00EB0E93" w:rsidRDefault="00EB0E93" w:rsidP="00EB0E93">
            <w:pPr>
              <w:pStyle w:val="NoSpacing"/>
              <w:jc w:val="right"/>
            </w:pPr>
            <w:r>
              <w:t>0,78%</w:t>
            </w:r>
          </w:p>
          <w:p w:rsidR="00EB0E93" w:rsidRDefault="00EB0E93" w:rsidP="00EB0E93">
            <w:pPr>
              <w:pStyle w:val="NoSpacing"/>
              <w:jc w:val="right"/>
            </w:pPr>
            <w:r>
              <w:t>0,70%</w:t>
            </w:r>
          </w:p>
          <w:p w:rsidR="00EB0E93" w:rsidRDefault="00EB0E93" w:rsidP="00EB0E93">
            <w:pPr>
              <w:pStyle w:val="NoSpacing"/>
              <w:jc w:val="right"/>
            </w:pPr>
            <w:r>
              <w:t>0,78%</w:t>
            </w:r>
          </w:p>
          <w:p w:rsidR="00EB0E93" w:rsidRDefault="00EB0E93" w:rsidP="00EB0E93">
            <w:pPr>
              <w:pStyle w:val="NoSpacing"/>
              <w:jc w:val="right"/>
            </w:pPr>
            <w:r>
              <w:t>3,53%</w:t>
            </w:r>
          </w:p>
          <w:p w:rsidR="00EB0E93" w:rsidRDefault="00EB0E93" w:rsidP="00EB0E93">
            <w:pPr>
              <w:pStyle w:val="NoSpacing"/>
              <w:jc w:val="right"/>
            </w:pPr>
            <w:r>
              <w:t>1,45%</w:t>
            </w:r>
          </w:p>
          <w:p w:rsidR="00EB0E93" w:rsidRDefault="00EB0E93" w:rsidP="00EB0E93">
            <w:pPr>
              <w:pStyle w:val="NoSpacing"/>
              <w:jc w:val="right"/>
            </w:pPr>
            <w:r>
              <w:t>0,95%</w:t>
            </w:r>
          </w:p>
          <w:p w:rsidR="00EB0E93" w:rsidRDefault="00EB0E93" w:rsidP="00EB0E93">
            <w:pPr>
              <w:pStyle w:val="NoSpacing"/>
              <w:jc w:val="right"/>
            </w:pPr>
            <w:r>
              <w:t>0,91%</w:t>
            </w:r>
          </w:p>
          <w:p w:rsidR="00EB0E93" w:rsidRPr="0032661E" w:rsidRDefault="00EB0E93" w:rsidP="00EB0E93">
            <w:pPr>
              <w:pStyle w:val="NoSpacing"/>
              <w:jc w:val="right"/>
              <w:rPr>
                <w:lang w:val="nl-NL"/>
              </w:rPr>
            </w:pPr>
            <w:r>
              <w:t>0,71%</w:t>
            </w:r>
          </w:p>
          <w:p w:rsidR="00EB0E93" w:rsidRDefault="00EB0E93" w:rsidP="00EB0E93">
            <w:pPr>
              <w:pStyle w:val="NoSpacing"/>
              <w:jc w:val="right"/>
            </w:pPr>
            <w:r>
              <w:t>0,56%</w:t>
            </w:r>
          </w:p>
        </w:tc>
        <w:tc>
          <w:tcPr>
            <w:tcW w:w="805" w:type="pct"/>
            <w:tcBorders>
              <w:top w:val="nil"/>
              <w:bottom w:val="nil"/>
            </w:tcBorders>
          </w:tcPr>
          <w:p w:rsidR="00EB0E93" w:rsidRDefault="00EB0E93" w:rsidP="00EB0E93">
            <w:pPr>
              <w:pStyle w:val="NoSpacing"/>
              <w:jc w:val="right"/>
            </w:pPr>
            <w:r>
              <w:t>2,62%</w:t>
            </w:r>
          </w:p>
          <w:p w:rsidR="00EB0E93" w:rsidRDefault="00EB0E93" w:rsidP="00EB0E93">
            <w:pPr>
              <w:pStyle w:val="NoSpacing"/>
              <w:jc w:val="right"/>
            </w:pPr>
            <w:r>
              <w:t>6,25%</w:t>
            </w:r>
          </w:p>
          <w:p w:rsidR="00EB0E93" w:rsidRDefault="00EB0E93" w:rsidP="00EB0E93">
            <w:pPr>
              <w:pStyle w:val="NoSpacing"/>
              <w:jc w:val="right"/>
            </w:pPr>
            <w:r>
              <w:t>2,48%</w:t>
            </w:r>
          </w:p>
          <w:p w:rsidR="00EB0E93" w:rsidRDefault="00EB0E93" w:rsidP="00EB0E93">
            <w:pPr>
              <w:pStyle w:val="NoSpacing"/>
              <w:jc w:val="right"/>
            </w:pPr>
            <w:r>
              <w:t>2,70%</w:t>
            </w:r>
          </w:p>
          <w:p w:rsidR="00EB0E93" w:rsidRDefault="00EB0E93" w:rsidP="00EB0E93">
            <w:pPr>
              <w:pStyle w:val="NoSpacing"/>
              <w:jc w:val="right"/>
            </w:pPr>
            <w:r>
              <w:t>14,62%</w:t>
            </w:r>
          </w:p>
          <w:p w:rsidR="00EB0E93" w:rsidRDefault="00EB0E93" w:rsidP="00EB0E93">
            <w:pPr>
              <w:pStyle w:val="NoSpacing"/>
              <w:jc w:val="right"/>
            </w:pPr>
            <w:r>
              <w:t>3,98%</w:t>
            </w:r>
          </w:p>
          <w:p w:rsidR="00EB0E93" w:rsidRDefault="00EB0E93" w:rsidP="00EB0E93">
            <w:pPr>
              <w:pStyle w:val="NoSpacing"/>
              <w:jc w:val="right"/>
            </w:pPr>
            <w:r>
              <w:t>4,04%</w:t>
            </w:r>
          </w:p>
          <w:p w:rsidR="00EB0E93" w:rsidRDefault="00EB0E93" w:rsidP="00EB0E93">
            <w:pPr>
              <w:pStyle w:val="NoSpacing"/>
              <w:jc w:val="right"/>
            </w:pPr>
            <w:r>
              <w:t>4,82%</w:t>
            </w:r>
          </w:p>
          <w:p w:rsidR="00EB0E93" w:rsidRDefault="00EB0E93" w:rsidP="00EB0E93">
            <w:pPr>
              <w:pStyle w:val="NoSpacing"/>
              <w:jc w:val="right"/>
            </w:pPr>
            <w:r>
              <w:t>4,22%</w:t>
            </w:r>
          </w:p>
          <w:p w:rsidR="00EB0E93" w:rsidRDefault="00EB0E93" w:rsidP="00EB0E93">
            <w:pPr>
              <w:pStyle w:val="NoSpacing"/>
              <w:jc w:val="right"/>
            </w:pPr>
            <w:r>
              <w:t>6,23%</w:t>
            </w:r>
          </w:p>
        </w:tc>
      </w:tr>
      <w:tr w:rsidR="00EB0E93" w:rsidTr="001F2DE5">
        <w:trPr>
          <w:cnfStyle w:val="010000000000"/>
        </w:trPr>
        <w:tc>
          <w:tcPr>
            <w:tcW w:w="807" w:type="pct"/>
            <w:tcBorders>
              <w:top w:val="nil"/>
            </w:tcBorders>
          </w:tcPr>
          <w:p w:rsidR="00EB0E93" w:rsidRDefault="00EB0E93" w:rsidP="00EB0E93">
            <w:pPr>
              <w:pStyle w:val="NoSpacing"/>
            </w:pPr>
          </w:p>
          <w:p w:rsidR="00EB0E93" w:rsidRPr="00DC5F07" w:rsidRDefault="00E77650" w:rsidP="00EB0E93">
            <w:pPr>
              <w:pStyle w:val="NoSpacing"/>
            </w:pPr>
            <m:oMath>
              <m:acc>
                <m:accPr>
                  <m:ctrlPr>
                    <w:rPr>
                      <w:rFonts w:ascii="Cambria Math" w:hAnsi="Cambria Math"/>
                      <w:i/>
                    </w:rPr>
                  </m:ctrlPr>
                </m:accPr>
                <m:e>
                  <m:r>
                    <w:rPr>
                      <w:rFonts w:ascii="Cambria Math" w:hAnsi="Cambria Math"/>
                    </w:rPr>
                    <m:t>α</m:t>
                  </m:r>
                </m:e>
              </m:acc>
            </m:oMath>
            <w:r w:rsidR="00DC5F07" w:rsidRPr="00DC5F07">
              <w:t xml:space="preserve"> </w:t>
            </w:r>
          </w:p>
          <w:p w:rsidR="00EB0E93" w:rsidRPr="00DC5F07" w:rsidRDefault="00E77650" w:rsidP="00EB0E93">
            <w:pPr>
              <w:pStyle w:val="NoSpacing"/>
            </w:pPr>
            <m:oMathPara>
              <m:oMathParaPr>
                <m:jc m:val="left"/>
              </m:oMathParaPr>
              <m:oMath>
                <m:acc>
                  <m:accPr>
                    <m:ctrlPr>
                      <w:rPr>
                        <w:rFonts w:ascii="Cambria Math" w:hAnsi="Cambria Math"/>
                        <w:b/>
                        <w:i/>
                      </w:rPr>
                    </m:ctrlPr>
                  </m:accPr>
                  <m:e>
                    <m:r>
                      <w:rPr>
                        <w:rFonts w:ascii="Cambria Math" w:hAnsi="Cambria Math"/>
                      </w:rPr>
                      <m:t>β</m:t>
                    </m:r>
                  </m:e>
                </m:acc>
              </m:oMath>
            </m:oMathPara>
          </w:p>
        </w:tc>
        <w:tc>
          <w:tcPr>
            <w:tcW w:w="807" w:type="pct"/>
            <w:tcBorders>
              <w:top w:val="nil"/>
            </w:tcBorders>
          </w:tcPr>
          <w:p w:rsidR="00EB0E93" w:rsidRDefault="00EB0E93" w:rsidP="00EB0E93">
            <w:pPr>
              <w:pStyle w:val="NoSpacing"/>
              <w:jc w:val="right"/>
            </w:pPr>
          </w:p>
          <w:p w:rsidR="00EB0E93" w:rsidRDefault="00EB0E93" w:rsidP="00EB0E93">
            <w:pPr>
              <w:pStyle w:val="NoSpacing"/>
              <w:jc w:val="right"/>
            </w:pPr>
            <w:r>
              <w:t>0,00</w:t>
            </w:r>
          </w:p>
          <w:p w:rsidR="00EB0E93" w:rsidRDefault="00EB0E93" w:rsidP="00EB0E93">
            <w:pPr>
              <w:pStyle w:val="NoSpacing"/>
              <w:jc w:val="right"/>
            </w:pPr>
            <w:r>
              <w:t>0,29</w:t>
            </w:r>
          </w:p>
        </w:tc>
        <w:tc>
          <w:tcPr>
            <w:tcW w:w="916" w:type="pct"/>
            <w:tcBorders>
              <w:top w:val="nil"/>
            </w:tcBorders>
            <w:noWrap/>
          </w:tcPr>
          <w:p w:rsidR="00EB0E93" w:rsidRDefault="00EB0E93" w:rsidP="00EB0E93">
            <w:pPr>
              <w:pStyle w:val="NoSpacing"/>
              <w:jc w:val="right"/>
            </w:pPr>
          </w:p>
          <w:p w:rsidR="00EB0E93" w:rsidRDefault="00EB0E93" w:rsidP="00EB0E93">
            <w:pPr>
              <w:pStyle w:val="NoSpacing"/>
              <w:jc w:val="right"/>
            </w:pPr>
            <w:r>
              <w:t>0,00</w:t>
            </w:r>
          </w:p>
          <w:p w:rsidR="00EB0E93" w:rsidRDefault="00EB0E93" w:rsidP="00EB0E93">
            <w:pPr>
              <w:pStyle w:val="NoSpacing"/>
              <w:jc w:val="right"/>
            </w:pPr>
            <w:r>
              <w:t>0,53</w:t>
            </w:r>
          </w:p>
        </w:tc>
        <w:tc>
          <w:tcPr>
            <w:tcW w:w="857" w:type="pct"/>
            <w:tcBorders>
              <w:top w:val="nil"/>
            </w:tcBorders>
          </w:tcPr>
          <w:p w:rsidR="00EB0E93" w:rsidRDefault="00EB0E93" w:rsidP="00EB0E93">
            <w:pPr>
              <w:pStyle w:val="NoSpacing"/>
              <w:jc w:val="right"/>
            </w:pPr>
          </w:p>
          <w:p w:rsidR="00EB0E93" w:rsidRDefault="00EB0E93" w:rsidP="00EB0E93">
            <w:pPr>
              <w:pStyle w:val="NoSpacing"/>
              <w:jc w:val="right"/>
            </w:pPr>
            <w:r>
              <w:t>0,00</w:t>
            </w:r>
          </w:p>
          <w:p w:rsidR="00EB0E93" w:rsidRDefault="00EB0E93" w:rsidP="00EB0E93">
            <w:pPr>
              <w:pStyle w:val="NoSpacing"/>
              <w:jc w:val="right"/>
            </w:pPr>
            <w:r>
              <w:t>0,77</w:t>
            </w:r>
          </w:p>
        </w:tc>
        <w:tc>
          <w:tcPr>
            <w:tcW w:w="808" w:type="pct"/>
            <w:tcBorders>
              <w:top w:val="nil"/>
            </w:tcBorders>
          </w:tcPr>
          <w:p w:rsidR="00EB0E93" w:rsidRDefault="00EB0E93" w:rsidP="00EB0E93">
            <w:pPr>
              <w:pStyle w:val="NoSpacing"/>
              <w:jc w:val="right"/>
            </w:pPr>
          </w:p>
          <w:p w:rsidR="00EB0E93" w:rsidRDefault="00EB0E93" w:rsidP="00EB0E93">
            <w:pPr>
              <w:pStyle w:val="NoSpacing"/>
              <w:jc w:val="right"/>
            </w:pPr>
            <w:r>
              <w:t>0,00</w:t>
            </w:r>
          </w:p>
          <w:p w:rsidR="00EB0E93" w:rsidRDefault="00EB0E93" w:rsidP="00EB0E93">
            <w:pPr>
              <w:pStyle w:val="NoSpacing"/>
              <w:jc w:val="right"/>
            </w:pPr>
            <w:r>
              <w:t>1,10</w:t>
            </w:r>
          </w:p>
        </w:tc>
        <w:tc>
          <w:tcPr>
            <w:tcW w:w="805" w:type="pct"/>
            <w:tcBorders>
              <w:top w:val="nil"/>
            </w:tcBorders>
          </w:tcPr>
          <w:p w:rsidR="00EB0E93" w:rsidRDefault="00EB0E93" w:rsidP="00EB0E93">
            <w:pPr>
              <w:pStyle w:val="NoSpacing"/>
              <w:jc w:val="right"/>
            </w:pPr>
          </w:p>
          <w:p w:rsidR="00EB0E93" w:rsidRDefault="00EB0E93" w:rsidP="00EB0E93">
            <w:pPr>
              <w:pStyle w:val="NoSpacing"/>
              <w:jc w:val="right"/>
            </w:pPr>
            <w:r>
              <w:t>0,00</w:t>
            </w:r>
          </w:p>
          <w:p w:rsidR="00EB0E93" w:rsidRDefault="00EB0E93" w:rsidP="00EB0E93">
            <w:pPr>
              <w:pStyle w:val="NoSpacing"/>
              <w:keepNext/>
              <w:jc w:val="right"/>
            </w:pPr>
            <w:r>
              <w:t>1,89</w:t>
            </w:r>
          </w:p>
        </w:tc>
      </w:tr>
    </w:tbl>
    <w:p w:rsidR="00EB0E93" w:rsidRDefault="000342CE">
      <w:pPr>
        <w:pStyle w:val="Caption"/>
      </w:pPr>
      <w:r>
        <w:t xml:space="preserve">NB: </w:t>
      </w:r>
      <w:r w:rsidR="001F2DE5">
        <w:t>A.R. staat voor abnormaal rendement</w:t>
      </w:r>
    </w:p>
    <w:p w:rsidR="00EB0E93" w:rsidRDefault="00EB0E93" w:rsidP="00EB0E93">
      <w:pPr>
        <w:pStyle w:val="NoSpacing"/>
      </w:pPr>
      <w:r>
        <w:br w:type="page"/>
      </w:r>
    </w:p>
    <w:p w:rsidR="006F5F53" w:rsidRDefault="006F5F53" w:rsidP="006F5F53">
      <w:pPr>
        <w:pStyle w:val="NoSpacing"/>
        <w:rPr>
          <w:rFonts w:eastAsiaTheme="minorEastAsia"/>
          <w:b/>
        </w:rPr>
      </w:pPr>
      <w:r>
        <w:rPr>
          <w:b/>
        </w:rPr>
        <w:lastRenderedPageBreak/>
        <w:t xml:space="preserve">Bijlage 4: </w:t>
      </w:r>
      <w:r w:rsidRPr="00401A7C">
        <w:rPr>
          <w:b/>
        </w:rPr>
        <w:t xml:space="preserve">Berekende </w:t>
      </w:r>
      <m:oMath>
        <m:acc>
          <m:accPr>
            <m:ctrlPr>
              <w:rPr>
                <w:rFonts w:ascii="Cambria Math" w:hAnsi="Cambria Math"/>
                <w:b/>
                <w:i/>
              </w:rPr>
            </m:ctrlPr>
          </m:accPr>
          <m:e>
            <m:r>
              <m:rPr>
                <m:sty m:val="bi"/>
              </m:rPr>
              <w:rPr>
                <w:rFonts w:ascii="Cambria Math" w:hAnsi="Cambria Math"/>
              </w:rPr>
              <m:t>α</m:t>
            </m:r>
          </m:e>
        </m:acc>
      </m:oMath>
      <w:r w:rsidRPr="00401A7C">
        <w:rPr>
          <w:b/>
        </w:rPr>
        <w:t xml:space="preserve"> en </w:t>
      </w:r>
      <m:oMath>
        <m:acc>
          <m:accPr>
            <m:ctrlPr>
              <w:rPr>
                <w:rFonts w:ascii="Cambria Math" w:hAnsi="Cambria Math"/>
                <w:b/>
                <w:i/>
              </w:rPr>
            </m:ctrlPr>
          </m:accPr>
          <m:e>
            <m:r>
              <m:rPr>
                <m:sty m:val="bi"/>
              </m:rPr>
              <w:rPr>
                <w:rFonts w:ascii="Cambria Math" w:hAnsi="Cambria Math"/>
              </w:rPr>
              <m:t>β</m:t>
            </m:r>
          </m:e>
        </m:acc>
      </m:oMath>
      <w:r>
        <w:rPr>
          <w:rFonts w:eastAsiaTheme="minorEastAsia"/>
          <w:b/>
        </w:rPr>
        <w:t xml:space="preserve"> van het </w:t>
      </w:r>
      <w:r w:rsidR="00F447A1">
        <w:rPr>
          <w:rFonts w:eastAsiaTheme="minorEastAsia"/>
          <w:b/>
        </w:rPr>
        <w:t>Markt Model</w:t>
      </w:r>
    </w:p>
    <w:p w:rsidR="004B0D81" w:rsidRDefault="004B0D81" w:rsidP="006F5F53">
      <w:pPr>
        <w:pStyle w:val="NoSpacing"/>
        <w:rPr>
          <w:rFonts w:eastAsiaTheme="minorEastAsia"/>
          <w:b/>
        </w:rPr>
      </w:pPr>
    </w:p>
    <w:tbl>
      <w:tblPr>
        <w:tblW w:w="10361" w:type="dxa"/>
        <w:tblInd w:w="40" w:type="dxa"/>
        <w:tblLayout w:type="fixed"/>
        <w:tblCellMar>
          <w:left w:w="70" w:type="dxa"/>
          <w:right w:w="70" w:type="dxa"/>
        </w:tblCellMar>
        <w:tblLook w:val="0000"/>
      </w:tblPr>
      <w:tblGrid>
        <w:gridCol w:w="1562"/>
        <w:gridCol w:w="1354"/>
        <w:gridCol w:w="1385"/>
        <w:gridCol w:w="1224"/>
        <w:gridCol w:w="1596"/>
        <w:gridCol w:w="1176"/>
        <w:gridCol w:w="1032"/>
        <w:gridCol w:w="1032"/>
      </w:tblGrid>
      <w:tr w:rsidR="004B0D81" w:rsidRPr="004B0D81" w:rsidTr="004B0D81">
        <w:trPr>
          <w:trHeight w:val="290"/>
        </w:trPr>
        <w:tc>
          <w:tcPr>
            <w:tcW w:w="1562"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rPr>
                <w:rFonts w:ascii="Calibri" w:hAnsi="Calibri" w:cs="Calibri"/>
                <w:b/>
                <w:bCs/>
                <w:color w:val="FFFFFF"/>
              </w:rPr>
            </w:pPr>
            <w:r w:rsidRPr="004B0D81">
              <w:rPr>
                <w:rFonts w:ascii="Calibri" w:hAnsi="Calibri" w:cs="Calibri"/>
                <w:b/>
                <w:bCs/>
                <w:color w:val="FFFFFF"/>
              </w:rPr>
              <w:t>Onderneming</w:t>
            </w:r>
          </w:p>
        </w:tc>
        <w:tc>
          <w:tcPr>
            <w:tcW w:w="1354"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rPr>
                <w:rFonts w:ascii="Calibri" w:hAnsi="Calibri" w:cs="Calibri"/>
                <w:b/>
                <w:bCs/>
                <w:color w:val="FFFFFF"/>
              </w:rPr>
            </w:pPr>
            <w:r w:rsidRPr="004B0D81">
              <w:rPr>
                <w:rFonts w:ascii="Calibri" w:hAnsi="Calibri" w:cs="Calibri"/>
                <w:b/>
                <w:bCs/>
                <w:color w:val="FFFFFF"/>
              </w:rPr>
              <w:t>Datum</w:t>
            </w:r>
          </w:p>
        </w:tc>
        <w:tc>
          <w:tcPr>
            <w:tcW w:w="1385"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jc w:val="right"/>
              <w:rPr>
                <w:rFonts w:ascii="Calibri" w:hAnsi="Calibri" w:cs="Calibri"/>
                <w:b/>
                <w:bCs/>
                <w:color w:val="FFFFFF"/>
              </w:rPr>
            </w:pPr>
            <w:r w:rsidRPr="004B0D81">
              <w:rPr>
                <w:rFonts w:ascii="Calibri" w:hAnsi="Calibri" w:cs="Calibri"/>
                <w:b/>
                <w:bCs/>
                <w:color w:val="FFFFFF"/>
              </w:rPr>
              <w:t>α</w:t>
            </w:r>
          </w:p>
        </w:tc>
        <w:tc>
          <w:tcPr>
            <w:tcW w:w="1224"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jc w:val="right"/>
              <w:rPr>
                <w:rFonts w:ascii="Calibri" w:hAnsi="Calibri" w:cs="Calibri"/>
                <w:b/>
                <w:bCs/>
                <w:color w:val="FFFFFF"/>
              </w:rPr>
            </w:pPr>
            <w:r w:rsidRPr="004B0D81">
              <w:rPr>
                <w:rFonts w:ascii="Calibri" w:hAnsi="Calibri" w:cs="Calibri"/>
                <w:b/>
                <w:bCs/>
                <w:color w:val="FFFFFF"/>
              </w:rPr>
              <w:t>β</w:t>
            </w:r>
          </w:p>
        </w:tc>
        <w:tc>
          <w:tcPr>
            <w:tcW w:w="1596"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rPr>
                <w:rFonts w:ascii="Calibri" w:hAnsi="Calibri" w:cs="Calibri"/>
                <w:b/>
                <w:bCs/>
                <w:color w:val="FFFFFF"/>
              </w:rPr>
            </w:pPr>
            <w:r w:rsidRPr="004B0D81">
              <w:rPr>
                <w:rFonts w:ascii="Calibri" w:hAnsi="Calibri" w:cs="Calibri"/>
                <w:b/>
                <w:bCs/>
                <w:color w:val="FFFFFF"/>
              </w:rPr>
              <w:t>Onderneming</w:t>
            </w:r>
          </w:p>
        </w:tc>
        <w:tc>
          <w:tcPr>
            <w:tcW w:w="1176"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rPr>
                <w:rFonts w:ascii="Calibri" w:hAnsi="Calibri" w:cs="Calibri"/>
                <w:b/>
                <w:bCs/>
                <w:color w:val="FFFFFF"/>
              </w:rPr>
            </w:pPr>
            <w:r w:rsidRPr="004B0D81">
              <w:rPr>
                <w:rFonts w:ascii="Calibri" w:hAnsi="Calibri" w:cs="Calibri"/>
                <w:b/>
                <w:bCs/>
                <w:color w:val="FFFFFF"/>
              </w:rPr>
              <w:t>Datum</w:t>
            </w:r>
          </w:p>
        </w:tc>
        <w:tc>
          <w:tcPr>
            <w:tcW w:w="1032"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jc w:val="right"/>
              <w:rPr>
                <w:rFonts w:ascii="Calibri" w:hAnsi="Calibri" w:cs="Calibri"/>
                <w:b/>
                <w:bCs/>
                <w:color w:val="FFFFFF"/>
              </w:rPr>
            </w:pPr>
            <w:r w:rsidRPr="004B0D81">
              <w:rPr>
                <w:rFonts w:ascii="Calibri" w:hAnsi="Calibri" w:cs="Calibri"/>
                <w:b/>
                <w:bCs/>
                <w:color w:val="FFFFFF"/>
              </w:rPr>
              <w:t>α</w:t>
            </w:r>
          </w:p>
        </w:tc>
        <w:tc>
          <w:tcPr>
            <w:tcW w:w="1032" w:type="dxa"/>
            <w:tcBorders>
              <w:top w:val="nil"/>
              <w:left w:val="nil"/>
              <w:bottom w:val="nil"/>
              <w:right w:val="nil"/>
            </w:tcBorders>
            <w:shd w:val="solid" w:color="003366" w:fill="auto"/>
          </w:tcPr>
          <w:p w:rsidR="004B0D81" w:rsidRPr="004B0D81" w:rsidRDefault="004B0D81" w:rsidP="004B0D81">
            <w:pPr>
              <w:autoSpaceDE w:val="0"/>
              <w:autoSpaceDN w:val="0"/>
              <w:adjustRightInd w:val="0"/>
              <w:spacing w:line="240" w:lineRule="auto"/>
              <w:jc w:val="right"/>
              <w:rPr>
                <w:rFonts w:ascii="Calibri" w:hAnsi="Calibri" w:cs="Calibri"/>
                <w:b/>
                <w:bCs/>
                <w:color w:val="FFFFFF"/>
              </w:rPr>
            </w:pPr>
            <w:r w:rsidRPr="004B0D81">
              <w:rPr>
                <w:rFonts w:ascii="Calibri" w:hAnsi="Calibri" w:cs="Calibri"/>
                <w:b/>
                <w:bCs/>
                <w:color w:val="FFFFFF"/>
              </w:rPr>
              <w:t>β</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ABN</w:t>
            </w:r>
          </w:p>
        </w:tc>
        <w:tc>
          <w:tcPr>
            <w:tcW w:w="1354" w:type="dxa"/>
            <w:tcBorders>
              <w:top w:val="nil"/>
              <w:left w:val="nil"/>
              <w:bottom w:val="nil"/>
              <w:right w:val="nil"/>
            </w:tcBorders>
            <w:shd w:val="solid" w:color="FFFFFF" w:fill="auto"/>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2-aug-04</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1,62</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PHILIPS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27-jan-05</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1,82</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ABN</w:t>
            </w:r>
          </w:p>
        </w:tc>
        <w:tc>
          <w:tcPr>
            <w:tcW w:w="1354" w:type="dxa"/>
            <w:tcBorders>
              <w:top w:val="nil"/>
              <w:left w:val="nil"/>
              <w:bottom w:val="nil"/>
              <w:right w:val="nil"/>
            </w:tcBorders>
            <w:shd w:val="solid" w:color="FFFFFF" w:fill="auto"/>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31-jul-06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0,77</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PHILIPS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15-aug-05</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1,43</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ABN</w:t>
            </w:r>
          </w:p>
        </w:tc>
        <w:tc>
          <w:tcPr>
            <w:tcW w:w="1354" w:type="dxa"/>
            <w:tcBorders>
              <w:top w:val="nil"/>
              <w:left w:val="nil"/>
              <w:bottom w:val="nil"/>
              <w:right w:val="nil"/>
            </w:tcBorders>
            <w:shd w:val="solid" w:color="FFFFFF" w:fill="auto"/>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8-feb-07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0,80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PHILIPS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17-jul-06</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1,17</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Aegon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6-apr-01</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PHILIPS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5-sep-07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1,22</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Aegon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15-sep-06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1,14</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PHILIPS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19-dec-07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1,17</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Aegon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25-mei-07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1,18</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POSTNL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29-sep-04</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0,71</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Aegon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9-aug-07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1,21</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POSTNL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6-dec-05</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0,46</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Aegon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26-nov-07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1,21</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POSTNL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3-mei-06</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0,41</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Ahold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30-aug-07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0,81</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POSTNL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4-nov-06</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0,52</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Ahold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4-mrt-10</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0,29</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POSTNL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26-feb-07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0,57</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Ahold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3-mrt-11</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0,33</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POSTNL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30-jul-07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0,65</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Ahold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28-feb-13</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0,53</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RANDSTAD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14-feb-13</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1,57</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Akzo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24-apr-07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0,82</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RD ELSEVIER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28-dec-12</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0,75</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Akzo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6-mrt-08</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0,98</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SHELL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8-feb-01</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0,38</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proofErr w:type="spellStart"/>
            <w:r w:rsidRPr="004B0D81">
              <w:rPr>
                <w:rFonts w:ascii="Calibri" w:hAnsi="Calibri" w:cs="Calibri"/>
                <w:color w:val="000000"/>
              </w:rPr>
              <w:t>Arcelor</w:t>
            </w:r>
            <w:proofErr w:type="spellEnd"/>
            <w:r w:rsidRPr="004B0D81">
              <w:rPr>
                <w:rFonts w:ascii="Calibri" w:hAnsi="Calibri" w:cs="Calibri"/>
                <w:color w:val="000000"/>
              </w:rPr>
              <w:t xml:space="preserve">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2-apr-07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1,40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SHELL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29-apr-04</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1,01</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proofErr w:type="spellStart"/>
            <w:r w:rsidRPr="004B0D81">
              <w:rPr>
                <w:rFonts w:ascii="Calibri" w:hAnsi="Calibri" w:cs="Calibri"/>
                <w:color w:val="000000"/>
              </w:rPr>
              <w:t>Arcelor</w:t>
            </w:r>
            <w:proofErr w:type="spellEnd"/>
            <w:r w:rsidRPr="004B0D81">
              <w:rPr>
                <w:rFonts w:ascii="Calibri" w:hAnsi="Calibri" w:cs="Calibri"/>
                <w:color w:val="000000"/>
              </w:rPr>
              <w:t xml:space="preserve">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12-jun-07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1,39</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SHELL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3-feb-05</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0,90</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proofErr w:type="spellStart"/>
            <w:r w:rsidRPr="004B0D81">
              <w:rPr>
                <w:rFonts w:ascii="Calibri" w:hAnsi="Calibri" w:cs="Calibri"/>
                <w:color w:val="000000"/>
              </w:rPr>
              <w:t>Arcelor</w:t>
            </w:r>
            <w:proofErr w:type="spellEnd"/>
            <w:r w:rsidRPr="004B0D81">
              <w:rPr>
                <w:rFonts w:ascii="Calibri" w:hAnsi="Calibri" w:cs="Calibri"/>
                <w:color w:val="000000"/>
              </w:rPr>
              <w:t xml:space="preserve">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12-dec-07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1,47</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SHELL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2-feb-06</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0,72</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proofErr w:type="spellStart"/>
            <w:r w:rsidRPr="004B0D81">
              <w:rPr>
                <w:rFonts w:ascii="Calibri" w:hAnsi="Calibri" w:cs="Calibri"/>
                <w:color w:val="000000"/>
              </w:rPr>
              <w:t>Arcelor</w:t>
            </w:r>
            <w:proofErr w:type="spellEnd"/>
            <w:r w:rsidRPr="004B0D81">
              <w:rPr>
                <w:rFonts w:ascii="Calibri" w:hAnsi="Calibri" w:cs="Calibri"/>
                <w:color w:val="000000"/>
              </w:rPr>
              <w:t xml:space="preserve">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26-nov-10</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1,89</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UNILEVER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10-feb-05</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0,72</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ASML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19-apr-06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1,26</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UNILEVER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8-feb-07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0,73</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ASML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14-feb-07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13-aug-02</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0,49</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ASML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17-okt-07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1,03</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14-mrt-03</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0,52</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ASML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19-jan-11</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16-mei-06</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0,53</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ASML </w:t>
            </w:r>
          </w:p>
        </w:tc>
        <w:tc>
          <w:tcPr>
            <w:tcW w:w="1354" w:type="dxa"/>
            <w:tcBorders>
              <w:top w:val="nil"/>
              <w:left w:val="nil"/>
              <w:bottom w:val="nil"/>
              <w:right w:val="nil"/>
            </w:tcBorders>
            <w:shd w:val="solid" w:color="FFFFFF" w:fill="auto"/>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18-jan-12</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1,08</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26-mrt-07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0,59</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28-okt-05</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0,39</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7-nov-07</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0,69</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9-feb-06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0,39</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23-feb-11</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0,70</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31-mrt-06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0,40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22-feb-12</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0,88</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27-sep-06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0,60</w:t>
            </w:r>
          </w:p>
        </w:tc>
        <w:tc>
          <w:tcPr>
            <w:tcW w:w="1596"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WOLTERS </w:t>
            </w: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25-jul-12</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0,90</w:t>
            </w: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27-sep-07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0,77</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23-feb-11</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0,94</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DSM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7-sep-11</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0,99</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Heineken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11-jan-10</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0,61</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ING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16-mei-07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1,13</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11-mrt-04</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0,87</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28-jun-04</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0,81</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1-mrt-05</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0,78</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7-feb-06</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0,52</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6-feb-07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0,51</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3-sep-07</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0,67</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5-feb-08</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0,63</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22-okt-08</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0,76</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26-jan-10</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0,48</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r w:rsidR="004B0D81" w:rsidRPr="004B0D81" w:rsidTr="004B0D81">
        <w:trPr>
          <w:trHeight w:val="290"/>
        </w:trPr>
        <w:tc>
          <w:tcPr>
            <w:tcW w:w="1562" w:type="dxa"/>
            <w:tcBorders>
              <w:top w:val="nil"/>
              <w:left w:val="nil"/>
              <w:bottom w:val="nil"/>
              <w:right w:val="nil"/>
            </w:tcBorders>
            <w:shd w:val="clear" w:color="auto" w:fill="BFBFBF" w:themeFill="background1" w:themeFillShade="BF"/>
          </w:tcPr>
          <w:p w:rsidR="004B0D81" w:rsidRPr="004B0D81" w:rsidRDefault="004B0D81" w:rsidP="004B0D81">
            <w:pPr>
              <w:autoSpaceDE w:val="0"/>
              <w:autoSpaceDN w:val="0"/>
              <w:adjustRightInd w:val="0"/>
              <w:spacing w:line="240" w:lineRule="auto"/>
              <w:rPr>
                <w:rFonts w:ascii="Calibri" w:hAnsi="Calibri" w:cs="Calibri"/>
                <w:color w:val="000000"/>
              </w:rPr>
            </w:pPr>
            <w:r w:rsidRPr="004B0D81">
              <w:rPr>
                <w:rFonts w:ascii="Calibri" w:hAnsi="Calibri" w:cs="Calibri"/>
                <w:color w:val="000000"/>
              </w:rPr>
              <w:t xml:space="preserve">KPN </w:t>
            </w:r>
          </w:p>
        </w:tc>
        <w:tc>
          <w:tcPr>
            <w:tcW w:w="135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26-jan-11</w:t>
            </w:r>
          </w:p>
        </w:tc>
        <w:tc>
          <w:tcPr>
            <w:tcW w:w="1385"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0,00</w:t>
            </w:r>
          </w:p>
        </w:tc>
        <w:tc>
          <w:tcPr>
            <w:tcW w:w="1224"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r w:rsidRPr="004B0D81">
              <w:rPr>
                <w:rFonts w:ascii="Calibri" w:hAnsi="Calibri" w:cs="Calibri"/>
                <w:color w:val="000000"/>
              </w:rPr>
              <w:t>0,29</w:t>
            </w:r>
          </w:p>
        </w:tc>
        <w:tc>
          <w:tcPr>
            <w:tcW w:w="159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176"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c>
          <w:tcPr>
            <w:tcW w:w="1032" w:type="dxa"/>
            <w:tcBorders>
              <w:top w:val="nil"/>
              <w:left w:val="nil"/>
              <w:bottom w:val="nil"/>
              <w:right w:val="nil"/>
            </w:tcBorders>
          </w:tcPr>
          <w:p w:rsidR="004B0D81" w:rsidRPr="004B0D81" w:rsidRDefault="004B0D81" w:rsidP="004B0D81">
            <w:pPr>
              <w:autoSpaceDE w:val="0"/>
              <w:autoSpaceDN w:val="0"/>
              <w:adjustRightInd w:val="0"/>
              <w:spacing w:line="240" w:lineRule="auto"/>
              <w:jc w:val="right"/>
              <w:rPr>
                <w:rFonts w:ascii="Calibri" w:hAnsi="Calibri" w:cs="Calibri"/>
                <w:color w:val="000000"/>
              </w:rPr>
            </w:pPr>
          </w:p>
        </w:tc>
      </w:tr>
    </w:tbl>
    <w:p w:rsidR="006F5F53" w:rsidRPr="004B0D81" w:rsidRDefault="006F5F53" w:rsidP="001F2DE5">
      <w:pPr>
        <w:pStyle w:val="NoSpacing"/>
      </w:pPr>
    </w:p>
    <w:p w:rsidR="00CF61D9" w:rsidRDefault="001F2DE5" w:rsidP="006F5F53">
      <w:pPr>
        <w:pStyle w:val="NoSpacing"/>
      </w:pPr>
      <w:r>
        <w:br w:type="page"/>
      </w:r>
    </w:p>
    <w:p w:rsidR="00CF61D9" w:rsidRDefault="00CF61D9" w:rsidP="007A5074">
      <w:pPr>
        <w:pStyle w:val="NoSpacing"/>
        <w:rPr>
          <w:b/>
        </w:rPr>
      </w:pPr>
      <w:r w:rsidRPr="00CF61D9">
        <w:rPr>
          <w:b/>
        </w:rPr>
        <w:lastRenderedPageBreak/>
        <w:t xml:space="preserve">Bijlage </w:t>
      </w:r>
      <w:r w:rsidR="006F5F53">
        <w:rPr>
          <w:b/>
        </w:rPr>
        <w:t>5</w:t>
      </w:r>
      <w:r w:rsidRPr="00CF61D9">
        <w:rPr>
          <w:b/>
        </w:rPr>
        <w:t>: Abnormaal re</w:t>
      </w:r>
      <w:r w:rsidR="00F74C15">
        <w:rPr>
          <w:b/>
        </w:rPr>
        <w:t>ndement en statische testen van de f</w:t>
      </w:r>
      <w:r w:rsidR="0042312E">
        <w:rPr>
          <w:b/>
        </w:rPr>
        <w:t xml:space="preserve">ree cash </w:t>
      </w:r>
      <w:proofErr w:type="spellStart"/>
      <w:r w:rsidR="0042312E">
        <w:rPr>
          <w:b/>
        </w:rPr>
        <w:t>flow</w:t>
      </w:r>
      <w:proofErr w:type="spellEnd"/>
      <w:r w:rsidR="0042312E">
        <w:rPr>
          <w:b/>
        </w:rPr>
        <w:t xml:space="preserve"> hypothese</w:t>
      </w:r>
    </w:p>
    <w:p w:rsidR="00CF61D9" w:rsidRDefault="00CF61D9" w:rsidP="00CF61D9">
      <w:pPr>
        <w:rPr>
          <w:b/>
        </w:rPr>
      </w:pPr>
    </w:p>
    <w:tbl>
      <w:tblPr>
        <w:tblStyle w:val="MediumShading2-Accent5"/>
        <w:tblW w:w="5000" w:type="pct"/>
        <w:tblLook w:val="0660"/>
      </w:tblPr>
      <w:tblGrid>
        <w:gridCol w:w="1498"/>
        <w:gridCol w:w="1499"/>
        <w:gridCol w:w="1701"/>
        <w:gridCol w:w="1592"/>
        <w:gridCol w:w="1501"/>
        <w:gridCol w:w="1495"/>
      </w:tblGrid>
      <w:tr w:rsidR="00CF61D9" w:rsidTr="00311830">
        <w:trPr>
          <w:cnfStyle w:val="100000000000"/>
        </w:trPr>
        <w:tc>
          <w:tcPr>
            <w:tcW w:w="807" w:type="pct"/>
          </w:tcPr>
          <w:p w:rsidR="00CF61D9" w:rsidRDefault="00CF61D9" w:rsidP="00311830">
            <w:r>
              <w:t xml:space="preserve">Dag </w:t>
            </w:r>
          </w:p>
        </w:tc>
        <w:tc>
          <w:tcPr>
            <w:tcW w:w="807" w:type="pct"/>
          </w:tcPr>
          <w:p w:rsidR="00CF61D9" w:rsidRDefault="00CF61D9" w:rsidP="002809E9">
            <w:pPr>
              <w:jc w:val="right"/>
            </w:pPr>
            <w:proofErr w:type="spellStart"/>
            <w:r>
              <w:t>Gemiddeld</w:t>
            </w:r>
            <w:proofErr w:type="spellEnd"/>
            <w:r>
              <w:t xml:space="preserve"> AR</w:t>
            </w:r>
          </w:p>
        </w:tc>
        <w:tc>
          <w:tcPr>
            <w:tcW w:w="916" w:type="pct"/>
            <w:noWrap/>
          </w:tcPr>
          <w:p w:rsidR="00CF61D9" w:rsidRDefault="00420938" w:rsidP="00420938">
            <w:pPr>
              <w:jc w:val="center"/>
            </w:pPr>
            <w:r>
              <w:t xml:space="preserve">           </w:t>
            </w:r>
            <w:r w:rsidR="00CF61D9">
              <w:t>T-</w:t>
            </w:r>
            <w:proofErr w:type="spellStart"/>
            <w:r w:rsidR="00CF61D9">
              <w:t>toets</w:t>
            </w:r>
            <w:proofErr w:type="spellEnd"/>
          </w:p>
          <w:p w:rsidR="00420938" w:rsidRDefault="00420938" w:rsidP="00311830">
            <w:pPr>
              <w:jc w:val="right"/>
            </w:pPr>
            <w:r>
              <w:t>(t-</w:t>
            </w:r>
            <w:proofErr w:type="spellStart"/>
            <w:r>
              <w:t>waarde</w:t>
            </w:r>
            <w:proofErr w:type="spellEnd"/>
            <w:r>
              <w:t>)</w:t>
            </w:r>
          </w:p>
        </w:tc>
        <w:tc>
          <w:tcPr>
            <w:tcW w:w="857" w:type="pct"/>
          </w:tcPr>
          <w:p w:rsidR="00CF61D9" w:rsidRDefault="00CF61D9" w:rsidP="00311830">
            <w:pPr>
              <w:jc w:val="right"/>
            </w:pPr>
            <w:proofErr w:type="spellStart"/>
            <w:r>
              <w:t>Aantal</w:t>
            </w:r>
            <w:proofErr w:type="spellEnd"/>
            <w:r>
              <w:t xml:space="preserve"> pos.</w:t>
            </w:r>
          </w:p>
        </w:tc>
        <w:tc>
          <w:tcPr>
            <w:tcW w:w="808" w:type="pct"/>
          </w:tcPr>
          <w:p w:rsidR="00CF61D9" w:rsidRDefault="00CF61D9" w:rsidP="00311830">
            <w:pPr>
              <w:jc w:val="right"/>
            </w:pPr>
            <w:proofErr w:type="spellStart"/>
            <w:r>
              <w:t>Aantal</w:t>
            </w:r>
            <w:proofErr w:type="spellEnd"/>
            <w:r>
              <w:t xml:space="preserve"> neg.</w:t>
            </w:r>
          </w:p>
        </w:tc>
        <w:tc>
          <w:tcPr>
            <w:tcW w:w="805" w:type="pct"/>
          </w:tcPr>
          <w:p w:rsidR="00CF61D9" w:rsidRDefault="004C051E" w:rsidP="00311830">
            <w:pPr>
              <w:jc w:val="right"/>
            </w:pPr>
            <w:proofErr w:type="spellStart"/>
            <w:r>
              <w:t>T</w:t>
            </w:r>
            <w:r w:rsidR="00CF61D9">
              <w:t>ekentoets</w:t>
            </w:r>
            <w:proofErr w:type="spellEnd"/>
          </w:p>
          <w:p w:rsidR="00420938" w:rsidRDefault="00420938" w:rsidP="00311830">
            <w:pPr>
              <w:jc w:val="right"/>
            </w:pPr>
            <w:r>
              <w:t>(p-</w:t>
            </w:r>
            <w:proofErr w:type="spellStart"/>
            <w:r>
              <w:t>waarde</w:t>
            </w:r>
            <w:proofErr w:type="spellEnd"/>
            <w:r>
              <w:t>)</w:t>
            </w:r>
          </w:p>
        </w:tc>
      </w:tr>
      <w:tr w:rsidR="00CF61D9" w:rsidTr="00311830">
        <w:tc>
          <w:tcPr>
            <w:tcW w:w="5000" w:type="pct"/>
            <w:gridSpan w:val="6"/>
          </w:tcPr>
          <w:p w:rsidR="00CF61D9" w:rsidRPr="006B267C" w:rsidRDefault="00CF61D9" w:rsidP="00311830">
            <w:pPr>
              <w:rPr>
                <w:color w:val="FF0000"/>
              </w:rPr>
            </w:pPr>
            <w:r>
              <w:rPr>
                <w:rStyle w:val="SubtleEmphasis"/>
                <w:color w:val="FF0000"/>
              </w:rPr>
              <w:t>Market-Adjusted Return Model</w:t>
            </w:r>
          </w:p>
        </w:tc>
      </w:tr>
      <w:tr w:rsidR="00CF61D9" w:rsidTr="00311830">
        <w:tc>
          <w:tcPr>
            <w:tcW w:w="807" w:type="pct"/>
            <w:tcBorders>
              <w:bottom w:val="nil"/>
            </w:tcBorders>
          </w:tcPr>
          <w:p w:rsidR="00CF61D9" w:rsidRDefault="00CF61D9" w:rsidP="00311830">
            <w:r>
              <w:t>T=-5</w:t>
            </w:r>
          </w:p>
        </w:tc>
        <w:tc>
          <w:tcPr>
            <w:tcW w:w="807" w:type="pct"/>
            <w:tcBorders>
              <w:bottom w:val="nil"/>
            </w:tcBorders>
          </w:tcPr>
          <w:p w:rsidR="00CF61D9" w:rsidRDefault="006B083C" w:rsidP="00311830">
            <w:pPr>
              <w:jc w:val="right"/>
            </w:pPr>
            <w:r>
              <w:t>0,37%</w:t>
            </w:r>
          </w:p>
        </w:tc>
        <w:tc>
          <w:tcPr>
            <w:tcW w:w="916" w:type="pct"/>
            <w:tcBorders>
              <w:bottom w:val="nil"/>
            </w:tcBorders>
            <w:noWrap/>
          </w:tcPr>
          <w:p w:rsidR="00CF61D9" w:rsidRPr="00420938" w:rsidRDefault="006B083C" w:rsidP="00311830">
            <w:pPr>
              <w:jc w:val="right"/>
              <w:rPr>
                <w:color w:val="FFFFFF" w:themeColor="background1"/>
                <w:vertAlign w:val="superscript"/>
              </w:rPr>
            </w:pPr>
            <w:r>
              <w:t>1,299</w:t>
            </w:r>
            <w:r w:rsidR="00420938">
              <w:rPr>
                <w:color w:val="FFFFFF" w:themeColor="background1"/>
                <w:vertAlign w:val="superscript"/>
              </w:rPr>
              <w:t>***</w:t>
            </w:r>
          </w:p>
        </w:tc>
        <w:tc>
          <w:tcPr>
            <w:tcW w:w="857" w:type="pct"/>
            <w:tcBorders>
              <w:bottom w:val="nil"/>
            </w:tcBorders>
          </w:tcPr>
          <w:p w:rsidR="00CF61D9" w:rsidRDefault="006B083C" w:rsidP="00CF61D9">
            <w:pPr>
              <w:jc w:val="right"/>
            </w:pPr>
            <w:r>
              <w:t>14</w:t>
            </w:r>
          </w:p>
        </w:tc>
        <w:tc>
          <w:tcPr>
            <w:tcW w:w="808" w:type="pct"/>
            <w:tcBorders>
              <w:bottom w:val="nil"/>
            </w:tcBorders>
          </w:tcPr>
          <w:p w:rsidR="00CF61D9" w:rsidRDefault="006B083C" w:rsidP="00CF61D9">
            <w:pPr>
              <w:jc w:val="right"/>
            </w:pPr>
            <w:r>
              <w:t>11</w:t>
            </w:r>
          </w:p>
        </w:tc>
        <w:tc>
          <w:tcPr>
            <w:tcW w:w="805" w:type="pct"/>
            <w:tcBorders>
              <w:bottom w:val="nil"/>
            </w:tcBorders>
          </w:tcPr>
          <w:p w:rsidR="00CF61D9" w:rsidRPr="00420938" w:rsidRDefault="006B083C" w:rsidP="00CF61D9">
            <w:pPr>
              <w:jc w:val="right"/>
              <w:rPr>
                <w:color w:val="FFFFFF" w:themeColor="background1"/>
                <w:vertAlign w:val="superscript"/>
              </w:rPr>
            </w:pPr>
            <w:r>
              <w:t>0,690</w:t>
            </w:r>
            <w:r w:rsidR="00420938">
              <w:rPr>
                <w:color w:val="FFFFFF" w:themeColor="background1"/>
                <w:vertAlign w:val="superscript"/>
              </w:rPr>
              <w:t>***</w:t>
            </w:r>
          </w:p>
        </w:tc>
      </w:tr>
      <w:tr w:rsidR="00CF61D9" w:rsidTr="00311830">
        <w:tc>
          <w:tcPr>
            <w:tcW w:w="807" w:type="pct"/>
            <w:tcBorders>
              <w:top w:val="nil"/>
              <w:bottom w:val="single" w:sz="4" w:space="0" w:color="auto"/>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p w:rsidR="00CF61D9" w:rsidRDefault="00CF61D9" w:rsidP="00311830"/>
        </w:tc>
        <w:tc>
          <w:tcPr>
            <w:tcW w:w="807" w:type="pct"/>
            <w:tcBorders>
              <w:top w:val="nil"/>
              <w:bottom w:val="single" w:sz="4" w:space="0" w:color="auto"/>
            </w:tcBorders>
          </w:tcPr>
          <w:p w:rsidR="00CF61D9" w:rsidRDefault="006B083C" w:rsidP="00311830">
            <w:pPr>
              <w:jc w:val="right"/>
            </w:pPr>
            <w:r>
              <w:t>-0,17%</w:t>
            </w:r>
          </w:p>
          <w:p w:rsidR="006B083C" w:rsidRDefault="006B083C" w:rsidP="00311830">
            <w:pPr>
              <w:jc w:val="right"/>
            </w:pPr>
            <w:r>
              <w:t>0,60%</w:t>
            </w:r>
          </w:p>
          <w:p w:rsidR="006B083C" w:rsidRDefault="006B083C" w:rsidP="00311830">
            <w:pPr>
              <w:jc w:val="right"/>
            </w:pPr>
            <w:r>
              <w:t>0,01%</w:t>
            </w:r>
          </w:p>
          <w:p w:rsidR="006B083C" w:rsidRDefault="006B083C" w:rsidP="00311830">
            <w:pPr>
              <w:jc w:val="right"/>
            </w:pPr>
            <w:r>
              <w:t>-0,05%</w:t>
            </w:r>
          </w:p>
          <w:p w:rsidR="006B083C" w:rsidRDefault="006B083C" w:rsidP="00311830">
            <w:pPr>
              <w:jc w:val="right"/>
            </w:pPr>
            <w:r>
              <w:t>0,74%</w:t>
            </w:r>
          </w:p>
          <w:p w:rsidR="006B083C" w:rsidRDefault="006B083C" w:rsidP="00311830">
            <w:pPr>
              <w:jc w:val="right"/>
            </w:pPr>
            <w:r>
              <w:t>0,30%</w:t>
            </w:r>
          </w:p>
          <w:p w:rsidR="006B083C" w:rsidRDefault="006B083C" w:rsidP="00311830">
            <w:pPr>
              <w:jc w:val="right"/>
            </w:pPr>
            <w:r>
              <w:t>0,44%</w:t>
            </w:r>
          </w:p>
          <w:p w:rsidR="006B083C" w:rsidRDefault="006B083C" w:rsidP="00311830">
            <w:pPr>
              <w:jc w:val="right"/>
            </w:pPr>
            <w:r>
              <w:t>0,24%</w:t>
            </w:r>
          </w:p>
          <w:p w:rsidR="006B083C" w:rsidRDefault="006B083C" w:rsidP="00311830">
            <w:pPr>
              <w:jc w:val="right"/>
            </w:pPr>
            <w:r>
              <w:t>0,09%</w:t>
            </w:r>
          </w:p>
          <w:p w:rsidR="006B083C" w:rsidRDefault="006B083C" w:rsidP="00311830">
            <w:pPr>
              <w:jc w:val="right"/>
            </w:pPr>
            <w:r>
              <w:t>0,48%</w:t>
            </w:r>
          </w:p>
        </w:tc>
        <w:tc>
          <w:tcPr>
            <w:tcW w:w="916" w:type="pct"/>
            <w:tcBorders>
              <w:top w:val="nil"/>
              <w:bottom w:val="single" w:sz="4" w:space="0" w:color="auto"/>
            </w:tcBorders>
            <w:noWrap/>
          </w:tcPr>
          <w:p w:rsidR="00CF61D9" w:rsidRPr="00420938" w:rsidRDefault="006B083C" w:rsidP="00311830">
            <w:pPr>
              <w:jc w:val="right"/>
              <w:rPr>
                <w:color w:val="FFFFFF" w:themeColor="background1"/>
                <w:vertAlign w:val="superscript"/>
              </w:rPr>
            </w:pPr>
            <w:r>
              <w:t>-0,686</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1,713</w:t>
            </w:r>
            <w:r w:rsidR="00420938" w:rsidRPr="004B32AB">
              <w:rPr>
                <w:b/>
                <w:vertAlign w:val="superscript"/>
              </w:rPr>
              <w:t>*</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0,036</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-0,363</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1,086</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1,105</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1,706</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0,904</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0,278</w:t>
            </w:r>
            <w:r w:rsidR="00420938">
              <w:rPr>
                <w:color w:val="FFFFFF" w:themeColor="background1"/>
                <w:vertAlign w:val="superscript"/>
              </w:rPr>
              <w:t>***</w:t>
            </w:r>
          </w:p>
          <w:p w:rsidR="006B083C" w:rsidRPr="00420938" w:rsidRDefault="006B083C" w:rsidP="006B083C">
            <w:pPr>
              <w:jc w:val="right"/>
              <w:rPr>
                <w:color w:val="FFFFFF" w:themeColor="background1"/>
                <w:vertAlign w:val="superscript"/>
              </w:rPr>
            </w:pPr>
            <w:r>
              <w:t>1,483</w:t>
            </w:r>
            <w:r w:rsidR="00420938">
              <w:rPr>
                <w:color w:val="FFFFFF" w:themeColor="background1"/>
                <w:vertAlign w:val="superscript"/>
              </w:rPr>
              <w:t>***</w:t>
            </w:r>
          </w:p>
        </w:tc>
        <w:tc>
          <w:tcPr>
            <w:tcW w:w="857" w:type="pct"/>
            <w:tcBorders>
              <w:top w:val="nil"/>
              <w:bottom w:val="single" w:sz="4" w:space="0" w:color="auto"/>
            </w:tcBorders>
          </w:tcPr>
          <w:p w:rsidR="00CF61D9" w:rsidRDefault="006B083C" w:rsidP="00CF61D9">
            <w:pPr>
              <w:jc w:val="right"/>
            </w:pPr>
            <w:r>
              <w:t>11</w:t>
            </w:r>
          </w:p>
          <w:p w:rsidR="006B083C" w:rsidRDefault="006B083C" w:rsidP="00CF61D9">
            <w:pPr>
              <w:jc w:val="right"/>
            </w:pPr>
            <w:r>
              <w:t>12</w:t>
            </w:r>
          </w:p>
          <w:p w:rsidR="006B083C" w:rsidRDefault="006B083C" w:rsidP="00CF61D9">
            <w:pPr>
              <w:jc w:val="right"/>
            </w:pPr>
            <w:r>
              <w:t>15</w:t>
            </w:r>
          </w:p>
          <w:p w:rsidR="006B083C" w:rsidRDefault="006B083C" w:rsidP="00CF61D9">
            <w:pPr>
              <w:jc w:val="right"/>
            </w:pPr>
            <w:r>
              <w:t>12</w:t>
            </w:r>
          </w:p>
          <w:p w:rsidR="006B083C" w:rsidRDefault="006B083C" w:rsidP="00CF61D9">
            <w:pPr>
              <w:jc w:val="right"/>
            </w:pPr>
            <w:r>
              <w:t>14</w:t>
            </w:r>
          </w:p>
          <w:p w:rsidR="006B083C" w:rsidRDefault="006B083C" w:rsidP="00CF61D9">
            <w:pPr>
              <w:jc w:val="right"/>
            </w:pPr>
            <w:r>
              <w:t>11</w:t>
            </w:r>
          </w:p>
          <w:p w:rsidR="006B083C" w:rsidRDefault="006B083C" w:rsidP="00CF61D9">
            <w:pPr>
              <w:jc w:val="right"/>
            </w:pPr>
            <w:r>
              <w:t>15</w:t>
            </w:r>
          </w:p>
          <w:p w:rsidR="006B083C" w:rsidRDefault="006B083C" w:rsidP="00CF61D9">
            <w:pPr>
              <w:jc w:val="right"/>
            </w:pPr>
            <w:r>
              <w:t>12</w:t>
            </w:r>
          </w:p>
          <w:p w:rsidR="006B083C" w:rsidRDefault="006B083C" w:rsidP="00CF61D9">
            <w:pPr>
              <w:jc w:val="right"/>
            </w:pPr>
            <w:r>
              <w:t>14</w:t>
            </w:r>
          </w:p>
          <w:p w:rsidR="006B083C" w:rsidRDefault="006B083C" w:rsidP="00CF61D9">
            <w:pPr>
              <w:jc w:val="right"/>
            </w:pPr>
            <w:r>
              <w:t>15</w:t>
            </w:r>
          </w:p>
        </w:tc>
        <w:tc>
          <w:tcPr>
            <w:tcW w:w="808" w:type="pct"/>
            <w:tcBorders>
              <w:top w:val="nil"/>
              <w:bottom w:val="single" w:sz="4" w:space="0" w:color="auto"/>
            </w:tcBorders>
          </w:tcPr>
          <w:p w:rsidR="00CF61D9" w:rsidRDefault="006B083C" w:rsidP="00CF61D9">
            <w:pPr>
              <w:jc w:val="right"/>
            </w:pPr>
            <w:r>
              <w:t>14</w:t>
            </w:r>
          </w:p>
          <w:p w:rsidR="006B083C" w:rsidRDefault="006B083C" w:rsidP="00CF61D9">
            <w:pPr>
              <w:jc w:val="right"/>
            </w:pPr>
            <w:r>
              <w:t>13</w:t>
            </w:r>
          </w:p>
          <w:p w:rsidR="006B083C" w:rsidRDefault="006B083C" w:rsidP="00CF61D9">
            <w:pPr>
              <w:jc w:val="right"/>
            </w:pPr>
            <w:r>
              <w:t>10</w:t>
            </w:r>
          </w:p>
          <w:p w:rsidR="006B083C" w:rsidRDefault="006B083C" w:rsidP="00CF61D9">
            <w:pPr>
              <w:jc w:val="right"/>
            </w:pPr>
            <w:r>
              <w:t>13</w:t>
            </w:r>
          </w:p>
          <w:p w:rsidR="006B083C" w:rsidRDefault="006B083C" w:rsidP="00CF61D9">
            <w:pPr>
              <w:jc w:val="right"/>
            </w:pPr>
            <w:r>
              <w:t>11</w:t>
            </w:r>
          </w:p>
          <w:p w:rsidR="006B083C" w:rsidRDefault="006B083C" w:rsidP="00CF61D9">
            <w:pPr>
              <w:jc w:val="right"/>
            </w:pPr>
            <w:r>
              <w:t>14</w:t>
            </w:r>
          </w:p>
          <w:p w:rsidR="006B083C" w:rsidRDefault="006B083C" w:rsidP="00CF61D9">
            <w:pPr>
              <w:jc w:val="right"/>
            </w:pPr>
            <w:r>
              <w:t>10</w:t>
            </w:r>
          </w:p>
          <w:p w:rsidR="006B083C" w:rsidRDefault="006B083C" w:rsidP="00CF61D9">
            <w:pPr>
              <w:jc w:val="right"/>
            </w:pPr>
            <w:r>
              <w:t>13</w:t>
            </w:r>
          </w:p>
          <w:p w:rsidR="006B083C" w:rsidRDefault="006B083C" w:rsidP="00CF61D9">
            <w:pPr>
              <w:jc w:val="right"/>
            </w:pPr>
            <w:r>
              <w:t>11</w:t>
            </w:r>
          </w:p>
          <w:p w:rsidR="006B083C" w:rsidRDefault="006B083C" w:rsidP="00CF61D9">
            <w:pPr>
              <w:jc w:val="right"/>
            </w:pPr>
            <w:r>
              <w:t>10</w:t>
            </w:r>
          </w:p>
        </w:tc>
        <w:tc>
          <w:tcPr>
            <w:tcW w:w="805" w:type="pct"/>
            <w:tcBorders>
              <w:top w:val="nil"/>
              <w:bottom w:val="single" w:sz="4" w:space="0" w:color="auto"/>
            </w:tcBorders>
          </w:tcPr>
          <w:p w:rsidR="00CF61D9" w:rsidRPr="00420938" w:rsidRDefault="006B083C" w:rsidP="00CF61D9">
            <w:pPr>
              <w:jc w:val="right"/>
              <w:rPr>
                <w:color w:val="FFFFFF" w:themeColor="background1"/>
                <w:vertAlign w:val="superscript"/>
              </w:rPr>
            </w:pPr>
            <w:r>
              <w:t>0,690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1,000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0,424</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1,000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0,690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0,690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0,424</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1,000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0,690</w:t>
            </w:r>
            <w:r w:rsidR="00420938">
              <w:rPr>
                <w:color w:val="FFFFFF" w:themeColor="background1"/>
                <w:vertAlign w:val="superscript"/>
              </w:rPr>
              <w:t>***</w:t>
            </w:r>
          </w:p>
          <w:p w:rsidR="006B083C" w:rsidRPr="00420938" w:rsidRDefault="006B083C" w:rsidP="00CF61D9">
            <w:pPr>
              <w:jc w:val="right"/>
              <w:rPr>
                <w:color w:val="FFFFFF" w:themeColor="background1"/>
                <w:vertAlign w:val="superscript"/>
              </w:rPr>
            </w:pPr>
            <w:r>
              <w:t>0,424</w:t>
            </w:r>
            <w:r w:rsidR="00420938">
              <w:rPr>
                <w:color w:val="FFFFFF" w:themeColor="background1"/>
                <w:vertAlign w:val="superscript"/>
              </w:rPr>
              <w:t>***</w:t>
            </w:r>
          </w:p>
        </w:tc>
      </w:tr>
      <w:tr w:rsidR="00CF61D9" w:rsidTr="00311830">
        <w:tc>
          <w:tcPr>
            <w:tcW w:w="5000" w:type="pct"/>
            <w:gridSpan w:val="6"/>
            <w:tcBorders>
              <w:top w:val="single" w:sz="4" w:space="0" w:color="auto"/>
            </w:tcBorders>
          </w:tcPr>
          <w:p w:rsidR="00CF61D9" w:rsidRPr="006B267C" w:rsidRDefault="00CF61D9" w:rsidP="00CF61D9">
            <w:pPr>
              <w:rPr>
                <w:color w:val="FF0000"/>
              </w:rPr>
            </w:pPr>
            <w:proofErr w:type="spellStart"/>
            <w:r>
              <w:rPr>
                <w:rStyle w:val="SubtleEmphasis"/>
                <w:color w:val="FF0000"/>
              </w:rPr>
              <w:t>Markt</w:t>
            </w:r>
            <w:proofErr w:type="spellEnd"/>
            <w:r>
              <w:rPr>
                <w:rStyle w:val="SubtleEmphasis"/>
                <w:color w:val="FF0000"/>
              </w:rPr>
              <w:t xml:space="preserve"> Model</w:t>
            </w:r>
          </w:p>
        </w:tc>
      </w:tr>
      <w:tr w:rsidR="00CF61D9" w:rsidTr="00311830">
        <w:tc>
          <w:tcPr>
            <w:tcW w:w="807" w:type="pct"/>
            <w:tcBorders>
              <w:top w:val="nil"/>
              <w:bottom w:val="nil"/>
            </w:tcBorders>
          </w:tcPr>
          <w:p w:rsidR="00CF61D9" w:rsidRDefault="00CF61D9" w:rsidP="00311830">
            <w:r>
              <w:t>T=-5</w:t>
            </w:r>
          </w:p>
        </w:tc>
        <w:tc>
          <w:tcPr>
            <w:tcW w:w="807" w:type="pct"/>
            <w:tcBorders>
              <w:top w:val="nil"/>
              <w:bottom w:val="nil"/>
            </w:tcBorders>
          </w:tcPr>
          <w:p w:rsidR="00CF61D9" w:rsidRDefault="006B083C" w:rsidP="00311830">
            <w:pPr>
              <w:jc w:val="right"/>
            </w:pPr>
            <w:r>
              <w:t>0,30%</w:t>
            </w:r>
          </w:p>
        </w:tc>
        <w:tc>
          <w:tcPr>
            <w:tcW w:w="916" w:type="pct"/>
            <w:tcBorders>
              <w:top w:val="nil"/>
              <w:bottom w:val="nil"/>
            </w:tcBorders>
            <w:noWrap/>
          </w:tcPr>
          <w:p w:rsidR="00CF61D9" w:rsidRPr="00420938" w:rsidRDefault="006B083C" w:rsidP="00311830">
            <w:pPr>
              <w:jc w:val="right"/>
              <w:rPr>
                <w:color w:val="FFFFFF" w:themeColor="background1"/>
                <w:vertAlign w:val="superscript"/>
              </w:rPr>
            </w:pPr>
            <w:r>
              <w:t>1,319</w:t>
            </w:r>
            <w:r w:rsidR="00420938">
              <w:rPr>
                <w:color w:val="FFFFFF" w:themeColor="background1"/>
                <w:vertAlign w:val="superscript"/>
              </w:rPr>
              <w:t>***</w:t>
            </w:r>
          </w:p>
        </w:tc>
        <w:tc>
          <w:tcPr>
            <w:tcW w:w="857" w:type="pct"/>
            <w:tcBorders>
              <w:top w:val="nil"/>
              <w:bottom w:val="nil"/>
            </w:tcBorders>
          </w:tcPr>
          <w:p w:rsidR="00CF61D9" w:rsidRDefault="00CE1D1E" w:rsidP="00CF61D9">
            <w:pPr>
              <w:jc w:val="right"/>
            </w:pPr>
            <w:r>
              <w:t>16</w:t>
            </w:r>
          </w:p>
        </w:tc>
        <w:tc>
          <w:tcPr>
            <w:tcW w:w="808" w:type="pct"/>
            <w:tcBorders>
              <w:top w:val="nil"/>
              <w:bottom w:val="nil"/>
            </w:tcBorders>
          </w:tcPr>
          <w:p w:rsidR="00CF61D9" w:rsidRDefault="00CE1D1E" w:rsidP="00CF61D9">
            <w:pPr>
              <w:jc w:val="right"/>
            </w:pPr>
            <w:r>
              <w:t>9</w:t>
            </w:r>
          </w:p>
        </w:tc>
        <w:tc>
          <w:tcPr>
            <w:tcW w:w="805" w:type="pct"/>
            <w:tcBorders>
              <w:top w:val="nil"/>
              <w:bottom w:val="nil"/>
            </w:tcBorders>
          </w:tcPr>
          <w:p w:rsidR="00CF61D9" w:rsidRPr="00420938" w:rsidRDefault="00CE1D1E" w:rsidP="00CF61D9">
            <w:pPr>
              <w:jc w:val="right"/>
              <w:rPr>
                <w:color w:val="FFFFFF" w:themeColor="background1"/>
                <w:vertAlign w:val="superscript"/>
              </w:rPr>
            </w:pPr>
            <w:r>
              <w:t>0,230</w:t>
            </w:r>
            <w:r w:rsidR="00420938">
              <w:rPr>
                <w:color w:val="FFFFFF" w:themeColor="background1"/>
                <w:vertAlign w:val="superscript"/>
              </w:rPr>
              <w:t>***</w:t>
            </w:r>
          </w:p>
        </w:tc>
      </w:tr>
      <w:tr w:rsidR="00CF61D9" w:rsidTr="00311830">
        <w:tc>
          <w:tcPr>
            <w:tcW w:w="807" w:type="pct"/>
            <w:tcBorders>
              <w:top w:val="nil"/>
              <w:bottom w:val="nil"/>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tc>
        <w:tc>
          <w:tcPr>
            <w:tcW w:w="807" w:type="pct"/>
            <w:tcBorders>
              <w:top w:val="nil"/>
              <w:bottom w:val="nil"/>
            </w:tcBorders>
          </w:tcPr>
          <w:p w:rsidR="00CF61D9" w:rsidRDefault="006B083C" w:rsidP="00311830">
            <w:pPr>
              <w:jc w:val="right"/>
            </w:pPr>
            <w:r>
              <w:t>-0,12%</w:t>
            </w:r>
          </w:p>
          <w:p w:rsidR="006B083C" w:rsidRDefault="006B083C" w:rsidP="00311830">
            <w:pPr>
              <w:jc w:val="right"/>
            </w:pPr>
            <w:r>
              <w:t>0,62%</w:t>
            </w:r>
          </w:p>
          <w:p w:rsidR="006B083C" w:rsidRDefault="006B083C" w:rsidP="00311830">
            <w:pPr>
              <w:jc w:val="right"/>
            </w:pPr>
            <w:r>
              <w:t>0,02%</w:t>
            </w:r>
          </w:p>
          <w:p w:rsidR="006B083C" w:rsidRDefault="006B083C" w:rsidP="00311830">
            <w:pPr>
              <w:jc w:val="right"/>
            </w:pPr>
            <w:r>
              <w:t>-0,12%</w:t>
            </w:r>
          </w:p>
          <w:p w:rsidR="006B083C" w:rsidRDefault="006B083C" w:rsidP="00311830">
            <w:pPr>
              <w:jc w:val="right"/>
            </w:pPr>
            <w:r>
              <w:t>0,64%</w:t>
            </w:r>
          </w:p>
          <w:p w:rsidR="006B083C" w:rsidRDefault="006B083C" w:rsidP="00311830">
            <w:pPr>
              <w:jc w:val="right"/>
            </w:pPr>
            <w:r>
              <w:t>0,23%</w:t>
            </w:r>
          </w:p>
          <w:p w:rsidR="006B083C" w:rsidRDefault="006B083C" w:rsidP="00311830">
            <w:pPr>
              <w:jc w:val="right"/>
            </w:pPr>
            <w:r>
              <w:t>0,31%</w:t>
            </w:r>
          </w:p>
          <w:p w:rsidR="006B083C" w:rsidRDefault="006B083C" w:rsidP="00311830">
            <w:pPr>
              <w:jc w:val="right"/>
            </w:pPr>
            <w:r>
              <w:t>0,28%</w:t>
            </w:r>
          </w:p>
          <w:p w:rsidR="006B083C" w:rsidRDefault="006B083C" w:rsidP="00311830">
            <w:pPr>
              <w:jc w:val="right"/>
            </w:pPr>
            <w:r>
              <w:t>0,16%</w:t>
            </w:r>
          </w:p>
          <w:p w:rsidR="006B083C" w:rsidRDefault="006B083C" w:rsidP="00311830">
            <w:pPr>
              <w:jc w:val="right"/>
            </w:pPr>
            <w:r>
              <w:t>0,44%</w:t>
            </w:r>
          </w:p>
        </w:tc>
        <w:tc>
          <w:tcPr>
            <w:tcW w:w="916" w:type="pct"/>
            <w:tcBorders>
              <w:top w:val="nil"/>
              <w:bottom w:val="nil"/>
            </w:tcBorders>
            <w:noWrap/>
          </w:tcPr>
          <w:p w:rsidR="00CF61D9" w:rsidRPr="00420938" w:rsidRDefault="006B083C" w:rsidP="00311830">
            <w:pPr>
              <w:jc w:val="right"/>
              <w:rPr>
                <w:color w:val="FFFFFF" w:themeColor="background1"/>
                <w:vertAlign w:val="superscript"/>
              </w:rPr>
            </w:pPr>
            <w:r>
              <w:t>-0,515</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1,798</w:t>
            </w:r>
            <w:r w:rsidR="00420938" w:rsidRPr="004B32AB">
              <w:rPr>
                <w:b/>
                <w:vertAlign w:val="superscript"/>
              </w:rPr>
              <w:t>*</w:t>
            </w:r>
            <w:r w:rsidR="00420938">
              <w:rPr>
                <w:color w:val="FFFFFF" w:themeColor="background1"/>
                <w:vertAlign w:val="superscript"/>
              </w:rPr>
              <w:t>**</w:t>
            </w:r>
          </w:p>
          <w:p w:rsidR="006B083C" w:rsidRPr="00420938" w:rsidRDefault="006B083C" w:rsidP="00311830">
            <w:pPr>
              <w:jc w:val="right"/>
              <w:rPr>
                <w:color w:val="FFFFFF" w:themeColor="background1"/>
                <w:vertAlign w:val="superscript"/>
              </w:rPr>
            </w:pPr>
            <w:r>
              <w:t>0,083</w:t>
            </w:r>
            <w:r w:rsidR="00420938">
              <w:rPr>
                <w:color w:val="FFFFFF" w:themeColor="background1"/>
                <w:vertAlign w:val="superscript"/>
              </w:rPr>
              <w:t>***</w:t>
            </w:r>
          </w:p>
          <w:p w:rsidR="006B083C" w:rsidRPr="00420938" w:rsidRDefault="00CE1D1E" w:rsidP="00311830">
            <w:pPr>
              <w:jc w:val="right"/>
              <w:rPr>
                <w:color w:val="FFFFFF" w:themeColor="background1"/>
                <w:vertAlign w:val="superscript"/>
              </w:rPr>
            </w:pPr>
            <w:r>
              <w:t>-0,788</w:t>
            </w:r>
            <w:r w:rsidR="00420938">
              <w:rPr>
                <w:color w:val="FFFFFF" w:themeColor="background1"/>
                <w:vertAlign w:val="superscript"/>
              </w:rPr>
              <w:t>***</w:t>
            </w:r>
          </w:p>
          <w:p w:rsidR="00CE1D1E" w:rsidRPr="00420938" w:rsidRDefault="00CE1D1E" w:rsidP="00311830">
            <w:pPr>
              <w:jc w:val="right"/>
              <w:rPr>
                <w:color w:val="FFFFFF" w:themeColor="background1"/>
                <w:vertAlign w:val="superscript"/>
              </w:rPr>
            </w:pPr>
            <w:r>
              <w:t>0,988</w:t>
            </w:r>
            <w:r w:rsidR="00420938">
              <w:rPr>
                <w:color w:val="FFFFFF" w:themeColor="background1"/>
                <w:vertAlign w:val="superscript"/>
              </w:rPr>
              <w:t>***</w:t>
            </w:r>
          </w:p>
          <w:p w:rsidR="00CE1D1E" w:rsidRPr="00420938" w:rsidRDefault="00CE1D1E" w:rsidP="00311830">
            <w:pPr>
              <w:jc w:val="right"/>
              <w:rPr>
                <w:color w:val="FFFFFF" w:themeColor="background1"/>
                <w:vertAlign w:val="superscript"/>
              </w:rPr>
            </w:pPr>
            <w:r>
              <w:t>0,951</w:t>
            </w:r>
            <w:r w:rsidR="00420938">
              <w:rPr>
                <w:color w:val="FFFFFF" w:themeColor="background1"/>
                <w:vertAlign w:val="superscript"/>
              </w:rPr>
              <w:t>***</w:t>
            </w:r>
          </w:p>
          <w:p w:rsidR="00CE1D1E" w:rsidRPr="00420938" w:rsidRDefault="00CE1D1E" w:rsidP="00311830">
            <w:pPr>
              <w:jc w:val="right"/>
              <w:rPr>
                <w:color w:val="FFFFFF" w:themeColor="background1"/>
                <w:vertAlign w:val="superscript"/>
              </w:rPr>
            </w:pPr>
            <w:r>
              <w:t>1,162</w:t>
            </w:r>
            <w:r w:rsidR="00420938">
              <w:rPr>
                <w:color w:val="FFFFFF" w:themeColor="background1"/>
                <w:vertAlign w:val="superscript"/>
              </w:rPr>
              <w:t>***</w:t>
            </w:r>
          </w:p>
          <w:p w:rsidR="00CE1D1E" w:rsidRPr="00420938" w:rsidRDefault="00CE1D1E" w:rsidP="00311830">
            <w:pPr>
              <w:jc w:val="right"/>
              <w:rPr>
                <w:color w:val="FFFFFF" w:themeColor="background1"/>
                <w:vertAlign w:val="superscript"/>
              </w:rPr>
            </w:pPr>
            <w:r>
              <w:t>1,105</w:t>
            </w:r>
            <w:r w:rsidR="00420938">
              <w:rPr>
                <w:color w:val="FFFFFF" w:themeColor="background1"/>
                <w:vertAlign w:val="superscript"/>
              </w:rPr>
              <w:t>***</w:t>
            </w:r>
          </w:p>
          <w:p w:rsidR="00CE1D1E" w:rsidRPr="00420938" w:rsidRDefault="00CE1D1E" w:rsidP="00311830">
            <w:pPr>
              <w:jc w:val="right"/>
              <w:rPr>
                <w:color w:val="FFFFFF" w:themeColor="background1"/>
                <w:vertAlign w:val="superscript"/>
              </w:rPr>
            </w:pPr>
            <w:r>
              <w:t>0,586</w:t>
            </w:r>
            <w:r w:rsidR="00420938">
              <w:rPr>
                <w:color w:val="FFFFFF" w:themeColor="background1"/>
                <w:vertAlign w:val="superscript"/>
              </w:rPr>
              <w:t>***</w:t>
            </w:r>
          </w:p>
          <w:p w:rsidR="00CE1D1E" w:rsidRPr="00420938" w:rsidRDefault="00CE1D1E" w:rsidP="00311830">
            <w:pPr>
              <w:jc w:val="right"/>
              <w:rPr>
                <w:color w:val="FFFFFF" w:themeColor="background1"/>
                <w:vertAlign w:val="superscript"/>
              </w:rPr>
            </w:pPr>
            <w:r>
              <w:t>1,390</w:t>
            </w:r>
            <w:r w:rsidR="00420938">
              <w:rPr>
                <w:color w:val="FFFFFF" w:themeColor="background1"/>
                <w:vertAlign w:val="superscript"/>
              </w:rPr>
              <w:t>***</w:t>
            </w:r>
          </w:p>
        </w:tc>
        <w:tc>
          <w:tcPr>
            <w:tcW w:w="857" w:type="pct"/>
            <w:tcBorders>
              <w:top w:val="nil"/>
              <w:bottom w:val="nil"/>
            </w:tcBorders>
          </w:tcPr>
          <w:p w:rsidR="00CF61D9" w:rsidRDefault="00CE1D1E" w:rsidP="00CF61D9">
            <w:pPr>
              <w:jc w:val="right"/>
            </w:pPr>
            <w:r>
              <w:t>12</w:t>
            </w:r>
          </w:p>
          <w:p w:rsidR="00CE1D1E" w:rsidRDefault="00CE1D1E" w:rsidP="00CF61D9">
            <w:pPr>
              <w:jc w:val="right"/>
            </w:pPr>
            <w:r>
              <w:t>14</w:t>
            </w:r>
          </w:p>
          <w:p w:rsidR="00CE1D1E" w:rsidRDefault="00CE1D1E" w:rsidP="00CF61D9">
            <w:pPr>
              <w:jc w:val="right"/>
            </w:pPr>
            <w:r>
              <w:t>17</w:t>
            </w:r>
          </w:p>
          <w:p w:rsidR="00CE1D1E" w:rsidRDefault="00CE1D1E" w:rsidP="00CF61D9">
            <w:pPr>
              <w:jc w:val="right"/>
            </w:pPr>
            <w:r>
              <w:t>12</w:t>
            </w:r>
          </w:p>
          <w:p w:rsidR="00CE1D1E" w:rsidRDefault="00CE1D1E" w:rsidP="00CF61D9">
            <w:pPr>
              <w:jc w:val="right"/>
            </w:pPr>
            <w:r>
              <w:t>14</w:t>
            </w:r>
          </w:p>
          <w:p w:rsidR="00CE1D1E" w:rsidRDefault="00CE1D1E" w:rsidP="00CF61D9">
            <w:pPr>
              <w:jc w:val="right"/>
            </w:pPr>
            <w:r>
              <w:t>11</w:t>
            </w:r>
          </w:p>
          <w:p w:rsidR="00CE1D1E" w:rsidRDefault="00CE1D1E" w:rsidP="00CF61D9">
            <w:pPr>
              <w:jc w:val="right"/>
            </w:pPr>
            <w:r>
              <w:t>13</w:t>
            </w:r>
          </w:p>
          <w:p w:rsidR="00CE1D1E" w:rsidRDefault="00CE1D1E" w:rsidP="00CF61D9">
            <w:pPr>
              <w:jc w:val="right"/>
            </w:pPr>
            <w:r>
              <w:t>12</w:t>
            </w:r>
          </w:p>
          <w:p w:rsidR="00CE1D1E" w:rsidRDefault="00CE1D1E" w:rsidP="00CF61D9">
            <w:pPr>
              <w:jc w:val="right"/>
            </w:pPr>
            <w:r>
              <w:t>15</w:t>
            </w:r>
          </w:p>
          <w:p w:rsidR="00CE1D1E" w:rsidRDefault="00CE1D1E" w:rsidP="00CF61D9">
            <w:pPr>
              <w:jc w:val="right"/>
            </w:pPr>
            <w:r>
              <w:t>16</w:t>
            </w:r>
          </w:p>
        </w:tc>
        <w:tc>
          <w:tcPr>
            <w:tcW w:w="808" w:type="pct"/>
            <w:tcBorders>
              <w:top w:val="nil"/>
              <w:bottom w:val="nil"/>
            </w:tcBorders>
          </w:tcPr>
          <w:p w:rsidR="00CF61D9" w:rsidRDefault="00CE1D1E" w:rsidP="00CF61D9">
            <w:pPr>
              <w:jc w:val="right"/>
            </w:pPr>
            <w:r>
              <w:t>13</w:t>
            </w:r>
          </w:p>
          <w:p w:rsidR="00CE1D1E" w:rsidRDefault="00CE1D1E" w:rsidP="00CF61D9">
            <w:pPr>
              <w:jc w:val="right"/>
            </w:pPr>
            <w:r>
              <w:t>11</w:t>
            </w:r>
          </w:p>
          <w:p w:rsidR="00CE1D1E" w:rsidRDefault="00CE1D1E" w:rsidP="00CF61D9">
            <w:pPr>
              <w:jc w:val="right"/>
            </w:pPr>
            <w:r>
              <w:t>8</w:t>
            </w:r>
          </w:p>
          <w:p w:rsidR="00CE1D1E" w:rsidRDefault="00CE1D1E" w:rsidP="00CF61D9">
            <w:pPr>
              <w:jc w:val="right"/>
            </w:pPr>
            <w:r>
              <w:t>13</w:t>
            </w:r>
          </w:p>
          <w:p w:rsidR="00CE1D1E" w:rsidRDefault="00CE1D1E" w:rsidP="00CF61D9">
            <w:pPr>
              <w:jc w:val="right"/>
            </w:pPr>
            <w:r>
              <w:t>11</w:t>
            </w:r>
          </w:p>
          <w:p w:rsidR="00CE1D1E" w:rsidRDefault="00CE1D1E" w:rsidP="00CF61D9">
            <w:pPr>
              <w:jc w:val="right"/>
            </w:pPr>
            <w:r>
              <w:t>14</w:t>
            </w:r>
          </w:p>
          <w:p w:rsidR="00CE1D1E" w:rsidRDefault="00CE1D1E" w:rsidP="00CF61D9">
            <w:pPr>
              <w:jc w:val="right"/>
            </w:pPr>
            <w:r>
              <w:t>12</w:t>
            </w:r>
          </w:p>
          <w:p w:rsidR="00CE1D1E" w:rsidRDefault="00CE1D1E" w:rsidP="00CF61D9">
            <w:pPr>
              <w:jc w:val="right"/>
            </w:pPr>
            <w:r>
              <w:t>13</w:t>
            </w:r>
          </w:p>
          <w:p w:rsidR="00CE1D1E" w:rsidRDefault="00CE1D1E" w:rsidP="00CF61D9">
            <w:pPr>
              <w:jc w:val="right"/>
            </w:pPr>
            <w:r>
              <w:t>10</w:t>
            </w:r>
          </w:p>
          <w:p w:rsidR="00CE1D1E" w:rsidRDefault="00CE1D1E" w:rsidP="00CF61D9">
            <w:pPr>
              <w:jc w:val="right"/>
            </w:pPr>
            <w:r>
              <w:t>9</w:t>
            </w:r>
          </w:p>
        </w:tc>
        <w:tc>
          <w:tcPr>
            <w:tcW w:w="805" w:type="pct"/>
            <w:tcBorders>
              <w:top w:val="nil"/>
              <w:bottom w:val="nil"/>
            </w:tcBorders>
          </w:tcPr>
          <w:p w:rsidR="00CF61D9" w:rsidRPr="00420938" w:rsidRDefault="00CE1D1E" w:rsidP="00CF61D9">
            <w:pPr>
              <w:jc w:val="right"/>
              <w:rPr>
                <w:color w:val="FFFFFF" w:themeColor="background1"/>
                <w:vertAlign w:val="superscript"/>
              </w:rPr>
            </w:pPr>
            <w:r>
              <w:t>1,000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0,690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0,108</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1,000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0,690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0,690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1,000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1,000</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0,424</w:t>
            </w:r>
            <w:r w:rsidR="00420938">
              <w:rPr>
                <w:color w:val="FFFFFF" w:themeColor="background1"/>
                <w:vertAlign w:val="superscript"/>
              </w:rPr>
              <w:t>***</w:t>
            </w:r>
          </w:p>
          <w:p w:rsidR="00CE1D1E" w:rsidRPr="00420938" w:rsidRDefault="00CE1D1E" w:rsidP="00CF61D9">
            <w:pPr>
              <w:jc w:val="right"/>
              <w:rPr>
                <w:color w:val="FFFFFF" w:themeColor="background1"/>
                <w:vertAlign w:val="superscript"/>
              </w:rPr>
            </w:pPr>
            <w:r>
              <w:t>0,230</w:t>
            </w:r>
            <w:r w:rsidR="00420938">
              <w:rPr>
                <w:color w:val="FFFFFF" w:themeColor="background1"/>
                <w:vertAlign w:val="superscript"/>
              </w:rPr>
              <w:t>***</w:t>
            </w:r>
          </w:p>
        </w:tc>
      </w:tr>
      <w:tr w:rsidR="00CF61D9" w:rsidTr="00311830">
        <w:trPr>
          <w:cnfStyle w:val="010000000000"/>
        </w:trPr>
        <w:tc>
          <w:tcPr>
            <w:tcW w:w="807" w:type="pct"/>
            <w:tcBorders>
              <w:top w:val="nil"/>
            </w:tcBorders>
          </w:tcPr>
          <w:p w:rsidR="00CF61D9" w:rsidRDefault="00CF61D9" w:rsidP="00CF61D9"/>
        </w:tc>
        <w:tc>
          <w:tcPr>
            <w:tcW w:w="807" w:type="pct"/>
            <w:tcBorders>
              <w:top w:val="nil"/>
            </w:tcBorders>
          </w:tcPr>
          <w:p w:rsidR="00CF61D9" w:rsidRDefault="00CF61D9" w:rsidP="00CF61D9"/>
        </w:tc>
        <w:tc>
          <w:tcPr>
            <w:tcW w:w="916" w:type="pct"/>
            <w:tcBorders>
              <w:top w:val="nil"/>
            </w:tcBorders>
            <w:noWrap/>
          </w:tcPr>
          <w:p w:rsidR="00CF61D9" w:rsidRDefault="00CF61D9" w:rsidP="00CF61D9"/>
        </w:tc>
        <w:tc>
          <w:tcPr>
            <w:tcW w:w="857" w:type="pct"/>
            <w:tcBorders>
              <w:top w:val="nil"/>
            </w:tcBorders>
          </w:tcPr>
          <w:p w:rsidR="00CF61D9" w:rsidRDefault="00CF61D9" w:rsidP="00CF61D9"/>
        </w:tc>
        <w:tc>
          <w:tcPr>
            <w:tcW w:w="808" w:type="pct"/>
            <w:tcBorders>
              <w:top w:val="nil"/>
            </w:tcBorders>
          </w:tcPr>
          <w:p w:rsidR="00CF61D9" w:rsidRDefault="00CF61D9" w:rsidP="00CF61D9"/>
        </w:tc>
        <w:tc>
          <w:tcPr>
            <w:tcW w:w="805" w:type="pct"/>
            <w:tcBorders>
              <w:top w:val="nil"/>
            </w:tcBorders>
          </w:tcPr>
          <w:p w:rsidR="00CF61D9" w:rsidRDefault="00CF61D9" w:rsidP="00CF61D9"/>
        </w:tc>
      </w:tr>
    </w:tbl>
    <w:p w:rsidR="00CF61D9" w:rsidRDefault="00CF61D9" w:rsidP="00CF61D9">
      <w:pPr>
        <w:rPr>
          <w:b/>
        </w:rPr>
      </w:pPr>
    </w:p>
    <w:p w:rsidR="00CF61D9" w:rsidRDefault="00CF61D9" w:rsidP="00CF61D9">
      <w:pPr>
        <w:rPr>
          <w:b/>
        </w:rPr>
      </w:pPr>
    </w:p>
    <w:p w:rsidR="006F5F53" w:rsidRDefault="006F5F53"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03589A" w:rsidRDefault="0003589A" w:rsidP="00CF61D9">
      <w:pPr>
        <w:rPr>
          <w:b/>
        </w:rPr>
      </w:pPr>
    </w:p>
    <w:p w:rsidR="007A5074" w:rsidRDefault="007A5074" w:rsidP="00CF61D9">
      <w:pPr>
        <w:rPr>
          <w:b/>
        </w:rPr>
      </w:pPr>
    </w:p>
    <w:p w:rsidR="002809E9" w:rsidRDefault="002809E9">
      <w:pPr>
        <w:rPr>
          <w:b/>
        </w:rPr>
      </w:pPr>
      <w:r>
        <w:rPr>
          <w:b/>
        </w:rPr>
        <w:br w:type="page"/>
      </w:r>
    </w:p>
    <w:p w:rsidR="00CF61D9" w:rsidRPr="001101F2" w:rsidRDefault="00CF61D9" w:rsidP="00E35BE8">
      <w:pPr>
        <w:pStyle w:val="NoSpacing"/>
        <w:rPr>
          <w:b/>
        </w:rPr>
      </w:pPr>
      <w:r w:rsidRPr="001101F2">
        <w:rPr>
          <w:b/>
        </w:rPr>
        <w:lastRenderedPageBreak/>
        <w:t>Bijlage</w:t>
      </w:r>
      <w:r w:rsidR="006F5F53">
        <w:rPr>
          <w:b/>
        </w:rPr>
        <w:t xml:space="preserve"> </w:t>
      </w:r>
      <w:r w:rsidR="00B53219">
        <w:rPr>
          <w:b/>
        </w:rPr>
        <w:t>6</w:t>
      </w:r>
      <w:r w:rsidRPr="001101F2">
        <w:rPr>
          <w:b/>
        </w:rPr>
        <w:t xml:space="preserve">: </w:t>
      </w:r>
      <w:r w:rsidR="00E35BE8">
        <w:rPr>
          <w:b/>
        </w:rPr>
        <w:t xml:space="preserve">Het abnormaal rendement per omvang volgens het </w:t>
      </w:r>
      <w:proofErr w:type="spellStart"/>
      <w:r w:rsidR="00E35BE8">
        <w:rPr>
          <w:b/>
        </w:rPr>
        <w:t>Market-Adjusted</w:t>
      </w:r>
      <w:proofErr w:type="spellEnd"/>
      <w:r w:rsidR="00E35BE8">
        <w:rPr>
          <w:b/>
        </w:rPr>
        <w:t xml:space="preserve"> Return Model</w:t>
      </w:r>
    </w:p>
    <w:p w:rsidR="00E35BE8" w:rsidRDefault="00E35BE8" w:rsidP="00E35BE8">
      <w:pPr>
        <w:pStyle w:val="NoSpacing"/>
      </w:pPr>
    </w:p>
    <w:p w:rsidR="00E35BE8" w:rsidRDefault="00E35BE8" w:rsidP="00E35BE8">
      <w:pPr>
        <w:pStyle w:val="NoSpacing"/>
        <w:keepNext/>
      </w:pPr>
      <w:r w:rsidRPr="004A1E0F">
        <w:rPr>
          <w:noProof/>
          <w:lang w:val="en-US"/>
        </w:rPr>
        <w:drawing>
          <wp:inline distT="0" distB="0" distL="0" distR="0">
            <wp:extent cx="5200650" cy="2733675"/>
            <wp:effectExtent l="19050" t="0" r="19050"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35BE8" w:rsidRDefault="00E35BE8">
      <w:pPr>
        <w:rPr>
          <w:b/>
        </w:rPr>
      </w:pPr>
    </w:p>
    <w:p w:rsidR="00E35BE8" w:rsidRPr="001101F2" w:rsidRDefault="00E35BE8" w:rsidP="00E35BE8">
      <w:pPr>
        <w:pStyle w:val="NoSpacing"/>
        <w:rPr>
          <w:b/>
        </w:rPr>
      </w:pPr>
      <w:r w:rsidRPr="001101F2">
        <w:rPr>
          <w:b/>
        </w:rPr>
        <w:t>Bijlage</w:t>
      </w:r>
      <w:r>
        <w:rPr>
          <w:b/>
        </w:rPr>
        <w:t xml:space="preserve"> 7</w:t>
      </w:r>
      <w:r w:rsidRPr="001101F2">
        <w:rPr>
          <w:b/>
        </w:rPr>
        <w:t xml:space="preserve">: Statische testen bij een </w:t>
      </w:r>
      <w:proofErr w:type="spellStart"/>
      <w:r w:rsidRPr="001101F2">
        <w:rPr>
          <w:b/>
        </w:rPr>
        <w:t>aandeleninkoopprogramma</w:t>
      </w:r>
      <w:proofErr w:type="spellEnd"/>
      <w:r w:rsidRPr="001101F2">
        <w:rPr>
          <w:b/>
        </w:rPr>
        <w:t xml:space="preserve"> tussen de 0 en 5% van het uitstaande     </w:t>
      </w:r>
    </w:p>
    <w:p w:rsidR="00E35BE8" w:rsidRDefault="00E35BE8" w:rsidP="00E35BE8">
      <w:pPr>
        <w:pStyle w:val="NoSpacing"/>
        <w:rPr>
          <w:b/>
        </w:rPr>
      </w:pPr>
      <w:r w:rsidRPr="001101F2">
        <w:rPr>
          <w:b/>
        </w:rPr>
        <w:t xml:space="preserve">    </w:t>
      </w:r>
      <w:r>
        <w:rPr>
          <w:b/>
        </w:rPr>
        <w:t xml:space="preserve">              </w:t>
      </w:r>
      <w:r w:rsidR="007B1B87">
        <w:rPr>
          <w:b/>
        </w:rPr>
        <w:t>A</w:t>
      </w:r>
      <w:r>
        <w:rPr>
          <w:b/>
        </w:rPr>
        <w:t>andelenkapitaal</w:t>
      </w:r>
      <w:r w:rsidR="007B1B87">
        <w:rPr>
          <w:b/>
        </w:rPr>
        <w:t xml:space="preserve"> (subgroep A)</w:t>
      </w:r>
      <w:r>
        <w:rPr>
          <w:b/>
        </w:rPr>
        <w:t xml:space="preserve">. </w:t>
      </w:r>
      <w:r w:rsidRPr="001101F2">
        <w:rPr>
          <w:b/>
        </w:rPr>
        <w:t xml:space="preserve">                                </w:t>
      </w:r>
    </w:p>
    <w:p w:rsidR="00CF61D9" w:rsidRDefault="00CF61D9" w:rsidP="00CF61D9">
      <w:pPr>
        <w:rPr>
          <w:b/>
        </w:rPr>
      </w:pPr>
    </w:p>
    <w:tbl>
      <w:tblPr>
        <w:tblStyle w:val="MediumShading2-Accent5"/>
        <w:tblW w:w="5000" w:type="pct"/>
        <w:tblLook w:val="0660"/>
      </w:tblPr>
      <w:tblGrid>
        <w:gridCol w:w="1498"/>
        <w:gridCol w:w="1499"/>
        <w:gridCol w:w="1701"/>
        <w:gridCol w:w="1592"/>
        <w:gridCol w:w="1501"/>
        <w:gridCol w:w="1495"/>
      </w:tblGrid>
      <w:tr w:rsidR="00CF61D9" w:rsidTr="00311830">
        <w:trPr>
          <w:cnfStyle w:val="100000000000"/>
        </w:trPr>
        <w:tc>
          <w:tcPr>
            <w:tcW w:w="807" w:type="pct"/>
          </w:tcPr>
          <w:p w:rsidR="00CF61D9" w:rsidRDefault="00CF61D9" w:rsidP="00311830">
            <w:r>
              <w:t xml:space="preserve">Dag </w:t>
            </w:r>
          </w:p>
        </w:tc>
        <w:tc>
          <w:tcPr>
            <w:tcW w:w="807" w:type="pct"/>
          </w:tcPr>
          <w:p w:rsidR="00CF61D9" w:rsidRDefault="00CF61D9" w:rsidP="00B67BBF">
            <w:pPr>
              <w:jc w:val="right"/>
            </w:pPr>
            <w:proofErr w:type="spellStart"/>
            <w:r>
              <w:t>Gemiddeld</w:t>
            </w:r>
            <w:proofErr w:type="spellEnd"/>
            <w:r w:rsidR="00B67BBF">
              <w:t xml:space="preserve"> </w:t>
            </w:r>
            <w:r>
              <w:t>AR</w:t>
            </w:r>
          </w:p>
        </w:tc>
        <w:tc>
          <w:tcPr>
            <w:tcW w:w="916" w:type="pct"/>
            <w:noWrap/>
          </w:tcPr>
          <w:p w:rsidR="00CF61D9" w:rsidRDefault="00420938" w:rsidP="00420938">
            <w:pPr>
              <w:jc w:val="center"/>
            </w:pPr>
            <w:r>
              <w:t xml:space="preserve">          </w:t>
            </w:r>
            <w:r w:rsidR="00CF61D9">
              <w:t>T-</w:t>
            </w:r>
            <w:proofErr w:type="spellStart"/>
            <w:r w:rsidR="00CF61D9">
              <w:t>toets</w:t>
            </w:r>
            <w:proofErr w:type="spellEnd"/>
          </w:p>
          <w:p w:rsidR="00420938" w:rsidRDefault="00420938" w:rsidP="00311830">
            <w:pPr>
              <w:jc w:val="right"/>
            </w:pPr>
            <w:r>
              <w:t>(t-</w:t>
            </w:r>
            <w:proofErr w:type="spellStart"/>
            <w:r>
              <w:t>waarde</w:t>
            </w:r>
            <w:proofErr w:type="spellEnd"/>
            <w:r>
              <w:t>)</w:t>
            </w:r>
          </w:p>
        </w:tc>
        <w:tc>
          <w:tcPr>
            <w:tcW w:w="857" w:type="pct"/>
          </w:tcPr>
          <w:p w:rsidR="00CF61D9" w:rsidRDefault="00CF61D9" w:rsidP="00311830">
            <w:pPr>
              <w:jc w:val="right"/>
            </w:pPr>
            <w:proofErr w:type="spellStart"/>
            <w:r>
              <w:t>Aantal</w:t>
            </w:r>
            <w:proofErr w:type="spellEnd"/>
            <w:r>
              <w:t xml:space="preserve"> pos.</w:t>
            </w:r>
          </w:p>
        </w:tc>
        <w:tc>
          <w:tcPr>
            <w:tcW w:w="808" w:type="pct"/>
          </w:tcPr>
          <w:p w:rsidR="00CF61D9" w:rsidRDefault="00CF61D9" w:rsidP="00311830">
            <w:pPr>
              <w:jc w:val="right"/>
            </w:pPr>
            <w:proofErr w:type="spellStart"/>
            <w:r>
              <w:t>Aantal</w:t>
            </w:r>
            <w:proofErr w:type="spellEnd"/>
            <w:r>
              <w:t xml:space="preserve"> neg.</w:t>
            </w:r>
          </w:p>
        </w:tc>
        <w:tc>
          <w:tcPr>
            <w:tcW w:w="805" w:type="pct"/>
          </w:tcPr>
          <w:p w:rsidR="00CF61D9" w:rsidRDefault="004C051E" w:rsidP="00311830">
            <w:pPr>
              <w:jc w:val="right"/>
            </w:pPr>
            <w:proofErr w:type="spellStart"/>
            <w:r>
              <w:t>T</w:t>
            </w:r>
            <w:r w:rsidR="00CF61D9">
              <w:t>ekentoets</w:t>
            </w:r>
            <w:proofErr w:type="spellEnd"/>
          </w:p>
          <w:p w:rsidR="00420938" w:rsidRDefault="00420938" w:rsidP="00311830">
            <w:pPr>
              <w:jc w:val="right"/>
            </w:pPr>
            <w:r>
              <w:t>(p-</w:t>
            </w:r>
            <w:proofErr w:type="spellStart"/>
            <w:r>
              <w:t>waarde</w:t>
            </w:r>
            <w:proofErr w:type="spellEnd"/>
            <w:r>
              <w:t>)</w:t>
            </w:r>
          </w:p>
        </w:tc>
      </w:tr>
      <w:tr w:rsidR="00CF61D9" w:rsidTr="00311830">
        <w:tc>
          <w:tcPr>
            <w:tcW w:w="5000" w:type="pct"/>
            <w:gridSpan w:val="6"/>
          </w:tcPr>
          <w:p w:rsidR="00CF61D9" w:rsidRPr="006B267C" w:rsidRDefault="00CF61D9" w:rsidP="00311830">
            <w:pPr>
              <w:rPr>
                <w:color w:val="FF0000"/>
              </w:rPr>
            </w:pPr>
            <w:r>
              <w:rPr>
                <w:rStyle w:val="SubtleEmphasis"/>
                <w:color w:val="FF0000"/>
              </w:rPr>
              <w:t>Market-Adjusted Return Model</w:t>
            </w:r>
          </w:p>
        </w:tc>
      </w:tr>
      <w:tr w:rsidR="00CF61D9" w:rsidTr="00311830">
        <w:tc>
          <w:tcPr>
            <w:tcW w:w="807" w:type="pct"/>
            <w:tcBorders>
              <w:bottom w:val="nil"/>
            </w:tcBorders>
          </w:tcPr>
          <w:p w:rsidR="00CF61D9" w:rsidRDefault="00CF61D9" w:rsidP="00311830">
            <w:r>
              <w:t>T=-5</w:t>
            </w:r>
          </w:p>
        </w:tc>
        <w:tc>
          <w:tcPr>
            <w:tcW w:w="807" w:type="pct"/>
            <w:tcBorders>
              <w:bottom w:val="nil"/>
            </w:tcBorders>
          </w:tcPr>
          <w:p w:rsidR="00CF61D9" w:rsidRDefault="00CF61D9" w:rsidP="00311830">
            <w:pPr>
              <w:jc w:val="right"/>
            </w:pPr>
            <w:r>
              <w:t>-0,01%</w:t>
            </w:r>
          </w:p>
        </w:tc>
        <w:tc>
          <w:tcPr>
            <w:tcW w:w="916" w:type="pct"/>
            <w:tcBorders>
              <w:bottom w:val="nil"/>
            </w:tcBorders>
            <w:noWrap/>
          </w:tcPr>
          <w:p w:rsidR="00CF61D9" w:rsidRPr="00420938" w:rsidRDefault="00CF61D9" w:rsidP="00311830">
            <w:pPr>
              <w:jc w:val="right"/>
              <w:rPr>
                <w:color w:val="FFFFFF" w:themeColor="background1"/>
                <w:vertAlign w:val="superscript"/>
              </w:rPr>
            </w:pPr>
            <w:r>
              <w:t>-0,047</w:t>
            </w:r>
            <w:r w:rsidR="00420938">
              <w:rPr>
                <w:color w:val="FFFFFF" w:themeColor="background1"/>
                <w:vertAlign w:val="superscript"/>
              </w:rPr>
              <w:t>***</w:t>
            </w:r>
          </w:p>
        </w:tc>
        <w:tc>
          <w:tcPr>
            <w:tcW w:w="857" w:type="pct"/>
            <w:tcBorders>
              <w:bottom w:val="nil"/>
            </w:tcBorders>
          </w:tcPr>
          <w:p w:rsidR="00CF61D9" w:rsidRDefault="00CF61D9" w:rsidP="00CF61D9">
            <w:pPr>
              <w:jc w:val="right"/>
            </w:pPr>
            <w:r>
              <w:t>22</w:t>
            </w:r>
          </w:p>
        </w:tc>
        <w:tc>
          <w:tcPr>
            <w:tcW w:w="808" w:type="pct"/>
            <w:tcBorders>
              <w:bottom w:val="nil"/>
            </w:tcBorders>
          </w:tcPr>
          <w:p w:rsidR="00CF61D9" w:rsidRDefault="00CF61D9" w:rsidP="00CF61D9">
            <w:pPr>
              <w:jc w:val="right"/>
            </w:pPr>
            <w:r>
              <w:t>21</w:t>
            </w:r>
          </w:p>
        </w:tc>
        <w:tc>
          <w:tcPr>
            <w:tcW w:w="805" w:type="pct"/>
            <w:tcBorders>
              <w:bottom w:val="nil"/>
            </w:tcBorders>
          </w:tcPr>
          <w:p w:rsidR="00CF61D9" w:rsidRPr="00420938" w:rsidRDefault="00CF61D9" w:rsidP="00CF61D9">
            <w:pPr>
              <w:jc w:val="right"/>
              <w:rPr>
                <w:color w:val="FFFFFF" w:themeColor="background1"/>
                <w:vertAlign w:val="superscript"/>
              </w:rPr>
            </w:pPr>
            <w:r>
              <w:t>1,000</w:t>
            </w:r>
            <w:r w:rsidR="00420938">
              <w:rPr>
                <w:color w:val="FFFFFF" w:themeColor="background1"/>
                <w:vertAlign w:val="superscript"/>
              </w:rPr>
              <w:t>***</w:t>
            </w:r>
          </w:p>
        </w:tc>
      </w:tr>
      <w:tr w:rsidR="00CF61D9" w:rsidTr="00311830">
        <w:tc>
          <w:tcPr>
            <w:tcW w:w="807" w:type="pct"/>
            <w:tcBorders>
              <w:top w:val="nil"/>
              <w:bottom w:val="single" w:sz="4" w:space="0" w:color="auto"/>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p w:rsidR="00CF61D9" w:rsidRDefault="00CF61D9" w:rsidP="00311830"/>
        </w:tc>
        <w:tc>
          <w:tcPr>
            <w:tcW w:w="807" w:type="pct"/>
            <w:tcBorders>
              <w:top w:val="nil"/>
              <w:bottom w:val="single" w:sz="4" w:space="0" w:color="auto"/>
            </w:tcBorders>
          </w:tcPr>
          <w:p w:rsidR="00CF61D9" w:rsidRDefault="00CF61D9" w:rsidP="00311830">
            <w:pPr>
              <w:jc w:val="right"/>
            </w:pPr>
            <w:r>
              <w:t>-0,12%</w:t>
            </w:r>
          </w:p>
          <w:p w:rsidR="00CF61D9" w:rsidRDefault="00CF61D9" w:rsidP="00311830">
            <w:pPr>
              <w:jc w:val="right"/>
            </w:pPr>
            <w:r>
              <w:t>-0,16%</w:t>
            </w:r>
          </w:p>
          <w:p w:rsidR="00CF61D9" w:rsidRDefault="00CF61D9" w:rsidP="00311830">
            <w:pPr>
              <w:jc w:val="right"/>
            </w:pPr>
            <w:r>
              <w:t>0,16%</w:t>
            </w:r>
          </w:p>
          <w:p w:rsidR="00CF61D9" w:rsidRDefault="00CF61D9" w:rsidP="00311830">
            <w:pPr>
              <w:jc w:val="right"/>
            </w:pPr>
            <w:r>
              <w:t>0,07%</w:t>
            </w:r>
          </w:p>
          <w:p w:rsidR="00CF61D9" w:rsidRDefault="00CF61D9" w:rsidP="00311830">
            <w:pPr>
              <w:jc w:val="right"/>
            </w:pPr>
            <w:r>
              <w:t>1,15%</w:t>
            </w:r>
          </w:p>
          <w:p w:rsidR="00CF61D9" w:rsidRDefault="00CF61D9" w:rsidP="00311830">
            <w:pPr>
              <w:jc w:val="right"/>
            </w:pPr>
            <w:r>
              <w:t>0,20%</w:t>
            </w:r>
          </w:p>
          <w:p w:rsidR="00CF61D9" w:rsidRDefault="00CF61D9" w:rsidP="00311830">
            <w:pPr>
              <w:jc w:val="right"/>
            </w:pPr>
            <w:r>
              <w:t>0,12%</w:t>
            </w:r>
          </w:p>
          <w:p w:rsidR="00CF61D9" w:rsidRDefault="00CF61D9" w:rsidP="00311830">
            <w:pPr>
              <w:jc w:val="right"/>
            </w:pPr>
            <w:r>
              <w:t>-0,05%</w:t>
            </w:r>
          </w:p>
          <w:p w:rsidR="00CF61D9" w:rsidRDefault="00CF61D9" w:rsidP="00311830">
            <w:pPr>
              <w:jc w:val="right"/>
            </w:pPr>
            <w:r>
              <w:t>0,26%</w:t>
            </w:r>
          </w:p>
          <w:p w:rsidR="00CF61D9" w:rsidRDefault="00CF61D9" w:rsidP="00311830">
            <w:pPr>
              <w:jc w:val="right"/>
            </w:pPr>
            <w:r>
              <w:t>-0,25%</w:t>
            </w:r>
          </w:p>
        </w:tc>
        <w:tc>
          <w:tcPr>
            <w:tcW w:w="916" w:type="pct"/>
            <w:tcBorders>
              <w:top w:val="nil"/>
              <w:bottom w:val="single" w:sz="4" w:space="0" w:color="auto"/>
            </w:tcBorders>
            <w:noWrap/>
          </w:tcPr>
          <w:p w:rsidR="00CF61D9" w:rsidRPr="00420938" w:rsidRDefault="00CF61D9" w:rsidP="00311830">
            <w:pPr>
              <w:jc w:val="right"/>
              <w:rPr>
                <w:color w:val="FFFFFF" w:themeColor="background1"/>
                <w:vertAlign w:val="superscript"/>
              </w:rPr>
            </w:pPr>
            <w:r>
              <w:t>-0,596</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-0,866</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0,725</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0,418</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rsidRPr="004B32AB">
              <w:t>2,126</w:t>
            </w:r>
            <w:r w:rsidR="00420938" w:rsidRPr="004B32AB">
              <w:rPr>
                <w:b/>
                <w:vertAlign w:val="superscript"/>
              </w:rPr>
              <w:t>**</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0,775</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0,574</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-0,196</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1,533</w:t>
            </w:r>
            <w:r w:rsidR="00420938">
              <w:rPr>
                <w:color w:val="FFFFFF" w:themeColor="background1"/>
                <w:vertAlign w:val="superscript"/>
              </w:rPr>
              <w:t>***</w:t>
            </w:r>
          </w:p>
          <w:p w:rsidR="00CF61D9" w:rsidRPr="00420938" w:rsidRDefault="00CF61D9" w:rsidP="00311830">
            <w:pPr>
              <w:jc w:val="right"/>
              <w:rPr>
                <w:color w:val="FFFFFF" w:themeColor="background1"/>
                <w:vertAlign w:val="superscript"/>
              </w:rPr>
            </w:pPr>
            <w:r>
              <w:t>-1,494</w:t>
            </w:r>
            <w:r w:rsidR="00420938">
              <w:rPr>
                <w:color w:val="FFFFFF" w:themeColor="background1"/>
                <w:vertAlign w:val="superscript"/>
              </w:rPr>
              <w:t>***</w:t>
            </w:r>
          </w:p>
        </w:tc>
        <w:tc>
          <w:tcPr>
            <w:tcW w:w="857" w:type="pct"/>
            <w:tcBorders>
              <w:top w:val="nil"/>
              <w:bottom w:val="single" w:sz="4" w:space="0" w:color="auto"/>
            </w:tcBorders>
          </w:tcPr>
          <w:p w:rsidR="00CF61D9" w:rsidRDefault="00CF61D9" w:rsidP="00CF61D9">
            <w:pPr>
              <w:jc w:val="right"/>
            </w:pPr>
            <w:r>
              <w:t>19</w:t>
            </w:r>
          </w:p>
          <w:p w:rsidR="00CF61D9" w:rsidRDefault="00CF61D9" w:rsidP="00CF61D9">
            <w:pPr>
              <w:jc w:val="right"/>
            </w:pPr>
            <w:r>
              <w:t>18</w:t>
            </w:r>
          </w:p>
          <w:p w:rsidR="00CF61D9" w:rsidRDefault="00CF61D9" w:rsidP="00CF61D9">
            <w:pPr>
              <w:jc w:val="right"/>
            </w:pPr>
            <w:r>
              <w:t>28</w:t>
            </w:r>
          </w:p>
          <w:p w:rsidR="00CF61D9" w:rsidRDefault="00CF61D9" w:rsidP="00CF61D9">
            <w:pPr>
              <w:jc w:val="right"/>
            </w:pPr>
            <w:r>
              <w:t>22</w:t>
            </w:r>
          </w:p>
          <w:p w:rsidR="00CF61D9" w:rsidRDefault="00CF61D9" w:rsidP="00CF61D9">
            <w:pPr>
              <w:jc w:val="right"/>
            </w:pPr>
            <w:r>
              <w:t>29</w:t>
            </w:r>
          </w:p>
          <w:p w:rsidR="00CF61D9" w:rsidRDefault="00CF61D9" w:rsidP="00CF61D9">
            <w:pPr>
              <w:jc w:val="right"/>
            </w:pPr>
            <w:r>
              <w:t>21</w:t>
            </w:r>
          </w:p>
          <w:p w:rsidR="00CF61D9" w:rsidRDefault="00CF61D9" w:rsidP="00CF61D9">
            <w:pPr>
              <w:jc w:val="right"/>
            </w:pPr>
            <w:r>
              <w:t>22</w:t>
            </w:r>
          </w:p>
          <w:p w:rsidR="00CF61D9" w:rsidRDefault="00CF61D9" w:rsidP="00CF61D9">
            <w:pPr>
              <w:jc w:val="right"/>
            </w:pPr>
            <w:r>
              <w:t>17</w:t>
            </w:r>
          </w:p>
          <w:p w:rsidR="00CF61D9" w:rsidRDefault="00CF61D9" w:rsidP="00CF61D9">
            <w:pPr>
              <w:jc w:val="right"/>
            </w:pPr>
            <w:r>
              <w:t>26</w:t>
            </w:r>
          </w:p>
          <w:p w:rsidR="00CF61D9" w:rsidRDefault="00CF61D9" w:rsidP="00CF61D9">
            <w:pPr>
              <w:jc w:val="right"/>
            </w:pPr>
            <w:r>
              <w:t>19</w:t>
            </w:r>
          </w:p>
        </w:tc>
        <w:tc>
          <w:tcPr>
            <w:tcW w:w="808" w:type="pct"/>
            <w:tcBorders>
              <w:top w:val="nil"/>
              <w:bottom w:val="single" w:sz="4" w:space="0" w:color="auto"/>
            </w:tcBorders>
          </w:tcPr>
          <w:p w:rsidR="00CF61D9" w:rsidRDefault="00CF61D9" w:rsidP="00CF61D9">
            <w:pPr>
              <w:jc w:val="right"/>
            </w:pPr>
            <w:r>
              <w:t>24</w:t>
            </w:r>
          </w:p>
          <w:p w:rsidR="00CF61D9" w:rsidRDefault="00CF61D9" w:rsidP="00CF61D9">
            <w:pPr>
              <w:jc w:val="right"/>
            </w:pPr>
            <w:r>
              <w:t>25</w:t>
            </w:r>
          </w:p>
          <w:p w:rsidR="00CF61D9" w:rsidRDefault="00CF61D9" w:rsidP="00CF61D9">
            <w:pPr>
              <w:jc w:val="right"/>
            </w:pPr>
            <w:r>
              <w:t>15</w:t>
            </w:r>
          </w:p>
          <w:p w:rsidR="00CF61D9" w:rsidRDefault="00CF61D9" w:rsidP="00CF61D9">
            <w:pPr>
              <w:jc w:val="right"/>
            </w:pPr>
            <w:r>
              <w:t>21</w:t>
            </w:r>
          </w:p>
          <w:p w:rsidR="00CF61D9" w:rsidRDefault="00CF61D9" w:rsidP="00CF61D9">
            <w:pPr>
              <w:jc w:val="right"/>
            </w:pPr>
            <w:r>
              <w:t>14</w:t>
            </w:r>
          </w:p>
          <w:p w:rsidR="00CF61D9" w:rsidRDefault="00CF61D9" w:rsidP="00CF61D9">
            <w:pPr>
              <w:jc w:val="right"/>
            </w:pPr>
            <w:r>
              <w:t>22</w:t>
            </w:r>
          </w:p>
          <w:p w:rsidR="00CF61D9" w:rsidRDefault="00CF61D9" w:rsidP="00CF61D9">
            <w:pPr>
              <w:jc w:val="right"/>
            </w:pPr>
            <w:r>
              <w:t>21</w:t>
            </w:r>
          </w:p>
          <w:p w:rsidR="00CF61D9" w:rsidRDefault="00CF61D9" w:rsidP="00CF61D9">
            <w:pPr>
              <w:jc w:val="right"/>
            </w:pPr>
            <w:r>
              <w:t>26</w:t>
            </w:r>
          </w:p>
          <w:p w:rsidR="00CF61D9" w:rsidRDefault="00CF61D9" w:rsidP="00CF61D9">
            <w:pPr>
              <w:jc w:val="right"/>
            </w:pPr>
            <w:r>
              <w:t>17</w:t>
            </w:r>
          </w:p>
          <w:p w:rsidR="00CF61D9" w:rsidRDefault="00CF61D9" w:rsidP="00CF61D9">
            <w:pPr>
              <w:jc w:val="right"/>
            </w:pPr>
            <w:r>
              <w:t>24</w:t>
            </w:r>
          </w:p>
        </w:tc>
        <w:tc>
          <w:tcPr>
            <w:tcW w:w="805" w:type="pct"/>
            <w:tcBorders>
              <w:top w:val="nil"/>
              <w:bottom w:val="single" w:sz="4" w:space="0" w:color="auto"/>
            </w:tcBorders>
          </w:tcPr>
          <w:p w:rsidR="00CF61D9" w:rsidRPr="00420938" w:rsidRDefault="00CF61D9" w:rsidP="00CF61D9">
            <w:pPr>
              <w:jc w:val="right"/>
              <w:rPr>
                <w:color w:val="FFFFFF" w:themeColor="background1"/>
                <w:vertAlign w:val="superscript"/>
              </w:rPr>
            </w:pPr>
            <w:r>
              <w:t>0,542</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0,360</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rsidRPr="004B32AB">
              <w:t>0,066</w:t>
            </w:r>
            <w:r w:rsidR="00420938" w:rsidRPr="004B32AB">
              <w:rPr>
                <w:b/>
                <w:vertAlign w:val="superscript"/>
              </w:rPr>
              <w:t>*</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1,000</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rsidRPr="004B32AB">
              <w:t>0,032</w:t>
            </w:r>
            <w:r w:rsidR="00420938" w:rsidRPr="004B32AB">
              <w:rPr>
                <w:b/>
                <w:vertAlign w:val="superscript"/>
              </w:rPr>
              <w:t>**</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1,000</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1,000</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0,222</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0,222</w:t>
            </w:r>
            <w:r w:rsidR="00420938">
              <w:rPr>
                <w:color w:val="FFFFFF" w:themeColor="background1"/>
                <w:vertAlign w:val="superscript"/>
              </w:rPr>
              <w:t>***</w:t>
            </w:r>
          </w:p>
          <w:p w:rsidR="00CF61D9" w:rsidRPr="00420938" w:rsidRDefault="00CF61D9" w:rsidP="00CF61D9">
            <w:pPr>
              <w:jc w:val="right"/>
              <w:rPr>
                <w:color w:val="FFFFFF" w:themeColor="background1"/>
                <w:vertAlign w:val="superscript"/>
              </w:rPr>
            </w:pPr>
            <w:r>
              <w:t>0,542</w:t>
            </w:r>
            <w:r w:rsidR="00420938">
              <w:rPr>
                <w:color w:val="FFFFFF" w:themeColor="background1"/>
                <w:vertAlign w:val="superscript"/>
              </w:rPr>
              <w:t>***</w:t>
            </w:r>
          </w:p>
        </w:tc>
      </w:tr>
      <w:tr w:rsidR="00CF61D9" w:rsidTr="00311830">
        <w:tc>
          <w:tcPr>
            <w:tcW w:w="5000" w:type="pct"/>
            <w:gridSpan w:val="6"/>
            <w:tcBorders>
              <w:top w:val="single" w:sz="4" w:space="0" w:color="auto"/>
            </w:tcBorders>
          </w:tcPr>
          <w:p w:rsidR="00CF61D9" w:rsidRPr="006B267C" w:rsidRDefault="00CF61D9" w:rsidP="00CF61D9">
            <w:pPr>
              <w:rPr>
                <w:color w:val="FF0000"/>
              </w:rPr>
            </w:pPr>
            <w:proofErr w:type="spellStart"/>
            <w:r>
              <w:rPr>
                <w:rStyle w:val="SubtleEmphasis"/>
                <w:color w:val="FF0000"/>
              </w:rPr>
              <w:t>Markt</w:t>
            </w:r>
            <w:proofErr w:type="spellEnd"/>
            <w:r>
              <w:rPr>
                <w:rStyle w:val="SubtleEmphasis"/>
                <w:color w:val="FF0000"/>
              </w:rPr>
              <w:t xml:space="preserve"> Model</w:t>
            </w:r>
          </w:p>
        </w:tc>
      </w:tr>
      <w:tr w:rsidR="00CF61D9" w:rsidTr="00311830">
        <w:tc>
          <w:tcPr>
            <w:tcW w:w="807" w:type="pct"/>
            <w:tcBorders>
              <w:top w:val="nil"/>
              <w:bottom w:val="nil"/>
            </w:tcBorders>
          </w:tcPr>
          <w:p w:rsidR="00CF61D9" w:rsidRDefault="00CF61D9" w:rsidP="00311830">
            <w:r>
              <w:t>T=-5</w:t>
            </w:r>
          </w:p>
        </w:tc>
        <w:tc>
          <w:tcPr>
            <w:tcW w:w="807" w:type="pct"/>
            <w:tcBorders>
              <w:top w:val="nil"/>
              <w:bottom w:val="nil"/>
            </w:tcBorders>
          </w:tcPr>
          <w:p w:rsidR="00CF61D9" w:rsidRDefault="00D2007F" w:rsidP="00311830">
            <w:pPr>
              <w:jc w:val="right"/>
            </w:pPr>
            <w:r>
              <w:t>0,01%</w:t>
            </w:r>
          </w:p>
        </w:tc>
        <w:tc>
          <w:tcPr>
            <w:tcW w:w="916" w:type="pct"/>
            <w:tcBorders>
              <w:top w:val="nil"/>
              <w:bottom w:val="nil"/>
            </w:tcBorders>
            <w:noWrap/>
          </w:tcPr>
          <w:p w:rsidR="00CF61D9" w:rsidRPr="00420938" w:rsidRDefault="00D2007F" w:rsidP="00311830">
            <w:pPr>
              <w:jc w:val="right"/>
              <w:rPr>
                <w:color w:val="FFFFFF" w:themeColor="background1"/>
                <w:vertAlign w:val="superscript"/>
              </w:rPr>
            </w:pPr>
            <w:r>
              <w:t>0,046</w:t>
            </w:r>
            <w:r w:rsidR="00420938">
              <w:rPr>
                <w:color w:val="FFFFFF" w:themeColor="background1"/>
                <w:vertAlign w:val="superscript"/>
              </w:rPr>
              <w:t>***</w:t>
            </w:r>
          </w:p>
        </w:tc>
        <w:tc>
          <w:tcPr>
            <w:tcW w:w="857" w:type="pct"/>
            <w:tcBorders>
              <w:top w:val="nil"/>
              <w:bottom w:val="nil"/>
            </w:tcBorders>
          </w:tcPr>
          <w:p w:rsidR="00CF61D9" w:rsidRDefault="00D2007F" w:rsidP="00CF61D9">
            <w:pPr>
              <w:jc w:val="right"/>
            </w:pPr>
            <w:r>
              <w:t>23</w:t>
            </w:r>
          </w:p>
        </w:tc>
        <w:tc>
          <w:tcPr>
            <w:tcW w:w="808" w:type="pct"/>
            <w:tcBorders>
              <w:top w:val="nil"/>
              <w:bottom w:val="nil"/>
            </w:tcBorders>
          </w:tcPr>
          <w:p w:rsidR="00CF61D9" w:rsidRDefault="00D2007F" w:rsidP="00CF61D9">
            <w:pPr>
              <w:jc w:val="right"/>
            </w:pPr>
            <w:r>
              <w:t>20</w:t>
            </w:r>
          </w:p>
        </w:tc>
        <w:tc>
          <w:tcPr>
            <w:tcW w:w="805" w:type="pct"/>
            <w:tcBorders>
              <w:top w:val="nil"/>
              <w:bottom w:val="nil"/>
            </w:tcBorders>
          </w:tcPr>
          <w:p w:rsidR="00CF61D9" w:rsidRPr="00420938" w:rsidRDefault="00D2007F" w:rsidP="00CF61D9">
            <w:pPr>
              <w:jc w:val="right"/>
              <w:rPr>
                <w:color w:val="FFFFFF" w:themeColor="background1"/>
                <w:vertAlign w:val="superscript"/>
              </w:rPr>
            </w:pPr>
            <w:r>
              <w:t>0,761</w:t>
            </w:r>
            <w:r w:rsidR="00420938">
              <w:rPr>
                <w:color w:val="FFFFFF" w:themeColor="background1"/>
                <w:vertAlign w:val="superscript"/>
              </w:rPr>
              <w:t>***</w:t>
            </w:r>
          </w:p>
        </w:tc>
      </w:tr>
      <w:tr w:rsidR="00CF61D9" w:rsidTr="00311830">
        <w:tc>
          <w:tcPr>
            <w:tcW w:w="807" w:type="pct"/>
            <w:tcBorders>
              <w:top w:val="nil"/>
              <w:bottom w:val="nil"/>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tc>
        <w:tc>
          <w:tcPr>
            <w:tcW w:w="807" w:type="pct"/>
            <w:tcBorders>
              <w:top w:val="nil"/>
              <w:bottom w:val="nil"/>
            </w:tcBorders>
          </w:tcPr>
          <w:p w:rsidR="00CF61D9" w:rsidRDefault="00D2007F" w:rsidP="00311830">
            <w:pPr>
              <w:jc w:val="right"/>
            </w:pPr>
            <w:r>
              <w:t>-0,15%</w:t>
            </w:r>
          </w:p>
          <w:p w:rsidR="00D2007F" w:rsidRDefault="00D2007F" w:rsidP="00311830">
            <w:pPr>
              <w:jc w:val="right"/>
            </w:pPr>
            <w:r>
              <w:t>-0,18%</w:t>
            </w:r>
          </w:p>
          <w:p w:rsidR="00D2007F" w:rsidRDefault="00D2007F" w:rsidP="00311830">
            <w:pPr>
              <w:jc w:val="right"/>
            </w:pPr>
            <w:r>
              <w:t>0,09%</w:t>
            </w:r>
          </w:p>
          <w:p w:rsidR="00D2007F" w:rsidRDefault="00D2007F" w:rsidP="00311830">
            <w:pPr>
              <w:jc w:val="right"/>
            </w:pPr>
            <w:r>
              <w:t>0,01%</w:t>
            </w:r>
          </w:p>
          <w:p w:rsidR="00D2007F" w:rsidRDefault="00D2007F" w:rsidP="00311830">
            <w:pPr>
              <w:jc w:val="right"/>
            </w:pPr>
            <w:r>
              <w:t>1,09%</w:t>
            </w:r>
          </w:p>
          <w:p w:rsidR="00D2007F" w:rsidRDefault="00D2007F" w:rsidP="00311830">
            <w:pPr>
              <w:jc w:val="right"/>
            </w:pPr>
            <w:r>
              <w:t>0,24%</w:t>
            </w:r>
          </w:p>
          <w:p w:rsidR="00D2007F" w:rsidRDefault="00D2007F" w:rsidP="00311830">
            <w:pPr>
              <w:jc w:val="right"/>
            </w:pPr>
            <w:r>
              <w:t>0,11%</w:t>
            </w:r>
          </w:p>
          <w:p w:rsidR="00D2007F" w:rsidRDefault="00D2007F" w:rsidP="00311830">
            <w:pPr>
              <w:jc w:val="right"/>
            </w:pPr>
            <w:r>
              <w:t>0,00%</w:t>
            </w:r>
          </w:p>
          <w:p w:rsidR="00D2007F" w:rsidRDefault="00D2007F" w:rsidP="00311830">
            <w:pPr>
              <w:jc w:val="right"/>
            </w:pPr>
            <w:r>
              <w:t>0,30%</w:t>
            </w:r>
          </w:p>
          <w:p w:rsidR="00D2007F" w:rsidRDefault="00D2007F" w:rsidP="00311830">
            <w:pPr>
              <w:jc w:val="right"/>
            </w:pPr>
            <w:r>
              <w:t>-0,26%</w:t>
            </w:r>
          </w:p>
        </w:tc>
        <w:tc>
          <w:tcPr>
            <w:tcW w:w="916" w:type="pct"/>
            <w:tcBorders>
              <w:top w:val="nil"/>
              <w:bottom w:val="nil"/>
            </w:tcBorders>
            <w:noWrap/>
          </w:tcPr>
          <w:p w:rsidR="00CF61D9" w:rsidRPr="00420938" w:rsidRDefault="00D2007F" w:rsidP="00311830">
            <w:pPr>
              <w:jc w:val="right"/>
              <w:rPr>
                <w:color w:val="FFFFFF" w:themeColor="background1"/>
                <w:vertAlign w:val="superscript"/>
              </w:rPr>
            </w:pPr>
            <w:r w:rsidRPr="00D2007F">
              <w:t>-0,779</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-0,886</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0,416</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0,085</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rsidRPr="004B32AB">
              <w:t>2,051</w:t>
            </w:r>
            <w:r w:rsidR="00420938" w:rsidRPr="004B32AB">
              <w:rPr>
                <w:b/>
                <w:vertAlign w:val="superscript"/>
              </w:rPr>
              <w:t>**</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0,970</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0,549</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0,016</w:t>
            </w:r>
            <w:r w:rsidR="00420938">
              <w:rPr>
                <w:color w:val="FFFFFF" w:themeColor="background1"/>
                <w:vertAlign w:val="superscript"/>
              </w:rPr>
              <w:t>***</w:t>
            </w:r>
          </w:p>
          <w:p w:rsidR="00D2007F" w:rsidRPr="00420938" w:rsidRDefault="00D2007F" w:rsidP="00311830">
            <w:pPr>
              <w:jc w:val="right"/>
              <w:rPr>
                <w:color w:val="FFFFFF" w:themeColor="background1"/>
                <w:vertAlign w:val="superscript"/>
              </w:rPr>
            </w:pPr>
            <w:r>
              <w:t>1,517</w:t>
            </w:r>
            <w:r w:rsidR="00420938">
              <w:rPr>
                <w:color w:val="FFFFFF" w:themeColor="background1"/>
                <w:vertAlign w:val="superscript"/>
              </w:rPr>
              <w:t>***</w:t>
            </w:r>
          </w:p>
          <w:p w:rsidR="00D2007F" w:rsidRPr="00420938" w:rsidRDefault="00D2007F" w:rsidP="00311830">
            <w:pPr>
              <w:jc w:val="right"/>
              <w:rPr>
                <w:vertAlign w:val="superscript"/>
              </w:rPr>
            </w:pPr>
            <w:r>
              <w:t>-1,666</w:t>
            </w:r>
            <w:r w:rsidR="00420938" w:rsidRPr="00420938">
              <w:rPr>
                <w:color w:val="FFFFFF" w:themeColor="background1"/>
                <w:vertAlign w:val="superscript"/>
              </w:rPr>
              <w:t>***</w:t>
            </w:r>
          </w:p>
        </w:tc>
        <w:tc>
          <w:tcPr>
            <w:tcW w:w="857" w:type="pct"/>
            <w:tcBorders>
              <w:top w:val="nil"/>
              <w:bottom w:val="nil"/>
            </w:tcBorders>
          </w:tcPr>
          <w:p w:rsidR="00CF61D9" w:rsidRDefault="00D2007F" w:rsidP="00CF61D9">
            <w:pPr>
              <w:jc w:val="right"/>
            </w:pPr>
            <w:r>
              <w:t>19</w:t>
            </w:r>
          </w:p>
          <w:p w:rsidR="00D2007F" w:rsidRDefault="00D2007F" w:rsidP="00CF61D9">
            <w:pPr>
              <w:jc w:val="right"/>
            </w:pPr>
            <w:r>
              <w:t>20</w:t>
            </w:r>
          </w:p>
          <w:p w:rsidR="00D2007F" w:rsidRDefault="00D2007F" w:rsidP="00CF61D9">
            <w:pPr>
              <w:jc w:val="right"/>
            </w:pPr>
            <w:r>
              <w:t>26</w:t>
            </w:r>
          </w:p>
          <w:p w:rsidR="00D2007F" w:rsidRDefault="00D2007F" w:rsidP="00CF61D9">
            <w:pPr>
              <w:jc w:val="right"/>
            </w:pPr>
            <w:r>
              <w:t>21</w:t>
            </w:r>
          </w:p>
          <w:p w:rsidR="00D2007F" w:rsidRDefault="00D2007F" w:rsidP="00CF61D9">
            <w:pPr>
              <w:jc w:val="right"/>
            </w:pPr>
            <w:r>
              <w:t>28</w:t>
            </w:r>
          </w:p>
          <w:p w:rsidR="00D2007F" w:rsidRDefault="00D2007F" w:rsidP="00CF61D9">
            <w:pPr>
              <w:jc w:val="right"/>
            </w:pPr>
            <w:r>
              <w:t>24</w:t>
            </w:r>
          </w:p>
          <w:p w:rsidR="00D2007F" w:rsidRDefault="00D2007F" w:rsidP="00CF61D9">
            <w:pPr>
              <w:jc w:val="right"/>
            </w:pPr>
            <w:r>
              <w:t>22</w:t>
            </w:r>
          </w:p>
          <w:p w:rsidR="00D2007F" w:rsidRDefault="00D2007F" w:rsidP="00CF61D9">
            <w:pPr>
              <w:jc w:val="right"/>
            </w:pPr>
            <w:r>
              <w:t>17</w:t>
            </w:r>
          </w:p>
          <w:p w:rsidR="00D2007F" w:rsidRDefault="00D2007F" w:rsidP="00CF61D9">
            <w:pPr>
              <w:jc w:val="right"/>
            </w:pPr>
            <w:r>
              <w:t>25</w:t>
            </w:r>
          </w:p>
          <w:p w:rsidR="00D2007F" w:rsidRDefault="00D2007F" w:rsidP="00CF61D9">
            <w:pPr>
              <w:jc w:val="right"/>
            </w:pPr>
            <w:r>
              <w:t>20</w:t>
            </w:r>
          </w:p>
        </w:tc>
        <w:tc>
          <w:tcPr>
            <w:tcW w:w="808" w:type="pct"/>
            <w:tcBorders>
              <w:top w:val="nil"/>
              <w:bottom w:val="nil"/>
            </w:tcBorders>
          </w:tcPr>
          <w:p w:rsidR="00CF61D9" w:rsidRDefault="00D2007F" w:rsidP="00CF61D9">
            <w:pPr>
              <w:jc w:val="right"/>
            </w:pPr>
            <w:r>
              <w:t>24</w:t>
            </w:r>
          </w:p>
          <w:p w:rsidR="00D2007F" w:rsidRDefault="00D2007F" w:rsidP="00CF61D9">
            <w:pPr>
              <w:jc w:val="right"/>
            </w:pPr>
            <w:r>
              <w:t>23</w:t>
            </w:r>
          </w:p>
          <w:p w:rsidR="00D2007F" w:rsidRDefault="00D2007F" w:rsidP="00CF61D9">
            <w:pPr>
              <w:jc w:val="right"/>
            </w:pPr>
            <w:r>
              <w:t>17</w:t>
            </w:r>
          </w:p>
          <w:p w:rsidR="00D2007F" w:rsidRDefault="00D2007F" w:rsidP="00CF61D9">
            <w:pPr>
              <w:jc w:val="right"/>
            </w:pPr>
            <w:r>
              <w:t>22</w:t>
            </w:r>
          </w:p>
          <w:p w:rsidR="00D2007F" w:rsidRDefault="00D2007F" w:rsidP="00CF61D9">
            <w:pPr>
              <w:jc w:val="right"/>
            </w:pPr>
            <w:r>
              <w:t>15</w:t>
            </w:r>
          </w:p>
          <w:p w:rsidR="00D2007F" w:rsidRDefault="00D2007F" w:rsidP="00CF61D9">
            <w:pPr>
              <w:jc w:val="right"/>
            </w:pPr>
            <w:r>
              <w:t>19</w:t>
            </w:r>
          </w:p>
          <w:p w:rsidR="00D2007F" w:rsidRDefault="00D2007F" w:rsidP="00CF61D9">
            <w:pPr>
              <w:jc w:val="right"/>
            </w:pPr>
            <w:r>
              <w:t>21</w:t>
            </w:r>
          </w:p>
          <w:p w:rsidR="00D2007F" w:rsidRDefault="00D2007F" w:rsidP="00CF61D9">
            <w:pPr>
              <w:jc w:val="right"/>
            </w:pPr>
            <w:r>
              <w:t>26</w:t>
            </w:r>
          </w:p>
          <w:p w:rsidR="00D2007F" w:rsidRDefault="00D2007F" w:rsidP="00CF61D9">
            <w:pPr>
              <w:jc w:val="right"/>
            </w:pPr>
            <w:r>
              <w:t>18</w:t>
            </w:r>
          </w:p>
          <w:p w:rsidR="00D2007F" w:rsidRDefault="00D2007F" w:rsidP="00CF61D9">
            <w:pPr>
              <w:jc w:val="right"/>
            </w:pPr>
            <w:r>
              <w:t>23</w:t>
            </w:r>
          </w:p>
        </w:tc>
        <w:tc>
          <w:tcPr>
            <w:tcW w:w="805" w:type="pct"/>
            <w:tcBorders>
              <w:top w:val="nil"/>
              <w:bottom w:val="nil"/>
            </w:tcBorders>
          </w:tcPr>
          <w:p w:rsidR="00CF61D9" w:rsidRPr="00420938" w:rsidRDefault="00D2007F" w:rsidP="00CF61D9">
            <w:pPr>
              <w:jc w:val="right"/>
              <w:rPr>
                <w:color w:val="FFFFFF" w:themeColor="background1"/>
                <w:vertAlign w:val="superscript"/>
              </w:rPr>
            </w:pPr>
            <w:r>
              <w:t>0,542</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0,761</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0,222</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1,000</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rsidRPr="004B32AB">
              <w:t>0,066</w:t>
            </w:r>
            <w:r w:rsidR="00420938" w:rsidRPr="004B32AB">
              <w:rPr>
                <w:b/>
                <w:vertAlign w:val="superscript"/>
              </w:rPr>
              <w:t>*</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0,542</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1,000</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0,222</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0,360</w:t>
            </w:r>
            <w:r w:rsidR="00420938">
              <w:rPr>
                <w:color w:val="FFFFFF" w:themeColor="background1"/>
                <w:vertAlign w:val="superscript"/>
              </w:rPr>
              <w:t>***</w:t>
            </w:r>
          </w:p>
          <w:p w:rsidR="00D2007F" w:rsidRPr="00420938" w:rsidRDefault="00D2007F" w:rsidP="00CF61D9">
            <w:pPr>
              <w:jc w:val="right"/>
              <w:rPr>
                <w:color w:val="FFFFFF" w:themeColor="background1"/>
                <w:vertAlign w:val="superscript"/>
              </w:rPr>
            </w:pPr>
            <w:r>
              <w:t>0,761</w:t>
            </w:r>
            <w:r w:rsidR="00420938">
              <w:rPr>
                <w:color w:val="FFFFFF" w:themeColor="background1"/>
                <w:vertAlign w:val="superscript"/>
              </w:rPr>
              <w:t>***</w:t>
            </w:r>
          </w:p>
        </w:tc>
      </w:tr>
      <w:tr w:rsidR="00CF61D9" w:rsidTr="00311830">
        <w:trPr>
          <w:cnfStyle w:val="010000000000"/>
        </w:trPr>
        <w:tc>
          <w:tcPr>
            <w:tcW w:w="807" w:type="pct"/>
            <w:tcBorders>
              <w:top w:val="nil"/>
            </w:tcBorders>
          </w:tcPr>
          <w:p w:rsidR="00CF61D9" w:rsidRDefault="00CF61D9" w:rsidP="00CF61D9"/>
        </w:tc>
        <w:tc>
          <w:tcPr>
            <w:tcW w:w="807" w:type="pct"/>
            <w:tcBorders>
              <w:top w:val="nil"/>
            </w:tcBorders>
          </w:tcPr>
          <w:p w:rsidR="00CF61D9" w:rsidRDefault="00CF61D9" w:rsidP="00CF61D9"/>
        </w:tc>
        <w:tc>
          <w:tcPr>
            <w:tcW w:w="916" w:type="pct"/>
            <w:tcBorders>
              <w:top w:val="nil"/>
            </w:tcBorders>
            <w:noWrap/>
          </w:tcPr>
          <w:p w:rsidR="00CF61D9" w:rsidRDefault="00CF61D9" w:rsidP="00CF61D9"/>
        </w:tc>
        <w:tc>
          <w:tcPr>
            <w:tcW w:w="857" w:type="pct"/>
            <w:tcBorders>
              <w:top w:val="nil"/>
            </w:tcBorders>
          </w:tcPr>
          <w:p w:rsidR="00CF61D9" w:rsidRDefault="00CF61D9" w:rsidP="00CF61D9"/>
        </w:tc>
        <w:tc>
          <w:tcPr>
            <w:tcW w:w="808" w:type="pct"/>
            <w:tcBorders>
              <w:top w:val="nil"/>
            </w:tcBorders>
          </w:tcPr>
          <w:p w:rsidR="00CF61D9" w:rsidRDefault="00CF61D9" w:rsidP="00CF61D9"/>
        </w:tc>
        <w:tc>
          <w:tcPr>
            <w:tcW w:w="805" w:type="pct"/>
            <w:tcBorders>
              <w:top w:val="nil"/>
            </w:tcBorders>
          </w:tcPr>
          <w:p w:rsidR="00CF61D9" w:rsidRDefault="00CF61D9" w:rsidP="00CF61D9"/>
        </w:tc>
      </w:tr>
    </w:tbl>
    <w:p w:rsidR="00CF61D9" w:rsidRDefault="00CF61D9" w:rsidP="00CF61D9">
      <w:pPr>
        <w:pStyle w:val="NoSpacing"/>
        <w:rPr>
          <w:b/>
        </w:rPr>
      </w:pPr>
    </w:p>
    <w:p w:rsidR="00CF61D9" w:rsidRDefault="00CF61D9" w:rsidP="00CF61D9">
      <w:pPr>
        <w:pStyle w:val="NoSpacing"/>
        <w:rPr>
          <w:b/>
        </w:rPr>
      </w:pPr>
      <w:r w:rsidRPr="001101F2">
        <w:rPr>
          <w:b/>
        </w:rPr>
        <w:lastRenderedPageBreak/>
        <w:t xml:space="preserve">Bijlage </w:t>
      </w:r>
      <w:r w:rsidR="00E35BE8">
        <w:rPr>
          <w:b/>
        </w:rPr>
        <w:t>8</w:t>
      </w:r>
      <w:r w:rsidRPr="001101F2">
        <w:rPr>
          <w:b/>
        </w:rPr>
        <w:t xml:space="preserve">: Statische testen bij een </w:t>
      </w:r>
      <w:proofErr w:type="spellStart"/>
      <w:r w:rsidRPr="001101F2">
        <w:rPr>
          <w:b/>
        </w:rPr>
        <w:t>aandeleninkoopprogramma</w:t>
      </w:r>
      <w:proofErr w:type="spellEnd"/>
      <w:r w:rsidRPr="001101F2">
        <w:rPr>
          <w:b/>
        </w:rPr>
        <w:t xml:space="preserve"> tussen de </w:t>
      </w:r>
      <w:r>
        <w:rPr>
          <w:b/>
        </w:rPr>
        <w:t>5</w:t>
      </w:r>
      <w:r w:rsidRPr="001101F2">
        <w:rPr>
          <w:b/>
        </w:rPr>
        <w:t xml:space="preserve"> en </w:t>
      </w:r>
      <w:r>
        <w:rPr>
          <w:b/>
        </w:rPr>
        <w:t>10% van het</w:t>
      </w:r>
    </w:p>
    <w:p w:rsidR="00CF61D9" w:rsidRPr="001101F2" w:rsidRDefault="00CF61D9" w:rsidP="00CF61D9">
      <w:pPr>
        <w:pStyle w:val="NoSpacing"/>
        <w:ind w:firstLine="708"/>
        <w:rPr>
          <w:b/>
        </w:rPr>
      </w:pPr>
      <w:r>
        <w:rPr>
          <w:b/>
        </w:rPr>
        <w:t xml:space="preserve">   </w:t>
      </w:r>
      <w:r w:rsidRPr="001101F2">
        <w:rPr>
          <w:b/>
        </w:rPr>
        <w:t>uitstaande</w:t>
      </w:r>
      <w:r>
        <w:rPr>
          <w:b/>
        </w:rPr>
        <w:t xml:space="preserve"> aandelenkapitaal</w:t>
      </w:r>
      <w:r w:rsidR="007B1B87">
        <w:rPr>
          <w:b/>
        </w:rPr>
        <w:t xml:space="preserve"> (subgroep B)</w:t>
      </w:r>
      <w:r>
        <w:rPr>
          <w:b/>
        </w:rPr>
        <w:t xml:space="preserve">. </w:t>
      </w:r>
      <w:r w:rsidRPr="001101F2">
        <w:rPr>
          <w:b/>
        </w:rPr>
        <w:t xml:space="preserve">                                </w:t>
      </w:r>
    </w:p>
    <w:p w:rsidR="00CF61D9" w:rsidRDefault="00CF61D9" w:rsidP="00CF61D9">
      <w:pPr>
        <w:rPr>
          <w:b/>
        </w:rPr>
      </w:pPr>
    </w:p>
    <w:tbl>
      <w:tblPr>
        <w:tblStyle w:val="MediumShading2-Accent5"/>
        <w:tblW w:w="5000" w:type="pct"/>
        <w:tblLook w:val="0660"/>
      </w:tblPr>
      <w:tblGrid>
        <w:gridCol w:w="1498"/>
        <w:gridCol w:w="1499"/>
        <w:gridCol w:w="1701"/>
        <w:gridCol w:w="1592"/>
        <w:gridCol w:w="1501"/>
        <w:gridCol w:w="1495"/>
      </w:tblGrid>
      <w:tr w:rsidR="00CF61D9" w:rsidTr="00311830">
        <w:trPr>
          <w:cnfStyle w:val="100000000000"/>
        </w:trPr>
        <w:tc>
          <w:tcPr>
            <w:tcW w:w="807" w:type="pct"/>
          </w:tcPr>
          <w:p w:rsidR="00CF61D9" w:rsidRDefault="00CF61D9" w:rsidP="00311830">
            <w:r>
              <w:t xml:space="preserve">Dag </w:t>
            </w:r>
          </w:p>
        </w:tc>
        <w:tc>
          <w:tcPr>
            <w:tcW w:w="807" w:type="pct"/>
          </w:tcPr>
          <w:p w:rsidR="00CF61D9" w:rsidRDefault="00B67BBF" w:rsidP="00311830">
            <w:pPr>
              <w:jc w:val="right"/>
            </w:pPr>
            <w:proofErr w:type="spellStart"/>
            <w:r>
              <w:t>Gemiddeld</w:t>
            </w:r>
            <w:proofErr w:type="spellEnd"/>
            <w:r w:rsidR="00CF61D9">
              <w:t xml:space="preserve"> AR</w:t>
            </w:r>
          </w:p>
        </w:tc>
        <w:tc>
          <w:tcPr>
            <w:tcW w:w="916" w:type="pct"/>
            <w:noWrap/>
          </w:tcPr>
          <w:p w:rsidR="00CF61D9" w:rsidRDefault="00420938" w:rsidP="00420938">
            <w:pPr>
              <w:jc w:val="center"/>
            </w:pPr>
            <w:r>
              <w:t xml:space="preserve">         </w:t>
            </w:r>
            <w:r w:rsidR="00CF61D9">
              <w:t>T-</w:t>
            </w:r>
            <w:proofErr w:type="spellStart"/>
            <w:r w:rsidR="00CF61D9">
              <w:t>toets</w:t>
            </w:r>
            <w:proofErr w:type="spellEnd"/>
          </w:p>
          <w:p w:rsidR="00420938" w:rsidRDefault="00420938" w:rsidP="00311830">
            <w:pPr>
              <w:jc w:val="right"/>
            </w:pPr>
            <w:r>
              <w:t>(t-</w:t>
            </w:r>
            <w:proofErr w:type="spellStart"/>
            <w:r>
              <w:t>waarde</w:t>
            </w:r>
            <w:proofErr w:type="spellEnd"/>
            <w:r>
              <w:t>)</w:t>
            </w:r>
          </w:p>
        </w:tc>
        <w:tc>
          <w:tcPr>
            <w:tcW w:w="857" w:type="pct"/>
          </w:tcPr>
          <w:p w:rsidR="00CF61D9" w:rsidRDefault="00CF61D9" w:rsidP="00311830">
            <w:pPr>
              <w:jc w:val="right"/>
            </w:pPr>
            <w:proofErr w:type="spellStart"/>
            <w:r>
              <w:t>Aantal</w:t>
            </w:r>
            <w:proofErr w:type="spellEnd"/>
            <w:r>
              <w:t xml:space="preserve"> pos.</w:t>
            </w:r>
          </w:p>
        </w:tc>
        <w:tc>
          <w:tcPr>
            <w:tcW w:w="808" w:type="pct"/>
          </w:tcPr>
          <w:p w:rsidR="00CF61D9" w:rsidRDefault="00CF61D9" w:rsidP="00311830">
            <w:pPr>
              <w:jc w:val="right"/>
            </w:pPr>
            <w:proofErr w:type="spellStart"/>
            <w:r>
              <w:t>Aantal</w:t>
            </w:r>
            <w:proofErr w:type="spellEnd"/>
            <w:r>
              <w:t xml:space="preserve"> neg.</w:t>
            </w:r>
          </w:p>
        </w:tc>
        <w:tc>
          <w:tcPr>
            <w:tcW w:w="805" w:type="pct"/>
          </w:tcPr>
          <w:p w:rsidR="00CF61D9" w:rsidRDefault="004C051E" w:rsidP="00311830">
            <w:pPr>
              <w:jc w:val="right"/>
            </w:pPr>
            <w:proofErr w:type="spellStart"/>
            <w:r>
              <w:t>T</w:t>
            </w:r>
            <w:r w:rsidR="00CF61D9">
              <w:t>ekentoets</w:t>
            </w:r>
            <w:proofErr w:type="spellEnd"/>
          </w:p>
          <w:p w:rsidR="00420938" w:rsidRDefault="00420938" w:rsidP="00311830">
            <w:pPr>
              <w:jc w:val="right"/>
            </w:pPr>
            <w:r>
              <w:t>(p-</w:t>
            </w:r>
            <w:proofErr w:type="spellStart"/>
            <w:r>
              <w:t>waarde</w:t>
            </w:r>
            <w:proofErr w:type="spellEnd"/>
            <w:r>
              <w:t>)</w:t>
            </w:r>
          </w:p>
        </w:tc>
      </w:tr>
      <w:tr w:rsidR="00CF61D9" w:rsidTr="00311830">
        <w:tc>
          <w:tcPr>
            <w:tcW w:w="5000" w:type="pct"/>
            <w:gridSpan w:val="6"/>
          </w:tcPr>
          <w:p w:rsidR="00CF61D9" w:rsidRPr="006B267C" w:rsidRDefault="00CF61D9" w:rsidP="00311830">
            <w:pPr>
              <w:rPr>
                <w:color w:val="FF0000"/>
              </w:rPr>
            </w:pPr>
            <w:r>
              <w:rPr>
                <w:rStyle w:val="SubtleEmphasis"/>
                <w:color w:val="FF0000"/>
              </w:rPr>
              <w:t>Market-Adjusted Return Model</w:t>
            </w:r>
          </w:p>
        </w:tc>
      </w:tr>
      <w:tr w:rsidR="00CF61D9" w:rsidTr="00311830">
        <w:tc>
          <w:tcPr>
            <w:tcW w:w="807" w:type="pct"/>
            <w:tcBorders>
              <w:bottom w:val="nil"/>
            </w:tcBorders>
          </w:tcPr>
          <w:p w:rsidR="00CF61D9" w:rsidRDefault="00CF61D9" w:rsidP="00311830">
            <w:r>
              <w:t>T=-5</w:t>
            </w:r>
          </w:p>
        </w:tc>
        <w:tc>
          <w:tcPr>
            <w:tcW w:w="807" w:type="pct"/>
            <w:tcBorders>
              <w:bottom w:val="nil"/>
            </w:tcBorders>
          </w:tcPr>
          <w:p w:rsidR="00CF61D9" w:rsidRDefault="00CF61D9" w:rsidP="00311830">
            <w:pPr>
              <w:jc w:val="right"/>
            </w:pPr>
            <w:r>
              <w:t>0,39%</w:t>
            </w:r>
          </w:p>
        </w:tc>
        <w:tc>
          <w:tcPr>
            <w:tcW w:w="916" w:type="pct"/>
            <w:tcBorders>
              <w:bottom w:val="nil"/>
            </w:tcBorders>
            <w:noWrap/>
          </w:tcPr>
          <w:p w:rsidR="00CF61D9" w:rsidRPr="005B5D72" w:rsidRDefault="00CF61D9" w:rsidP="00311830">
            <w:pPr>
              <w:jc w:val="right"/>
              <w:rPr>
                <w:color w:val="FFFFFF" w:themeColor="background1"/>
                <w:vertAlign w:val="superscript"/>
              </w:rPr>
            </w:pPr>
            <w:r>
              <w:t>1,087</w:t>
            </w:r>
            <w:r w:rsidR="005B5D72">
              <w:rPr>
                <w:color w:val="FFFFFF" w:themeColor="background1"/>
                <w:vertAlign w:val="superscript"/>
              </w:rPr>
              <w:t>***</w:t>
            </w:r>
          </w:p>
        </w:tc>
        <w:tc>
          <w:tcPr>
            <w:tcW w:w="857" w:type="pct"/>
            <w:tcBorders>
              <w:bottom w:val="nil"/>
            </w:tcBorders>
          </w:tcPr>
          <w:p w:rsidR="00CF61D9" w:rsidRDefault="00CF61D9" w:rsidP="00CF61D9">
            <w:pPr>
              <w:jc w:val="right"/>
            </w:pPr>
            <w:r>
              <w:t>9</w:t>
            </w:r>
          </w:p>
        </w:tc>
        <w:tc>
          <w:tcPr>
            <w:tcW w:w="808" w:type="pct"/>
            <w:tcBorders>
              <w:bottom w:val="nil"/>
            </w:tcBorders>
          </w:tcPr>
          <w:p w:rsidR="00CF61D9" w:rsidRDefault="00CF61D9" w:rsidP="00CF61D9">
            <w:pPr>
              <w:jc w:val="right"/>
            </w:pPr>
            <w:r>
              <w:t>9</w:t>
            </w:r>
          </w:p>
        </w:tc>
        <w:tc>
          <w:tcPr>
            <w:tcW w:w="805" w:type="pct"/>
            <w:tcBorders>
              <w:bottom w:val="nil"/>
            </w:tcBorders>
          </w:tcPr>
          <w:p w:rsidR="00CF61D9" w:rsidRPr="005B5D72" w:rsidRDefault="00CF61D9" w:rsidP="00CF61D9">
            <w:pPr>
              <w:jc w:val="right"/>
              <w:rPr>
                <w:color w:val="FFFFFF" w:themeColor="background1"/>
                <w:vertAlign w:val="superscript"/>
              </w:rPr>
            </w:pPr>
            <w:r>
              <w:t>1,000</w:t>
            </w:r>
            <w:r w:rsidR="005B5D72">
              <w:rPr>
                <w:color w:val="FFFFFF" w:themeColor="background1"/>
                <w:vertAlign w:val="superscript"/>
              </w:rPr>
              <w:t>***</w:t>
            </w:r>
          </w:p>
        </w:tc>
      </w:tr>
      <w:tr w:rsidR="00CF61D9" w:rsidTr="00311830">
        <w:tc>
          <w:tcPr>
            <w:tcW w:w="807" w:type="pct"/>
            <w:tcBorders>
              <w:top w:val="nil"/>
              <w:bottom w:val="single" w:sz="4" w:space="0" w:color="auto"/>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p w:rsidR="00CF61D9" w:rsidRDefault="00CF61D9" w:rsidP="00311830"/>
        </w:tc>
        <w:tc>
          <w:tcPr>
            <w:tcW w:w="807" w:type="pct"/>
            <w:tcBorders>
              <w:top w:val="nil"/>
              <w:bottom w:val="single" w:sz="4" w:space="0" w:color="auto"/>
            </w:tcBorders>
          </w:tcPr>
          <w:p w:rsidR="00CF61D9" w:rsidRDefault="00CF61D9" w:rsidP="00311830">
            <w:pPr>
              <w:jc w:val="right"/>
            </w:pPr>
            <w:r>
              <w:t>-0,68%</w:t>
            </w:r>
          </w:p>
          <w:p w:rsidR="00CF61D9" w:rsidRDefault="00CF61D9" w:rsidP="00311830">
            <w:pPr>
              <w:jc w:val="right"/>
            </w:pPr>
            <w:r>
              <w:t>0,89%</w:t>
            </w:r>
          </w:p>
          <w:p w:rsidR="00CF61D9" w:rsidRDefault="00CF61D9" w:rsidP="00311830">
            <w:pPr>
              <w:jc w:val="right"/>
            </w:pPr>
            <w:r>
              <w:t>-0,38%</w:t>
            </w:r>
          </w:p>
          <w:p w:rsidR="00CF61D9" w:rsidRDefault="00CF61D9" w:rsidP="00311830">
            <w:pPr>
              <w:jc w:val="right"/>
            </w:pPr>
            <w:r>
              <w:t>0,05%</w:t>
            </w:r>
          </w:p>
          <w:p w:rsidR="00CF61D9" w:rsidRDefault="00CF61D9" w:rsidP="00311830">
            <w:pPr>
              <w:jc w:val="right"/>
            </w:pPr>
            <w:r>
              <w:t>0,92%</w:t>
            </w:r>
          </w:p>
          <w:p w:rsidR="00CF61D9" w:rsidRDefault="00CF61D9" w:rsidP="00311830">
            <w:pPr>
              <w:jc w:val="right"/>
            </w:pPr>
            <w:r>
              <w:t>0,72%</w:t>
            </w:r>
          </w:p>
          <w:p w:rsidR="00CF61D9" w:rsidRDefault="00CF61D9" w:rsidP="00311830">
            <w:pPr>
              <w:jc w:val="right"/>
            </w:pPr>
            <w:r>
              <w:t>0,67%</w:t>
            </w:r>
          </w:p>
          <w:p w:rsidR="00CF61D9" w:rsidRDefault="00CF61D9" w:rsidP="00311830">
            <w:pPr>
              <w:jc w:val="right"/>
            </w:pPr>
            <w:r>
              <w:t>0,56%</w:t>
            </w:r>
          </w:p>
          <w:p w:rsidR="00CF61D9" w:rsidRDefault="00CF61D9" w:rsidP="00311830">
            <w:pPr>
              <w:jc w:val="right"/>
            </w:pPr>
            <w:r>
              <w:t>0,53%</w:t>
            </w:r>
          </w:p>
          <w:p w:rsidR="00CF61D9" w:rsidRPr="002B1170" w:rsidRDefault="00CF61D9" w:rsidP="00311830">
            <w:pPr>
              <w:jc w:val="right"/>
              <w:rPr>
                <w:lang w:val="nl-NL"/>
              </w:rPr>
            </w:pPr>
            <w:r>
              <w:rPr>
                <w:lang w:val="nl-NL"/>
              </w:rPr>
              <w:t>0,66%</w:t>
            </w:r>
          </w:p>
        </w:tc>
        <w:tc>
          <w:tcPr>
            <w:tcW w:w="916" w:type="pct"/>
            <w:tcBorders>
              <w:top w:val="nil"/>
              <w:bottom w:val="single" w:sz="4" w:space="0" w:color="auto"/>
            </w:tcBorders>
            <w:noWrap/>
          </w:tcPr>
          <w:p w:rsidR="00CF61D9" w:rsidRPr="005B5D72" w:rsidRDefault="00CF61D9" w:rsidP="00311830">
            <w:pPr>
              <w:jc w:val="right"/>
              <w:rPr>
                <w:color w:val="FFFFFF" w:themeColor="background1"/>
                <w:vertAlign w:val="superscript"/>
                <w:lang w:val="nl-NL"/>
              </w:rPr>
            </w:pPr>
            <w:r>
              <w:rPr>
                <w:lang w:val="nl-NL"/>
              </w:rPr>
              <w:t>-1,982</w:t>
            </w:r>
            <w:r w:rsidR="005B5D72" w:rsidRPr="002E3542">
              <w:rPr>
                <w:b/>
                <w:vertAlign w:val="superscript"/>
                <w:lang w:val="nl-NL"/>
              </w:rPr>
              <w:t>*</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1,850</w:t>
            </w:r>
            <w:r w:rsidR="005B5D72" w:rsidRPr="002E3542">
              <w:rPr>
                <w:b/>
                <w:vertAlign w:val="superscript"/>
                <w:lang w:val="nl-NL"/>
              </w:rPr>
              <w:t>*</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-1,508</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0,194</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1,098</w:t>
            </w:r>
            <w:r w:rsidR="005B5D72">
              <w:rPr>
                <w:color w:val="FFFFFF" w:themeColor="background1"/>
                <w:vertAlign w:val="superscript"/>
                <w:lang w:val="nl-NL"/>
              </w:rPr>
              <w:t>***</w:t>
            </w:r>
          </w:p>
          <w:p w:rsidR="00CF61D9" w:rsidRPr="005B5D72" w:rsidRDefault="00CF61D9" w:rsidP="00311830">
            <w:pPr>
              <w:jc w:val="right"/>
              <w:rPr>
                <w:b/>
                <w:color w:val="FFFFFF" w:themeColor="background1"/>
                <w:vertAlign w:val="superscript"/>
                <w:lang w:val="nl-NL"/>
              </w:rPr>
            </w:pPr>
            <w:r w:rsidRPr="004B32AB">
              <w:rPr>
                <w:lang w:val="nl-NL"/>
              </w:rPr>
              <w:t>2,413</w:t>
            </w:r>
            <w:r w:rsidR="005B5D72" w:rsidRPr="002E3542">
              <w:rPr>
                <w:b/>
                <w:vertAlign w:val="superscript"/>
                <w:lang w:val="nl-NL"/>
              </w:rPr>
              <w:t>**</w:t>
            </w:r>
            <w:r w:rsidR="005B5D72">
              <w:rPr>
                <w:b/>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2,073</w:t>
            </w:r>
            <w:r w:rsidR="005B5D72" w:rsidRPr="002E3542">
              <w:rPr>
                <w:b/>
                <w:vertAlign w:val="superscript"/>
                <w:lang w:val="nl-NL"/>
              </w:rPr>
              <w:t>*</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1,798</w:t>
            </w:r>
            <w:r w:rsidR="005B5D72" w:rsidRPr="002E3542">
              <w:rPr>
                <w:b/>
                <w:vertAlign w:val="superscript"/>
                <w:lang w:val="nl-NL"/>
              </w:rPr>
              <w:t>*</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1,319</w:t>
            </w:r>
            <w:r w:rsidR="005B5D72">
              <w:rPr>
                <w:color w:val="FFFFFF" w:themeColor="background1"/>
                <w:vertAlign w:val="superscript"/>
                <w:lang w:val="nl-NL"/>
              </w:rPr>
              <w:t>***</w:t>
            </w:r>
          </w:p>
          <w:p w:rsidR="00CF61D9" w:rsidRPr="005B5D72" w:rsidRDefault="00CF61D9" w:rsidP="00311830">
            <w:pPr>
              <w:jc w:val="right"/>
              <w:rPr>
                <w:color w:val="FFFFFF" w:themeColor="background1"/>
                <w:vertAlign w:val="superscript"/>
                <w:lang w:val="nl-NL"/>
              </w:rPr>
            </w:pPr>
            <w:r>
              <w:rPr>
                <w:lang w:val="nl-NL"/>
              </w:rPr>
              <w:t>1,214</w:t>
            </w:r>
            <w:r w:rsidR="005B5D72">
              <w:rPr>
                <w:color w:val="FFFFFF" w:themeColor="background1"/>
                <w:vertAlign w:val="superscript"/>
                <w:lang w:val="nl-NL"/>
              </w:rPr>
              <w:t>***</w:t>
            </w:r>
          </w:p>
        </w:tc>
        <w:tc>
          <w:tcPr>
            <w:tcW w:w="857" w:type="pct"/>
            <w:tcBorders>
              <w:top w:val="nil"/>
              <w:bottom w:val="single" w:sz="4" w:space="0" w:color="auto"/>
            </w:tcBorders>
          </w:tcPr>
          <w:p w:rsidR="00CF61D9" w:rsidRDefault="00CF61D9" w:rsidP="00CF61D9">
            <w:pPr>
              <w:jc w:val="right"/>
            </w:pPr>
            <w:r>
              <w:t>7</w:t>
            </w:r>
          </w:p>
          <w:p w:rsidR="00CF61D9" w:rsidRDefault="00CF61D9" w:rsidP="00CF61D9">
            <w:pPr>
              <w:jc w:val="right"/>
            </w:pPr>
            <w:r>
              <w:t>10</w:t>
            </w:r>
          </w:p>
          <w:p w:rsidR="00CF61D9" w:rsidRDefault="00CF61D9" w:rsidP="00CF61D9">
            <w:pPr>
              <w:jc w:val="right"/>
            </w:pPr>
            <w:r>
              <w:t>5</w:t>
            </w:r>
          </w:p>
          <w:p w:rsidR="00CF61D9" w:rsidRDefault="00CF61D9" w:rsidP="00CF61D9">
            <w:pPr>
              <w:jc w:val="right"/>
            </w:pPr>
            <w:r>
              <w:t>9</w:t>
            </w:r>
          </w:p>
          <w:p w:rsidR="00CF61D9" w:rsidRDefault="00CF61D9" w:rsidP="00CF61D9">
            <w:pPr>
              <w:jc w:val="right"/>
            </w:pPr>
            <w:r>
              <w:t>8</w:t>
            </w:r>
          </w:p>
          <w:p w:rsidR="00CF61D9" w:rsidRDefault="00CF61D9" w:rsidP="00CF61D9">
            <w:pPr>
              <w:jc w:val="right"/>
            </w:pPr>
            <w:r>
              <w:t>12</w:t>
            </w:r>
          </w:p>
          <w:p w:rsidR="00CF61D9" w:rsidRDefault="00CF61D9" w:rsidP="00CF61D9">
            <w:pPr>
              <w:jc w:val="right"/>
            </w:pPr>
            <w:r>
              <w:t>12</w:t>
            </w:r>
          </w:p>
          <w:p w:rsidR="00CF61D9" w:rsidRDefault="00CF61D9" w:rsidP="00CF61D9">
            <w:pPr>
              <w:jc w:val="right"/>
            </w:pPr>
            <w:r>
              <w:t>12</w:t>
            </w:r>
          </w:p>
          <w:p w:rsidR="00CF61D9" w:rsidRDefault="00CF61D9" w:rsidP="00CF61D9">
            <w:pPr>
              <w:jc w:val="right"/>
            </w:pPr>
            <w:r>
              <w:t>12</w:t>
            </w:r>
          </w:p>
          <w:p w:rsidR="00CF61D9" w:rsidRDefault="00CF61D9" w:rsidP="00CF61D9">
            <w:pPr>
              <w:jc w:val="right"/>
            </w:pPr>
            <w:r>
              <w:t>11</w:t>
            </w:r>
          </w:p>
        </w:tc>
        <w:tc>
          <w:tcPr>
            <w:tcW w:w="808" w:type="pct"/>
            <w:tcBorders>
              <w:top w:val="nil"/>
              <w:bottom w:val="single" w:sz="4" w:space="0" w:color="auto"/>
            </w:tcBorders>
          </w:tcPr>
          <w:p w:rsidR="00CF61D9" w:rsidRDefault="00CF61D9" w:rsidP="00CF61D9">
            <w:pPr>
              <w:jc w:val="right"/>
            </w:pPr>
            <w:r>
              <w:t>11</w:t>
            </w:r>
          </w:p>
          <w:p w:rsidR="00CF61D9" w:rsidRDefault="00CF61D9" w:rsidP="00CF61D9">
            <w:pPr>
              <w:jc w:val="right"/>
            </w:pPr>
            <w:r>
              <w:t>8</w:t>
            </w:r>
          </w:p>
          <w:p w:rsidR="00CF61D9" w:rsidRDefault="00CF61D9" w:rsidP="00CF61D9">
            <w:pPr>
              <w:jc w:val="right"/>
            </w:pPr>
            <w:r>
              <w:t>13</w:t>
            </w:r>
          </w:p>
          <w:p w:rsidR="00CF61D9" w:rsidRDefault="00CF61D9" w:rsidP="00CF61D9">
            <w:pPr>
              <w:jc w:val="right"/>
            </w:pPr>
            <w:r>
              <w:t>9</w:t>
            </w:r>
          </w:p>
          <w:p w:rsidR="00CF61D9" w:rsidRDefault="00CF61D9" w:rsidP="00CF61D9">
            <w:pPr>
              <w:jc w:val="right"/>
            </w:pPr>
            <w:r>
              <w:t>10</w:t>
            </w:r>
          </w:p>
          <w:p w:rsidR="00CF61D9" w:rsidRDefault="00CF61D9" w:rsidP="00CF61D9">
            <w:pPr>
              <w:jc w:val="right"/>
            </w:pPr>
            <w:r>
              <w:t>6</w:t>
            </w:r>
          </w:p>
          <w:p w:rsidR="00CF61D9" w:rsidRDefault="00CF61D9" w:rsidP="00CF61D9">
            <w:pPr>
              <w:jc w:val="right"/>
            </w:pPr>
            <w:r>
              <w:t>6</w:t>
            </w:r>
          </w:p>
          <w:p w:rsidR="00CF61D9" w:rsidRDefault="00CF61D9" w:rsidP="00CF61D9">
            <w:pPr>
              <w:jc w:val="right"/>
            </w:pPr>
            <w:r>
              <w:t>6</w:t>
            </w:r>
          </w:p>
          <w:p w:rsidR="00CF61D9" w:rsidRDefault="00CF61D9" w:rsidP="00CF61D9">
            <w:pPr>
              <w:jc w:val="right"/>
            </w:pPr>
            <w:r>
              <w:t>6</w:t>
            </w:r>
          </w:p>
          <w:p w:rsidR="00CF61D9" w:rsidRDefault="00CF61D9" w:rsidP="00CF61D9">
            <w:pPr>
              <w:jc w:val="right"/>
            </w:pPr>
            <w:r>
              <w:t>7</w:t>
            </w:r>
          </w:p>
        </w:tc>
        <w:tc>
          <w:tcPr>
            <w:tcW w:w="805" w:type="pct"/>
            <w:tcBorders>
              <w:top w:val="nil"/>
              <w:bottom w:val="single" w:sz="4" w:space="0" w:color="auto"/>
            </w:tcBorders>
          </w:tcPr>
          <w:p w:rsidR="00CF61D9" w:rsidRPr="005B5D72" w:rsidRDefault="00CF61D9" w:rsidP="00CF61D9">
            <w:pPr>
              <w:jc w:val="right"/>
              <w:rPr>
                <w:color w:val="FFFFFF" w:themeColor="background1"/>
                <w:vertAlign w:val="superscript"/>
              </w:rPr>
            </w:pPr>
            <w:r>
              <w:t>0,481</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0,815</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rsidRPr="004B32AB">
              <w:t>0,096</w:t>
            </w:r>
            <w:r w:rsidR="005B5D72" w:rsidRPr="00C9232B">
              <w:rPr>
                <w:b/>
                <w:vertAlign w:val="superscript"/>
              </w:rPr>
              <w:t>*</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1,000</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0,815</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0,238</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0,238</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0,238</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0,238</w:t>
            </w:r>
            <w:r w:rsidR="005B5D72">
              <w:rPr>
                <w:color w:val="FFFFFF" w:themeColor="background1"/>
                <w:vertAlign w:val="superscript"/>
              </w:rPr>
              <w:t>***</w:t>
            </w:r>
          </w:p>
          <w:p w:rsidR="00CF61D9" w:rsidRPr="005B5D72" w:rsidRDefault="00CF61D9" w:rsidP="00CF61D9">
            <w:pPr>
              <w:jc w:val="right"/>
              <w:rPr>
                <w:color w:val="FFFFFF" w:themeColor="background1"/>
                <w:vertAlign w:val="superscript"/>
              </w:rPr>
            </w:pPr>
            <w:r>
              <w:t>0,481</w:t>
            </w:r>
            <w:r w:rsidR="005B5D72">
              <w:rPr>
                <w:color w:val="FFFFFF" w:themeColor="background1"/>
                <w:vertAlign w:val="superscript"/>
              </w:rPr>
              <w:t>***</w:t>
            </w:r>
          </w:p>
        </w:tc>
      </w:tr>
      <w:tr w:rsidR="00CF61D9" w:rsidTr="00311830">
        <w:tc>
          <w:tcPr>
            <w:tcW w:w="5000" w:type="pct"/>
            <w:gridSpan w:val="6"/>
            <w:tcBorders>
              <w:top w:val="single" w:sz="4" w:space="0" w:color="auto"/>
            </w:tcBorders>
          </w:tcPr>
          <w:p w:rsidR="00CF61D9" w:rsidRPr="006B267C" w:rsidRDefault="00CF61D9" w:rsidP="00CF61D9">
            <w:pPr>
              <w:rPr>
                <w:color w:val="FF0000"/>
              </w:rPr>
            </w:pPr>
            <w:proofErr w:type="spellStart"/>
            <w:r>
              <w:rPr>
                <w:rStyle w:val="SubtleEmphasis"/>
                <w:color w:val="FF0000"/>
              </w:rPr>
              <w:t>Markt</w:t>
            </w:r>
            <w:proofErr w:type="spellEnd"/>
            <w:r>
              <w:rPr>
                <w:rStyle w:val="SubtleEmphasis"/>
                <w:color w:val="FF0000"/>
              </w:rPr>
              <w:t xml:space="preserve"> Model</w:t>
            </w:r>
          </w:p>
        </w:tc>
      </w:tr>
      <w:tr w:rsidR="00CF61D9" w:rsidTr="00311830">
        <w:tc>
          <w:tcPr>
            <w:tcW w:w="807" w:type="pct"/>
            <w:tcBorders>
              <w:top w:val="nil"/>
              <w:bottom w:val="nil"/>
            </w:tcBorders>
          </w:tcPr>
          <w:p w:rsidR="00CF61D9" w:rsidRDefault="00CF61D9" w:rsidP="00311830">
            <w:r>
              <w:t>T=-5</w:t>
            </w:r>
          </w:p>
        </w:tc>
        <w:tc>
          <w:tcPr>
            <w:tcW w:w="807" w:type="pct"/>
            <w:tcBorders>
              <w:top w:val="nil"/>
              <w:bottom w:val="nil"/>
            </w:tcBorders>
          </w:tcPr>
          <w:p w:rsidR="00CF61D9" w:rsidRDefault="00D2007F" w:rsidP="00311830">
            <w:pPr>
              <w:jc w:val="right"/>
            </w:pPr>
            <w:r>
              <w:t>0,29%</w:t>
            </w:r>
          </w:p>
        </w:tc>
        <w:tc>
          <w:tcPr>
            <w:tcW w:w="916" w:type="pct"/>
            <w:tcBorders>
              <w:top w:val="nil"/>
              <w:bottom w:val="nil"/>
            </w:tcBorders>
            <w:noWrap/>
          </w:tcPr>
          <w:p w:rsidR="00CF61D9" w:rsidRPr="005B5D72" w:rsidRDefault="00122B00" w:rsidP="00311830">
            <w:pPr>
              <w:jc w:val="right"/>
              <w:rPr>
                <w:color w:val="FFFFFF" w:themeColor="background1"/>
                <w:vertAlign w:val="superscript"/>
              </w:rPr>
            </w:pPr>
            <w:r>
              <w:t>1,022</w:t>
            </w:r>
            <w:r w:rsidR="005B5D72">
              <w:rPr>
                <w:color w:val="FFFFFF" w:themeColor="background1"/>
                <w:vertAlign w:val="superscript"/>
              </w:rPr>
              <w:t>***</w:t>
            </w:r>
          </w:p>
        </w:tc>
        <w:tc>
          <w:tcPr>
            <w:tcW w:w="857" w:type="pct"/>
            <w:tcBorders>
              <w:top w:val="nil"/>
              <w:bottom w:val="nil"/>
            </w:tcBorders>
          </w:tcPr>
          <w:p w:rsidR="00CF61D9" w:rsidRDefault="00122B00" w:rsidP="00CF61D9">
            <w:pPr>
              <w:jc w:val="right"/>
            </w:pPr>
            <w:r>
              <w:t>10</w:t>
            </w:r>
          </w:p>
        </w:tc>
        <w:tc>
          <w:tcPr>
            <w:tcW w:w="808" w:type="pct"/>
            <w:tcBorders>
              <w:top w:val="nil"/>
              <w:bottom w:val="nil"/>
            </w:tcBorders>
          </w:tcPr>
          <w:p w:rsidR="00CF61D9" w:rsidRDefault="00122B00" w:rsidP="00CF61D9">
            <w:pPr>
              <w:jc w:val="right"/>
            </w:pPr>
            <w:r>
              <w:t>8</w:t>
            </w:r>
          </w:p>
        </w:tc>
        <w:tc>
          <w:tcPr>
            <w:tcW w:w="805" w:type="pct"/>
            <w:tcBorders>
              <w:top w:val="nil"/>
              <w:bottom w:val="nil"/>
            </w:tcBorders>
          </w:tcPr>
          <w:p w:rsidR="00CF61D9" w:rsidRPr="005B5D72" w:rsidRDefault="00122B00" w:rsidP="00CF61D9">
            <w:pPr>
              <w:jc w:val="right"/>
              <w:rPr>
                <w:color w:val="FFFFFF" w:themeColor="background1"/>
                <w:vertAlign w:val="superscript"/>
              </w:rPr>
            </w:pPr>
            <w:r>
              <w:t>0,815</w:t>
            </w:r>
            <w:r w:rsidR="005B5D72">
              <w:rPr>
                <w:color w:val="FFFFFF" w:themeColor="background1"/>
                <w:vertAlign w:val="superscript"/>
              </w:rPr>
              <w:t>***</w:t>
            </w:r>
          </w:p>
        </w:tc>
      </w:tr>
      <w:tr w:rsidR="00CF61D9" w:rsidTr="00311830">
        <w:tc>
          <w:tcPr>
            <w:tcW w:w="807" w:type="pct"/>
            <w:tcBorders>
              <w:top w:val="nil"/>
              <w:bottom w:val="nil"/>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tc>
        <w:tc>
          <w:tcPr>
            <w:tcW w:w="807" w:type="pct"/>
            <w:tcBorders>
              <w:top w:val="nil"/>
              <w:bottom w:val="nil"/>
            </w:tcBorders>
          </w:tcPr>
          <w:p w:rsidR="00CF61D9" w:rsidRDefault="00D2007F" w:rsidP="00311830">
            <w:pPr>
              <w:jc w:val="right"/>
            </w:pPr>
            <w:r>
              <w:t>-0,71%</w:t>
            </w:r>
          </w:p>
          <w:p w:rsidR="00D2007F" w:rsidRDefault="00D2007F" w:rsidP="00311830">
            <w:pPr>
              <w:jc w:val="right"/>
            </w:pPr>
            <w:r>
              <w:t>0,87%</w:t>
            </w:r>
          </w:p>
          <w:p w:rsidR="00D2007F" w:rsidRDefault="00D2007F" w:rsidP="00311830">
            <w:pPr>
              <w:jc w:val="right"/>
            </w:pPr>
            <w:r>
              <w:t>-0,49%</w:t>
            </w:r>
          </w:p>
          <w:p w:rsidR="00D2007F" w:rsidRDefault="00122B00" w:rsidP="00311830">
            <w:pPr>
              <w:jc w:val="right"/>
            </w:pPr>
            <w:r>
              <w:t>-</w:t>
            </w:r>
            <w:r w:rsidR="00D2007F">
              <w:t>0,03</w:t>
            </w:r>
            <w:r>
              <w:t>%</w:t>
            </w:r>
          </w:p>
          <w:p w:rsidR="00122B00" w:rsidRDefault="00122B00" w:rsidP="00311830">
            <w:pPr>
              <w:jc w:val="right"/>
            </w:pPr>
            <w:r>
              <w:t>0,83%</w:t>
            </w:r>
          </w:p>
          <w:p w:rsidR="00122B00" w:rsidRDefault="00122B00" w:rsidP="00311830">
            <w:pPr>
              <w:jc w:val="right"/>
            </w:pPr>
            <w:r>
              <w:t>0,56%</w:t>
            </w:r>
          </w:p>
          <w:p w:rsidR="00122B00" w:rsidRDefault="00122B00" w:rsidP="00311830">
            <w:pPr>
              <w:jc w:val="right"/>
            </w:pPr>
            <w:r>
              <w:t>0,47%</w:t>
            </w:r>
          </w:p>
          <w:p w:rsidR="00122B00" w:rsidRDefault="00122B00" w:rsidP="00311830">
            <w:pPr>
              <w:jc w:val="right"/>
            </w:pPr>
            <w:r>
              <w:t>0,44%</w:t>
            </w:r>
          </w:p>
          <w:p w:rsidR="00122B00" w:rsidRDefault="00122B00" w:rsidP="00311830">
            <w:pPr>
              <w:jc w:val="right"/>
            </w:pPr>
            <w:r>
              <w:t>0,49%</w:t>
            </w:r>
          </w:p>
          <w:p w:rsidR="00122B00" w:rsidRDefault="00122B00" w:rsidP="00311830">
            <w:pPr>
              <w:jc w:val="right"/>
            </w:pPr>
            <w:r>
              <w:t>0,68%</w:t>
            </w:r>
          </w:p>
        </w:tc>
        <w:tc>
          <w:tcPr>
            <w:tcW w:w="916" w:type="pct"/>
            <w:tcBorders>
              <w:top w:val="nil"/>
              <w:bottom w:val="nil"/>
            </w:tcBorders>
            <w:noWrap/>
          </w:tcPr>
          <w:p w:rsidR="00CF61D9" w:rsidRPr="005B5D72" w:rsidRDefault="00122B00" w:rsidP="00311830">
            <w:pPr>
              <w:jc w:val="right"/>
              <w:rPr>
                <w:color w:val="FFFFFF" w:themeColor="background1"/>
                <w:vertAlign w:val="superscript"/>
              </w:rPr>
            </w:pPr>
            <w:r>
              <w:t>-2,094</w:t>
            </w:r>
            <w:r w:rsidR="005B5D72" w:rsidRPr="002E3542">
              <w:rPr>
                <w:b/>
                <w:vertAlign w:val="superscript"/>
              </w:rPr>
              <w:t>*</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1,855</w:t>
            </w:r>
            <w:r w:rsidR="005B5D72" w:rsidRPr="002E3542">
              <w:rPr>
                <w:b/>
                <w:vertAlign w:val="superscript"/>
              </w:rPr>
              <w:t>*</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-1,817</w:t>
            </w:r>
            <w:r w:rsidR="005B5D72" w:rsidRPr="002E3542">
              <w:rPr>
                <w:b/>
                <w:vertAlign w:val="superscript"/>
              </w:rPr>
              <w:t>*</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-0,132</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1,052</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1,946</w:t>
            </w:r>
            <w:r w:rsidR="005B5D72" w:rsidRPr="002E3542">
              <w:rPr>
                <w:b/>
                <w:vertAlign w:val="superscript"/>
              </w:rPr>
              <w:t>*</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1,385</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1,530</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1,465</w:t>
            </w:r>
            <w:r w:rsidR="005B5D72">
              <w:rPr>
                <w:color w:val="FFFFFF" w:themeColor="background1"/>
                <w:vertAlign w:val="superscript"/>
              </w:rPr>
              <w:t>***</w:t>
            </w:r>
          </w:p>
          <w:p w:rsidR="00122B00" w:rsidRPr="005B5D72" w:rsidRDefault="00122B00" w:rsidP="00311830">
            <w:pPr>
              <w:jc w:val="right"/>
              <w:rPr>
                <w:color w:val="FFFFFF" w:themeColor="background1"/>
                <w:vertAlign w:val="superscript"/>
              </w:rPr>
            </w:pPr>
            <w:r>
              <w:t>1,282</w:t>
            </w:r>
            <w:r w:rsidR="005B5D72">
              <w:rPr>
                <w:color w:val="FFFFFF" w:themeColor="background1"/>
                <w:vertAlign w:val="superscript"/>
              </w:rPr>
              <w:t>***</w:t>
            </w:r>
          </w:p>
        </w:tc>
        <w:tc>
          <w:tcPr>
            <w:tcW w:w="857" w:type="pct"/>
            <w:tcBorders>
              <w:top w:val="nil"/>
              <w:bottom w:val="nil"/>
            </w:tcBorders>
          </w:tcPr>
          <w:p w:rsidR="00CF61D9" w:rsidRDefault="00122B00" w:rsidP="00CF61D9">
            <w:pPr>
              <w:jc w:val="right"/>
            </w:pPr>
            <w:r>
              <w:t>8</w:t>
            </w:r>
          </w:p>
          <w:p w:rsidR="00122B00" w:rsidRDefault="00122B00" w:rsidP="00CF61D9">
            <w:pPr>
              <w:jc w:val="right"/>
            </w:pPr>
            <w:r>
              <w:t>10</w:t>
            </w:r>
          </w:p>
          <w:p w:rsidR="00122B00" w:rsidRDefault="00122B00" w:rsidP="00CF61D9">
            <w:pPr>
              <w:jc w:val="right"/>
            </w:pPr>
            <w:r>
              <w:t>6</w:t>
            </w:r>
          </w:p>
          <w:p w:rsidR="00122B00" w:rsidRDefault="00122B00" w:rsidP="00CF61D9">
            <w:pPr>
              <w:jc w:val="right"/>
            </w:pPr>
            <w:r>
              <w:t>8</w:t>
            </w:r>
          </w:p>
          <w:p w:rsidR="00122B00" w:rsidRDefault="00122B00" w:rsidP="00CF61D9">
            <w:pPr>
              <w:jc w:val="right"/>
            </w:pPr>
            <w:r>
              <w:t>8</w:t>
            </w:r>
          </w:p>
          <w:p w:rsidR="00122B00" w:rsidRDefault="00122B00" w:rsidP="00CF61D9">
            <w:pPr>
              <w:jc w:val="right"/>
            </w:pPr>
            <w:r>
              <w:t>11</w:t>
            </w:r>
          </w:p>
          <w:p w:rsidR="00122B00" w:rsidRDefault="00122B00" w:rsidP="00CF61D9">
            <w:pPr>
              <w:jc w:val="right"/>
            </w:pPr>
            <w:r>
              <w:t>10</w:t>
            </w:r>
          </w:p>
          <w:p w:rsidR="00122B00" w:rsidRDefault="00122B00" w:rsidP="00CF61D9">
            <w:pPr>
              <w:jc w:val="right"/>
            </w:pPr>
            <w:r>
              <w:t>11</w:t>
            </w:r>
          </w:p>
          <w:p w:rsidR="00122B00" w:rsidRDefault="00122B00" w:rsidP="00CF61D9">
            <w:pPr>
              <w:jc w:val="right"/>
            </w:pPr>
            <w:r>
              <w:t>13</w:t>
            </w:r>
          </w:p>
          <w:p w:rsidR="00122B00" w:rsidRDefault="00122B00" w:rsidP="00CF61D9">
            <w:pPr>
              <w:jc w:val="right"/>
            </w:pPr>
            <w:r>
              <w:t>11</w:t>
            </w:r>
          </w:p>
        </w:tc>
        <w:tc>
          <w:tcPr>
            <w:tcW w:w="808" w:type="pct"/>
            <w:tcBorders>
              <w:top w:val="nil"/>
              <w:bottom w:val="nil"/>
            </w:tcBorders>
          </w:tcPr>
          <w:p w:rsidR="00CF61D9" w:rsidRDefault="00122B00" w:rsidP="00CF61D9">
            <w:pPr>
              <w:jc w:val="right"/>
            </w:pPr>
            <w:r>
              <w:t>10</w:t>
            </w:r>
          </w:p>
          <w:p w:rsidR="00122B00" w:rsidRDefault="00122B00" w:rsidP="00CF61D9">
            <w:pPr>
              <w:jc w:val="right"/>
            </w:pPr>
            <w:r>
              <w:t>8</w:t>
            </w:r>
          </w:p>
          <w:p w:rsidR="00122B00" w:rsidRDefault="00122B00" w:rsidP="00CF61D9">
            <w:pPr>
              <w:jc w:val="right"/>
            </w:pPr>
            <w:r>
              <w:t>12</w:t>
            </w:r>
          </w:p>
          <w:p w:rsidR="00122B00" w:rsidRDefault="00122B00" w:rsidP="00CF61D9">
            <w:pPr>
              <w:jc w:val="right"/>
            </w:pPr>
            <w:r>
              <w:t>10</w:t>
            </w:r>
          </w:p>
          <w:p w:rsidR="00122B00" w:rsidRDefault="00122B00" w:rsidP="00CF61D9">
            <w:pPr>
              <w:jc w:val="right"/>
            </w:pPr>
            <w:r>
              <w:t>10</w:t>
            </w:r>
          </w:p>
          <w:p w:rsidR="00122B00" w:rsidRDefault="00122B00" w:rsidP="00CF61D9">
            <w:pPr>
              <w:jc w:val="right"/>
            </w:pPr>
            <w:r>
              <w:t>7</w:t>
            </w:r>
          </w:p>
          <w:p w:rsidR="00122B00" w:rsidRDefault="00122B00" w:rsidP="00CF61D9">
            <w:pPr>
              <w:jc w:val="right"/>
            </w:pPr>
            <w:r>
              <w:t>8</w:t>
            </w:r>
          </w:p>
          <w:p w:rsidR="00122B00" w:rsidRDefault="00122B00" w:rsidP="00CF61D9">
            <w:pPr>
              <w:jc w:val="right"/>
            </w:pPr>
            <w:r>
              <w:t>7</w:t>
            </w:r>
          </w:p>
          <w:p w:rsidR="00122B00" w:rsidRDefault="00122B00" w:rsidP="00CF61D9">
            <w:pPr>
              <w:jc w:val="right"/>
            </w:pPr>
            <w:r>
              <w:t>5</w:t>
            </w:r>
          </w:p>
          <w:p w:rsidR="00122B00" w:rsidRDefault="00122B00" w:rsidP="00CF61D9">
            <w:pPr>
              <w:jc w:val="right"/>
            </w:pPr>
            <w:r>
              <w:t>7</w:t>
            </w:r>
          </w:p>
        </w:tc>
        <w:tc>
          <w:tcPr>
            <w:tcW w:w="805" w:type="pct"/>
            <w:tcBorders>
              <w:top w:val="nil"/>
              <w:bottom w:val="nil"/>
            </w:tcBorders>
          </w:tcPr>
          <w:p w:rsidR="00CF61D9" w:rsidRPr="005B5D72" w:rsidRDefault="00122B00" w:rsidP="00CF61D9">
            <w:pPr>
              <w:jc w:val="right"/>
              <w:rPr>
                <w:color w:val="FFFFFF" w:themeColor="background1"/>
                <w:vertAlign w:val="superscript"/>
              </w:rPr>
            </w:pPr>
            <w:r>
              <w:t>0,815</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0,815</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0,238</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0,815</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0,815</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0,481</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0,815</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0,481</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rsidRPr="004B32AB">
              <w:t>0,096</w:t>
            </w:r>
            <w:r w:rsidR="005B5D72" w:rsidRPr="002E3542">
              <w:rPr>
                <w:b/>
                <w:vertAlign w:val="superscript"/>
              </w:rPr>
              <w:t>*</w:t>
            </w:r>
            <w:r w:rsidR="005B5D72">
              <w:rPr>
                <w:color w:val="FFFFFF" w:themeColor="background1"/>
                <w:vertAlign w:val="superscript"/>
              </w:rPr>
              <w:t>**</w:t>
            </w:r>
          </w:p>
          <w:p w:rsidR="00122B00" w:rsidRPr="005B5D72" w:rsidRDefault="00122B00" w:rsidP="00CF61D9">
            <w:pPr>
              <w:jc w:val="right"/>
              <w:rPr>
                <w:color w:val="FFFFFF" w:themeColor="background1"/>
                <w:vertAlign w:val="superscript"/>
              </w:rPr>
            </w:pPr>
            <w:r>
              <w:t>0,481</w:t>
            </w:r>
            <w:r w:rsidR="005B5D72">
              <w:rPr>
                <w:color w:val="FFFFFF" w:themeColor="background1"/>
                <w:vertAlign w:val="superscript"/>
              </w:rPr>
              <w:t>***</w:t>
            </w:r>
          </w:p>
        </w:tc>
      </w:tr>
      <w:tr w:rsidR="00CF61D9" w:rsidTr="00311830">
        <w:trPr>
          <w:cnfStyle w:val="010000000000"/>
        </w:trPr>
        <w:tc>
          <w:tcPr>
            <w:tcW w:w="807" w:type="pct"/>
            <w:tcBorders>
              <w:top w:val="nil"/>
            </w:tcBorders>
          </w:tcPr>
          <w:p w:rsidR="00CF61D9" w:rsidRDefault="00CF61D9" w:rsidP="00311830"/>
        </w:tc>
        <w:tc>
          <w:tcPr>
            <w:tcW w:w="807" w:type="pct"/>
            <w:tcBorders>
              <w:top w:val="nil"/>
            </w:tcBorders>
          </w:tcPr>
          <w:p w:rsidR="00CF61D9" w:rsidRDefault="00CF61D9" w:rsidP="00311830"/>
        </w:tc>
        <w:tc>
          <w:tcPr>
            <w:tcW w:w="916" w:type="pct"/>
            <w:tcBorders>
              <w:top w:val="nil"/>
            </w:tcBorders>
            <w:noWrap/>
          </w:tcPr>
          <w:p w:rsidR="00CF61D9" w:rsidRDefault="00CF61D9" w:rsidP="00311830"/>
        </w:tc>
        <w:tc>
          <w:tcPr>
            <w:tcW w:w="857" w:type="pct"/>
            <w:tcBorders>
              <w:top w:val="nil"/>
            </w:tcBorders>
          </w:tcPr>
          <w:p w:rsidR="00CF61D9" w:rsidRDefault="00CF61D9" w:rsidP="00CF61D9"/>
        </w:tc>
        <w:tc>
          <w:tcPr>
            <w:tcW w:w="808" w:type="pct"/>
            <w:tcBorders>
              <w:top w:val="nil"/>
            </w:tcBorders>
          </w:tcPr>
          <w:p w:rsidR="00CF61D9" w:rsidRDefault="00CF61D9" w:rsidP="00CF61D9"/>
        </w:tc>
        <w:tc>
          <w:tcPr>
            <w:tcW w:w="805" w:type="pct"/>
            <w:tcBorders>
              <w:top w:val="nil"/>
            </w:tcBorders>
          </w:tcPr>
          <w:p w:rsidR="00CF61D9" w:rsidRDefault="00CF61D9" w:rsidP="00CF61D9"/>
        </w:tc>
      </w:tr>
    </w:tbl>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rPr>
          <w:b/>
        </w:rPr>
      </w:pPr>
    </w:p>
    <w:p w:rsidR="00CF61D9" w:rsidRDefault="00CF61D9" w:rsidP="00CF61D9">
      <w:pPr>
        <w:pStyle w:val="NoSpacing"/>
        <w:rPr>
          <w:b/>
        </w:rPr>
      </w:pPr>
      <w:r w:rsidRPr="001101F2">
        <w:rPr>
          <w:b/>
        </w:rPr>
        <w:lastRenderedPageBreak/>
        <w:t xml:space="preserve">Bijlage </w:t>
      </w:r>
      <w:r w:rsidR="00E35BE8">
        <w:rPr>
          <w:b/>
        </w:rPr>
        <w:t>9</w:t>
      </w:r>
      <w:r w:rsidRPr="001101F2">
        <w:rPr>
          <w:b/>
        </w:rPr>
        <w:t xml:space="preserve">: Statische testen </w:t>
      </w:r>
      <w:r>
        <w:rPr>
          <w:b/>
        </w:rPr>
        <w:t>met belangrijke gebeurtenissen op de dag van aankondiging</w:t>
      </w:r>
    </w:p>
    <w:p w:rsidR="00CF61D9" w:rsidRPr="001101F2" w:rsidRDefault="00CF61D9" w:rsidP="00CF61D9">
      <w:pPr>
        <w:pStyle w:val="NoSpacing"/>
        <w:rPr>
          <w:b/>
        </w:rPr>
      </w:pPr>
    </w:p>
    <w:tbl>
      <w:tblPr>
        <w:tblStyle w:val="MediumShading2-Accent5"/>
        <w:tblW w:w="5000" w:type="pct"/>
        <w:tblLook w:val="0660"/>
      </w:tblPr>
      <w:tblGrid>
        <w:gridCol w:w="1498"/>
        <w:gridCol w:w="1499"/>
        <w:gridCol w:w="1701"/>
        <w:gridCol w:w="1592"/>
        <w:gridCol w:w="1501"/>
        <w:gridCol w:w="1495"/>
      </w:tblGrid>
      <w:tr w:rsidR="00CF61D9" w:rsidTr="00311830">
        <w:trPr>
          <w:cnfStyle w:val="100000000000"/>
        </w:trPr>
        <w:tc>
          <w:tcPr>
            <w:tcW w:w="807" w:type="pct"/>
          </w:tcPr>
          <w:p w:rsidR="00CF61D9" w:rsidRDefault="00CF61D9" w:rsidP="00311830">
            <w:r>
              <w:t xml:space="preserve">Dag </w:t>
            </w:r>
          </w:p>
        </w:tc>
        <w:tc>
          <w:tcPr>
            <w:tcW w:w="807" w:type="pct"/>
          </w:tcPr>
          <w:p w:rsidR="00CF61D9" w:rsidRDefault="00B67BBF" w:rsidP="00311830">
            <w:pPr>
              <w:jc w:val="right"/>
            </w:pPr>
            <w:proofErr w:type="spellStart"/>
            <w:r>
              <w:t>Gemiddeld</w:t>
            </w:r>
            <w:proofErr w:type="spellEnd"/>
            <w:r w:rsidR="00CF61D9">
              <w:t xml:space="preserve"> AR</w:t>
            </w:r>
          </w:p>
        </w:tc>
        <w:tc>
          <w:tcPr>
            <w:tcW w:w="916" w:type="pct"/>
            <w:noWrap/>
          </w:tcPr>
          <w:p w:rsidR="00CF61D9" w:rsidRDefault="005B5D72" w:rsidP="005B5D72">
            <w:r>
              <w:t xml:space="preserve">             </w:t>
            </w:r>
            <w:r w:rsidR="00CF61D9">
              <w:t>T-</w:t>
            </w:r>
            <w:proofErr w:type="spellStart"/>
            <w:r w:rsidR="00CF61D9">
              <w:t>toets</w:t>
            </w:r>
            <w:proofErr w:type="spellEnd"/>
          </w:p>
          <w:p w:rsidR="005B5D72" w:rsidRDefault="005B5D72" w:rsidP="00311830">
            <w:pPr>
              <w:jc w:val="right"/>
            </w:pPr>
            <w:r>
              <w:t>(t-</w:t>
            </w:r>
            <w:proofErr w:type="spellStart"/>
            <w:r>
              <w:t>waarde</w:t>
            </w:r>
            <w:proofErr w:type="spellEnd"/>
            <w:r>
              <w:t>)</w:t>
            </w:r>
          </w:p>
        </w:tc>
        <w:tc>
          <w:tcPr>
            <w:tcW w:w="857" w:type="pct"/>
          </w:tcPr>
          <w:p w:rsidR="00CF61D9" w:rsidRDefault="00CF61D9" w:rsidP="00311830">
            <w:pPr>
              <w:jc w:val="right"/>
            </w:pPr>
            <w:proofErr w:type="spellStart"/>
            <w:r>
              <w:t>Aantal</w:t>
            </w:r>
            <w:proofErr w:type="spellEnd"/>
            <w:r>
              <w:t xml:space="preserve"> pos.</w:t>
            </w:r>
          </w:p>
        </w:tc>
        <w:tc>
          <w:tcPr>
            <w:tcW w:w="808" w:type="pct"/>
          </w:tcPr>
          <w:p w:rsidR="00CF61D9" w:rsidRDefault="00CF61D9" w:rsidP="00311830">
            <w:pPr>
              <w:jc w:val="right"/>
            </w:pPr>
            <w:proofErr w:type="spellStart"/>
            <w:r>
              <w:t>Aantal</w:t>
            </w:r>
            <w:proofErr w:type="spellEnd"/>
            <w:r>
              <w:t xml:space="preserve"> neg.</w:t>
            </w:r>
          </w:p>
        </w:tc>
        <w:tc>
          <w:tcPr>
            <w:tcW w:w="805" w:type="pct"/>
          </w:tcPr>
          <w:p w:rsidR="00CF61D9" w:rsidRDefault="004C051E" w:rsidP="00311830">
            <w:pPr>
              <w:jc w:val="right"/>
            </w:pPr>
            <w:proofErr w:type="spellStart"/>
            <w:r>
              <w:t>T</w:t>
            </w:r>
            <w:r w:rsidR="00CF61D9">
              <w:t>ekentoets</w:t>
            </w:r>
            <w:proofErr w:type="spellEnd"/>
          </w:p>
          <w:p w:rsidR="005B5D72" w:rsidRDefault="005B5D72" w:rsidP="00311830">
            <w:pPr>
              <w:jc w:val="right"/>
            </w:pPr>
            <w:r>
              <w:t>(p-</w:t>
            </w:r>
            <w:proofErr w:type="spellStart"/>
            <w:r>
              <w:t>waarde</w:t>
            </w:r>
            <w:proofErr w:type="spellEnd"/>
            <w:r>
              <w:t>)</w:t>
            </w:r>
          </w:p>
        </w:tc>
      </w:tr>
      <w:tr w:rsidR="00CF61D9" w:rsidTr="00311830">
        <w:tc>
          <w:tcPr>
            <w:tcW w:w="5000" w:type="pct"/>
            <w:gridSpan w:val="6"/>
          </w:tcPr>
          <w:p w:rsidR="00CF61D9" w:rsidRPr="006B267C" w:rsidRDefault="00CF61D9" w:rsidP="00311830">
            <w:pPr>
              <w:rPr>
                <w:color w:val="FF0000"/>
              </w:rPr>
            </w:pPr>
            <w:r>
              <w:rPr>
                <w:rStyle w:val="SubtleEmphasis"/>
                <w:color w:val="FF0000"/>
              </w:rPr>
              <w:t xml:space="preserve"> Market-Adjusted Return Model</w:t>
            </w:r>
          </w:p>
        </w:tc>
      </w:tr>
      <w:tr w:rsidR="00CF61D9" w:rsidTr="00311830">
        <w:tc>
          <w:tcPr>
            <w:tcW w:w="807" w:type="pct"/>
            <w:tcBorders>
              <w:bottom w:val="nil"/>
            </w:tcBorders>
          </w:tcPr>
          <w:p w:rsidR="00CF61D9" w:rsidRDefault="00CF61D9" w:rsidP="00311830">
            <w:r>
              <w:t>T=-5</w:t>
            </w:r>
          </w:p>
        </w:tc>
        <w:tc>
          <w:tcPr>
            <w:tcW w:w="807" w:type="pct"/>
            <w:tcBorders>
              <w:bottom w:val="nil"/>
            </w:tcBorders>
          </w:tcPr>
          <w:p w:rsidR="00CF61D9" w:rsidRDefault="00B67BBF" w:rsidP="00311830">
            <w:pPr>
              <w:jc w:val="right"/>
            </w:pPr>
            <w:r>
              <w:t>-0,06%</w:t>
            </w:r>
          </w:p>
        </w:tc>
        <w:tc>
          <w:tcPr>
            <w:tcW w:w="916" w:type="pct"/>
            <w:tcBorders>
              <w:bottom w:val="nil"/>
            </w:tcBorders>
            <w:noWrap/>
          </w:tcPr>
          <w:p w:rsidR="00CF61D9" w:rsidRPr="00447558" w:rsidRDefault="00B67BBF" w:rsidP="00311830">
            <w:pPr>
              <w:jc w:val="right"/>
              <w:rPr>
                <w:color w:val="FFFFFF" w:themeColor="background1"/>
                <w:vertAlign w:val="superscript"/>
              </w:rPr>
            </w:pPr>
            <w:r>
              <w:t>-0,305</w:t>
            </w:r>
            <w:r w:rsidR="00447558">
              <w:rPr>
                <w:color w:val="FFFFFF" w:themeColor="background1"/>
                <w:vertAlign w:val="superscript"/>
              </w:rPr>
              <w:t>***</w:t>
            </w:r>
          </w:p>
        </w:tc>
        <w:tc>
          <w:tcPr>
            <w:tcW w:w="857" w:type="pct"/>
            <w:tcBorders>
              <w:bottom w:val="nil"/>
            </w:tcBorders>
          </w:tcPr>
          <w:p w:rsidR="00CF61D9" w:rsidRDefault="00B67BBF" w:rsidP="00CF61D9">
            <w:pPr>
              <w:jc w:val="right"/>
            </w:pPr>
            <w:r>
              <w:t>23</w:t>
            </w:r>
          </w:p>
        </w:tc>
        <w:tc>
          <w:tcPr>
            <w:tcW w:w="808" w:type="pct"/>
            <w:tcBorders>
              <w:bottom w:val="nil"/>
            </w:tcBorders>
          </w:tcPr>
          <w:p w:rsidR="00CF61D9" w:rsidRDefault="00B67BBF" w:rsidP="00CF61D9">
            <w:pPr>
              <w:jc w:val="right"/>
            </w:pPr>
            <w:r>
              <w:t>26</w:t>
            </w:r>
          </w:p>
        </w:tc>
        <w:tc>
          <w:tcPr>
            <w:tcW w:w="805" w:type="pct"/>
            <w:tcBorders>
              <w:bottom w:val="nil"/>
            </w:tcBorders>
          </w:tcPr>
          <w:p w:rsidR="00CF61D9" w:rsidRPr="00447558" w:rsidRDefault="00B67BBF" w:rsidP="00CF61D9">
            <w:pPr>
              <w:jc w:val="right"/>
              <w:rPr>
                <w:color w:val="FFFFFF" w:themeColor="background1"/>
                <w:vertAlign w:val="superscript"/>
              </w:rPr>
            </w:pPr>
            <w:r>
              <w:t>0,775</w:t>
            </w:r>
            <w:r w:rsidR="00447558">
              <w:rPr>
                <w:color w:val="FFFFFF" w:themeColor="background1"/>
                <w:vertAlign w:val="superscript"/>
              </w:rPr>
              <w:t>***</w:t>
            </w:r>
          </w:p>
        </w:tc>
      </w:tr>
      <w:tr w:rsidR="00CF61D9" w:rsidTr="00311830">
        <w:tc>
          <w:tcPr>
            <w:tcW w:w="807" w:type="pct"/>
            <w:tcBorders>
              <w:top w:val="nil"/>
              <w:bottom w:val="single" w:sz="4" w:space="0" w:color="auto"/>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p w:rsidR="00CF61D9" w:rsidRDefault="00CF61D9" w:rsidP="00311830"/>
        </w:tc>
        <w:tc>
          <w:tcPr>
            <w:tcW w:w="807" w:type="pct"/>
            <w:tcBorders>
              <w:top w:val="nil"/>
              <w:bottom w:val="single" w:sz="4" w:space="0" w:color="auto"/>
            </w:tcBorders>
          </w:tcPr>
          <w:p w:rsidR="00CF61D9" w:rsidRDefault="00B67BBF" w:rsidP="00311830">
            <w:pPr>
              <w:jc w:val="right"/>
            </w:pPr>
            <w:r>
              <w:t>-0,44%</w:t>
            </w:r>
          </w:p>
          <w:p w:rsidR="00B67BBF" w:rsidRDefault="00B67BBF" w:rsidP="00311830">
            <w:pPr>
              <w:jc w:val="right"/>
            </w:pPr>
            <w:r>
              <w:t>0,47%</w:t>
            </w:r>
          </w:p>
          <w:p w:rsidR="00B67BBF" w:rsidRDefault="00B67BBF" w:rsidP="00311830">
            <w:pPr>
              <w:jc w:val="right"/>
            </w:pPr>
            <w:r>
              <w:t>-0,02%</w:t>
            </w:r>
          </w:p>
          <w:p w:rsidR="00B67BBF" w:rsidRDefault="00B67BBF" w:rsidP="00311830">
            <w:pPr>
              <w:jc w:val="right"/>
            </w:pPr>
            <w:r>
              <w:t>0,09%</w:t>
            </w:r>
          </w:p>
          <w:p w:rsidR="00B67BBF" w:rsidRDefault="00B67BBF" w:rsidP="00311830">
            <w:pPr>
              <w:jc w:val="right"/>
            </w:pPr>
            <w:r>
              <w:t>1,43%</w:t>
            </w:r>
          </w:p>
          <w:p w:rsidR="00B67BBF" w:rsidRDefault="00B67BBF" w:rsidP="00311830">
            <w:pPr>
              <w:jc w:val="right"/>
            </w:pPr>
            <w:r>
              <w:t>0,53%</w:t>
            </w:r>
          </w:p>
          <w:p w:rsidR="00B67BBF" w:rsidRDefault="00B67BBF" w:rsidP="00311830">
            <w:pPr>
              <w:jc w:val="right"/>
            </w:pPr>
            <w:r>
              <w:t>0,36%</w:t>
            </w:r>
          </w:p>
          <w:p w:rsidR="00B67BBF" w:rsidRDefault="00B67BBF" w:rsidP="00311830">
            <w:pPr>
              <w:jc w:val="right"/>
            </w:pPr>
            <w:r>
              <w:t>0,28%</w:t>
            </w:r>
          </w:p>
          <w:p w:rsidR="00B67BBF" w:rsidRDefault="00B67BBF" w:rsidP="00311830">
            <w:pPr>
              <w:jc w:val="right"/>
            </w:pPr>
            <w:r>
              <w:t>0,32%</w:t>
            </w:r>
          </w:p>
          <w:p w:rsidR="00B67BBF" w:rsidRDefault="00B67BBF" w:rsidP="00311830">
            <w:pPr>
              <w:jc w:val="right"/>
            </w:pPr>
            <w:r>
              <w:t>-0,10%</w:t>
            </w:r>
          </w:p>
        </w:tc>
        <w:tc>
          <w:tcPr>
            <w:tcW w:w="916" w:type="pct"/>
            <w:tcBorders>
              <w:top w:val="nil"/>
              <w:bottom w:val="single" w:sz="4" w:space="0" w:color="auto"/>
            </w:tcBorders>
            <w:noWrap/>
          </w:tcPr>
          <w:p w:rsidR="00CF61D9" w:rsidRPr="00DD4E33" w:rsidRDefault="00B67BBF" w:rsidP="00311830">
            <w:pPr>
              <w:jc w:val="right"/>
              <w:rPr>
                <w:color w:val="FFFFFF" w:themeColor="background1"/>
                <w:vertAlign w:val="superscript"/>
              </w:rPr>
            </w:pPr>
            <w:r w:rsidRPr="00DD4E33">
              <w:t>-2,215</w:t>
            </w:r>
            <w:r w:rsidR="00447558" w:rsidRPr="00DD4E33">
              <w:rPr>
                <w:b/>
                <w:vertAlign w:val="superscript"/>
              </w:rPr>
              <w:t>**</w:t>
            </w:r>
            <w:r w:rsidR="00447558" w:rsidRPr="00DD4E33">
              <w:rPr>
                <w:color w:val="FFFFFF" w:themeColor="background1"/>
                <w:vertAlign w:val="superscript"/>
              </w:rPr>
              <w:t>*</w:t>
            </w:r>
          </w:p>
          <w:p w:rsidR="00B67BBF" w:rsidRPr="00DD4E33" w:rsidRDefault="00B67BBF" w:rsidP="00311830">
            <w:pPr>
              <w:jc w:val="right"/>
              <w:rPr>
                <w:color w:val="FFFFFF" w:themeColor="background1"/>
                <w:vertAlign w:val="superscript"/>
              </w:rPr>
            </w:pPr>
            <w:r w:rsidRPr="00DD4E33">
              <w:t>2,223</w:t>
            </w:r>
            <w:r w:rsidR="00447558" w:rsidRPr="00DD4E33">
              <w:rPr>
                <w:b/>
                <w:vertAlign w:val="superscript"/>
              </w:rPr>
              <w:t>**</w:t>
            </w:r>
            <w:r w:rsidR="00447558" w:rsidRPr="00DD4E33">
              <w:rPr>
                <w:color w:val="FFFFFF" w:themeColor="background1"/>
                <w:vertAlign w:val="superscript"/>
              </w:rPr>
              <w:t>*</w:t>
            </w:r>
          </w:p>
          <w:p w:rsidR="00B67BBF" w:rsidRPr="00DD4E33" w:rsidRDefault="00B67BBF" w:rsidP="00311830">
            <w:pPr>
              <w:jc w:val="right"/>
              <w:rPr>
                <w:color w:val="FFFFFF" w:themeColor="background1"/>
                <w:vertAlign w:val="superscript"/>
              </w:rPr>
            </w:pPr>
            <w:r w:rsidRPr="00DD4E33">
              <w:t>-0,125</w:t>
            </w:r>
            <w:r w:rsidR="00447558" w:rsidRPr="00DD4E33">
              <w:rPr>
                <w:color w:val="FFFFFF" w:themeColor="background1"/>
                <w:vertAlign w:val="superscript"/>
              </w:rPr>
              <w:t>***</w:t>
            </w:r>
          </w:p>
          <w:p w:rsidR="00B67BBF" w:rsidRPr="00DD4E33" w:rsidRDefault="00B67BBF" w:rsidP="00311830">
            <w:pPr>
              <w:jc w:val="right"/>
              <w:rPr>
                <w:color w:val="FFFFFF" w:themeColor="background1"/>
                <w:vertAlign w:val="superscript"/>
              </w:rPr>
            </w:pPr>
            <w:r w:rsidRPr="00DD4E33">
              <w:t>0,614</w:t>
            </w:r>
            <w:r w:rsidR="00447558" w:rsidRPr="00DD4E33">
              <w:rPr>
                <w:color w:val="FFFFFF" w:themeColor="background1"/>
                <w:vertAlign w:val="superscript"/>
              </w:rPr>
              <w:t>***</w:t>
            </w:r>
          </w:p>
          <w:p w:rsidR="00B67BBF" w:rsidRPr="00DD4E33" w:rsidRDefault="00B67BBF" w:rsidP="00311830">
            <w:pPr>
              <w:jc w:val="right"/>
              <w:rPr>
                <w:color w:val="FFFFFF" w:themeColor="background1"/>
                <w:vertAlign w:val="superscript"/>
              </w:rPr>
            </w:pPr>
            <w:r w:rsidRPr="00DD4E33">
              <w:t>2,429</w:t>
            </w:r>
            <w:r w:rsidR="00447558" w:rsidRPr="00DD4E33">
              <w:rPr>
                <w:b/>
                <w:vertAlign w:val="superscript"/>
              </w:rPr>
              <w:t>**</w:t>
            </w:r>
            <w:r w:rsidR="00447558" w:rsidRPr="00DD4E33">
              <w:rPr>
                <w:color w:val="FFFFFF" w:themeColor="background1"/>
                <w:vertAlign w:val="superscript"/>
              </w:rPr>
              <w:t>*</w:t>
            </w:r>
          </w:p>
          <w:p w:rsidR="00B67BBF" w:rsidRPr="00447558" w:rsidRDefault="00B67BBF" w:rsidP="00311830">
            <w:pPr>
              <w:jc w:val="right"/>
              <w:rPr>
                <w:color w:val="FFFFFF" w:themeColor="background1"/>
                <w:vertAlign w:val="superscript"/>
              </w:rPr>
            </w:pPr>
            <w:r w:rsidRPr="00DD4E33">
              <w:t>2,394</w:t>
            </w:r>
            <w:r w:rsidR="00447558" w:rsidRPr="00DD4E33">
              <w:rPr>
                <w:b/>
                <w:vertAlign w:val="superscript"/>
              </w:rPr>
              <w:t>**</w:t>
            </w:r>
            <w:r w:rsidR="00447558">
              <w:rPr>
                <w:color w:val="FFFFFF" w:themeColor="background1"/>
                <w:vertAlign w:val="superscript"/>
              </w:rPr>
              <w:t>*</w:t>
            </w:r>
          </w:p>
          <w:p w:rsidR="00B67BBF" w:rsidRPr="00447558" w:rsidRDefault="00B67BBF" w:rsidP="00311830">
            <w:pPr>
              <w:jc w:val="right"/>
              <w:rPr>
                <w:color w:val="FFFFFF" w:themeColor="background1"/>
                <w:vertAlign w:val="superscript"/>
              </w:rPr>
            </w:pPr>
            <w:r>
              <w:t>1,813</w:t>
            </w:r>
            <w:r w:rsidR="00447558" w:rsidRPr="00DD4E33">
              <w:rPr>
                <w:b/>
                <w:vertAlign w:val="superscript"/>
              </w:rPr>
              <w:t>*</w:t>
            </w:r>
            <w:r w:rsidR="00447558">
              <w:rPr>
                <w:color w:val="FFFFFF" w:themeColor="background1"/>
                <w:vertAlign w:val="superscript"/>
              </w:rPr>
              <w:t>**</w:t>
            </w:r>
          </w:p>
          <w:p w:rsidR="00B67BBF" w:rsidRPr="00447558" w:rsidRDefault="00B67BBF" w:rsidP="00311830">
            <w:pPr>
              <w:jc w:val="right"/>
              <w:rPr>
                <w:color w:val="FFFFFF" w:themeColor="background1"/>
                <w:vertAlign w:val="superscript"/>
              </w:rPr>
            </w:pPr>
            <w:r>
              <w:t>1,389</w:t>
            </w:r>
            <w:r w:rsidR="00447558">
              <w:rPr>
                <w:color w:val="FFFFFF" w:themeColor="background1"/>
                <w:vertAlign w:val="superscript"/>
              </w:rPr>
              <w:t>***</w:t>
            </w:r>
          </w:p>
          <w:p w:rsidR="00B67BBF" w:rsidRPr="00447558" w:rsidRDefault="00B67BBF" w:rsidP="00311830">
            <w:pPr>
              <w:jc w:val="right"/>
              <w:rPr>
                <w:color w:val="FFFFFF" w:themeColor="background1"/>
                <w:vertAlign w:val="superscript"/>
              </w:rPr>
            </w:pPr>
            <w:r>
              <w:t>1,518</w:t>
            </w:r>
            <w:r w:rsidR="00447558">
              <w:rPr>
                <w:color w:val="FFFFFF" w:themeColor="background1"/>
                <w:vertAlign w:val="superscript"/>
              </w:rPr>
              <w:t>***</w:t>
            </w:r>
          </w:p>
          <w:p w:rsidR="00B67BBF" w:rsidRPr="00447558" w:rsidRDefault="00B67BBF" w:rsidP="00311830">
            <w:pPr>
              <w:jc w:val="right"/>
              <w:rPr>
                <w:color w:val="FFFFFF" w:themeColor="background1"/>
                <w:vertAlign w:val="superscript"/>
              </w:rPr>
            </w:pPr>
            <w:r>
              <w:t>-0,407</w:t>
            </w:r>
            <w:r w:rsidR="00447558">
              <w:rPr>
                <w:color w:val="FFFFFF" w:themeColor="background1"/>
                <w:vertAlign w:val="superscript"/>
              </w:rPr>
              <w:t>***</w:t>
            </w:r>
          </w:p>
        </w:tc>
        <w:tc>
          <w:tcPr>
            <w:tcW w:w="857" w:type="pct"/>
            <w:tcBorders>
              <w:top w:val="nil"/>
              <w:bottom w:val="single" w:sz="4" w:space="0" w:color="auto"/>
            </w:tcBorders>
          </w:tcPr>
          <w:p w:rsidR="00CF61D9" w:rsidRDefault="00B67BBF" w:rsidP="00CF61D9">
            <w:pPr>
              <w:jc w:val="right"/>
            </w:pPr>
            <w:r>
              <w:t>17</w:t>
            </w:r>
          </w:p>
          <w:p w:rsidR="00B67BBF" w:rsidRDefault="00B67BBF" w:rsidP="00CF61D9">
            <w:pPr>
              <w:jc w:val="right"/>
            </w:pPr>
            <w:r>
              <w:t>25</w:t>
            </w:r>
          </w:p>
          <w:p w:rsidR="00B67BBF" w:rsidRDefault="00B67BBF" w:rsidP="00CF61D9">
            <w:pPr>
              <w:jc w:val="right"/>
            </w:pPr>
            <w:r>
              <w:t>26</w:t>
            </w:r>
          </w:p>
          <w:p w:rsidR="00B67BBF" w:rsidRDefault="00B67BBF" w:rsidP="00CF61D9">
            <w:pPr>
              <w:jc w:val="right"/>
            </w:pPr>
            <w:r>
              <w:t>25</w:t>
            </w:r>
          </w:p>
          <w:p w:rsidR="00B67BBF" w:rsidRDefault="00B67BBF" w:rsidP="00CF61D9">
            <w:pPr>
              <w:jc w:val="right"/>
            </w:pPr>
            <w:r>
              <w:t>28</w:t>
            </w:r>
          </w:p>
          <w:p w:rsidR="00B67BBF" w:rsidRDefault="00B67BBF" w:rsidP="00CF61D9">
            <w:pPr>
              <w:jc w:val="right"/>
            </w:pPr>
            <w:r>
              <w:t>31</w:t>
            </w:r>
          </w:p>
          <w:p w:rsidR="00B67BBF" w:rsidRDefault="00B67BBF" w:rsidP="00CF61D9">
            <w:pPr>
              <w:jc w:val="right"/>
            </w:pPr>
            <w:r>
              <w:t>29</w:t>
            </w:r>
          </w:p>
          <w:p w:rsidR="00B67BBF" w:rsidRDefault="00B67BBF" w:rsidP="00CF61D9">
            <w:pPr>
              <w:jc w:val="right"/>
            </w:pPr>
            <w:r>
              <w:t>25</w:t>
            </w:r>
          </w:p>
          <w:p w:rsidR="00B67BBF" w:rsidRDefault="00B67BBF" w:rsidP="00CF61D9">
            <w:pPr>
              <w:jc w:val="right"/>
            </w:pPr>
            <w:r>
              <w:t>28</w:t>
            </w:r>
          </w:p>
          <w:p w:rsidR="00B67BBF" w:rsidRDefault="00B67BBF" w:rsidP="00CF61D9">
            <w:pPr>
              <w:jc w:val="right"/>
            </w:pPr>
            <w:r>
              <w:t>22</w:t>
            </w:r>
          </w:p>
        </w:tc>
        <w:tc>
          <w:tcPr>
            <w:tcW w:w="808" w:type="pct"/>
            <w:tcBorders>
              <w:top w:val="nil"/>
              <w:bottom w:val="single" w:sz="4" w:space="0" w:color="auto"/>
            </w:tcBorders>
          </w:tcPr>
          <w:p w:rsidR="00CF61D9" w:rsidRDefault="00B67BBF" w:rsidP="00CF61D9">
            <w:pPr>
              <w:jc w:val="right"/>
            </w:pPr>
            <w:r>
              <w:t>32</w:t>
            </w:r>
          </w:p>
          <w:p w:rsidR="00B67BBF" w:rsidRDefault="00B67BBF" w:rsidP="00CF61D9">
            <w:pPr>
              <w:jc w:val="right"/>
            </w:pPr>
            <w:r>
              <w:t>24</w:t>
            </w:r>
          </w:p>
          <w:p w:rsidR="00B67BBF" w:rsidRDefault="00B67BBF" w:rsidP="00CF61D9">
            <w:pPr>
              <w:jc w:val="right"/>
            </w:pPr>
            <w:r>
              <w:t>23</w:t>
            </w:r>
          </w:p>
          <w:p w:rsidR="00B67BBF" w:rsidRDefault="00B67BBF" w:rsidP="00CF61D9">
            <w:pPr>
              <w:jc w:val="right"/>
            </w:pPr>
            <w:r>
              <w:t>24</w:t>
            </w:r>
          </w:p>
          <w:p w:rsidR="00B67BBF" w:rsidRDefault="00B67BBF" w:rsidP="00CF61D9">
            <w:pPr>
              <w:jc w:val="right"/>
            </w:pPr>
            <w:r>
              <w:t>21</w:t>
            </w:r>
          </w:p>
          <w:p w:rsidR="00B67BBF" w:rsidRDefault="00B67BBF" w:rsidP="00CF61D9">
            <w:pPr>
              <w:jc w:val="right"/>
            </w:pPr>
            <w:r>
              <w:t>18</w:t>
            </w:r>
          </w:p>
          <w:p w:rsidR="00B67BBF" w:rsidRDefault="00B67BBF" w:rsidP="00CF61D9">
            <w:pPr>
              <w:jc w:val="right"/>
            </w:pPr>
            <w:r>
              <w:t>20</w:t>
            </w:r>
          </w:p>
          <w:p w:rsidR="00B67BBF" w:rsidRDefault="00B67BBF" w:rsidP="00CF61D9">
            <w:pPr>
              <w:jc w:val="right"/>
            </w:pPr>
            <w:r>
              <w:t>24</w:t>
            </w:r>
          </w:p>
          <w:p w:rsidR="00B67BBF" w:rsidRDefault="00B67BBF" w:rsidP="00CF61D9">
            <w:pPr>
              <w:jc w:val="right"/>
            </w:pPr>
            <w:r>
              <w:t>21</w:t>
            </w:r>
          </w:p>
          <w:p w:rsidR="00B67BBF" w:rsidRDefault="00B67BBF" w:rsidP="00CF61D9">
            <w:pPr>
              <w:jc w:val="right"/>
            </w:pPr>
            <w:r>
              <w:t>27</w:t>
            </w:r>
          </w:p>
        </w:tc>
        <w:tc>
          <w:tcPr>
            <w:tcW w:w="805" w:type="pct"/>
            <w:tcBorders>
              <w:top w:val="nil"/>
              <w:bottom w:val="single" w:sz="4" w:space="0" w:color="auto"/>
            </w:tcBorders>
          </w:tcPr>
          <w:p w:rsidR="00CF61D9" w:rsidRPr="00DD4E33" w:rsidRDefault="00B67BBF" w:rsidP="00CF61D9">
            <w:pPr>
              <w:jc w:val="right"/>
              <w:rPr>
                <w:color w:val="FFFFFF" w:themeColor="background1"/>
                <w:vertAlign w:val="superscript"/>
              </w:rPr>
            </w:pPr>
            <w:r w:rsidRPr="00DD4E33">
              <w:t>0,044</w:t>
            </w:r>
            <w:r w:rsidR="00447558" w:rsidRPr="00DD4E33">
              <w:rPr>
                <w:b/>
                <w:vertAlign w:val="superscript"/>
              </w:rPr>
              <w:t>**</w:t>
            </w:r>
            <w:r w:rsidR="00447558" w:rsidRPr="00DD4E33">
              <w:rPr>
                <w:color w:val="FFFFFF" w:themeColor="background1"/>
                <w:vertAlign w:val="superscript"/>
              </w:rPr>
              <w:t>*</w:t>
            </w:r>
          </w:p>
          <w:p w:rsidR="00B67BBF" w:rsidRPr="00DD4E33" w:rsidRDefault="00B67BBF" w:rsidP="00CF61D9">
            <w:pPr>
              <w:jc w:val="right"/>
              <w:rPr>
                <w:color w:val="FFFFFF" w:themeColor="background1"/>
                <w:vertAlign w:val="superscript"/>
              </w:rPr>
            </w:pPr>
            <w:r w:rsidRPr="00DD4E33">
              <w:t>1,000</w:t>
            </w:r>
            <w:r w:rsidR="00447558" w:rsidRPr="00DD4E33">
              <w:rPr>
                <w:color w:val="FFFFFF" w:themeColor="background1"/>
                <w:vertAlign w:val="superscript"/>
              </w:rPr>
              <w:t>***</w:t>
            </w:r>
          </w:p>
          <w:p w:rsidR="00B67BBF" w:rsidRPr="00DD4E33" w:rsidRDefault="00B67BBF" w:rsidP="00CF61D9">
            <w:pPr>
              <w:jc w:val="right"/>
              <w:rPr>
                <w:color w:val="FFFFFF" w:themeColor="background1"/>
                <w:vertAlign w:val="superscript"/>
              </w:rPr>
            </w:pPr>
            <w:r w:rsidRPr="00DD4E33">
              <w:t>0,775</w:t>
            </w:r>
            <w:r w:rsidR="00447558" w:rsidRPr="00DD4E33">
              <w:rPr>
                <w:color w:val="FFFFFF" w:themeColor="background1"/>
                <w:vertAlign w:val="superscript"/>
              </w:rPr>
              <w:t>***</w:t>
            </w:r>
          </w:p>
          <w:p w:rsidR="00B67BBF" w:rsidRPr="00DD4E33" w:rsidRDefault="00B67BBF" w:rsidP="00CF61D9">
            <w:pPr>
              <w:jc w:val="right"/>
              <w:rPr>
                <w:color w:val="FFFFFF" w:themeColor="background1"/>
                <w:vertAlign w:val="superscript"/>
              </w:rPr>
            </w:pPr>
            <w:r w:rsidRPr="00DD4E33">
              <w:t>1,000</w:t>
            </w:r>
            <w:r w:rsidR="00447558" w:rsidRPr="00DD4E33">
              <w:rPr>
                <w:color w:val="FFFFFF" w:themeColor="background1"/>
                <w:vertAlign w:val="superscript"/>
              </w:rPr>
              <w:t>***</w:t>
            </w:r>
          </w:p>
          <w:p w:rsidR="00B67BBF" w:rsidRPr="00DD4E33" w:rsidRDefault="00B67BBF" w:rsidP="00CF61D9">
            <w:pPr>
              <w:jc w:val="right"/>
              <w:rPr>
                <w:color w:val="FFFFFF" w:themeColor="background1"/>
                <w:vertAlign w:val="superscript"/>
              </w:rPr>
            </w:pPr>
            <w:r w:rsidRPr="00DD4E33">
              <w:t>0,392</w:t>
            </w:r>
            <w:r w:rsidR="00447558" w:rsidRPr="00DD4E33">
              <w:rPr>
                <w:color w:val="FFFFFF" w:themeColor="background1"/>
                <w:vertAlign w:val="superscript"/>
              </w:rPr>
              <w:t>***</w:t>
            </w:r>
          </w:p>
          <w:p w:rsidR="00B67BBF" w:rsidRPr="00447558" w:rsidRDefault="00B67BBF" w:rsidP="00CF61D9">
            <w:pPr>
              <w:jc w:val="right"/>
              <w:rPr>
                <w:color w:val="FFFFFF" w:themeColor="background1"/>
                <w:vertAlign w:val="superscript"/>
              </w:rPr>
            </w:pPr>
            <w:r w:rsidRPr="00DD4E33">
              <w:t>0,085</w:t>
            </w:r>
            <w:r w:rsidR="00447558" w:rsidRPr="00DD4E33">
              <w:rPr>
                <w:b/>
                <w:vertAlign w:val="superscript"/>
              </w:rPr>
              <w:t>*</w:t>
            </w:r>
            <w:r w:rsidR="00447558">
              <w:rPr>
                <w:color w:val="FFFFFF" w:themeColor="background1"/>
                <w:vertAlign w:val="superscript"/>
              </w:rPr>
              <w:t>**</w:t>
            </w:r>
          </w:p>
          <w:p w:rsidR="00B67BBF" w:rsidRPr="00447558" w:rsidRDefault="00B67BBF" w:rsidP="00CF61D9">
            <w:pPr>
              <w:jc w:val="right"/>
              <w:rPr>
                <w:color w:val="FFFFFF" w:themeColor="background1"/>
                <w:vertAlign w:val="superscript"/>
              </w:rPr>
            </w:pPr>
            <w:r>
              <w:t>0,253</w:t>
            </w:r>
            <w:r w:rsidR="00447558">
              <w:rPr>
                <w:color w:val="FFFFFF" w:themeColor="background1"/>
                <w:vertAlign w:val="superscript"/>
              </w:rPr>
              <w:t>***</w:t>
            </w:r>
          </w:p>
          <w:p w:rsidR="00B67BBF" w:rsidRPr="00447558" w:rsidRDefault="00B67BBF" w:rsidP="00CF61D9">
            <w:pPr>
              <w:jc w:val="right"/>
              <w:rPr>
                <w:color w:val="FFFFFF" w:themeColor="background1"/>
                <w:vertAlign w:val="superscript"/>
              </w:rPr>
            </w:pPr>
            <w:r>
              <w:t>1,000</w:t>
            </w:r>
            <w:r w:rsidR="00447558">
              <w:rPr>
                <w:color w:val="FFFFFF" w:themeColor="background1"/>
                <w:vertAlign w:val="superscript"/>
              </w:rPr>
              <w:t>***</w:t>
            </w:r>
          </w:p>
          <w:p w:rsidR="00B67BBF" w:rsidRPr="00447558" w:rsidRDefault="00B67BBF" w:rsidP="00CF61D9">
            <w:pPr>
              <w:jc w:val="right"/>
              <w:rPr>
                <w:color w:val="FFFFFF" w:themeColor="background1"/>
                <w:vertAlign w:val="superscript"/>
              </w:rPr>
            </w:pPr>
            <w:r>
              <w:t>0,392</w:t>
            </w:r>
            <w:r w:rsidR="00447558">
              <w:rPr>
                <w:color w:val="FFFFFF" w:themeColor="background1"/>
                <w:vertAlign w:val="superscript"/>
              </w:rPr>
              <w:t>***</w:t>
            </w:r>
          </w:p>
          <w:p w:rsidR="00B67BBF" w:rsidRPr="00447558" w:rsidRDefault="00B67BBF" w:rsidP="00CF61D9">
            <w:pPr>
              <w:jc w:val="right"/>
              <w:rPr>
                <w:color w:val="FFFFFF" w:themeColor="background1"/>
                <w:vertAlign w:val="superscript"/>
              </w:rPr>
            </w:pPr>
            <w:r>
              <w:t>0,568</w:t>
            </w:r>
            <w:r w:rsidR="00447558">
              <w:rPr>
                <w:color w:val="FFFFFF" w:themeColor="background1"/>
                <w:vertAlign w:val="superscript"/>
              </w:rPr>
              <w:t>***</w:t>
            </w:r>
          </w:p>
        </w:tc>
      </w:tr>
      <w:tr w:rsidR="00CF61D9" w:rsidTr="00311830">
        <w:tc>
          <w:tcPr>
            <w:tcW w:w="5000" w:type="pct"/>
            <w:gridSpan w:val="6"/>
            <w:tcBorders>
              <w:top w:val="single" w:sz="4" w:space="0" w:color="auto"/>
            </w:tcBorders>
          </w:tcPr>
          <w:p w:rsidR="00CF61D9" w:rsidRPr="006B267C" w:rsidRDefault="00CF61D9" w:rsidP="00CF61D9">
            <w:proofErr w:type="spellStart"/>
            <w:r>
              <w:rPr>
                <w:rStyle w:val="SubtleEmphasis"/>
                <w:color w:val="FF0000"/>
              </w:rPr>
              <w:t>Markt</w:t>
            </w:r>
            <w:proofErr w:type="spellEnd"/>
            <w:r>
              <w:rPr>
                <w:rStyle w:val="SubtleEmphasis"/>
                <w:color w:val="FF0000"/>
              </w:rPr>
              <w:t xml:space="preserve"> Model</w:t>
            </w:r>
          </w:p>
        </w:tc>
      </w:tr>
      <w:tr w:rsidR="00CF61D9" w:rsidTr="00311830">
        <w:tc>
          <w:tcPr>
            <w:tcW w:w="807" w:type="pct"/>
            <w:tcBorders>
              <w:top w:val="nil"/>
              <w:bottom w:val="nil"/>
            </w:tcBorders>
          </w:tcPr>
          <w:p w:rsidR="00CF61D9" w:rsidRDefault="00CF61D9" w:rsidP="00311830">
            <w:r>
              <w:t>T=-5</w:t>
            </w:r>
          </w:p>
        </w:tc>
        <w:tc>
          <w:tcPr>
            <w:tcW w:w="807" w:type="pct"/>
            <w:tcBorders>
              <w:top w:val="nil"/>
              <w:bottom w:val="nil"/>
            </w:tcBorders>
          </w:tcPr>
          <w:p w:rsidR="00CF61D9" w:rsidRDefault="004E7BBD" w:rsidP="00311830">
            <w:pPr>
              <w:jc w:val="right"/>
            </w:pPr>
            <w:r>
              <w:t>-0,04%</w:t>
            </w:r>
          </w:p>
        </w:tc>
        <w:tc>
          <w:tcPr>
            <w:tcW w:w="916" w:type="pct"/>
            <w:tcBorders>
              <w:top w:val="nil"/>
              <w:bottom w:val="nil"/>
            </w:tcBorders>
            <w:noWrap/>
          </w:tcPr>
          <w:p w:rsidR="00CF61D9" w:rsidRPr="00447558" w:rsidRDefault="004E7BBD" w:rsidP="00311830">
            <w:pPr>
              <w:jc w:val="right"/>
              <w:rPr>
                <w:color w:val="FFFFFF" w:themeColor="background1"/>
                <w:vertAlign w:val="superscript"/>
              </w:rPr>
            </w:pPr>
            <w:r>
              <w:t>-0,264</w:t>
            </w:r>
            <w:r w:rsidR="00447558">
              <w:rPr>
                <w:color w:val="FFFFFF" w:themeColor="background1"/>
                <w:vertAlign w:val="superscript"/>
              </w:rPr>
              <w:t>***</w:t>
            </w:r>
          </w:p>
        </w:tc>
        <w:tc>
          <w:tcPr>
            <w:tcW w:w="857" w:type="pct"/>
            <w:tcBorders>
              <w:top w:val="nil"/>
              <w:bottom w:val="nil"/>
            </w:tcBorders>
          </w:tcPr>
          <w:p w:rsidR="00CF61D9" w:rsidRDefault="004E7BBD" w:rsidP="00CF61D9">
            <w:pPr>
              <w:jc w:val="right"/>
            </w:pPr>
            <w:r>
              <w:t>25</w:t>
            </w:r>
          </w:p>
        </w:tc>
        <w:tc>
          <w:tcPr>
            <w:tcW w:w="808" w:type="pct"/>
            <w:tcBorders>
              <w:top w:val="nil"/>
              <w:bottom w:val="nil"/>
            </w:tcBorders>
          </w:tcPr>
          <w:p w:rsidR="00CF61D9" w:rsidRDefault="004E7BBD" w:rsidP="00CF61D9">
            <w:pPr>
              <w:jc w:val="right"/>
            </w:pPr>
            <w:r>
              <w:t>24</w:t>
            </w:r>
          </w:p>
        </w:tc>
        <w:tc>
          <w:tcPr>
            <w:tcW w:w="805" w:type="pct"/>
            <w:tcBorders>
              <w:top w:val="nil"/>
              <w:bottom w:val="nil"/>
            </w:tcBorders>
          </w:tcPr>
          <w:p w:rsidR="00CF61D9" w:rsidRPr="00447558" w:rsidRDefault="004E7BBD" w:rsidP="00CF61D9">
            <w:pPr>
              <w:jc w:val="right"/>
              <w:rPr>
                <w:color w:val="FFFFFF" w:themeColor="background1"/>
                <w:vertAlign w:val="superscript"/>
              </w:rPr>
            </w:pPr>
            <w:r>
              <w:t>1,000</w:t>
            </w:r>
            <w:r w:rsidR="00447558">
              <w:rPr>
                <w:color w:val="FFFFFF" w:themeColor="background1"/>
                <w:vertAlign w:val="superscript"/>
              </w:rPr>
              <w:t>***</w:t>
            </w:r>
          </w:p>
        </w:tc>
      </w:tr>
      <w:tr w:rsidR="00CF61D9" w:rsidTr="00311830">
        <w:tc>
          <w:tcPr>
            <w:tcW w:w="807" w:type="pct"/>
            <w:tcBorders>
              <w:top w:val="nil"/>
              <w:bottom w:val="nil"/>
            </w:tcBorders>
          </w:tcPr>
          <w:p w:rsidR="00CF61D9" w:rsidRDefault="00CF61D9" w:rsidP="00311830">
            <w:r>
              <w:t>T=-4</w:t>
            </w:r>
          </w:p>
          <w:p w:rsidR="00CF61D9" w:rsidRDefault="00CF61D9" w:rsidP="00311830">
            <w:r>
              <w:t>T=-3</w:t>
            </w:r>
          </w:p>
          <w:p w:rsidR="00CF61D9" w:rsidRDefault="00CF61D9" w:rsidP="00311830">
            <w:r>
              <w:t>T=-2</w:t>
            </w:r>
          </w:p>
          <w:p w:rsidR="00CF61D9" w:rsidRDefault="00CF61D9" w:rsidP="00311830">
            <w:r>
              <w:t>T=-1</w:t>
            </w:r>
          </w:p>
          <w:p w:rsidR="00CF61D9" w:rsidRDefault="00CF61D9" w:rsidP="00311830">
            <w:r>
              <w:t>T=0</w:t>
            </w:r>
          </w:p>
          <w:p w:rsidR="00CF61D9" w:rsidRDefault="00CF61D9" w:rsidP="00311830">
            <w:r>
              <w:t>T=1</w:t>
            </w:r>
          </w:p>
          <w:p w:rsidR="00CF61D9" w:rsidRDefault="00CF61D9" w:rsidP="00311830">
            <w:r>
              <w:t>T=2</w:t>
            </w:r>
          </w:p>
          <w:p w:rsidR="00CF61D9" w:rsidRDefault="00CF61D9" w:rsidP="00311830">
            <w:r>
              <w:t>T=3</w:t>
            </w:r>
          </w:p>
          <w:p w:rsidR="00CF61D9" w:rsidRDefault="00CF61D9" w:rsidP="00311830">
            <w:r>
              <w:t xml:space="preserve">T=4 </w:t>
            </w:r>
          </w:p>
          <w:p w:rsidR="00CF61D9" w:rsidRDefault="00CF61D9" w:rsidP="00311830">
            <w:r>
              <w:t>T=5</w:t>
            </w:r>
          </w:p>
        </w:tc>
        <w:tc>
          <w:tcPr>
            <w:tcW w:w="807" w:type="pct"/>
            <w:tcBorders>
              <w:top w:val="nil"/>
              <w:bottom w:val="nil"/>
            </w:tcBorders>
          </w:tcPr>
          <w:p w:rsidR="00CF61D9" w:rsidRDefault="004E7BBD" w:rsidP="00311830">
            <w:pPr>
              <w:jc w:val="right"/>
            </w:pPr>
            <w:r>
              <w:t>-0,46%</w:t>
            </w:r>
          </w:p>
          <w:p w:rsidR="004E7BBD" w:rsidRDefault="004E7BBD" w:rsidP="00311830">
            <w:pPr>
              <w:jc w:val="right"/>
            </w:pPr>
            <w:r>
              <w:t>0,50%</w:t>
            </w:r>
          </w:p>
          <w:p w:rsidR="004E7BBD" w:rsidRDefault="004E7BBD" w:rsidP="00311830">
            <w:pPr>
              <w:jc w:val="right"/>
            </w:pPr>
            <w:r>
              <w:t>-0,03%</w:t>
            </w:r>
          </w:p>
          <w:p w:rsidR="004E7BBD" w:rsidRDefault="004E7BBD" w:rsidP="00311830">
            <w:pPr>
              <w:jc w:val="right"/>
            </w:pPr>
            <w:r>
              <w:t>-0,01%</w:t>
            </w:r>
          </w:p>
          <w:p w:rsidR="004E7BBD" w:rsidRDefault="004E7BBD" w:rsidP="00311830">
            <w:pPr>
              <w:jc w:val="right"/>
            </w:pPr>
            <w:r>
              <w:t>1,36%</w:t>
            </w:r>
          </w:p>
          <w:p w:rsidR="004E7BBD" w:rsidRDefault="004E7BBD" w:rsidP="00311830">
            <w:pPr>
              <w:jc w:val="right"/>
            </w:pPr>
            <w:r>
              <w:t>0,49%</w:t>
            </w:r>
          </w:p>
          <w:p w:rsidR="004E7BBD" w:rsidRDefault="004E7BBD" w:rsidP="00311830">
            <w:pPr>
              <w:jc w:val="right"/>
            </w:pPr>
            <w:r>
              <w:t>0,27%</w:t>
            </w:r>
          </w:p>
          <w:p w:rsidR="004E7BBD" w:rsidRDefault="004E7BBD" w:rsidP="00311830">
            <w:pPr>
              <w:jc w:val="right"/>
            </w:pPr>
            <w:r>
              <w:t>0,30%</w:t>
            </w:r>
          </w:p>
          <w:p w:rsidR="004E7BBD" w:rsidRDefault="004E7BBD" w:rsidP="00311830">
            <w:pPr>
              <w:jc w:val="right"/>
            </w:pPr>
            <w:r>
              <w:t>0,37%</w:t>
            </w:r>
          </w:p>
          <w:p w:rsidR="004E7BBD" w:rsidRDefault="004E7BBD" w:rsidP="00311830">
            <w:pPr>
              <w:jc w:val="right"/>
            </w:pPr>
            <w:r>
              <w:t>-0,10%</w:t>
            </w:r>
          </w:p>
        </w:tc>
        <w:tc>
          <w:tcPr>
            <w:tcW w:w="916" w:type="pct"/>
            <w:tcBorders>
              <w:top w:val="nil"/>
              <w:bottom w:val="nil"/>
            </w:tcBorders>
            <w:noWrap/>
          </w:tcPr>
          <w:p w:rsidR="00CF61D9" w:rsidRPr="00DD4E33" w:rsidRDefault="004E7BBD" w:rsidP="00311830">
            <w:pPr>
              <w:jc w:val="right"/>
              <w:rPr>
                <w:color w:val="FFFFFF" w:themeColor="background1"/>
                <w:vertAlign w:val="superscript"/>
              </w:rPr>
            </w:pPr>
            <w:r w:rsidRPr="00DD4E33">
              <w:t>-2,351</w:t>
            </w:r>
            <w:r w:rsidR="00447558" w:rsidRPr="00DD4E33">
              <w:rPr>
                <w:b/>
                <w:vertAlign w:val="superscript"/>
              </w:rPr>
              <w:t>**</w:t>
            </w:r>
            <w:r w:rsidR="00447558" w:rsidRPr="00DD4E33">
              <w:rPr>
                <w:color w:val="FFFFFF" w:themeColor="background1"/>
                <w:vertAlign w:val="superscript"/>
              </w:rPr>
              <w:t>*</w:t>
            </w:r>
          </w:p>
          <w:p w:rsidR="004E7BBD" w:rsidRPr="00DD4E33" w:rsidRDefault="004E7BBD" w:rsidP="00311830">
            <w:pPr>
              <w:jc w:val="right"/>
              <w:rPr>
                <w:color w:val="FFFFFF" w:themeColor="background1"/>
                <w:vertAlign w:val="superscript"/>
              </w:rPr>
            </w:pPr>
            <w:r w:rsidRPr="00DD4E33">
              <w:t>2,356</w:t>
            </w:r>
            <w:r w:rsidR="00447558" w:rsidRPr="00DD4E33">
              <w:rPr>
                <w:b/>
                <w:vertAlign w:val="superscript"/>
              </w:rPr>
              <w:t>**</w:t>
            </w:r>
            <w:r w:rsidR="00447558" w:rsidRPr="00DD4E33">
              <w:rPr>
                <w:color w:val="FFFFFF" w:themeColor="background1"/>
                <w:vertAlign w:val="superscript"/>
              </w:rPr>
              <w:t>*</w:t>
            </w:r>
          </w:p>
          <w:p w:rsidR="004E7BBD" w:rsidRPr="00DD4E33" w:rsidRDefault="004E7BBD" w:rsidP="00311830">
            <w:pPr>
              <w:jc w:val="right"/>
              <w:rPr>
                <w:color w:val="FFFFFF" w:themeColor="background1"/>
                <w:vertAlign w:val="superscript"/>
              </w:rPr>
            </w:pPr>
            <w:r w:rsidRPr="00DD4E33">
              <w:t>-0,141</w:t>
            </w:r>
            <w:r w:rsidR="00447558" w:rsidRPr="00DD4E33">
              <w:rPr>
                <w:color w:val="FFFFFF" w:themeColor="background1"/>
                <w:vertAlign w:val="superscript"/>
              </w:rPr>
              <w:t>***</w:t>
            </w:r>
          </w:p>
          <w:p w:rsidR="004E7BBD" w:rsidRPr="00DD4E33" w:rsidRDefault="004E7BBD" w:rsidP="00311830">
            <w:pPr>
              <w:jc w:val="right"/>
              <w:rPr>
                <w:color w:val="FFFFFF" w:themeColor="background1"/>
                <w:vertAlign w:val="superscript"/>
              </w:rPr>
            </w:pPr>
            <w:r w:rsidRPr="00DD4E33">
              <w:t>-0,051</w:t>
            </w:r>
            <w:r w:rsidR="00447558" w:rsidRPr="00DD4E33">
              <w:rPr>
                <w:color w:val="FFFFFF" w:themeColor="background1"/>
                <w:vertAlign w:val="superscript"/>
              </w:rPr>
              <w:t>***</w:t>
            </w:r>
          </w:p>
          <w:p w:rsidR="004E7BBD" w:rsidRPr="00DD4E33" w:rsidRDefault="004E7BBD" w:rsidP="00311830">
            <w:pPr>
              <w:jc w:val="right"/>
              <w:rPr>
                <w:color w:val="FFFFFF" w:themeColor="background1"/>
                <w:vertAlign w:val="superscript"/>
              </w:rPr>
            </w:pPr>
            <w:r w:rsidRPr="00DD4E33">
              <w:t>2,360</w:t>
            </w:r>
            <w:r w:rsidR="00447558" w:rsidRPr="00DD4E33">
              <w:rPr>
                <w:b/>
                <w:vertAlign w:val="superscript"/>
              </w:rPr>
              <w:t>**</w:t>
            </w:r>
            <w:r w:rsidR="00447558" w:rsidRPr="00DD4E33">
              <w:rPr>
                <w:color w:val="FFFFFF" w:themeColor="background1"/>
                <w:vertAlign w:val="superscript"/>
              </w:rPr>
              <w:t>*</w:t>
            </w:r>
          </w:p>
          <w:p w:rsidR="004E7BBD" w:rsidRPr="00DD4E33" w:rsidRDefault="004E7BBD" w:rsidP="00311830">
            <w:pPr>
              <w:jc w:val="right"/>
              <w:rPr>
                <w:color w:val="FFFFFF" w:themeColor="background1"/>
                <w:vertAlign w:val="superscript"/>
              </w:rPr>
            </w:pPr>
            <w:r w:rsidRPr="00DD4E33">
              <w:t>2,384</w:t>
            </w:r>
            <w:r w:rsidR="00447558" w:rsidRPr="00DD4E33">
              <w:rPr>
                <w:b/>
                <w:vertAlign w:val="superscript"/>
              </w:rPr>
              <w:t>**</w:t>
            </w:r>
            <w:r w:rsidR="00447558" w:rsidRPr="00DD4E33">
              <w:rPr>
                <w:color w:val="FFFFFF" w:themeColor="background1"/>
                <w:vertAlign w:val="superscript"/>
              </w:rPr>
              <w:t>*</w:t>
            </w:r>
          </w:p>
          <w:p w:rsidR="004E7BBD" w:rsidRPr="00447558" w:rsidRDefault="004E7BBD" w:rsidP="00311830">
            <w:pPr>
              <w:jc w:val="right"/>
              <w:rPr>
                <w:color w:val="FFFFFF" w:themeColor="background1"/>
                <w:vertAlign w:val="superscript"/>
              </w:rPr>
            </w:pPr>
            <w:r>
              <w:t>1,360</w:t>
            </w:r>
            <w:r w:rsidR="00447558">
              <w:rPr>
                <w:color w:val="FFFFFF" w:themeColor="background1"/>
                <w:vertAlign w:val="superscript"/>
              </w:rPr>
              <w:t>***</w:t>
            </w:r>
          </w:p>
          <w:p w:rsidR="004E7BBD" w:rsidRPr="00447558" w:rsidRDefault="004E7BBD" w:rsidP="00311830">
            <w:pPr>
              <w:jc w:val="right"/>
              <w:rPr>
                <w:color w:val="FFFFFF" w:themeColor="background1"/>
                <w:vertAlign w:val="superscript"/>
              </w:rPr>
            </w:pPr>
            <w:r>
              <w:t>1,526</w:t>
            </w:r>
            <w:r w:rsidR="00447558">
              <w:rPr>
                <w:color w:val="FFFFFF" w:themeColor="background1"/>
                <w:vertAlign w:val="superscript"/>
              </w:rPr>
              <w:t>***</w:t>
            </w:r>
          </w:p>
          <w:p w:rsidR="004E7BBD" w:rsidRPr="00447558" w:rsidRDefault="004E7BBD" w:rsidP="00311830">
            <w:pPr>
              <w:jc w:val="right"/>
              <w:rPr>
                <w:color w:val="FFFFFF" w:themeColor="background1"/>
                <w:vertAlign w:val="superscript"/>
              </w:rPr>
            </w:pPr>
            <w:r>
              <w:t>1,751</w:t>
            </w:r>
            <w:r w:rsidR="00447558" w:rsidRPr="00DD4E33">
              <w:rPr>
                <w:b/>
                <w:vertAlign w:val="superscript"/>
              </w:rPr>
              <w:t>*</w:t>
            </w:r>
            <w:r w:rsidR="00447558">
              <w:rPr>
                <w:color w:val="FFFFFF" w:themeColor="background1"/>
                <w:vertAlign w:val="superscript"/>
              </w:rPr>
              <w:t>**</w:t>
            </w:r>
          </w:p>
          <w:p w:rsidR="004E7BBD" w:rsidRPr="00447558" w:rsidRDefault="004E7BBD" w:rsidP="00311830">
            <w:pPr>
              <w:jc w:val="right"/>
              <w:rPr>
                <w:color w:val="FFFFFF" w:themeColor="background1"/>
                <w:vertAlign w:val="superscript"/>
              </w:rPr>
            </w:pPr>
            <w:r>
              <w:t>-0,432</w:t>
            </w:r>
            <w:r w:rsidR="00447558">
              <w:rPr>
                <w:color w:val="FFFFFF" w:themeColor="background1"/>
                <w:vertAlign w:val="superscript"/>
              </w:rPr>
              <w:t>***</w:t>
            </w:r>
          </w:p>
        </w:tc>
        <w:tc>
          <w:tcPr>
            <w:tcW w:w="857" w:type="pct"/>
            <w:tcBorders>
              <w:top w:val="nil"/>
              <w:bottom w:val="nil"/>
            </w:tcBorders>
          </w:tcPr>
          <w:p w:rsidR="00CF61D9" w:rsidRDefault="004E7BBD" w:rsidP="00CF61D9">
            <w:pPr>
              <w:jc w:val="right"/>
            </w:pPr>
            <w:r>
              <w:t>18</w:t>
            </w:r>
          </w:p>
          <w:p w:rsidR="004E7BBD" w:rsidRDefault="004E7BBD" w:rsidP="00CF61D9">
            <w:pPr>
              <w:jc w:val="right"/>
            </w:pPr>
            <w:r>
              <w:t>28</w:t>
            </w:r>
          </w:p>
          <w:p w:rsidR="004E7BBD" w:rsidRDefault="004E7BBD" w:rsidP="00CF61D9">
            <w:pPr>
              <w:jc w:val="right"/>
            </w:pPr>
            <w:r>
              <w:t>26</w:t>
            </w:r>
          </w:p>
          <w:p w:rsidR="004E7BBD" w:rsidRDefault="004E7BBD" w:rsidP="00CF61D9">
            <w:pPr>
              <w:jc w:val="right"/>
            </w:pPr>
            <w:r>
              <w:t>24</w:t>
            </w:r>
          </w:p>
          <w:p w:rsidR="004E7BBD" w:rsidRDefault="004E7BBD" w:rsidP="00CF61D9">
            <w:pPr>
              <w:jc w:val="right"/>
            </w:pPr>
            <w:r>
              <w:t>27</w:t>
            </w:r>
          </w:p>
          <w:p w:rsidR="004E7BBD" w:rsidRDefault="004E7BBD" w:rsidP="00CF61D9">
            <w:pPr>
              <w:jc w:val="right"/>
            </w:pPr>
            <w:r>
              <w:t>31</w:t>
            </w:r>
          </w:p>
          <w:p w:rsidR="004E7BBD" w:rsidRDefault="004E7BBD" w:rsidP="00CF61D9">
            <w:pPr>
              <w:jc w:val="right"/>
            </w:pPr>
            <w:r>
              <w:t>27</w:t>
            </w:r>
          </w:p>
          <w:p w:rsidR="004E7BBD" w:rsidRDefault="004E7BBD" w:rsidP="00CF61D9">
            <w:pPr>
              <w:jc w:val="right"/>
            </w:pPr>
            <w:r>
              <w:t>24</w:t>
            </w:r>
          </w:p>
          <w:p w:rsidR="004E7BBD" w:rsidRDefault="004E7BBD" w:rsidP="00CF61D9">
            <w:pPr>
              <w:jc w:val="right"/>
            </w:pPr>
            <w:r>
              <w:t>29</w:t>
            </w:r>
          </w:p>
          <w:p w:rsidR="004E7BBD" w:rsidRDefault="004E7BBD" w:rsidP="00CF61D9">
            <w:pPr>
              <w:jc w:val="right"/>
            </w:pPr>
            <w:r>
              <w:t>23</w:t>
            </w:r>
          </w:p>
        </w:tc>
        <w:tc>
          <w:tcPr>
            <w:tcW w:w="808" w:type="pct"/>
            <w:tcBorders>
              <w:top w:val="nil"/>
              <w:bottom w:val="nil"/>
            </w:tcBorders>
          </w:tcPr>
          <w:p w:rsidR="00CF61D9" w:rsidRDefault="004E7BBD" w:rsidP="00CF61D9">
            <w:pPr>
              <w:jc w:val="right"/>
            </w:pPr>
            <w:r>
              <w:t>31</w:t>
            </w:r>
          </w:p>
          <w:p w:rsidR="004E7BBD" w:rsidRDefault="004E7BBD" w:rsidP="00CF61D9">
            <w:pPr>
              <w:jc w:val="right"/>
            </w:pPr>
            <w:r>
              <w:t>21</w:t>
            </w:r>
          </w:p>
          <w:p w:rsidR="004E7BBD" w:rsidRDefault="004E7BBD" w:rsidP="00CF61D9">
            <w:pPr>
              <w:jc w:val="right"/>
            </w:pPr>
            <w:r>
              <w:t>23</w:t>
            </w:r>
          </w:p>
          <w:p w:rsidR="004E7BBD" w:rsidRDefault="004E7BBD" w:rsidP="00CF61D9">
            <w:pPr>
              <w:jc w:val="right"/>
            </w:pPr>
            <w:r>
              <w:t>25</w:t>
            </w:r>
          </w:p>
          <w:p w:rsidR="004E7BBD" w:rsidRDefault="004E7BBD" w:rsidP="00CF61D9">
            <w:pPr>
              <w:jc w:val="right"/>
            </w:pPr>
            <w:r>
              <w:t>22</w:t>
            </w:r>
          </w:p>
          <w:p w:rsidR="004E7BBD" w:rsidRDefault="004E7BBD" w:rsidP="00CF61D9">
            <w:pPr>
              <w:jc w:val="right"/>
            </w:pPr>
            <w:r>
              <w:t>18</w:t>
            </w:r>
          </w:p>
          <w:p w:rsidR="004E7BBD" w:rsidRDefault="004E7BBD" w:rsidP="00CF61D9">
            <w:pPr>
              <w:jc w:val="right"/>
            </w:pPr>
            <w:r>
              <w:t>22</w:t>
            </w:r>
          </w:p>
          <w:p w:rsidR="004E7BBD" w:rsidRDefault="004E7BBD" w:rsidP="00CF61D9">
            <w:pPr>
              <w:jc w:val="right"/>
            </w:pPr>
            <w:r>
              <w:t>25</w:t>
            </w:r>
          </w:p>
          <w:p w:rsidR="004E7BBD" w:rsidRDefault="004E7BBD" w:rsidP="00CF61D9">
            <w:pPr>
              <w:jc w:val="right"/>
            </w:pPr>
            <w:r>
              <w:t>20</w:t>
            </w:r>
          </w:p>
          <w:p w:rsidR="004E7BBD" w:rsidRDefault="004E7BBD" w:rsidP="00CF61D9">
            <w:pPr>
              <w:jc w:val="right"/>
            </w:pPr>
            <w:r>
              <w:t>26</w:t>
            </w:r>
          </w:p>
        </w:tc>
        <w:tc>
          <w:tcPr>
            <w:tcW w:w="805" w:type="pct"/>
            <w:tcBorders>
              <w:top w:val="nil"/>
              <w:bottom w:val="nil"/>
            </w:tcBorders>
          </w:tcPr>
          <w:p w:rsidR="00CF61D9" w:rsidRPr="00DD4E33" w:rsidRDefault="004E7BBD" w:rsidP="00CF61D9">
            <w:pPr>
              <w:jc w:val="right"/>
              <w:rPr>
                <w:color w:val="FFFFFF" w:themeColor="background1"/>
                <w:vertAlign w:val="superscript"/>
              </w:rPr>
            </w:pPr>
            <w:r w:rsidRPr="00DD4E33">
              <w:t>0,085</w:t>
            </w:r>
            <w:r w:rsidR="00447558" w:rsidRPr="00DD4E33">
              <w:rPr>
                <w:b/>
                <w:vertAlign w:val="superscript"/>
              </w:rPr>
              <w:t>*</w:t>
            </w:r>
            <w:r w:rsidR="00447558" w:rsidRPr="00DD4E33">
              <w:rPr>
                <w:color w:val="FFFFFF" w:themeColor="background1"/>
                <w:vertAlign w:val="superscript"/>
              </w:rPr>
              <w:t>**</w:t>
            </w:r>
          </w:p>
          <w:p w:rsidR="004E7BBD" w:rsidRPr="00DD4E33" w:rsidRDefault="004E7BBD" w:rsidP="00CF61D9">
            <w:pPr>
              <w:jc w:val="right"/>
              <w:rPr>
                <w:color w:val="FFFFFF" w:themeColor="background1"/>
                <w:vertAlign w:val="superscript"/>
              </w:rPr>
            </w:pPr>
            <w:r w:rsidRPr="00DD4E33">
              <w:t>0,392</w:t>
            </w:r>
            <w:r w:rsidR="00447558" w:rsidRPr="00DD4E33">
              <w:rPr>
                <w:color w:val="FFFFFF" w:themeColor="background1"/>
                <w:vertAlign w:val="superscript"/>
              </w:rPr>
              <w:t>***</w:t>
            </w:r>
          </w:p>
          <w:p w:rsidR="004E7BBD" w:rsidRPr="00DD4E33" w:rsidRDefault="004E7BBD" w:rsidP="00CF61D9">
            <w:pPr>
              <w:jc w:val="right"/>
              <w:rPr>
                <w:color w:val="FFFFFF" w:themeColor="background1"/>
                <w:vertAlign w:val="superscript"/>
              </w:rPr>
            </w:pPr>
            <w:r w:rsidRPr="00DD4E33">
              <w:t>0,775</w:t>
            </w:r>
            <w:r w:rsidR="00447558" w:rsidRPr="00DD4E33">
              <w:rPr>
                <w:color w:val="FFFFFF" w:themeColor="background1"/>
                <w:vertAlign w:val="superscript"/>
              </w:rPr>
              <w:t>***</w:t>
            </w:r>
          </w:p>
          <w:p w:rsidR="004E7BBD" w:rsidRPr="00DD4E33" w:rsidRDefault="004E7BBD" w:rsidP="00CF61D9">
            <w:pPr>
              <w:jc w:val="right"/>
              <w:rPr>
                <w:color w:val="FFFFFF" w:themeColor="background1"/>
                <w:vertAlign w:val="superscript"/>
              </w:rPr>
            </w:pPr>
            <w:r w:rsidRPr="00DD4E33">
              <w:t>1,000</w:t>
            </w:r>
            <w:r w:rsidR="00447558" w:rsidRPr="00DD4E33">
              <w:rPr>
                <w:color w:val="FFFFFF" w:themeColor="background1"/>
                <w:vertAlign w:val="superscript"/>
              </w:rPr>
              <w:t>***</w:t>
            </w:r>
          </w:p>
          <w:p w:rsidR="004E7BBD" w:rsidRPr="00DD4E33" w:rsidRDefault="004E7BBD" w:rsidP="00CF61D9">
            <w:pPr>
              <w:jc w:val="right"/>
              <w:rPr>
                <w:color w:val="FFFFFF" w:themeColor="background1"/>
                <w:vertAlign w:val="superscript"/>
              </w:rPr>
            </w:pPr>
            <w:r w:rsidRPr="00DD4E33">
              <w:t>0,568</w:t>
            </w:r>
            <w:r w:rsidR="00447558" w:rsidRPr="00DD4E33">
              <w:rPr>
                <w:color w:val="FFFFFF" w:themeColor="background1"/>
                <w:vertAlign w:val="superscript"/>
              </w:rPr>
              <w:t>***</w:t>
            </w:r>
          </w:p>
          <w:p w:rsidR="004E7BBD" w:rsidRPr="00447558" w:rsidRDefault="004E7BBD" w:rsidP="00CF61D9">
            <w:pPr>
              <w:jc w:val="right"/>
              <w:rPr>
                <w:color w:val="FFFFFF" w:themeColor="background1"/>
                <w:vertAlign w:val="superscript"/>
              </w:rPr>
            </w:pPr>
            <w:r w:rsidRPr="00DD4E33">
              <w:t>0,085</w:t>
            </w:r>
            <w:r w:rsidR="00447558" w:rsidRPr="00DD4E33">
              <w:rPr>
                <w:b/>
                <w:vertAlign w:val="superscript"/>
              </w:rPr>
              <w:t>*</w:t>
            </w:r>
            <w:r w:rsidR="00447558">
              <w:rPr>
                <w:color w:val="FFFFFF" w:themeColor="background1"/>
                <w:vertAlign w:val="superscript"/>
              </w:rPr>
              <w:t>**</w:t>
            </w:r>
          </w:p>
          <w:p w:rsidR="004E7BBD" w:rsidRPr="00447558" w:rsidRDefault="004E7BBD" w:rsidP="00CF61D9">
            <w:pPr>
              <w:jc w:val="right"/>
              <w:rPr>
                <w:color w:val="FFFFFF" w:themeColor="background1"/>
                <w:vertAlign w:val="superscript"/>
              </w:rPr>
            </w:pPr>
            <w:r>
              <w:t>0,568</w:t>
            </w:r>
            <w:r w:rsidR="00447558">
              <w:rPr>
                <w:color w:val="FFFFFF" w:themeColor="background1"/>
                <w:vertAlign w:val="superscript"/>
              </w:rPr>
              <w:t>***</w:t>
            </w:r>
          </w:p>
          <w:p w:rsidR="004E7BBD" w:rsidRPr="00447558" w:rsidRDefault="004E7BBD" w:rsidP="00CF61D9">
            <w:pPr>
              <w:jc w:val="right"/>
              <w:rPr>
                <w:color w:val="FFFFFF" w:themeColor="background1"/>
                <w:vertAlign w:val="superscript"/>
              </w:rPr>
            </w:pPr>
            <w:r>
              <w:t>1,000</w:t>
            </w:r>
            <w:r w:rsidR="00447558">
              <w:rPr>
                <w:color w:val="FFFFFF" w:themeColor="background1"/>
                <w:vertAlign w:val="superscript"/>
              </w:rPr>
              <w:t>***</w:t>
            </w:r>
          </w:p>
          <w:p w:rsidR="004E7BBD" w:rsidRPr="00447558" w:rsidRDefault="004E7BBD" w:rsidP="00CF61D9">
            <w:pPr>
              <w:jc w:val="right"/>
              <w:rPr>
                <w:color w:val="FFFFFF" w:themeColor="background1"/>
                <w:vertAlign w:val="superscript"/>
              </w:rPr>
            </w:pPr>
            <w:r>
              <w:t>0,253</w:t>
            </w:r>
            <w:r w:rsidR="00447558">
              <w:rPr>
                <w:color w:val="FFFFFF" w:themeColor="background1"/>
                <w:vertAlign w:val="superscript"/>
              </w:rPr>
              <w:t>***</w:t>
            </w:r>
          </w:p>
          <w:p w:rsidR="004E7BBD" w:rsidRPr="00447558" w:rsidRDefault="004E7BBD" w:rsidP="00CF61D9">
            <w:pPr>
              <w:jc w:val="right"/>
              <w:rPr>
                <w:color w:val="FFFFFF" w:themeColor="background1"/>
                <w:vertAlign w:val="superscript"/>
              </w:rPr>
            </w:pPr>
            <w:r>
              <w:t>0,775</w:t>
            </w:r>
            <w:r w:rsidR="00447558">
              <w:rPr>
                <w:color w:val="FFFFFF" w:themeColor="background1"/>
                <w:vertAlign w:val="superscript"/>
              </w:rPr>
              <w:t>***</w:t>
            </w:r>
          </w:p>
        </w:tc>
      </w:tr>
      <w:tr w:rsidR="00CF61D9" w:rsidTr="00311830">
        <w:trPr>
          <w:cnfStyle w:val="010000000000"/>
        </w:trPr>
        <w:tc>
          <w:tcPr>
            <w:tcW w:w="807" w:type="pct"/>
            <w:tcBorders>
              <w:top w:val="nil"/>
            </w:tcBorders>
          </w:tcPr>
          <w:p w:rsidR="00CF61D9" w:rsidRDefault="00CF61D9" w:rsidP="00CF61D9"/>
        </w:tc>
        <w:tc>
          <w:tcPr>
            <w:tcW w:w="807" w:type="pct"/>
            <w:tcBorders>
              <w:top w:val="nil"/>
            </w:tcBorders>
          </w:tcPr>
          <w:p w:rsidR="00CF61D9" w:rsidRDefault="00CF61D9" w:rsidP="00CF61D9"/>
        </w:tc>
        <w:tc>
          <w:tcPr>
            <w:tcW w:w="916" w:type="pct"/>
            <w:tcBorders>
              <w:top w:val="nil"/>
            </w:tcBorders>
            <w:noWrap/>
          </w:tcPr>
          <w:p w:rsidR="00CF61D9" w:rsidRDefault="00CF61D9" w:rsidP="00CF61D9"/>
        </w:tc>
        <w:tc>
          <w:tcPr>
            <w:tcW w:w="857" w:type="pct"/>
            <w:tcBorders>
              <w:top w:val="nil"/>
            </w:tcBorders>
          </w:tcPr>
          <w:p w:rsidR="00CF61D9" w:rsidRDefault="00CF61D9" w:rsidP="00CF61D9"/>
        </w:tc>
        <w:tc>
          <w:tcPr>
            <w:tcW w:w="808" w:type="pct"/>
            <w:tcBorders>
              <w:top w:val="nil"/>
            </w:tcBorders>
          </w:tcPr>
          <w:p w:rsidR="00CF61D9" w:rsidRDefault="00CF61D9" w:rsidP="00CF61D9"/>
        </w:tc>
        <w:tc>
          <w:tcPr>
            <w:tcW w:w="805" w:type="pct"/>
            <w:tcBorders>
              <w:top w:val="nil"/>
            </w:tcBorders>
          </w:tcPr>
          <w:p w:rsidR="00CF61D9" w:rsidRDefault="00CF61D9" w:rsidP="00CF61D9"/>
        </w:tc>
      </w:tr>
    </w:tbl>
    <w:p w:rsidR="00CF61D9" w:rsidRDefault="00CF61D9" w:rsidP="00CF61D9">
      <w:pPr>
        <w:rPr>
          <w:b/>
        </w:rPr>
      </w:pPr>
    </w:p>
    <w:p w:rsidR="00CF61D9" w:rsidRPr="00B96278" w:rsidRDefault="00CF61D9" w:rsidP="00CF61D9">
      <w:pPr>
        <w:rPr>
          <w:b/>
        </w:rPr>
      </w:pPr>
    </w:p>
    <w:p w:rsidR="00294EC8" w:rsidRDefault="00793412">
      <w:r>
        <w:br w:type="page"/>
      </w:r>
    </w:p>
    <w:p w:rsidR="00294EC8" w:rsidRDefault="00294EC8" w:rsidP="00294EC8">
      <w:pPr>
        <w:pStyle w:val="NoSpacing"/>
        <w:rPr>
          <w:b/>
        </w:rPr>
      </w:pPr>
      <w:r w:rsidRPr="001101F2">
        <w:rPr>
          <w:b/>
        </w:rPr>
        <w:lastRenderedPageBreak/>
        <w:t xml:space="preserve">Bijlage </w:t>
      </w:r>
      <w:r w:rsidR="00E35BE8">
        <w:rPr>
          <w:b/>
        </w:rPr>
        <w:t>10</w:t>
      </w:r>
      <w:r w:rsidRPr="001101F2">
        <w:rPr>
          <w:b/>
        </w:rPr>
        <w:t xml:space="preserve">: </w:t>
      </w:r>
      <w:r w:rsidR="00F50401">
        <w:rPr>
          <w:b/>
        </w:rPr>
        <w:t>Toelichting koppeling gecommuniceerd motief en theoretisch motief</w:t>
      </w:r>
    </w:p>
    <w:p w:rsidR="00294EC8" w:rsidRDefault="00294EC8" w:rsidP="00294EC8">
      <w:pPr>
        <w:pStyle w:val="NoSpacing"/>
      </w:pPr>
    </w:p>
    <w:p w:rsidR="00294EC8" w:rsidRDefault="00294EC8" w:rsidP="00AD3231">
      <w:pPr>
        <w:pStyle w:val="NoSpacing"/>
        <w:jc w:val="both"/>
      </w:pPr>
      <w:r>
        <w:t>Ik ben ervan bewust dat het gecommuniceerde motief in een rationele markt geen of weinig invloed heeft op de hoogte van het abnorma</w:t>
      </w:r>
      <w:r w:rsidR="007B1B87">
        <w:t>al</w:t>
      </w:r>
      <w:r>
        <w:t xml:space="preserve"> rendement. In een rationele markt maken investeerders namelijk hun eigen afweging en laten zich niet (sterk) beïnvloeden door het gecommuniceerde hoofdmotief van de onderneming. Rationele aandelenhouders kijken wat er feitelijk gebeurt bij het </w:t>
      </w:r>
      <w:proofErr w:type="spellStart"/>
      <w:r>
        <w:t>aandeleninkoopprogramma</w:t>
      </w:r>
      <w:proofErr w:type="spellEnd"/>
      <w:r>
        <w:t xml:space="preserve"> en welke acties een onderneming neemt om een bepaald motief te rechtvaardigen. </w:t>
      </w:r>
      <w:r w:rsidR="004F162E">
        <w:t>Dit wordt hieronder geïllustreerd met 2 voorbeelden:</w:t>
      </w:r>
    </w:p>
    <w:p w:rsidR="004F162E" w:rsidRDefault="004F162E" w:rsidP="00AD3231">
      <w:pPr>
        <w:pStyle w:val="NoSpacing"/>
        <w:jc w:val="both"/>
      </w:pPr>
    </w:p>
    <w:p w:rsidR="004F162E" w:rsidRDefault="004F162E" w:rsidP="004F162E">
      <w:pPr>
        <w:pStyle w:val="NoSpacing"/>
        <w:numPr>
          <w:ilvl w:val="0"/>
          <w:numId w:val="14"/>
        </w:numPr>
        <w:jc w:val="both"/>
      </w:pPr>
      <w:r>
        <w:t>Stel een onderneming communiceert naar de markt dat haar aandeel is ondergewaardeerd (signaleringshypothese) en besluit om haar eigen aandelen in te kopen. Indien de onderneming aangeeft dat zij bereid is om een hogere prijs te betalen, dan is dit een krachtig middel om aan</w:t>
      </w:r>
      <w:r w:rsidR="007B1B87">
        <w:t xml:space="preserve"> de markt</w:t>
      </w:r>
      <w:r>
        <w:t xml:space="preserve"> te tonen dat dit inderdaad het geval is. De markt reageert dan naar mijn mening niet zozeer op het gecommuniceerde hoofdmotief, maar op de aankondiging dat zij bereid is om een hogere prijs te betalen voor haar eigen aandeel. De procentuele premie die de onderneming betaalt boven de huidige marktprijs zou een determinant van de hoogte van het abnormale rendement kunnen zijn.</w:t>
      </w:r>
    </w:p>
    <w:p w:rsidR="004F162E" w:rsidRDefault="004F162E" w:rsidP="004F162E">
      <w:pPr>
        <w:pStyle w:val="NoSpacing"/>
        <w:numPr>
          <w:ilvl w:val="0"/>
          <w:numId w:val="14"/>
        </w:numPr>
        <w:jc w:val="both"/>
      </w:pPr>
      <w:r w:rsidRPr="004422F2">
        <w:t xml:space="preserve">Stel een onderneming kondigt een </w:t>
      </w:r>
      <w:proofErr w:type="spellStart"/>
      <w:r w:rsidRPr="004422F2">
        <w:t>aandeleninkoopprogramma</w:t>
      </w:r>
      <w:proofErr w:type="spellEnd"/>
      <w:r w:rsidRPr="004422F2">
        <w:t xml:space="preserve"> aan en commun</w:t>
      </w:r>
      <w:r>
        <w:t>i</w:t>
      </w:r>
      <w:r w:rsidRPr="004422F2">
        <w:t>ceert als</w:t>
      </w:r>
      <w:r>
        <w:t xml:space="preserve"> theoretisch motief de </w:t>
      </w:r>
      <w:proofErr w:type="spellStart"/>
      <w:r>
        <w:t>leverage</w:t>
      </w:r>
      <w:proofErr w:type="spellEnd"/>
      <w:r>
        <w:t xml:space="preserve"> hypothese. Bij de </w:t>
      </w:r>
      <w:proofErr w:type="spellStart"/>
      <w:r>
        <w:t>leverage</w:t>
      </w:r>
      <w:proofErr w:type="spellEnd"/>
      <w:r>
        <w:t xml:space="preserve"> </w:t>
      </w:r>
      <w:r w:rsidRPr="004422F2">
        <w:t>hypothese substitueert de ondern</w:t>
      </w:r>
      <w:r>
        <w:t>e</w:t>
      </w:r>
      <w:r w:rsidRPr="004422F2">
        <w:t xml:space="preserve">ming het eigen vermogen in vreemd vermogen, wat door het fiscaal voordeel van vreemd vermogen een belastingschild oplevert. Het </w:t>
      </w:r>
      <w:r>
        <w:t xml:space="preserve">belastingschild is gelijk aan het voordeel van het </w:t>
      </w:r>
      <w:proofErr w:type="spellStart"/>
      <w:r>
        <w:t>aandeleninkoopprogramma</w:t>
      </w:r>
      <w:proofErr w:type="spellEnd"/>
      <w:r>
        <w:t xml:space="preserve"> (zie paragraaf 2.3). Het voordeel hangt dus af van de mate van </w:t>
      </w:r>
      <w:proofErr w:type="spellStart"/>
      <w:r>
        <w:t>subsitutie</w:t>
      </w:r>
      <w:proofErr w:type="spellEnd"/>
      <w:r>
        <w:t xml:space="preserve"> van eigen vermogen in vreemd vermogen. Een rationele markt zou dan reageren op de substitutie van eigen vermogen in vreemd vermogen en niet op het </w:t>
      </w:r>
      <w:proofErr w:type="spellStart"/>
      <w:r>
        <w:t>gecommuncieerde</w:t>
      </w:r>
      <w:proofErr w:type="spellEnd"/>
      <w:r>
        <w:t xml:space="preserve"> hoofdmotief.</w:t>
      </w:r>
    </w:p>
    <w:p w:rsidR="00294EC8" w:rsidRDefault="00294EC8" w:rsidP="00AD3231">
      <w:pPr>
        <w:pStyle w:val="NoSpacing"/>
        <w:jc w:val="both"/>
      </w:pPr>
    </w:p>
    <w:p w:rsidR="00294EC8" w:rsidRDefault="000342CE" w:rsidP="00AD3231">
      <w:pPr>
        <w:pStyle w:val="NoSpacing"/>
        <w:jc w:val="both"/>
      </w:pPr>
      <w:r>
        <w:t xml:space="preserve">De voorbeelden illustreren dat </w:t>
      </w:r>
      <w:r w:rsidR="00294EC8">
        <w:t xml:space="preserve">de invloed van het theoretisch motief </w:t>
      </w:r>
      <w:r>
        <w:t xml:space="preserve">idealiter </w:t>
      </w:r>
      <w:r w:rsidR="00294EC8">
        <w:t xml:space="preserve">gemeten </w:t>
      </w:r>
      <w:r>
        <w:t xml:space="preserve">zou </w:t>
      </w:r>
      <w:r w:rsidR="00294EC8">
        <w:t xml:space="preserve">worden door aparte determinanten van elk theoretisch motief te testen. Hiervoor is </w:t>
      </w:r>
      <w:r>
        <w:t xml:space="preserve">echter </w:t>
      </w:r>
      <w:r w:rsidR="00294EC8">
        <w:t>een grote dataset nodig. In het empirisch onderzoek dat verricht is het aantal aangekond</w:t>
      </w:r>
      <w:r>
        <w:t xml:space="preserve">igde </w:t>
      </w:r>
      <w:proofErr w:type="spellStart"/>
      <w:r w:rsidR="00294EC8">
        <w:t>aandeleninkoopprogramma’s</w:t>
      </w:r>
      <w:proofErr w:type="spellEnd"/>
      <w:r w:rsidR="00294EC8">
        <w:t xml:space="preserve"> echter te klein om de afzonderlijke theoretische motiev</w:t>
      </w:r>
      <w:r>
        <w:t xml:space="preserve">en betrouwbaar te kunnen testen. </w:t>
      </w:r>
      <w:r w:rsidR="00294EC8">
        <w:t xml:space="preserve">Het gecommuniceerde motief is een goed alternatief om de invloed van het theoretisch motief te testen. Alhoewel dit </w:t>
      </w:r>
      <w:r w:rsidR="007B1B87">
        <w:t>minder nauwkeurig</w:t>
      </w:r>
      <w:r w:rsidR="00294EC8">
        <w:t xml:space="preserve"> is dan </w:t>
      </w:r>
      <w:r w:rsidR="007B1B87">
        <w:t>het gebruiken</w:t>
      </w:r>
      <w:r w:rsidR="00294EC8">
        <w:t xml:space="preserve"> van aparte determinanten, kan het wel de invloed van het theoretische motief testen. Hierbij wordt veronderstelt dat de genomen acties overeenkomen met het </w:t>
      </w:r>
      <w:proofErr w:type="spellStart"/>
      <w:r w:rsidR="00294EC8">
        <w:t>gecommuncieerde</w:t>
      </w:r>
      <w:proofErr w:type="spellEnd"/>
      <w:r w:rsidR="00294EC8">
        <w:t xml:space="preserve"> motief, wat naar mijn mening een realistische assumptie is.  Indien deze niet met elkaar overeenkomen, verliest de onderneming immers haar geloofwaardigheid, wat op den duur afgestraft zal worden door de markt. </w:t>
      </w:r>
    </w:p>
    <w:p w:rsidR="00294EC8" w:rsidRPr="00294EC8" w:rsidRDefault="00F50401">
      <w:r>
        <w:br w:type="page"/>
      </w:r>
    </w:p>
    <w:p w:rsidR="00E91175" w:rsidRDefault="00793412" w:rsidP="00652E61">
      <w:pPr>
        <w:pStyle w:val="Heading1"/>
        <w:ind w:left="720"/>
        <w:rPr>
          <w:color w:val="auto"/>
        </w:rPr>
      </w:pPr>
      <w:bookmarkStart w:id="28" w:name="_Toc361526581"/>
      <w:r>
        <w:rPr>
          <w:color w:val="auto"/>
        </w:rPr>
        <w:lastRenderedPageBreak/>
        <w:t>Literatuurlijst</w:t>
      </w:r>
      <w:bookmarkEnd w:id="28"/>
    </w:p>
    <w:p w:rsidR="00F66353" w:rsidRDefault="00F66353" w:rsidP="00793412"/>
    <w:p w:rsidR="00E732C7" w:rsidRPr="0062650B" w:rsidRDefault="00E732C7" w:rsidP="00F7031D">
      <w:pPr>
        <w:pStyle w:val="NoSpacing"/>
        <w:jc w:val="both"/>
        <w:rPr>
          <w:lang w:val="en-US"/>
        </w:rPr>
      </w:pPr>
      <w:r w:rsidRPr="0062650B">
        <w:rPr>
          <w:lang w:val="en-US"/>
        </w:rPr>
        <w:t>Bagwell, L.S</w:t>
      </w:r>
      <w:r>
        <w:rPr>
          <w:lang w:val="en-US"/>
        </w:rPr>
        <w:t>.</w:t>
      </w:r>
      <w:r w:rsidRPr="0062650B">
        <w:rPr>
          <w:lang w:val="en-US"/>
        </w:rPr>
        <w:t xml:space="preserve"> (</w:t>
      </w:r>
      <w:proofErr w:type="spellStart"/>
      <w:r>
        <w:rPr>
          <w:lang w:val="en-US"/>
        </w:rPr>
        <w:t>m</w:t>
      </w:r>
      <w:r w:rsidRPr="0062650B">
        <w:rPr>
          <w:lang w:val="en-US"/>
        </w:rPr>
        <w:t>aart</w:t>
      </w:r>
      <w:proofErr w:type="spellEnd"/>
      <w:r w:rsidRPr="0062650B">
        <w:rPr>
          <w:lang w:val="en-US"/>
        </w:rPr>
        <w:t>, 1992)</w:t>
      </w:r>
      <w:r>
        <w:rPr>
          <w:lang w:val="en-US"/>
        </w:rPr>
        <w:t>,</w:t>
      </w:r>
      <w:r w:rsidRPr="0062650B">
        <w:rPr>
          <w:lang w:val="en-US"/>
        </w:rPr>
        <w:tab/>
      </w:r>
    </w:p>
    <w:p w:rsidR="00E732C7" w:rsidRPr="0062650B" w:rsidRDefault="00E732C7" w:rsidP="00F7031D">
      <w:pPr>
        <w:pStyle w:val="NoSpacing"/>
        <w:jc w:val="both"/>
        <w:rPr>
          <w:bCs/>
          <w:szCs w:val="28"/>
          <w:lang w:val="en-US"/>
        </w:rPr>
      </w:pPr>
      <w:r w:rsidRPr="0062650B">
        <w:rPr>
          <w:bCs/>
          <w:szCs w:val="28"/>
          <w:lang w:val="en-US"/>
        </w:rPr>
        <w:t>“Dutch Auction Repurchases: An Analysis of Shareholder Heterogeneity”</w:t>
      </w:r>
      <w:r>
        <w:rPr>
          <w:bCs/>
          <w:szCs w:val="28"/>
          <w:lang w:val="en-US"/>
        </w:rPr>
        <w:t>,</w:t>
      </w:r>
    </w:p>
    <w:p w:rsidR="00E732C7" w:rsidRPr="0062650B" w:rsidRDefault="00E732C7" w:rsidP="00F7031D">
      <w:pPr>
        <w:pStyle w:val="NoSpacing"/>
        <w:jc w:val="both"/>
        <w:rPr>
          <w:lang w:val="en-US"/>
        </w:rPr>
      </w:pPr>
      <w:r w:rsidRPr="0062650B">
        <w:rPr>
          <w:i/>
          <w:iCs/>
          <w:lang w:val="en-US"/>
        </w:rPr>
        <w:t xml:space="preserve">The Journal of </w:t>
      </w:r>
      <w:proofErr w:type="gramStart"/>
      <w:r w:rsidRPr="0062650B">
        <w:rPr>
          <w:i/>
          <w:iCs/>
          <w:lang w:val="en-US"/>
        </w:rPr>
        <w:t>Finance</w:t>
      </w:r>
      <w:r w:rsidRPr="0062650B">
        <w:rPr>
          <w:lang w:val="en-US"/>
        </w:rPr>
        <w:t xml:space="preserve"> ,</w:t>
      </w:r>
      <w:proofErr w:type="gramEnd"/>
      <w:r w:rsidRPr="0062650B">
        <w:rPr>
          <w:lang w:val="en-US"/>
        </w:rPr>
        <w:t xml:space="preserve"> Vol. 47, No. 1, p. 71-105</w:t>
      </w:r>
      <w:r>
        <w:rPr>
          <w:lang w:val="en-US"/>
        </w:rPr>
        <w:t>.</w:t>
      </w:r>
    </w:p>
    <w:p w:rsidR="00E732C7" w:rsidRPr="0062650B" w:rsidRDefault="00E732C7" w:rsidP="00F7031D">
      <w:pPr>
        <w:pStyle w:val="NoSpacing"/>
        <w:jc w:val="both"/>
        <w:rPr>
          <w:b/>
          <w:bCs/>
          <w:szCs w:val="28"/>
          <w:lang w:val="en-US"/>
        </w:rPr>
      </w:pPr>
    </w:p>
    <w:p w:rsidR="00E732C7" w:rsidRPr="0062650B" w:rsidRDefault="00E732C7" w:rsidP="00F7031D">
      <w:pPr>
        <w:pStyle w:val="NoSpacing"/>
        <w:jc w:val="both"/>
        <w:rPr>
          <w:lang w:val="en-US"/>
        </w:rPr>
      </w:pPr>
      <w:r w:rsidRPr="0062650B">
        <w:rPr>
          <w:lang w:val="en-US"/>
        </w:rPr>
        <w:t>Bagwell, L.S. (</w:t>
      </w:r>
      <w:proofErr w:type="spellStart"/>
      <w:r>
        <w:rPr>
          <w:lang w:val="en-US"/>
        </w:rPr>
        <w:t>l</w:t>
      </w:r>
      <w:r w:rsidRPr="0062650B">
        <w:rPr>
          <w:lang w:val="en-US"/>
        </w:rPr>
        <w:t>ente</w:t>
      </w:r>
      <w:proofErr w:type="spellEnd"/>
      <w:r w:rsidRPr="0062650B">
        <w:rPr>
          <w:lang w:val="en-US"/>
        </w:rPr>
        <w:t>, 1991)</w:t>
      </w:r>
      <w:r>
        <w:rPr>
          <w:lang w:val="en-US"/>
        </w:rPr>
        <w:t>,</w:t>
      </w:r>
    </w:p>
    <w:p w:rsidR="00E732C7" w:rsidRPr="0062650B" w:rsidRDefault="00E732C7" w:rsidP="00F7031D">
      <w:pPr>
        <w:pStyle w:val="NoSpacing"/>
        <w:jc w:val="both"/>
        <w:rPr>
          <w:bCs/>
          <w:szCs w:val="28"/>
          <w:lang w:val="en-US"/>
        </w:rPr>
      </w:pPr>
      <w:r w:rsidRPr="0062650B">
        <w:rPr>
          <w:bCs/>
          <w:szCs w:val="28"/>
          <w:lang w:val="en-US"/>
        </w:rPr>
        <w:t>“Share Repurchase and Takeover Deterrence”,</w:t>
      </w:r>
    </w:p>
    <w:p w:rsidR="00E732C7" w:rsidRPr="0062650B" w:rsidRDefault="00E732C7" w:rsidP="00F7031D">
      <w:pPr>
        <w:pStyle w:val="NoSpacing"/>
        <w:jc w:val="both"/>
        <w:rPr>
          <w:bCs/>
          <w:szCs w:val="28"/>
          <w:lang w:val="en-US"/>
        </w:rPr>
      </w:pPr>
      <w:r w:rsidRPr="0062650B">
        <w:rPr>
          <w:i/>
          <w:iCs/>
          <w:lang w:val="en-US"/>
        </w:rPr>
        <w:t xml:space="preserve">The RAND Journal of </w:t>
      </w:r>
      <w:proofErr w:type="gramStart"/>
      <w:r w:rsidRPr="0062650B">
        <w:rPr>
          <w:i/>
          <w:iCs/>
          <w:lang w:val="en-US"/>
        </w:rPr>
        <w:t>Economics</w:t>
      </w:r>
      <w:r w:rsidRPr="0062650B">
        <w:rPr>
          <w:lang w:val="en-US"/>
        </w:rPr>
        <w:t xml:space="preserve"> ,</w:t>
      </w:r>
      <w:proofErr w:type="gramEnd"/>
      <w:r w:rsidRPr="0062650B">
        <w:rPr>
          <w:lang w:val="en-US"/>
        </w:rPr>
        <w:t xml:space="preserve"> Vol. 22, No. 1, p. 72-88</w:t>
      </w:r>
      <w:r>
        <w:rPr>
          <w:lang w:val="en-US"/>
        </w:rPr>
        <w:t>.</w:t>
      </w:r>
    </w:p>
    <w:p w:rsidR="00E732C7" w:rsidRPr="0062650B" w:rsidRDefault="00E732C7" w:rsidP="00F7031D">
      <w:pPr>
        <w:pStyle w:val="NoSpacing"/>
        <w:jc w:val="both"/>
        <w:rPr>
          <w:lang w:val="en-US"/>
        </w:rPr>
      </w:pPr>
    </w:p>
    <w:p w:rsidR="00E732C7" w:rsidRPr="0062650B" w:rsidRDefault="00E732C7" w:rsidP="00F7031D">
      <w:pPr>
        <w:pStyle w:val="NoSpacing"/>
        <w:jc w:val="both"/>
        <w:rPr>
          <w:lang w:val="en-US"/>
        </w:rPr>
      </w:pPr>
      <w:r w:rsidRPr="0062650B">
        <w:rPr>
          <w:lang w:val="en-US"/>
        </w:rPr>
        <w:t xml:space="preserve">Bagwell, L.S. </w:t>
      </w:r>
      <w:r>
        <w:rPr>
          <w:lang w:val="en-US"/>
        </w:rPr>
        <w:t>&amp;</w:t>
      </w:r>
      <w:r w:rsidRPr="0062650B">
        <w:rPr>
          <w:lang w:val="en-US"/>
        </w:rPr>
        <w:t xml:space="preserve"> </w:t>
      </w:r>
      <w:proofErr w:type="spellStart"/>
      <w:r w:rsidRPr="0062650B">
        <w:rPr>
          <w:lang w:val="en-US"/>
        </w:rPr>
        <w:t>Shoven</w:t>
      </w:r>
      <w:proofErr w:type="spellEnd"/>
      <w:r w:rsidRPr="0062650B">
        <w:rPr>
          <w:lang w:val="en-US"/>
        </w:rPr>
        <w:t>, J.B</w:t>
      </w:r>
      <w:r>
        <w:rPr>
          <w:lang w:val="en-US"/>
        </w:rPr>
        <w:t>.</w:t>
      </w:r>
      <w:r w:rsidRPr="0062650B">
        <w:rPr>
          <w:lang w:val="en-US"/>
        </w:rPr>
        <w:t xml:space="preserve"> (</w:t>
      </w:r>
      <w:proofErr w:type="spellStart"/>
      <w:r>
        <w:rPr>
          <w:lang w:val="en-US"/>
        </w:rPr>
        <w:t>z</w:t>
      </w:r>
      <w:r w:rsidRPr="0062650B">
        <w:rPr>
          <w:lang w:val="en-US"/>
        </w:rPr>
        <w:t>omer</w:t>
      </w:r>
      <w:proofErr w:type="spellEnd"/>
      <w:r w:rsidRPr="0062650B">
        <w:rPr>
          <w:lang w:val="en-US"/>
        </w:rPr>
        <w:t>, 1989)</w:t>
      </w:r>
      <w:r>
        <w:rPr>
          <w:lang w:val="en-US"/>
        </w:rPr>
        <w:t>,</w:t>
      </w:r>
      <w:r w:rsidRPr="0062650B">
        <w:rPr>
          <w:lang w:val="en-US"/>
        </w:rPr>
        <w:t xml:space="preserve"> </w:t>
      </w:r>
    </w:p>
    <w:p w:rsidR="00E732C7" w:rsidRPr="0062650B" w:rsidRDefault="00E732C7" w:rsidP="00F7031D">
      <w:pPr>
        <w:pStyle w:val="NoSpacing"/>
        <w:jc w:val="both"/>
        <w:rPr>
          <w:lang w:val="en-US"/>
        </w:rPr>
      </w:pPr>
      <w:r w:rsidRPr="0062650B">
        <w:rPr>
          <w:bCs/>
          <w:szCs w:val="28"/>
          <w:lang w:val="en-US"/>
        </w:rPr>
        <w:t>“Cash Distributions to Shareholders”</w:t>
      </w:r>
      <w:r>
        <w:rPr>
          <w:bCs/>
          <w:szCs w:val="28"/>
          <w:lang w:val="en-US"/>
        </w:rPr>
        <w:t>,</w:t>
      </w:r>
    </w:p>
    <w:p w:rsidR="00E732C7" w:rsidRPr="0062650B" w:rsidRDefault="00E732C7" w:rsidP="00F7031D">
      <w:pPr>
        <w:pStyle w:val="NoSpacing"/>
        <w:jc w:val="both"/>
        <w:rPr>
          <w:lang w:val="en-US"/>
        </w:rPr>
      </w:pPr>
      <w:r w:rsidRPr="0062650B">
        <w:rPr>
          <w:i/>
          <w:iCs/>
          <w:lang w:val="en-US"/>
        </w:rPr>
        <w:t xml:space="preserve">The Journal of Economic </w:t>
      </w:r>
      <w:proofErr w:type="gramStart"/>
      <w:r w:rsidRPr="0062650B">
        <w:rPr>
          <w:i/>
          <w:iCs/>
          <w:lang w:val="en-US"/>
        </w:rPr>
        <w:t>Perspectives</w:t>
      </w:r>
      <w:r w:rsidRPr="0062650B">
        <w:rPr>
          <w:lang w:val="en-US"/>
        </w:rPr>
        <w:t xml:space="preserve"> ,</w:t>
      </w:r>
      <w:proofErr w:type="gramEnd"/>
      <w:r w:rsidRPr="0062650B">
        <w:rPr>
          <w:lang w:val="en-US"/>
        </w:rPr>
        <w:t xml:space="preserve"> Vol. 3, No. 3, p. 129-140</w:t>
      </w:r>
      <w:r>
        <w:rPr>
          <w:lang w:val="en-US"/>
        </w:rPr>
        <w:t>.</w:t>
      </w:r>
    </w:p>
    <w:p w:rsidR="00E732C7" w:rsidRPr="0062650B" w:rsidRDefault="00E732C7" w:rsidP="00F7031D">
      <w:pPr>
        <w:pStyle w:val="NoSpacing"/>
        <w:jc w:val="both"/>
        <w:rPr>
          <w:lang w:val="en-US"/>
        </w:rPr>
      </w:pPr>
    </w:p>
    <w:p w:rsidR="00E732C7" w:rsidRPr="0062650B" w:rsidRDefault="00E732C7" w:rsidP="00F7031D">
      <w:pPr>
        <w:pStyle w:val="NoSpacing"/>
        <w:jc w:val="both"/>
        <w:rPr>
          <w:rFonts w:cs="Courier"/>
          <w:lang w:val="en-US"/>
        </w:rPr>
      </w:pPr>
      <w:r w:rsidRPr="0062650B">
        <w:rPr>
          <w:rFonts w:cs="Courier"/>
          <w:lang w:val="en-US"/>
        </w:rPr>
        <w:t>Baltus C.F.A</w:t>
      </w:r>
      <w:r>
        <w:rPr>
          <w:rFonts w:cs="Courier"/>
          <w:lang w:val="en-US"/>
        </w:rPr>
        <w:t>. &amp;</w:t>
      </w:r>
      <w:r w:rsidRPr="0062650B">
        <w:rPr>
          <w:rFonts w:cs="Courier"/>
          <w:lang w:val="en-US"/>
        </w:rPr>
        <w:t xml:space="preserve"> Schauten</w:t>
      </w:r>
      <w:r>
        <w:rPr>
          <w:rFonts w:cs="Courier"/>
          <w:lang w:val="en-US"/>
        </w:rPr>
        <w:t>,</w:t>
      </w:r>
      <w:r w:rsidRPr="0062650B">
        <w:rPr>
          <w:rFonts w:cs="Courier"/>
          <w:lang w:val="en-US"/>
        </w:rPr>
        <w:t xml:space="preserve"> </w:t>
      </w:r>
      <w:r>
        <w:rPr>
          <w:rFonts w:cs="Courier"/>
          <w:lang w:val="en-US"/>
        </w:rPr>
        <w:t>M.B.J.</w:t>
      </w:r>
      <w:r w:rsidRPr="0062650B">
        <w:rPr>
          <w:rFonts w:cs="Courier"/>
          <w:lang w:val="en-US"/>
        </w:rPr>
        <w:t xml:space="preserve"> (</w:t>
      </w:r>
      <w:proofErr w:type="spellStart"/>
      <w:r>
        <w:rPr>
          <w:rFonts w:cs="Courier"/>
          <w:lang w:val="en-US"/>
        </w:rPr>
        <w:t>f</w:t>
      </w:r>
      <w:r w:rsidRPr="0062650B">
        <w:rPr>
          <w:rFonts w:cs="Courier"/>
          <w:lang w:val="en-US"/>
        </w:rPr>
        <w:t>ebruari</w:t>
      </w:r>
      <w:proofErr w:type="spellEnd"/>
      <w:r w:rsidRPr="0062650B">
        <w:rPr>
          <w:rFonts w:cs="Courier"/>
          <w:lang w:val="en-US"/>
        </w:rPr>
        <w:t xml:space="preserve"> 2000)</w:t>
      </w:r>
      <w:r>
        <w:rPr>
          <w:rFonts w:cs="Courier"/>
          <w:lang w:val="en-US"/>
        </w:rPr>
        <w:t>,</w:t>
      </w:r>
      <w:r w:rsidRPr="0062650B">
        <w:rPr>
          <w:rFonts w:cs="Courier"/>
          <w:lang w:val="en-US"/>
        </w:rPr>
        <w:t xml:space="preserve"> </w:t>
      </w:r>
    </w:p>
    <w:p w:rsidR="00E732C7" w:rsidRPr="0062650B" w:rsidRDefault="00E732C7" w:rsidP="00F7031D">
      <w:pPr>
        <w:pStyle w:val="NoSpacing"/>
        <w:jc w:val="both"/>
        <w:rPr>
          <w:rFonts w:cs="Courier"/>
          <w:lang w:val="en-US"/>
        </w:rPr>
      </w:pPr>
      <w:r w:rsidRPr="0062650B">
        <w:rPr>
          <w:rFonts w:cs="Courier"/>
          <w:lang w:val="en-US"/>
        </w:rPr>
        <w:t>“</w:t>
      </w:r>
      <w:proofErr w:type="spellStart"/>
      <w:r w:rsidRPr="0062650B">
        <w:rPr>
          <w:rFonts w:cs="Courier"/>
          <w:lang w:val="en-US"/>
        </w:rPr>
        <w:t>Inkoop</w:t>
      </w:r>
      <w:proofErr w:type="spellEnd"/>
      <w:r w:rsidRPr="0062650B">
        <w:rPr>
          <w:rFonts w:cs="Courier"/>
          <w:lang w:val="en-US"/>
        </w:rPr>
        <w:t xml:space="preserve"> van </w:t>
      </w:r>
      <w:proofErr w:type="spellStart"/>
      <w:r w:rsidRPr="0062650B">
        <w:rPr>
          <w:rFonts w:cs="Courier"/>
          <w:lang w:val="en-US"/>
        </w:rPr>
        <w:t>eigen</w:t>
      </w:r>
      <w:proofErr w:type="spellEnd"/>
      <w:r w:rsidRPr="0062650B">
        <w:rPr>
          <w:rFonts w:cs="Courier"/>
          <w:lang w:val="en-US"/>
        </w:rPr>
        <w:t xml:space="preserve"> </w:t>
      </w:r>
      <w:proofErr w:type="spellStart"/>
      <w:r w:rsidRPr="0062650B">
        <w:rPr>
          <w:rFonts w:cs="Courier"/>
          <w:lang w:val="en-US"/>
        </w:rPr>
        <w:t>aandelen</w:t>
      </w:r>
      <w:proofErr w:type="spellEnd"/>
      <w:r w:rsidRPr="0062650B">
        <w:rPr>
          <w:rFonts w:cs="Courier"/>
          <w:lang w:val="en-US"/>
        </w:rPr>
        <w:t xml:space="preserve"> op de </w:t>
      </w:r>
      <w:proofErr w:type="spellStart"/>
      <w:r w:rsidRPr="0062650B">
        <w:rPr>
          <w:rFonts w:cs="Courier"/>
          <w:lang w:val="en-US"/>
        </w:rPr>
        <w:t>Amsterdamse</w:t>
      </w:r>
      <w:proofErr w:type="spellEnd"/>
      <w:r w:rsidRPr="0062650B">
        <w:rPr>
          <w:rFonts w:cs="Courier"/>
          <w:lang w:val="en-US"/>
        </w:rPr>
        <w:t xml:space="preserve"> </w:t>
      </w:r>
      <w:proofErr w:type="spellStart"/>
      <w:r w:rsidRPr="0062650B">
        <w:rPr>
          <w:rFonts w:cs="Courier"/>
          <w:lang w:val="en-US"/>
        </w:rPr>
        <w:t>effectenbeurs</w:t>
      </w:r>
      <w:proofErr w:type="spellEnd"/>
      <w:r w:rsidRPr="0062650B">
        <w:rPr>
          <w:rFonts w:cs="Courier"/>
          <w:lang w:val="en-US"/>
        </w:rPr>
        <w:t xml:space="preserve">”, </w:t>
      </w:r>
    </w:p>
    <w:p w:rsidR="00E732C7" w:rsidRPr="0062650B" w:rsidRDefault="00E732C7" w:rsidP="00F7031D">
      <w:pPr>
        <w:pStyle w:val="NoSpacing"/>
        <w:jc w:val="both"/>
        <w:rPr>
          <w:rFonts w:cs="Courier"/>
          <w:lang w:val="en-US"/>
        </w:rPr>
      </w:pPr>
      <w:proofErr w:type="spellStart"/>
      <w:proofErr w:type="gramStart"/>
      <w:r w:rsidRPr="0062650B">
        <w:rPr>
          <w:rFonts w:cs="Courier"/>
          <w:lang w:val="en-US"/>
        </w:rPr>
        <w:t>Tijdschrift</w:t>
      </w:r>
      <w:proofErr w:type="spellEnd"/>
      <w:r w:rsidRPr="0062650B">
        <w:rPr>
          <w:rFonts w:cs="Courier"/>
          <w:lang w:val="en-US"/>
        </w:rPr>
        <w:t xml:space="preserve"> </w:t>
      </w:r>
      <w:proofErr w:type="spellStart"/>
      <w:r w:rsidRPr="0062650B">
        <w:rPr>
          <w:rFonts w:cs="Courier"/>
          <w:lang w:val="en-US"/>
        </w:rPr>
        <w:t>Financieel</w:t>
      </w:r>
      <w:proofErr w:type="spellEnd"/>
      <w:r w:rsidRPr="0062650B">
        <w:rPr>
          <w:rFonts w:cs="Courier"/>
          <w:lang w:val="en-US"/>
        </w:rPr>
        <w:t xml:space="preserve"> Management, p.35-43</w:t>
      </w:r>
      <w:r>
        <w:rPr>
          <w:rFonts w:cs="Courier"/>
          <w:lang w:val="en-US"/>
        </w:rPr>
        <w:t>.</w:t>
      </w:r>
      <w:proofErr w:type="gramEnd"/>
    </w:p>
    <w:p w:rsidR="00E732C7" w:rsidRPr="0062650B" w:rsidRDefault="00E732C7" w:rsidP="00F7031D">
      <w:pPr>
        <w:pStyle w:val="NoSpacing"/>
        <w:jc w:val="both"/>
        <w:rPr>
          <w:lang w:val="en-US"/>
        </w:rPr>
      </w:pPr>
    </w:p>
    <w:p w:rsidR="00E732C7" w:rsidRPr="0062650B" w:rsidRDefault="00E732C7" w:rsidP="00F7031D">
      <w:pPr>
        <w:pStyle w:val="NoSpacing"/>
        <w:jc w:val="both"/>
        <w:rPr>
          <w:rFonts w:cs="Courier"/>
          <w:lang w:val="en-US"/>
        </w:rPr>
      </w:pPr>
      <w:r w:rsidRPr="0062650B">
        <w:rPr>
          <w:rFonts w:cs="Courier"/>
          <w:lang w:val="en-US"/>
        </w:rPr>
        <w:t xml:space="preserve">Boot A. </w:t>
      </w:r>
      <w:r>
        <w:rPr>
          <w:rFonts w:cs="Courier"/>
          <w:lang w:val="en-US"/>
        </w:rPr>
        <w:t>&amp;</w:t>
      </w:r>
      <w:r w:rsidRPr="0062650B">
        <w:rPr>
          <w:rFonts w:cs="Courier"/>
          <w:lang w:val="en-US"/>
        </w:rPr>
        <w:t xml:space="preserve"> Cools K</w:t>
      </w:r>
      <w:r>
        <w:rPr>
          <w:rFonts w:cs="Courier"/>
          <w:lang w:val="en-US"/>
        </w:rPr>
        <w:t>.</w:t>
      </w:r>
      <w:r w:rsidRPr="0062650B">
        <w:rPr>
          <w:rFonts w:cs="Courier"/>
          <w:lang w:val="en-US"/>
        </w:rPr>
        <w:t xml:space="preserve"> (</w:t>
      </w:r>
      <w:proofErr w:type="spellStart"/>
      <w:proofErr w:type="gramStart"/>
      <w:r>
        <w:rPr>
          <w:rFonts w:cs="Courier"/>
          <w:lang w:val="en-US"/>
        </w:rPr>
        <w:t>a</w:t>
      </w:r>
      <w:r w:rsidRPr="0062650B">
        <w:rPr>
          <w:rFonts w:cs="Courier"/>
          <w:lang w:val="en-US"/>
        </w:rPr>
        <w:t>pril</w:t>
      </w:r>
      <w:proofErr w:type="spellEnd"/>
      <w:proofErr w:type="gramEnd"/>
      <w:r w:rsidRPr="0062650B">
        <w:rPr>
          <w:rFonts w:cs="Courier"/>
          <w:lang w:val="en-US"/>
        </w:rPr>
        <w:t xml:space="preserve"> 2013)</w:t>
      </w:r>
      <w:r>
        <w:rPr>
          <w:rFonts w:cs="Courier"/>
          <w:lang w:val="en-US"/>
        </w:rPr>
        <w:t>,</w:t>
      </w:r>
      <w:r w:rsidRPr="0062650B">
        <w:rPr>
          <w:rFonts w:cs="Courier"/>
          <w:lang w:val="en-US"/>
        </w:rPr>
        <w:t xml:space="preserve"> </w:t>
      </w:r>
    </w:p>
    <w:p w:rsidR="00E732C7" w:rsidRPr="0062650B" w:rsidRDefault="00E732C7" w:rsidP="00F7031D">
      <w:pPr>
        <w:pStyle w:val="NoSpacing"/>
        <w:jc w:val="both"/>
        <w:rPr>
          <w:rFonts w:cs="Courier"/>
          <w:lang w:val="en-US"/>
        </w:rPr>
      </w:pPr>
      <w:r w:rsidRPr="0062650B">
        <w:rPr>
          <w:rFonts w:cs="Courier"/>
          <w:lang w:val="en-US"/>
        </w:rPr>
        <w:t>“</w:t>
      </w:r>
      <w:proofErr w:type="spellStart"/>
      <w:r w:rsidRPr="0062650B">
        <w:rPr>
          <w:rFonts w:cs="Courier"/>
          <w:lang w:val="en-US"/>
        </w:rPr>
        <w:t>Aandeleninkoop</w:t>
      </w:r>
      <w:proofErr w:type="spellEnd"/>
      <w:r w:rsidRPr="0062650B">
        <w:rPr>
          <w:rFonts w:cs="Courier"/>
          <w:lang w:val="en-US"/>
        </w:rPr>
        <w:t xml:space="preserve"> en </w:t>
      </w:r>
      <w:proofErr w:type="spellStart"/>
      <w:r w:rsidRPr="0062650B">
        <w:rPr>
          <w:rFonts w:cs="Courier"/>
          <w:lang w:val="en-US"/>
        </w:rPr>
        <w:t>waardecreatie</w:t>
      </w:r>
      <w:proofErr w:type="spellEnd"/>
      <w:r w:rsidRPr="0062650B">
        <w:rPr>
          <w:rFonts w:cs="Courier"/>
          <w:lang w:val="en-US"/>
        </w:rPr>
        <w:t>”</w:t>
      </w:r>
      <w:r>
        <w:rPr>
          <w:rFonts w:cs="Courier"/>
          <w:lang w:val="en-US"/>
        </w:rPr>
        <w:t>,</w:t>
      </w:r>
      <w:r w:rsidRPr="0062650B">
        <w:rPr>
          <w:rFonts w:cs="Courier"/>
          <w:lang w:val="en-US"/>
        </w:rPr>
        <w:t xml:space="preserve"> </w:t>
      </w:r>
    </w:p>
    <w:p w:rsidR="00E732C7" w:rsidRPr="00C14EA6" w:rsidRDefault="00E732C7" w:rsidP="00F7031D">
      <w:pPr>
        <w:pStyle w:val="NoSpacing"/>
        <w:jc w:val="both"/>
        <w:rPr>
          <w:rFonts w:cs="Courier"/>
        </w:rPr>
      </w:pPr>
      <w:r w:rsidRPr="00C14EA6">
        <w:rPr>
          <w:rFonts w:cs="Courier"/>
        </w:rPr>
        <w:t>Voorpublicatie Maandblad voor Accountancy en Bedrijfseconomie.</w:t>
      </w:r>
    </w:p>
    <w:p w:rsidR="00E732C7" w:rsidRPr="00C14EA6" w:rsidRDefault="00E732C7" w:rsidP="00F7031D">
      <w:pPr>
        <w:pStyle w:val="NoSpacing"/>
        <w:jc w:val="both"/>
      </w:pPr>
    </w:p>
    <w:p w:rsidR="00E732C7" w:rsidRDefault="00E732C7" w:rsidP="00F7031D">
      <w:pPr>
        <w:pStyle w:val="NoSpacing"/>
        <w:jc w:val="both"/>
        <w:rPr>
          <w:lang w:val="en-US"/>
        </w:rPr>
      </w:pPr>
      <w:r>
        <w:rPr>
          <w:lang w:val="en-US"/>
        </w:rPr>
        <w:t xml:space="preserve">Comment, R. &amp; </w:t>
      </w:r>
      <w:proofErr w:type="spellStart"/>
      <w:r>
        <w:rPr>
          <w:lang w:val="en-US"/>
        </w:rPr>
        <w:t>Jarrel</w:t>
      </w:r>
      <w:proofErr w:type="spellEnd"/>
      <w:r>
        <w:rPr>
          <w:lang w:val="en-US"/>
        </w:rPr>
        <w:t>, G.A. (</w:t>
      </w:r>
      <w:proofErr w:type="spellStart"/>
      <w:proofErr w:type="gramStart"/>
      <w:r>
        <w:rPr>
          <w:lang w:val="en-US"/>
        </w:rPr>
        <w:t>september</w:t>
      </w:r>
      <w:proofErr w:type="spellEnd"/>
      <w:proofErr w:type="gramEnd"/>
      <w:r>
        <w:rPr>
          <w:lang w:val="en-US"/>
        </w:rPr>
        <w:t>, 1991),</w:t>
      </w:r>
    </w:p>
    <w:p w:rsidR="00E732C7" w:rsidRDefault="00E732C7" w:rsidP="00F7031D">
      <w:pPr>
        <w:pStyle w:val="NoSpacing"/>
        <w:jc w:val="both"/>
        <w:rPr>
          <w:lang w:val="en-US"/>
        </w:rPr>
      </w:pPr>
      <w:r>
        <w:rPr>
          <w:lang w:val="en-US"/>
        </w:rPr>
        <w:t xml:space="preserve">“The relative signaling power of </w:t>
      </w:r>
      <w:proofErr w:type="spellStart"/>
      <w:r>
        <w:rPr>
          <w:lang w:val="en-US"/>
        </w:rPr>
        <w:t>dutch</w:t>
      </w:r>
      <w:proofErr w:type="spellEnd"/>
      <w:r>
        <w:rPr>
          <w:lang w:val="en-US"/>
        </w:rPr>
        <w:t>-auction and fixed-price self-tender offers and open-market share repurchases”,</w:t>
      </w:r>
    </w:p>
    <w:p w:rsidR="00E732C7" w:rsidRDefault="00E732C7" w:rsidP="00F7031D">
      <w:pPr>
        <w:pStyle w:val="NoSpacing"/>
        <w:jc w:val="both"/>
        <w:rPr>
          <w:lang w:val="en-US"/>
        </w:rPr>
      </w:pPr>
      <w:r>
        <w:rPr>
          <w:lang w:val="en-US"/>
        </w:rPr>
        <w:t>The Journal of Finance, Vol. 46, No. 4, p. 1243-1271.</w:t>
      </w:r>
    </w:p>
    <w:p w:rsidR="00E732C7" w:rsidRPr="0062650B" w:rsidRDefault="00E732C7" w:rsidP="00F7031D">
      <w:pPr>
        <w:pStyle w:val="NoSpacing"/>
        <w:jc w:val="both"/>
        <w:rPr>
          <w:lang w:val="en-US"/>
        </w:rPr>
      </w:pPr>
    </w:p>
    <w:p w:rsidR="00E732C7" w:rsidRPr="0062650B" w:rsidRDefault="00E732C7" w:rsidP="00F7031D">
      <w:pPr>
        <w:pStyle w:val="NoSpacing"/>
        <w:jc w:val="both"/>
        <w:rPr>
          <w:lang w:val="en-US"/>
        </w:rPr>
      </w:pPr>
      <w:proofErr w:type="spellStart"/>
      <w:r>
        <w:rPr>
          <w:lang w:val="en-US"/>
        </w:rPr>
        <w:t>Dittmar</w:t>
      </w:r>
      <w:proofErr w:type="spellEnd"/>
      <w:r>
        <w:rPr>
          <w:lang w:val="en-US"/>
        </w:rPr>
        <w:t>, A.K.</w:t>
      </w:r>
      <w:r w:rsidRPr="0062650B">
        <w:rPr>
          <w:lang w:val="en-US"/>
        </w:rPr>
        <w:t xml:space="preserve"> (</w:t>
      </w:r>
      <w:proofErr w:type="spellStart"/>
      <w:r>
        <w:rPr>
          <w:lang w:val="en-US"/>
        </w:rPr>
        <w:t>j</w:t>
      </w:r>
      <w:r w:rsidRPr="0062650B">
        <w:rPr>
          <w:lang w:val="en-US"/>
        </w:rPr>
        <w:t>uli</w:t>
      </w:r>
      <w:proofErr w:type="spellEnd"/>
      <w:r w:rsidRPr="0062650B">
        <w:rPr>
          <w:lang w:val="en-US"/>
        </w:rPr>
        <w:t xml:space="preserve"> 2000)</w:t>
      </w:r>
      <w:r>
        <w:rPr>
          <w:lang w:val="en-US"/>
        </w:rPr>
        <w:t>,</w:t>
      </w:r>
    </w:p>
    <w:p w:rsidR="00E732C7" w:rsidRPr="0062650B" w:rsidRDefault="00E732C7" w:rsidP="00F7031D">
      <w:pPr>
        <w:pStyle w:val="NoSpacing"/>
        <w:jc w:val="both"/>
        <w:rPr>
          <w:bCs/>
          <w:szCs w:val="28"/>
          <w:lang w:val="en-US"/>
        </w:rPr>
      </w:pPr>
      <w:r w:rsidRPr="0062650B">
        <w:rPr>
          <w:bCs/>
          <w:szCs w:val="28"/>
          <w:lang w:val="en-US"/>
        </w:rPr>
        <w:t>“Why Do Firms Repurchase Stock?</w:t>
      </w:r>
      <w:proofErr w:type="gramStart"/>
      <w:r w:rsidRPr="0062650B">
        <w:rPr>
          <w:bCs/>
          <w:szCs w:val="28"/>
          <w:lang w:val="en-US"/>
        </w:rPr>
        <w:t>”,</w:t>
      </w:r>
      <w:proofErr w:type="gramEnd"/>
    </w:p>
    <w:p w:rsidR="00E732C7" w:rsidRPr="0062650B" w:rsidRDefault="00E732C7" w:rsidP="00F7031D">
      <w:pPr>
        <w:pStyle w:val="NoSpacing"/>
        <w:jc w:val="both"/>
        <w:rPr>
          <w:bCs/>
          <w:szCs w:val="28"/>
          <w:lang w:val="en-US"/>
        </w:rPr>
      </w:pPr>
      <w:r w:rsidRPr="0062650B">
        <w:rPr>
          <w:i/>
          <w:iCs/>
          <w:lang w:val="en-US"/>
        </w:rPr>
        <w:t xml:space="preserve">The Journal of </w:t>
      </w:r>
      <w:proofErr w:type="gramStart"/>
      <w:r w:rsidRPr="0062650B">
        <w:rPr>
          <w:i/>
          <w:iCs/>
          <w:lang w:val="en-US"/>
        </w:rPr>
        <w:t>Business</w:t>
      </w:r>
      <w:r w:rsidRPr="0062650B">
        <w:rPr>
          <w:lang w:val="en-US"/>
        </w:rPr>
        <w:t xml:space="preserve"> ,</w:t>
      </w:r>
      <w:proofErr w:type="gramEnd"/>
      <w:r w:rsidRPr="0062650B">
        <w:rPr>
          <w:lang w:val="en-US"/>
        </w:rPr>
        <w:t xml:space="preserve"> Vol. 73, No. 3, p. 331-355.</w:t>
      </w:r>
    </w:p>
    <w:p w:rsidR="00E732C7" w:rsidRPr="00C14EA6" w:rsidRDefault="00E732C7" w:rsidP="00F7031D">
      <w:pPr>
        <w:widowControl w:val="0"/>
        <w:autoSpaceDE w:val="0"/>
        <w:autoSpaceDN w:val="0"/>
        <w:adjustRightInd w:val="0"/>
        <w:jc w:val="both"/>
        <w:rPr>
          <w:b/>
          <w:lang w:val="en-US"/>
        </w:rPr>
      </w:pPr>
    </w:p>
    <w:p w:rsidR="00E732C7" w:rsidRDefault="00E732C7" w:rsidP="00F7031D">
      <w:pPr>
        <w:widowControl w:val="0"/>
        <w:autoSpaceDE w:val="0"/>
        <w:autoSpaceDN w:val="0"/>
        <w:adjustRightInd w:val="0"/>
        <w:jc w:val="both"/>
        <w:rPr>
          <w:rFonts w:cs="Courier"/>
          <w:szCs w:val="26"/>
          <w:lang w:val="en-US"/>
        </w:rPr>
      </w:pPr>
      <w:proofErr w:type="spellStart"/>
      <w:r w:rsidRPr="00FC5C99">
        <w:rPr>
          <w:rFonts w:cs="Courier"/>
          <w:szCs w:val="26"/>
          <w:lang w:val="en-US"/>
        </w:rPr>
        <w:t>Fenn</w:t>
      </w:r>
      <w:proofErr w:type="spellEnd"/>
      <w:r w:rsidRPr="00FC5C99">
        <w:rPr>
          <w:rFonts w:cs="Courier"/>
          <w:szCs w:val="26"/>
          <w:lang w:val="en-US"/>
        </w:rPr>
        <w:t>,</w:t>
      </w:r>
      <w:r>
        <w:rPr>
          <w:rFonts w:cs="Courier"/>
          <w:szCs w:val="26"/>
          <w:lang w:val="en-US"/>
        </w:rPr>
        <w:t xml:space="preserve"> G.W. &amp;</w:t>
      </w:r>
      <w:r w:rsidRPr="00FC5C99">
        <w:rPr>
          <w:rFonts w:cs="Courier"/>
          <w:szCs w:val="26"/>
          <w:lang w:val="en-US"/>
        </w:rPr>
        <w:t xml:space="preserve"> Liang</w:t>
      </w:r>
      <w:r>
        <w:rPr>
          <w:rFonts w:cs="Courier"/>
          <w:szCs w:val="26"/>
          <w:lang w:val="en-US"/>
        </w:rPr>
        <w:t>, N. (</w:t>
      </w:r>
      <w:proofErr w:type="spellStart"/>
      <w:proofErr w:type="gramStart"/>
      <w:r>
        <w:rPr>
          <w:rFonts w:cs="Courier"/>
          <w:szCs w:val="26"/>
          <w:lang w:val="en-US"/>
        </w:rPr>
        <w:t>april</w:t>
      </w:r>
      <w:proofErr w:type="spellEnd"/>
      <w:proofErr w:type="gramEnd"/>
      <w:r>
        <w:rPr>
          <w:rFonts w:cs="Courier"/>
          <w:szCs w:val="26"/>
          <w:lang w:val="en-US"/>
        </w:rPr>
        <w:t xml:space="preserve"> 2001),</w:t>
      </w:r>
    </w:p>
    <w:p w:rsidR="00E732C7" w:rsidRDefault="00E732C7" w:rsidP="00F7031D">
      <w:pPr>
        <w:widowControl w:val="0"/>
        <w:autoSpaceDE w:val="0"/>
        <w:autoSpaceDN w:val="0"/>
        <w:adjustRightInd w:val="0"/>
        <w:jc w:val="both"/>
        <w:rPr>
          <w:rFonts w:cs="Courier"/>
          <w:szCs w:val="26"/>
          <w:lang w:val="en-US"/>
        </w:rPr>
      </w:pPr>
      <w:proofErr w:type="gramStart"/>
      <w:r>
        <w:rPr>
          <w:rFonts w:cs="Courier"/>
          <w:szCs w:val="26"/>
          <w:lang w:val="en-US"/>
        </w:rPr>
        <w:t>“</w:t>
      </w:r>
      <w:r w:rsidRPr="00FC5C99">
        <w:rPr>
          <w:rFonts w:cs="Courier"/>
          <w:szCs w:val="26"/>
          <w:lang w:val="en-US"/>
        </w:rPr>
        <w:t xml:space="preserve"> Corporate</w:t>
      </w:r>
      <w:proofErr w:type="gramEnd"/>
      <w:r w:rsidRPr="00FC5C99">
        <w:rPr>
          <w:rFonts w:cs="Courier"/>
          <w:szCs w:val="26"/>
          <w:lang w:val="en-US"/>
        </w:rPr>
        <w:t xml:space="preserve"> payout policy and managerial stock incentives</w:t>
      </w:r>
      <w:r>
        <w:rPr>
          <w:rFonts w:cs="Courier"/>
          <w:szCs w:val="26"/>
          <w:lang w:val="en-US"/>
        </w:rPr>
        <w:t>”</w:t>
      </w:r>
      <w:r w:rsidRPr="00FC5C99">
        <w:rPr>
          <w:rFonts w:cs="Courier"/>
          <w:szCs w:val="26"/>
          <w:lang w:val="en-US"/>
        </w:rPr>
        <w:t xml:space="preserve">, </w:t>
      </w:r>
    </w:p>
    <w:p w:rsidR="00E732C7" w:rsidRPr="00FC5C99" w:rsidRDefault="00E732C7" w:rsidP="00F7031D">
      <w:pPr>
        <w:widowControl w:val="0"/>
        <w:autoSpaceDE w:val="0"/>
        <w:autoSpaceDN w:val="0"/>
        <w:adjustRightInd w:val="0"/>
        <w:jc w:val="both"/>
        <w:rPr>
          <w:rFonts w:cs="Courier"/>
          <w:szCs w:val="26"/>
          <w:lang w:val="en-US"/>
        </w:rPr>
      </w:pPr>
      <w:r w:rsidRPr="00FC5C99">
        <w:rPr>
          <w:rFonts w:cs="Courier"/>
          <w:szCs w:val="26"/>
          <w:lang w:val="en-US"/>
        </w:rPr>
        <w:t xml:space="preserve">Journal of Financial Economics, Volume 60, Issue 1, </w:t>
      </w:r>
      <w:r>
        <w:rPr>
          <w:rFonts w:cs="Courier"/>
          <w:szCs w:val="26"/>
          <w:lang w:val="en-US"/>
        </w:rPr>
        <w:t>p.</w:t>
      </w:r>
      <w:r w:rsidRPr="00FC5C99">
        <w:rPr>
          <w:rFonts w:cs="Courier"/>
          <w:szCs w:val="26"/>
          <w:lang w:val="en-US"/>
        </w:rPr>
        <w:t xml:space="preserve"> 45-72</w:t>
      </w:r>
    </w:p>
    <w:p w:rsidR="00E732C7" w:rsidRDefault="00E732C7" w:rsidP="00F7031D">
      <w:pPr>
        <w:pStyle w:val="NoSpacing"/>
        <w:jc w:val="both"/>
        <w:rPr>
          <w:lang w:val="en-US"/>
        </w:rPr>
      </w:pPr>
    </w:p>
    <w:p w:rsidR="00E732C7" w:rsidRDefault="00E732C7" w:rsidP="00F7031D">
      <w:pPr>
        <w:pStyle w:val="NoSpacing"/>
        <w:jc w:val="both"/>
        <w:rPr>
          <w:lang w:val="en-US"/>
        </w:rPr>
      </w:pPr>
      <w:r>
        <w:rPr>
          <w:lang w:val="en-US"/>
        </w:rPr>
        <w:t>Fernando, K.G.K &amp;</w:t>
      </w:r>
      <w:proofErr w:type="spellStart"/>
      <w:r>
        <w:rPr>
          <w:lang w:val="en-US"/>
        </w:rPr>
        <w:t>Guneratne</w:t>
      </w:r>
      <w:proofErr w:type="spellEnd"/>
      <w:r>
        <w:rPr>
          <w:lang w:val="en-US"/>
        </w:rPr>
        <w:t>, P.S.M. (</w:t>
      </w:r>
      <w:proofErr w:type="spellStart"/>
      <w:proofErr w:type="gramStart"/>
      <w:r>
        <w:rPr>
          <w:lang w:val="en-US"/>
        </w:rPr>
        <w:t>november</w:t>
      </w:r>
      <w:proofErr w:type="spellEnd"/>
      <w:proofErr w:type="gramEnd"/>
      <w:r>
        <w:rPr>
          <w:lang w:val="en-US"/>
        </w:rPr>
        <w:t>, 2009),</w:t>
      </w:r>
    </w:p>
    <w:p w:rsidR="00E732C7" w:rsidRDefault="00E732C7" w:rsidP="00F7031D">
      <w:pPr>
        <w:pStyle w:val="NoSpacing"/>
        <w:jc w:val="both"/>
        <w:rPr>
          <w:lang w:val="en-US"/>
        </w:rPr>
      </w:pPr>
      <w:r>
        <w:rPr>
          <w:lang w:val="en-US"/>
        </w:rPr>
        <w:t xml:space="preserve">“Measuring abnormal performance in event </w:t>
      </w:r>
      <w:proofErr w:type="spellStart"/>
      <w:r>
        <w:rPr>
          <w:lang w:val="en-US"/>
        </w:rPr>
        <w:t>studies”an</w:t>
      </w:r>
      <w:proofErr w:type="spellEnd"/>
      <w:r>
        <w:rPr>
          <w:lang w:val="en-US"/>
        </w:rPr>
        <w:t xml:space="preserve"> application with bonus issue announcements </w:t>
      </w:r>
      <w:proofErr w:type="spellStart"/>
      <w:r>
        <w:rPr>
          <w:lang w:val="en-US"/>
        </w:rPr>
        <w:t>incolombo</w:t>
      </w:r>
      <w:proofErr w:type="spellEnd"/>
      <w:r>
        <w:rPr>
          <w:lang w:val="en-US"/>
        </w:rPr>
        <w:t xml:space="preserve"> stock exchange”,</w:t>
      </w:r>
    </w:p>
    <w:p w:rsidR="00E732C7" w:rsidRDefault="00E732C7" w:rsidP="00F7031D">
      <w:pPr>
        <w:pStyle w:val="NoSpacing"/>
        <w:jc w:val="both"/>
        <w:rPr>
          <w:lang w:val="en-US"/>
        </w:rPr>
      </w:pPr>
      <w:proofErr w:type="gramStart"/>
      <w:r>
        <w:rPr>
          <w:lang w:val="en-US"/>
        </w:rPr>
        <w:t>Working Paper, University of Colombo.</w:t>
      </w:r>
      <w:proofErr w:type="gramEnd"/>
    </w:p>
    <w:p w:rsidR="00E732C7" w:rsidRDefault="00E732C7" w:rsidP="00F7031D">
      <w:pPr>
        <w:pStyle w:val="NoSpacing"/>
        <w:jc w:val="both"/>
        <w:rPr>
          <w:lang w:val="en-US"/>
        </w:rPr>
      </w:pPr>
    </w:p>
    <w:p w:rsidR="00E732C7" w:rsidRPr="0062650B" w:rsidRDefault="00E732C7" w:rsidP="00F7031D">
      <w:pPr>
        <w:pStyle w:val="NoSpacing"/>
        <w:jc w:val="both"/>
        <w:rPr>
          <w:lang w:val="en-US"/>
        </w:rPr>
      </w:pPr>
      <w:proofErr w:type="spellStart"/>
      <w:proofErr w:type="gramStart"/>
      <w:r w:rsidRPr="0062650B">
        <w:rPr>
          <w:lang w:val="en-US"/>
        </w:rPr>
        <w:t>Grullon</w:t>
      </w:r>
      <w:proofErr w:type="spellEnd"/>
      <w:r w:rsidRPr="0062650B">
        <w:rPr>
          <w:lang w:val="en-US"/>
        </w:rPr>
        <w:t xml:space="preserve">, G. </w:t>
      </w:r>
      <w:r>
        <w:rPr>
          <w:lang w:val="en-US"/>
        </w:rPr>
        <w:t xml:space="preserve">&amp; </w:t>
      </w:r>
      <w:proofErr w:type="spellStart"/>
      <w:r>
        <w:rPr>
          <w:lang w:val="en-US"/>
        </w:rPr>
        <w:t>Michaely</w:t>
      </w:r>
      <w:proofErr w:type="spellEnd"/>
      <w:r>
        <w:rPr>
          <w:lang w:val="en-US"/>
        </w:rPr>
        <w:t>, R.</w:t>
      </w:r>
      <w:proofErr w:type="gramEnd"/>
      <w:r w:rsidRPr="0062650B">
        <w:rPr>
          <w:lang w:val="en-US"/>
        </w:rPr>
        <w:t xml:space="preserve">  (</w:t>
      </w:r>
      <w:proofErr w:type="spellStart"/>
      <w:proofErr w:type="gramStart"/>
      <w:r>
        <w:rPr>
          <w:lang w:val="en-US"/>
        </w:rPr>
        <w:t>a</w:t>
      </w:r>
      <w:r w:rsidRPr="0062650B">
        <w:rPr>
          <w:lang w:val="en-US"/>
        </w:rPr>
        <w:t>pr</w:t>
      </w:r>
      <w:r>
        <w:rPr>
          <w:lang w:val="en-US"/>
        </w:rPr>
        <w:t>il</w:t>
      </w:r>
      <w:proofErr w:type="spellEnd"/>
      <w:proofErr w:type="gramEnd"/>
      <w:r w:rsidRPr="0062650B">
        <w:rPr>
          <w:lang w:val="en-US"/>
        </w:rPr>
        <w:t>, 2004)</w:t>
      </w:r>
      <w:r>
        <w:rPr>
          <w:lang w:val="en-US"/>
        </w:rPr>
        <w:t>,</w:t>
      </w:r>
      <w:r w:rsidRPr="0062650B">
        <w:rPr>
          <w:lang w:val="en-US"/>
        </w:rPr>
        <w:t xml:space="preserve"> </w:t>
      </w:r>
    </w:p>
    <w:p w:rsidR="00E732C7" w:rsidRPr="0062650B" w:rsidRDefault="00E732C7" w:rsidP="00F7031D">
      <w:pPr>
        <w:pStyle w:val="NoSpacing"/>
        <w:jc w:val="both"/>
        <w:rPr>
          <w:lang w:val="en-US"/>
        </w:rPr>
      </w:pPr>
      <w:r w:rsidRPr="0062650B">
        <w:rPr>
          <w:bCs/>
          <w:szCs w:val="28"/>
          <w:lang w:val="en-US"/>
        </w:rPr>
        <w:t>“The Information Content of Share Repurchase Programs”,</w:t>
      </w:r>
      <w:r w:rsidRPr="0062650B">
        <w:rPr>
          <w:lang w:val="en-US"/>
        </w:rPr>
        <w:t xml:space="preserve"> </w:t>
      </w:r>
    </w:p>
    <w:p w:rsidR="00E732C7" w:rsidRPr="0062650B" w:rsidRDefault="00E732C7" w:rsidP="00F7031D">
      <w:pPr>
        <w:pStyle w:val="NoSpacing"/>
        <w:jc w:val="both"/>
        <w:rPr>
          <w:lang w:val="en-US"/>
        </w:rPr>
      </w:pPr>
      <w:r w:rsidRPr="0062650B">
        <w:rPr>
          <w:i/>
          <w:iCs/>
          <w:lang w:val="en-US"/>
        </w:rPr>
        <w:t xml:space="preserve">The Journal of </w:t>
      </w:r>
      <w:proofErr w:type="gramStart"/>
      <w:r w:rsidRPr="0062650B">
        <w:rPr>
          <w:i/>
          <w:iCs/>
          <w:lang w:val="en-US"/>
        </w:rPr>
        <w:t>Finance</w:t>
      </w:r>
      <w:r w:rsidRPr="0062650B">
        <w:rPr>
          <w:lang w:val="en-US"/>
        </w:rPr>
        <w:t xml:space="preserve"> ,</w:t>
      </w:r>
      <w:proofErr w:type="gramEnd"/>
      <w:r w:rsidRPr="0062650B">
        <w:rPr>
          <w:lang w:val="en-US"/>
        </w:rPr>
        <w:t xml:space="preserve"> Vol. 59, No. 2 p. 651-680</w:t>
      </w:r>
      <w:r>
        <w:rPr>
          <w:lang w:val="en-US"/>
        </w:rPr>
        <w:t>.</w:t>
      </w:r>
    </w:p>
    <w:p w:rsidR="00E732C7" w:rsidRPr="0062650B" w:rsidRDefault="00E732C7" w:rsidP="00F7031D">
      <w:pPr>
        <w:pStyle w:val="NoSpacing"/>
        <w:jc w:val="both"/>
        <w:rPr>
          <w:lang w:val="en-US"/>
        </w:rPr>
      </w:pPr>
    </w:p>
    <w:p w:rsidR="00E732C7" w:rsidRPr="0062650B" w:rsidRDefault="00E732C7" w:rsidP="00F7031D">
      <w:pPr>
        <w:pStyle w:val="NoSpacing"/>
        <w:jc w:val="both"/>
        <w:rPr>
          <w:lang w:val="en-US"/>
        </w:rPr>
      </w:pPr>
      <w:proofErr w:type="spellStart"/>
      <w:r w:rsidRPr="0062650B">
        <w:rPr>
          <w:lang w:val="en-US"/>
        </w:rPr>
        <w:t>Hovak</w:t>
      </w:r>
      <w:r>
        <w:rPr>
          <w:lang w:val="en-US"/>
        </w:rPr>
        <w:t>imian</w:t>
      </w:r>
      <w:proofErr w:type="spellEnd"/>
      <w:r>
        <w:rPr>
          <w:lang w:val="en-US"/>
        </w:rPr>
        <w:t xml:space="preserve">, A., </w:t>
      </w:r>
      <w:proofErr w:type="spellStart"/>
      <w:r>
        <w:rPr>
          <w:lang w:val="en-US"/>
        </w:rPr>
        <w:t>Opler</w:t>
      </w:r>
      <w:proofErr w:type="spellEnd"/>
      <w:r>
        <w:rPr>
          <w:lang w:val="en-US"/>
        </w:rPr>
        <w:t>, T., Titman S.</w:t>
      </w:r>
      <w:r w:rsidRPr="0062650B">
        <w:rPr>
          <w:lang w:val="en-US"/>
        </w:rPr>
        <w:t xml:space="preserve"> (</w:t>
      </w:r>
      <w:proofErr w:type="spellStart"/>
      <w:r>
        <w:rPr>
          <w:lang w:val="en-US"/>
        </w:rPr>
        <w:t>m</w:t>
      </w:r>
      <w:r w:rsidRPr="0062650B">
        <w:rPr>
          <w:lang w:val="en-US"/>
        </w:rPr>
        <w:t>a</w:t>
      </w:r>
      <w:r>
        <w:rPr>
          <w:lang w:val="en-US"/>
        </w:rPr>
        <w:t>a</w:t>
      </w:r>
      <w:r w:rsidRPr="0062650B">
        <w:rPr>
          <w:lang w:val="en-US"/>
        </w:rPr>
        <w:t>r</w:t>
      </w:r>
      <w:r>
        <w:rPr>
          <w:lang w:val="en-US"/>
        </w:rPr>
        <w:t>t</w:t>
      </w:r>
      <w:proofErr w:type="spellEnd"/>
      <w:r w:rsidRPr="0062650B">
        <w:rPr>
          <w:lang w:val="en-US"/>
        </w:rPr>
        <w:t>, 2001)</w:t>
      </w:r>
      <w:r>
        <w:rPr>
          <w:lang w:val="en-US"/>
        </w:rPr>
        <w:t>,</w:t>
      </w:r>
    </w:p>
    <w:p w:rsidR="00E732C7" w:rsidRPr="0062650B" w:rsidRDefault="00E732C7" w:rsidP="00F7031D">
      <w:pPr>
        <w:pStyle w:val="NoSpacing"/>
        <w:jc w:val="both"/>
        <w:rPr>
          <w:lang w:val="en-US"/>
        </w:rPr>
      </w:pPr>
      <w:r w:rsidRPr="0062650B">
        <w:rPr>
          <w:lang w:val="en-US"/>
        </w:rPr>
        <w:t xml:space="preserve"> </w:t>
      </w:r>
      <w:r w:rsidRPr="0062650B">
        <w:rPr>
          <w:bCs/>
          <w:szCs w:val="28"/>
          <w:lang w:val="en-US"/>
        </w:rPr>
        <w:t>“The Debt-Equity Choice”,</w:t>
      </w:r>
    </w:p>
    <w:p w:rsidR="00E732C7" w:rsidRPr="0062650B" w:rsidRDefault="00E732C7" w:rsidP="00F7031D">
      <w:pPr>
        <w:pStyle w:val="NoSpacing"/>
        <w:jc w:val="both"/>
        <w:rPr>
          <w:lang w:val="en-US"/>
        </w:rPr>
      </w:pPr>
      <w:r w:rsidRPr="0062650B">
        <w:rPr>
          <w:i/>
          <w:iCs/>
          <w:lang w:val="en-US"/>
        </w:rPr>
        <w:t xml:space="preserve">The Journal of Financial and Quantitative </w:t>
      </w:r>
      <w:proofErr w:type="gramStart"/>
      <w:r w:rsidRPr="0062650B">
        <w:rPr>
          <w:i/>
          <w:iCs/>
          <w:lang w:val="en-US"/>
        </w:rPr>
        <w:t>Analysis</w:t>
      </w:r>
      <w:r w:rsidRPr="0062650B">
        <w:rPr>
          <w:lang w:val="en-US"/>
        </w:rPr>
        <w:t xml:space="preserve"> ,</w:t>
      </w:r>
      <w:proofErr w:type="gramEnd"/>
      <w:r w:rsidRPr="0062650B">
        <w:rPr>
          <w:lang w:val="en-US"/>
        </w:rPr>
        <w:t xml:space="preserve"> Vol. 36, No. 1</w:t>
      </w:r>
      <w:r>
        <w:rPr>
          <w:lang w:val="en-US"/>
        </w:rPr>
        <w:t>,</w:t>
      </w:r>
      <w:r w:rsidRPr="0062650B">
        <w:rPr>
          <w:lang w:val="en-US"/>
        </w:rPr>
        <w:t xml:space="preserve"> p. 1-24</w:t>
      </w:r>
      <w:r>
        <w:rPr>
          <w:lang w:val="en-US"/>
        </w:rPr>
        <w:t>.</w:t>
      </w:r>
    </w:p>
    <w:p w:rsidR="00E732C7" w:rsidRDefault="00E732C7" w:rsidP="00F7031D">
      <w:pPr>
        <w:pStyle w:val="NoSpacing"/>
        <w:jc w:val="both"/>
        <w:rPr>
          <w:lang w:val="en-US"/>
        </w:rPr>
      </w:pPr>
    </w:p>
    <w:p w:rsidR="00E732C7" w:rsidRDefault="00E732C7" w:rsidP="00F7031D">
      <w:pPr>
        <w:pStyle w:val="NoSpacing"/>
        <w:jc w:val="both"/>
        <w:rPr>
          <w:lang w:val="en-US"/>
        </w:rPr>
      </w:pPr>
    </w:p>
    <w:p w:rsidR="00E732C7" w:rsidRPr="0062650B" w:rsidRDefault="00E732C7" w:rsidP="00F7031D">
      <w:pPr>
        <w:pStyle w:val="NoSpacing"/>
        <w:jc w:val="both"/>
        <w:rPr>
          <w:lang w:val="en-US"/>
        </w:rPr>
      </w:pPr>
    </w:p>
    <w:p w:rsidR="000A21F4" w:rsidRDefault="000A21F4" w:rsidP="00F7031D">
      <w:pPr>
        <w:pStyle w:val="NoSpacing"/>
        <w:jc w:val="both"/>
        <w:rPr>
          <w:lang w:val="en-US"/>
        </w:rPr>
      </w:pPr>
    </w:p>
    <w:p w:rsidR="000A21F4" w:rsidRDefault="000A21F4" w:rsidP="00F7031D">
      <w:pPr>
        <w:pStyle w:val="NoSpacing"/>
        <w:jc w:val="both"/>
        <w:rPr>
          <w:lang w:val="en-US"/>
        </w:rPr>
      </w:pPr>
      <w:proofErr w:type="spellStart"/>
      <w:r>
        <w:rPr>
          <w:lang w:val="en-US"/>
        </w:rPr>
        <w:t>Ikenberry</w:t>
      </w:r>
      <w:proofErr w:type="spellEnd"/>
      <w:r>
        <w:rPr>
          <w:lang w:val="en-US"/>
        </w:rPr>
        <w:t xml:space="preserve">, D., </w:t>
      </w:r>
      <w:proofErr w:type="spellStart"/>
      <w:r>
        <w:rPr>
          <w:lang w:val="en-US"/>
        </w:rPr>
        <w:t>Lakonishok</w:t>
      </w:r>
      <w:proofErr w:type="spellEnd"/>
      <w:r>
        <w:rPr>
          <w:lang w:val="en-US"/>
        </w:rPr>
        <w:t xml:space="preserve">, J. &amp; </w:t>
      </w:r>
      <w:proofErr w:type="spellStart"/>
      <w:r>
        <w:rPr>
          <w:lang w:val="en-US"/>
        </w:rPr>
        <w:t>Vermaelen</w:t>
      </w:r>
      <w:proofErr w:type="spellEnd"/>
      <w:r>
        <w:rPr>
          <w:lang w:val="en-US"/>
        </w:rPr>
        <w:t>, T. (</w:t>
      </w:r>
      <w:proofErr w:type="spellStart"/>
      <w:r>
        <w:rPr>
          <w:lang w:val="en-US"/>
        </w:rPr>
        <w:t>februari</w:t>
      </w:r>
      <w:proofErr w:type="spellEnd"/>
      <w:r>
        <w:rPr>
          <w:lang w:val="en-US"/>
        </w:rPr>
        <w:t xml:space="preserve"> 1995)</w:t>
      </w:r>
    </w:p>
    <w:p w:rsidR="000A21F4" w:rsidRDefault="000A21F4" w:rsidP="00F7031D">
      <w:pPr>
        <w:pStyle w:val="NoSpacing"/>
        <w:jc w:val="both"/>
        <w:rPr>
          <w:lang w:val="en-US"/>
        </w:rPr>
      </w:pPr>
      <w:r>
        <w:rPr>
          <w:lang w:val="en-US"/>
        </w:rPr>
        <w:t xml:space="preserve">“Market </w:t>
      </w:r>
      <w:proofErr w:type="spellStart"/>
      <w:r>
        <w:rPr>
          <w:lang w:val="en-US"/>
        </w:rPr>
        <w:t>underreaction</w:t>
      </w:r>
      <w:proofErr w:type="spellEnd"/>
      <w:r>
        <w:rPr>
          <w:lang w:val="en-US"/>
        </w:rPr>
        <w:t xml:space="preserve"> to open market share repurchases”,</w:t>
      </w:r>
    </w:p>
    <w:p w:rsidR="000A21F4" w:rsidRDefault="000A21F4" w:rsidP="00F7031D">
      <w:pPr>
        <w:pStyle w:val="NoSpacing"/>
        <w:jc w:val="both"/>
        <w:rPr>
          <w:lang w:val="en-US"/>
        </w:rPr>
      </w:pPr>
      <w:r>
        <w:rPr>
          <w:lang w:val="en-US"/>
        </w:rPr>
        <w:t>Journal of Financial Economics 39, p. 181-208</w:t>
      </w:r>
    </w:p>
    <w:p w:rsidR="000A21F4" w:rsidRDefault="000A21F4" w:rsidP="00F7031D">
      <w:pPr>
        <w:pStyle w:val="NoSpacing"/>
        <w:jc w:val="both"/>
        <w:rPr>
          <w:lang w:val="en-US"/>
        </w:rPr>
      </w:pPr>
    </w:p>
    <w:p w:rsidR="00E732C7" w:rsidRPr="0062650B" w:rsidRDefault="00E732C7" w:rsidP="00F7031D">
      <w:pPr>
        <w:pStyle w:val="NoSpacing"/>
        <w:jc w:val="both"/>
        <w:rPr>
          <w:lang w:val="en-US"/>
        </w:rPr>
      </w:pPr>
      <w:r w:rsidRPr="0062650B">
        <w:rPr>
          <w:lang w:val="en-US"/>
        </w:rPr>
        <w:t>Jensen, M.C. (</w:t>
      </w:r>
      <w:proofErr w:type="spellStart"/>
      <w:proofErr w:type="gramStart"/>
      <w:r>
        <w:rPr>
          <w:lang w:val="en-US"/>
        </w:rPr>
        <w:t>m</w:t>
      </w:r>
      <w:r w:rsidRPr="0062650B">
        <w:rPr>
          <w:lang w:val="en-US"/>
        </w:rPr>
        <w:t>ei</w:t>
      </w:r>
      <w:proofErr w:type="spellEnd"/>
      <w:proofErr w:type="gramEnd"/>
      <w:r w:rsidRPr="0062650B">
        <w:rPr>
          <w:lang w:val="en-US"/>
        </w:rPr>
        <w:t>, 1986)</w:t>
      </w:r>
      <w:r>
        <w:rPr>
          <w:lang w:val="en-US"/>
        </w:rPr>
        <w:t>,</w:t>
      </w:r>
    </w:p>
    <w:p w:rsidR="00E732C7" w:rsidRPr="0062650B" w:rsidRDefault="00E732C7" w:rsidP="00F7031D">
      <w:pPr>
        <w:pStyle w:val="NoSpacing"/>
        <w:jc w:val="both"/>
        <w:rPr>
          <w:bCs/>
          <w:szCs w:val="28"/>
          <w:lang w:val="en-US"/>
        </w:rPr>
      </w:pPr>
      <w:r w:rsidRPr="0062650B">
        <w:rPr>
          <w:bCs/>
          <w:szCs w:val="28"/>
          <w:lang w:val="en-US"/>
        </w:rPr>
        <w:t xml:space="preserve">“Agency Costs of Free Cash Flow, Corporate </w:t>
      </w:r>
      <w:proofErr w:type="gramStart"/>
      <w:r w:rsidRPr="0062650B">
        <w:rPr>
          <w:bCs/>
          <w:szCs w:val="28"/>
          <w:lang w:val="en-US"/>
        </w:rPr>
        <w:t>Finance,</w:t>
      </w:r>
      <w:proofErr w:type="gramEnd"/>
      <w:r w:rsidRPr="0062650B">
        <w:rPr>
          <w:bCs/>
          <w:szCs w:val="28"/>
          <w:lang w:val="en-US"/>
        </w:rPr>
        <w:t xml:space="preserve"> and Takeovers”,</w:t>
      </w:r>
    </w:p>
    <w:p w:rsidR="00E732C7" w:rsidRPr="0062650B" w:rsidRDefault="00E732C7" w:rsidP="00F7031D">
      <w:pPr>
        <w:pStyle w:val="NoSpacing"/>
        <w:jc w:val="both"/>
        <w:rPr>
          <w:lang w:val="en-US"/>
        </w:rPr>
      </w:pPr>
      <w:r w:rsidRPr="0062650B">
        <w:rPr>
          <w:i/>
          <w:iCs/>
          <w:lang w:val="en-US"/>
        </w:rPr>
        <w:t>The American Economic Review</w:t>
      </w:r>
      <w:r w:rsidRPr="0062650B">
        <w:rPr>
          <w:lang w:val="en-US"/>
        </w:rPr>
        <w:t xml:space="preserve"> , Vol. 76, No. 2, Papers an</w:t>
      </w:r>
      <w:r>
        <w:rPr>
          <w:lang w:val="en-US"/>
        </w:rPr>
        <w:t>d Proceedings of the Ninety-</w:t>
      </w:r>
      <w:proofErr w:type="spellStart"/>
      <w:r>
        <w:rPr>
          <w:lang w:val="en-US"/>
        </w:rPr>
        <w:t>Eig</w:t>
      </w:r>
      <w:r w:rsidRPr="0062650B">
        <w:rPr>
          <w:lang w:val="en-US"/>
        </w:rPr>
        <w:t>th</w:t>
      </w:r>
      <w:proofErr w:type="spellEnd"/>
      <w:r w:rsidRPr="0062650B">
        <w:rPr>
          <w:lang w:val="en-US"/>
        </w:rPr>
        <w:t xml:space="preserve"> Annual Meeting of the American Economic Association, p. 323-329</w:t>
      </w:r>
      <w:r>
        <w:rPr>
          <w:lang w:val="en-US"/>
        </w:rPr>
        <w:t>.</w:t>
      </w:r>
    </w:p>
    <w:p w:rsidR="00E732C7" w:rsidRDefault="00E732C7" w:rsidP="00F7031D">
      <w:pPr>
        <w:widowControl w:val="0"/>
        <w:autoSpaceDE w:val="0"/>
        <w:autoSpaceDN w:val="0"/>
        <w:adjustRightInd w:val="0"/>
        <w:jc w:val="both"/>
        <w:rPr>
          <w:rFonts w:cs="Courier"/>
          <w:szCs w:val="26"/>
          <w:lang w:val="en-US"/>
        </w:rPr>
      </w:pPr>
    </w:p>
    <w:p w:rsidR="00E732C7" w:rsidRDefault="00E732C7" w:rsidP="00F7031D">
      <w:pPr>
        <w:widowControl w:val="0"/>
        <w:autoSpaceDE w:val="0"/>
        <w:autoSpaceDN w:val="0"/>
        <w:adjustRightInd w:val="0"/>
        <w:jc w:val="both"/>
        <w:rPr>
          <w:rFonts w:cs="Courier"/>
          <w:szCs w:val="26"/>
          <w:lang w:val="en-US"/>
        </w:rPr>
      </w:pPr>
      <w:proofErr w:type="spellStart"/>
      <w:r w:rsidRPr="00FC5C99">
        <w:rPr>
          <w:rFonts w:cs="Courier"/>
          <w:szCs w:val="26"/>
          <w:lang w:val="en-US"/>
        </w:rPr>
        <w:t>Kahle</w:t>
      </w:r>
      <w:proofErr w:type="spellEnd"/>
      <w:r w:rsidRPr="00FC5C99">
        <w:rPr>
          <w:rFonts w:cs="Courier"/>
          <w:szCs w:val="26"/>
          <w:lang w:val="en-US"/>
        </w:rPr>
        <w:t>,</w:t>
      </w:r>
      <w:r>
        <w:rPr>
          <w:rFonts w:cs="Courier"/>
          <w:szCs w:val="26"/>
          <w:lang w:val="en-US"/>
        </w:rPr>
        <w:t xml:space="preserve"> K.M. (</w:t>
      </w:r>
      <w:proofErr w:type="spellStart"/>
      <w:r>
        <w:rPr>
          <w:rFonts w:cs="Courier"/>
          <w:szCs w:val="26"/>
          <w:lang w:val="en-US"/>
        </w:rPr>
        <w:t>februari</w:t>
      </w:r>
      <w:proofErr w:type="spellEnd"/>
      <w:r>
        <w:rPr>
          <w:rFonts w:cs="Courier"/>
          <w:szCs w:val="26"/>
          <w:lang w:val="en-US"/>
        </w:rPr>
        <w:t>, 2002),</w:t>
      </w:r>
    </w:p>
    <w:p w:rsidR="00E732C7" w:rsidRPr="00FC5C99" w:rsidRDefault="00E732C7" w:rsidP="00F7031D">
      <w:pPr>
        <w:widowControl w:val="0"/>
        <w:autoSpaceDE w:val="0"/>
        <w:autoSpaceDN w:val="0"/>
        <w:adjustRightInd w:val="0"/>
        <w:jc w:val="both"/>
        <w:rPr>
          <w:rFonts w:cs="Courier"/>
          <w:szCs w:val="26"/>
          <w:lang w:val="en-US"/>
        </w:rPr>
      </w:pPr>
      <w:proofErr w:type="gramStart"/>
      <w:r>
        <w:rPr>
          <w:rFonts w:cs="Courier"/>
          <w:szCs w:val="26"/>
          <w:lang w:val="en-US"/>
        </w:rPr>
        <w:t>“</w:t>
      </w:r>
      <w:r w:rsidRPr="00FC5C99">
        <w:rPr>
          <w:rFonts w:cs="Courier"/>
          <w:szCs w:val="26"/>
          <w:lang w:val="en-US"/>
        </w:rPr>
        <w:t xml:space="preserve"> When</w:t>
      </w:r>
      <w:proofErr w:type="gramEnd"/>
      <w:r w:rsidRPr="00FC5C99">
        <w:rPr>
          <w:rFonts w:cs="Courier"/>
          <w:szCs w:val="26"/>
          <w:lang w:val="en-US"/>
        </w:rPr>
        <w:t xml:space="preserve"> a buyback isn’t a buyback: open market repurchases and employee options</w:t>
      </w:r>
      <w:r>
        <w:rPr>
          <w:rFonts w:cs="Courier"/>
          <w:szCs w:val="26"/>
          <w:lang w:val="en-US"/>
        </w:rPr>
        <w:t>”</w:t>
      </w:r>
      <w:r w:rsidRPr="00FC5C99">
        <w:rPr>
          <w:rFonts w:cs="Courier"/>
          <w:szCs w:val="26"/>
          <w:lang w:val="en-US"/>
        </w:rPr>
        <w:t>, Journal of Financial Economics, Vol</w:t>
      </w:r>
      <w:r>
        <w:rPr>
          <w:rFonts w:cs="Courier"/>
          <w:szCs w:val="26"/>
          <w:lang w:val="en-US"/>
        </w:rPr>
        <w:t>.</w:t>
      </w:r>
      <w:r w:rsidRPr="00FC5C99">
        <w:rPr>
          <w:rFonts w:cs="Courier"/>
          <w:szCs w:val="26"/>
          <w:lang w:val="en-US"/>
        </w:rPr>
        <w:t xml:space="preserve"> 63, Issue 2, </w:t>
      </w:r>
      <w:r>
        <w:rPr>
          <w:rFonts w:cs="Courier"/>
          <w:szCs w:val="26"/>
          <w:lang w:val="en-US"/>
        </w:rPr>
        <w:t xml:space="preserve">p. </w:t>
      </w:r>
      <w:r w:rsidRPr="00FC5C99">
        <w:rPr>
          <w:rFonts w:cs="Courier"/>
          <w:szCs w:val="26"/>
          <w:lang w:val="en-US"/>
        </w:rPr>
        <w:t>235-261</w:t>
      </w:r>
      <w:r>
        <w:rPr>
          <w:rFonts w:cs="Courier"/>
          <w:szCs w:val="26"/>
          <w:lang w:val="en-US"/>
        </w:rPr>
        <w:t>.</w:t>
      </w:r>
      <w:r w:rsidRPr="00FC5C99">
        <w:rPr>
          <w:rFonts w:cs="Courier"/>
          <w:szCs w:val="26"/>
          <w:lang w:val="en-US"/>
        </w:rPr>
        <w:t xml:space="preserve"> </w:t>
      </w:r>
    </w:p>
    <w:p w:rsidR="00E732C7" w:rsidRDefault="00E732C7" w:rsidP="00F7031D">
      <w:pPr>
        <w:pStyle w:val="NoSpacing"/>
        <w:jc w:val="both"/>
        <w:rPr>
          <w:lang w:val="en-US"/>
        </w:rPr>
      </w:pPr>
    </w:p>
    <w:p w:rsidR="00E732C7" w:rsidRDefault="00E732C7" w:rsidP="00F7031D">
      <w:pPr>
        <w:autoSpaceDE w:val="0"/>
        <w:autoSpaceDN w:val="0"/>
        <w:adjustRightInd w:val="0"/>
        <w:jc w:val="both"/>
        <w:rPr>
          <w:rFonts w:cs="TimesNewRoman"/>
        </w:rPr>
      </w:pPr>
      <w:proofErr w:type="spellStart"/>
      <w:r w:rsidRPr="00541F9F">
        <w:rPr>
          <w:rFonts w:cs="TimesNewRoman,Bold"/>
          <w:bCs/>
        </w:rPr>
        <w:t>Koller</w:t>
      </w:r>
      <w:proofErr w:type="spellEnd"/>
      <w:r w:rsidRPr="00541F9F">
        <w:rPr>
          <w:rFonts w:cs="TimesNewRoman"/>
        </w:rPr>
        <w:t xml:space="preserve">, </w:t>
      </w:r>
      <w:r>
        <w:rPr>
          <w:rFonts w:cs="TimesNewRoman"/>
        </w:rPr>
        <w:t>T.</w:t>
      </w:r>
      <w:r w:rsidRPr="00541F9F">
        <w:rPr>
          <w:rFonts w:cs="TimesNewRoman"/>
        </w:rPr>
        <w:t xml:space="preserve">, </w:t>
      </w:r>
      <w:proofErr w:type="spellStart"/>
      <w:r w:rsidRPr="00541F9F">
        <w:rPr>
          <w:rFonts w:cs="TimesNewRoman,Bold"/>
          <w:bCs/>
        </w:rPr>
        <w:t>Goedhart</w:t>
      </w:r>
      <w:proofErr w:type="spellEnd"/>
      <w:r>
        <w:rPr>
          <w:rFonts w:cs="TimesNewRoman,Bold"/>
          <w:bCs/>
        </w:rPr>
        <w:t xml:space="preserve"> M.</w:t>
      </w:r>
      <w:r w:rsidRPr="00541F9F">
        <w:rPr>
          <w:rFonts w:cs="TimesNewRoman,Bold"/>
          <w:bCs/>
        </w:rPr>
        <w:t xml:space="preserve"> </w:t>
      </w:r>
      <w:r w:rsidRPr="00541F9F">
        <w:rPr>
          <w:rFonts w:cs="TimesNewRoman"/>
        </w:rPr>
        <w:t xml:space="preserve">&amp;  </w:t>
      </w:r>
      <w:proofErr w:type="spellStart"/>
      <w:r w:rsidRPr="00541F9F">
        <w:rPr>
          <w:rFonts w:cs="TimesNewRoman,Bold"/>
          <w:bCs/>
        </w:rPr>
        <w:t>Wessels</w:t>
      </w:r>
      <w:proofErr w:type="spellEnd"/>
      <w:r>
        <w:rPr>
          <w:rFonts w:cs="TimesNewRoman,Bold"/>
          <w:bCs/>
        </w:rPr>
        <w:t xml:space="preserve"> D.</w:t>
      </w:r>
      <w:r w:rsidRPr="00541F9F">
        <w:rPr>
          <w:rFonts w:cs="TimesNewRoman"/>
        </w:rPr>
        <w:t xml:space="preserve"> </w:t>
      </w:r>
      <w:r>
        <w:rPr>
          <w:rFonts w:cs="TimesNewRoman"/>
        </w:rPr>
        <w:t>(</w:t>
      </w:r>
      <w:r w:rsidRPr="00541F9F">
        <w:rPr>
          <w:rFonts w:cs="TimesNewRoman"/>
        </w:rPr>
        <w:t>2010</w:t>
      </w:r>
      <w:r>
        <w:rPr>
          <w:rFonts w:cs="TimesNewRoman"/>
        </w:rPr>
        <w:t>)</w:t>
      </w:r>
      <w:r w:rsidRPr="00541F9F">
        <w:rPr>
          <w:rFonts w:cs="TimesNewRoman"/>
        </w:rPr>
        <w:t xml:space="preserve">, </w:t>
      </w:r>
    </w:p>
    <w:p w:rsidR="00E732C7" w:rsidRDefault="00E732C7" w:rsidP="00F7031D">
      <w:pPr>
        <w:autoSpaceDE w:val="0"/>
        <w:autoSpaceDN w:val="0"/>
        <w:adjustRightInd w:val="0"/>
        <w:jc w:val="both"/>
        <w:rPr>
          <w:rFonts w:cs="TimesNewRoman"/>
        </w:rPr>
      </w:pPr>
      <w:r>
        <w:rPr>
          <w:rFonts w:cs="TimesNewRoman"/>
        </w:rPr>
        <w:t>“</w:t>
      </w:r>
      <w:proofErr w:type="spellStart"/>
      <w:r w:rsidRPr="00541F9F">
        <w:rPr>
          <w:rFonts w:cs="TimesNewRoman,Italic"/>
          <w:i/>
          <w:iCs/>
        </w:rPr>
        <w:t>Valuation</w:t>
      </w:r>
      <w:proofErr w:type="spellEnd"/>
      <w:r w:rsidRPr="00541F9F">
        <w:rPr>
          <w:rFonts w:cs="TimesNewRoman,Italic"/>
          <w:i/>
          <w:iCs/>
        </w:rPr>
        <w:t xml:space="preserve">; </w:t>
      </w:r>
      <w:proofErr w:type="spellStart"/>
      <w:r w:rsidRPr="00541F9F">
        <w:rPr>
          <w:rFonts w:cs="TimesNewRoman,Italic"/>
          <w:i/>
          <w:iCs/>
        </w:rPr>
        <w:t>Measuring</w:t>
      </w:r>
      <w:proofErr w:type="spellEnd"/>
      <w:r w:rsidRPr="00541F9F">
        <w:rPr>
          <w:rFonts w:cs="TimesNewRoman,Italic"/>
          <w:i/>
          <w:iCs/>
        </w:rPr>
        <w:t xml:space="preserve"> and managing</w:t>
      </w:r>
      <w:r>
        <w:rPr>
          <w:rFonts w:cs="TimesNewRoman,Italic"/>
          <w:i/>
          <w:iCs/>
        </w:rPr>
        <w:t xml:space="preserve"> </w:t>
      </w:r>
      <w:r w:rsidRPr="00541F9F">
        <w:rPr>
          <w:rFonts w:cs="TimesNewRoman,Italic"/>
          <w:i/>
          <w:iCs/>
        </w:rPr>
        <w:t xml:space="preserve">the </w:t>
      </w:r>
      <w:proofErr w:type="spellStart"/>
      <w:r w:rsidRPr="00541F9F">
        <w:rPr>
          <w:rFonts w:cs="TimesNewRoman,Italic"/>
          <w:i/>
          <w:iCs/>
        </w:rPr>
        <w:t>value</w:t>
      </w:r>
      <w:proofErr w:type="spellEnd"/>
      <w:r w:rsidRPr="00541F9F">
        <w:rPr>
          <w:rFonts w:cs="TimesNewRoman,Italic"/>
          <w:i/>
          <w:iCs/>
        </w:rPr>
        <w:t xml:space="preserve"> of </w:t>
      </w:r>
      <w:proofErr w:type="spellStart"/>
      <w:r w:rsidRPr="00541F9F">
        <w:rPr>
          <w:rFonts w:cs="TimesNewRoman,Italic"/>
          <w:i/>
          <w:iCs/>
        </w:rPr>
        <w:t>companies</w:t>
      </w:r>
      <w:proofErr w:type="spellEnd"/>
      <w:r>
        <w:rPr>
          <w:rFonts w:cs="TimesNewRoman,Italic"/>
          <w:i/>
          <w:iCs/>
        </w:rPr>
        <w:t>”</w:t>
      </w:r>
      <w:r>
        <w:rPr>
          <w:rFonts w:cs="TimesNewRoman"/>
        </w:rPr>
        <w:t>,</w:t>
      </w:r>
    </w:p>
    <w:p w:rsidR="00E732C7" w:rsidRPr="00541F9F" w:rsidRDefault="00E732C7" w:rsidP="00F7031D">
      <w:pPr>
        <w:autoSpaceDE w:val="0"/>
        <w:autoSpaceDN w:val="0"/>
        <w:adjustRightInd w:val="0"/>
        <w:spacing w:line="240" w:lineRule="auto"/>
        <w:jc w:val="both"/>
        <w:rPr>
          <w:rFonts w:cs="TimesNewRoman,Italic"/>
          <w:i/>
          <w:iCs/>
        </w:rPr>
      </w:pPr>
      <w:r>
        <w:rPr>
          <w:rFonts w:cs="TimesNewRoman"/>
        </w:rPr>
        <w:t xml:space="preserve"> vijfde</w:t>
      </w:r>
      <w:r w:rsidRPr="00541F9F">
        <w:rPr>
          <w:rFonts w:cs="TimesNewRoman"/>
        </w:rPr>
        <w:t xml:space="preserve"> </w:t>
      </w:r>
      <w:r>
        <w:rPr>
          <w:rFonts w:cs="TimesNewRoman"/>
        </w:rPr>
        <w:t>editie</w:t>
      </w:r>
      <w:r w:rsidRPr="00541F9F">
        <w:rPr>
          <w:rFonts w:cs="TimesNewRoman"/>
        </w:rPr>
        <w:t xml:space="preserve">, John </w:t>
      </w:r>
      <w:proofErr w:type="spellStart"/>
      <w:r w:rsidRPr="00541F9F">
        <w:rPr>
          <w:rFonts w:cs="TimesNewRoman"/>
        </w:rPr>
        <w:t>Wiley</w:t>
      </w:r>
      <w:proofErr w:type="spellEnd"/>
      <w:r w:rsidRPr="00541F9F">
        <w:rPr>
          <w:rFonts w:cs="TimesNewRoman"/>
        </w:rPr>
        <w:t xml:space="preserve"> &amp; </w:t>
      </w:r>
      <w:proofErr w:type="spellStart"/>
      <w:r w:rsidRPr="00541F9F">
        <w:rPr>
          <w:rFonts w:cs="TimesNewRoman"/>
        </w:rPr>
        <w:t>Sons</w:t>
      </w:r>
      <w:proofErr w:type="spellEnd"/>
      <w:r w:rsidRPr="00541F9F">
        <w:rPr>
          <w:rFonts w:cs="TimesNewRoman"/>
        </w:rPr>
        <w:t>, New York.</w:t>
      </w:r>
    </w:p>
    <w:p w:rsidR="00E732C7" w:rsidRDefault="00E732C7" w:rsidP="00F7031D">
      <w:pPr>
        <w:pStyle w:val="NoSpacing"/>
        <w:jc w:val="both"/>
        <w:rPr>
          <w:lang w:val="en-US"/>
        </w:rPr>
      </w:pPr>
    </w:p>
    <w:p w:rsidR="00E732C7" w:rsidRDefault="00E732C7" w:rsidP="00F7031D">
      <w:pPr>
        <w:pStyle w:val="NoSpacing"/>
        <w:jc w:val="both"/>
      </w:pPr>
      <w:proofErr w:type="spellStart"/>
      <w:r w:rsidRPr="003C2D39">
        <w:t>Lasfer</w:t>
      </w:r>
      <w:proofErr w:type="spellEnd"/>
      <w:r w:rsidRPr="003C2D39">
        <w:t>, M. A. (2000)</w:t>
      </w:r>
      <w:r>
        <w:t>,</w:t>
      </w:r>
      <w:r w:rsidRPr="003C2D39">
        <w:t xml:space="preserve"> </w:t>
      </w:r>
    </w:p>
    <w:p w:rsidR="00E732C7" w:rsidRDefault="00E732C7" w:rsidP="00F7031D">
      <w:pPr>
        <w:pStyle w:val="NoSpacing"/>
        <w:jc w:val="both"/>
      </w:pPr>
      <w:r w:rsidRPr="003C2D39">
        <w:t xml:space="preserve">“The </w:t>
      </w:r>
      <w:proofErr w:type="spellStart"/>
      <w:r w:rsidRPr="003C2D39">
        <w:t>market</w:t>
      </w:r>
      <w:proofErr w:type="spellEnd"/>
      <w:r w:rsidRPr="003C2D39">
        <w:t xml:space="preserve"> </w:t>
      </w:r>
      <w:proofErr w:type="spellStart"/>
      <w:r w:rsidRPr="003C2D39">
        <w:t>valuation</w:t>
      </w:r>
      <w:proofErr w:type="spellEnd"/>
      <w:r w:rsidRPr="003C2D39">
        <w:t xml:space="preserve"> of </w:t>
      </w:r>
      <w:proofErr w:type="spellStart"/>
      <w:r w:rsidRPr="003C2D39">
        <w:t>share</w:t>
      </w:r>
      <w:proofErr w:type="spellEnd"/>
      <w:r w:rsidRPr="003C2D39">
        <w:t xml:space="preserve"> </w:t>
      </w:r>
      <w:proofErr w:type="spellStart"/>
      <w:r w:rsidRPr="003C2D39">
        <w:t>repurchases</w:t>
      </w:r>
      <w:proofErr w:type="spellEnd"/>
      <w:r w:rsidRPr="003C2D39">
        <w:t xml:space="preserve"> in </w:t>
      </w:r>
      <w:proofErr w:type="spellStart"/>
      <w:r>
        <w:t>Europe</w:t>
      </w:r>
      <w:proofErr w:type="spellEnd"/>
      <w:r w:rsidRPr="003C2D39">
        <w:t>”</w:t>
      </w:r>
      <w:r>
        <w:t>,</w:t>
      </w:r>
      <w:r w:rsidRPr="003C2D39">
        <w:t xml:space="preserve"> </w:t>
      </w:r>
    </w:p>
    <w:p w:rsidR="00E732C7" w:rsidRPr="003C2D39" w:rsidRDefault="00E732C7" w:rsidP="00F7031D">
      <w:pPr>
        <w:pStyle w:val="NoSpacing"/>
        <w:jc w:val="both"/>
        <w:rPr>
          <w:szCs w:val="24"/>
        </w:rPr>
      </w:pPr>
      <w:proofErr w:type="spellStart"/>
      <w:r w:rsidRPr="003C2D39">
        <w:t>Working</w:t>
      </w:r>
      <w:proofErr w:type="spellEnd"/>
      <w:r>
        <w:t xml:space="preserve"> </w:t>
      </w:r>
      <w:r w:rsidRPr="003C2D39">
        <w:t xml:space="preserve">Paper, City </w:t>
      </w:r>
      <w:proofErr w:type="spellStart"/>
      <w:r w:rsidRPr="003C2D39">
        <w:t>University</w:t>
      </w:r>
      <w:proofErr w:type="spellEnd"/>
      <w:r w:rsidRPr="003C2D39">
        <w:t xml:space="preserve"> Business School.</w:t>
      </w:r>
    </w:p>
    <w:p w:rsidR="00E732C7" w:rsidRPr="00FC5C99" w:rsidRDefault="00E732C7" w:rsidP="00F7031D">
      <w:pPr>
        <w:widowControl w:val="0"/>
        <w:autoSpaceDE w:val="0"/>
        <w:autoSpaceDN w:val="0"/>
        <w:adjustRightInd w:val="0"/>
        <w:jc w:val="both"/>
        <w:rPr>
          <w:b/>
        </w:rPr>
      </w:pPr>
    </w:p>
    <w:p w:rsidR="00E732C7" w:rsidRDefault="00E732C7" w:rsidP="00F7031D">
      <w:pPr>
        <w:pStyle w:val="NoSpacing"/>
        <w:jc w:val="both"/>
        <w:rPr>
          <w:lang w:val="en-US"/>
        </w:rPr>
      </w:pPr>
      <w:r>
        <w:rPr>
          <w:lang w:val="en-US"/>
        </w:rPr>
        <w:t xml:space="preserve">Lee, C.L., </w:t>
      </w:r>
      <w:proofErr w:type="spellStart"/>
      <w:r>
        <w:rPr>
          <w:lang w:val="en-US"/>
        </w:rPr>
        <w:t>Ejara</w:t>
      </w:r>
      <w:proofErr w:type="spellEnd"/>
      <w:r>
        <w:rPr>
          <w:lang w:val="en-US"/>
        </w:rPr>
        <w:t>, D.D. &amp; Gleason, K.C. (2010),</w:t>
      </w:r>
    </w:p>
    <w:p w:rsidR="00E732C7" w:rsidRDefault="00E732C7" w:rsidP="00F7031D">
      <w:pPr>
        <w:pStyle w:val="NoSpacing"/>
        <w:jc w:val="both"/>
        <w:rPr>
          <w:lang w:val="en-US"/>
        </w:rPr>
      </w:pPr>
      <w:r>
        <w:rPr>
          <w:lang w:val="en-US"/>
        </w:rPr>
        <w:t>“An empirical analysis of European stock repurchases”,</w:t>
      </w:r>
    </w:p>
    <w:p w:rsidR="00E732C7" w:rsidRDefault="00E732C7" w:rsidP="00F7031D">
      <w:pPr>
        <w:pStyle w:val="NoSpacing"/>
        <w:jc w:val="both"/>
        <w:rPr>
          <w:lang w:val="en-US"/>
        </w:rPr>
      </w:pPr>
      <w:r>
        <w:rPr>
          <w:lang w:val="en-US"/>
        </w:rPr>
        <w:t>Journal of Multinational Financial Management 20, p. 114-125.</w:t>
      </w:r>
    </w:p>
    <w:p w:rsidR="00E732C7" w:rsidRDefault="00E732C7" w:rsidP="00F7031D">
      <w:pPr>
        <w:pStyle w:val="NoSpacing"/>
        <w:jc w:val="both"/>
        <w:rPr>
          <w:lang w:val="en-US"/>
        </w:rPr>
      </w:pPr>
    </w:p>
    <w:p w:rsidR="002C162B" w:rsidRDefault="002C162B" w:rsidP="00F7031D">
      <w:pPr>
        <w:pStyle w:val="NoSpacing"/>
        <w:jc w:val="both"/>
        <w:rPr>
          <w:lang w:val="en-US"/>
        </w:rPr>
      </w:pPr>
      <w:proofErr w:type="spellStart"/>
      <w:r>
        <w:rPr>
          <w:lang w:val="en-US"/>
        </w:rPr>
        <w:t>Liano</w:t>
      </w:r>
      <w:proofErr w:type="spellEnd"/>
      <w:r>
        <w:rPr>
          <w:lang w:val="en-US"/>
        </w:rPr>
        <w:t xml:space="preserve">, K., Huang G. &amp; </w:t>
      </w:r>
      <w:proofErr w:type="spellStart"/>
      <w:r>
        <w:rPr>
          <w:lang w:val="en-US"/>
        </w:rPr>
        <w:t>Manakyan</w:t>
      </w:r>
      <w:proofErr w:type="spellEnd"/>
      <w:r>
        <w:rPr>
          <w:lang w:val="en-US"/>
        </w:rPr>
        <w:t>, H. (winter, 2003)</w:t>
      </w:r>
    </w:p>
    <w:p w:rsidR="002C162B" w:rsidRDefault="002C162B" w:rsidP="00F7031D">
      <w:pPr>
        <w:pStyle w:val="NoSpacing"/>
        <w:jc w:val="both"/>
        <w:rPr>
          <w:lang w:val="en-US"/>
        </w:rPr>
      </w:pPr>
      <w:r>
        <w:rPr>
          <w:lang w:val="en-US"/>
        </w:rPr>
        <w:t>“Market Reaction to Open Market Stock Repurchases and Industry affiliation”,</w:t>
      </w:r>
    </w:p>
    <w:p w:rsidR="002C162B" w:rsidRDefault="002C162B" w:rsidP="00F7031D">
      <w:pPr>
        <w:pStyle w:val="NoSpacing"/>
        <w:jc w:val="both"/>
        <w:rPr>
          <w:lang w:val="en-US"/>
        </w:rPr>
      </w:pPr>
      <w:proofErr w:type="spellStart"/>
      <w:r>
        <w:rPr>
          <w:lang w:val="en-US"/>
        </w:rPr>
        <w:t>Quartely</w:t>
      </w:r>
      <w:proofErr w:type="spellEnd"/>
      <w:r>
        <w:rPr>
          <w:lang w:val="en-US"/>
        </w:rPr>
        <w:t xml:space="preserve"> Journal of Business and Economics 42, p. 97-120.</w:t>
      </w:r>
    </w:p>
    <w:p w:rsidR="002C162B" w:rsidRDefault="002C162B" w:rsidP="00F7031D">
      <w:pPr>
        <w:pStyle w:val="NoSpacing"/>
        <w:jc w:val="both"/>
        <w:rPr>
          <w:lang w:val="en-US"/>
        </w:rPr>
      </w:pPr>
    </w:p>
    <w:p w:rsidR="00E732C7" w:rsidRDefault="00E732C7" w:rsidP="00F7031D">
      <w:pPr>
        <w:pStyle w:val="NoSpacing"/>
        <w:jc w:val="both"/>
        <w:rPr>
          <w:lang w:val="en-US"/>
        </w:rPr>
      </w:pPr>
      <w:proofErr w:type="spellStart"/>
      <w:r>
        <w:rPr>
          <w:lang w:val="en-US"/>
        </w:rPr>
        <w:t>MacKinlay</w:t>
      </w:r>
      <w:proofErr w:type="spellEnd"/>
      <w:r>
        <w:rPr>
          <w:lang w:val="en-US"/>
        </w:rPr>
        <w:t>, A.C. (</w:t>
      </w:r>
      <w:proofErr w:type="spellStart"/>
      <w:r>
        <w:rPr>
          <w:lang w:val="en-US"/>
        </w:rPr>
        <w:t>maart</w:t>
      </w:r>
      <w:proofErr w:type="spellEnd"/>
      <w:r>
        <w:rPr>
          <w:lang w:val="en-US"/>
        </w:rPr>
        <w:t>, 1997),</w:t>
      </w:r>
    </w:p>
    <w:p w:rsidR="00E732C7" w:rsidRDefault="00E732C7" w:rsidP="00F7031D">
      <w:pPr>
        <w:pStyle w:val="NoSpacing"/>
        <w:jc w:val="both"/>
        <w:rPr>
          <w:lang w:val="en-US"/>
        </w:rPr>
      </w:pPr>
      <w:r>
        <w:rPr>
          <w:lang w:val="en-US"/>
        </w:rPr>
        <w:t>“Event studies in economics and finance”</w:t>
      </w:r>
    </w:p>
    <w:p w:rsidR="00E732C7" w:rsidRDefault="00E732C7" w:rsidP="00F7031D">
      <w:pPr>
        <w:pStyle w:val="NoSpacing"/>
        <w:jc w:val="both"/>
        <w:rPr>
          <w:lang w:val="en-US"/>
        </w:rPr>
      </w:pPr>
      <w:r>
        <w:rPr>
          <w:lang w:val="en-US"/>
        </w:rPr>
        <w:t>Journal of Economic Literature, Vol. 35, No. 1, p. 13-39</w:t>
      </w:r>
      <w:r w:rsidR="002C162B">
        <w:rPr>
          <w:lang w:val="en-US"/>
        </w:rPr>
        <w:t>.</w:t>
      </w:r>
    </w:p>
    <w:p w:rsidR="003813B9" w:rsidRDefault="003813B9" w:rsidP="00F7031D">
      <w:pPr>
        <w:pStyle w:val="NoSpacing"/>
        <w:jc w:val="both"/>
        <w:rPr>
          <w:lang w:val="en-US"/>
        </w:rPr>
      </w:pPr>
    </w:p>
    <w:p w:rsidR="003813B9" w:rsidRDefault="003813B9" w:rsidP="00F7031D">
      <w:pPr>
        <w:pStyle w:val="NoSpacing"/>
        <w:jc w:val="both"/>
        <w:rPr>
          <w:lang w:val="en-US"/>
        </w:rPr>
      </w:pPr>
      <w:r>
        <w:rPr>
          <w:lang w:val="en-US"/>
        </w:rPr>
        <w:t xml:space="preserve">Merchant, K.A. &amp; Van der </w:t>
      </w:r>
      <w:proofErr w:type="spellStart"/>
      <w:r>
        <w:rPr>
          <w:lang w:val="en-US"/>
        </w:rPr>
        <w:t>Stede</w:t>
      </w:r>
      <w:proofErr w:type="spellEnd"/>
      <w:r>
        <w:rPr>
          <w:lang w:val="en-US"/>
        </w:rPr>
        <w:t>, W. (2012)</w:t>
      </w:r>
    </w:p>
    <w:p w:rsidR="003813B9" w:rsidRDefault="003813B9" w:rsidP="00F7031D">
      <w:pPr>
        <w:pStyle w:val="NoSpacing"/>
        <w:jc w:val="both"/>
        <w:rPr>
          <w:lang w:val="en-US"/>
        </w:rPr>
      </w:pPr>
      <w:r>
        <w:rPr>
          <w:lang w:val="en-US"/>
        </w:rPr>
        <w:t>“Management Control Systems: Performance Measurement, Evaluation and Incentives”,</w:t>
      </w:r>
    </w:p>
    <w:p w:rsidR="003813B9" w:rsidRDefault="003813B9" w:rsidP="00F7031D">
      <w:pPr>
        <w:pStyle w:val="NoSpacing"/>
        <w:jc w:val="both"/>
        <w:rPr>
          <w:lang w:val="en-US"/>
        </w:rPr>
      </w:pPr>
      <w:proofErr w:type="spellStart"/>
      <w:r>
        <w:rPr>
          <w:lang w:val="en-US"/>
        </w:rPr>
        <w:t>derde</w:t>
      </w:r>
      <w:proofErr w:type="spellEnd"/>
      <w:r>
        <w:rPr>
          <w:lang w:val="en-US"/>
        </w:rPr>
        <w:t xml:space="preserve"> </w:t>
      </w:r>
      <w:proofErr w:type="spellStart"/>
      <w:r>
        <w:rPr>
          <w:lang w:val="en-US"/>
        </w:rPr>
        <w:t>editie</w:t>
      </w:r>
      <w:proofErr w:type="spellEnd"/>
      <w:r>
        <w:rPr>
          <w:lang w:val="en-US"/>
        </w:rPr>
        <w:t xml:space="preserve">, Pearson, Harlow  </w:t>
      </w:r>
    </w:p>
    <w:p w:rsidR="003813B9" w:rsidRDefault="003813B9" w:rsidP="00F7031D">
      <w:pPr>
        <w:pStyle w:val="Default"/>
        <w:jc w:val="both"/>
      </w:pPr>
    </w:p>
    <w:p w:rsidR="00E732C7" w:rsidRDefault="00E732C7" w:rsidP="00F7031D">
      <w:pPr>
        <w:pStyle w:val="NoSpacing"/>
        <w:jc w:val="both"/>
      </w:pPr>
      <w:r w:rsidRPr="003C2D39">
        <w:rPr>
          <w:bCs/>
        </w:rPr>
        <w:t>Miller</w:t>
      </w:r>
      <w:r>
        <w:t>, M.H. (zomer, 2000)</w:t>
      </w:r>
      <w:r w:rsidRPr="003C2D39">
        <w:t xml:space="preserve">, </w:t>
      </w:r>
    </w:p>
    <w:p w:rsidR="00E732C7" w:rsidRDefault="00E732C7" w:rsidP="00F7031D">
      <w:pPr>
        <w:pStyle w:val="NoSpacing"/>
        <w:jc w:val="both"/>
      </w:pPr>
      <w:r w:rsidRPr="003C2D39">
        <w:t xml:space="preserve">“The </w:t>
      </w:r>
      <w:proofErr w:type="spellStart"/>
      <w:r w:rsidRPr="003C2D39">
        <w:t>history</w:t>
      </w:r>
      <w:proofErr w:type="spellEnd"/>
      <w:r w:rsidRPr="003C2D39">
        <w:t xml:space="preserve"> of Finance: </w:t>
      </w:r>
      <w:proofErr w:type="spellStart"/>
      <w:r w:rsidRPr="003C2D39">
        <w:t>an</w:t>
      </w:r>
      <w:proofErr w:type="spellEnd"/>
      <w:r w:rsidRPr="003C2D39">
        <w:t xml:space="preserve"> </w:t>
      </w:r>
      <w:proofErr w:type="spellStart"/>
      <w:r w:rsidRPr="003C2D39">
        <w:t>eyewitness</w:t>
      </w:r>
      <w:proofErr w:type="spellEnd"/>
      <w:r w:rsidRPr="003C2D39">
        <w:t xml:space="preserve"> account”, </w:t>
      </w:r>
    </w:p>
    <w:p w:rsidR="00E732C7" w:rsidRPr="003C2D39" w:rsidRDefault="00E732C7" w:rsidP="00F7031D">
      <w:pPr>
        <w:pStyle w:val="NoSpacing"/>
        <w:jc w:val="both"/>
      </w:pPr>
      <w:r w:rsidRPr="003C2D39">
        <w:rPr>
          <w:i/>
          <w:iCs/>
        </w:rPr>
        <w:t xml:space="preserve">Journal of </w:t>
      </w:r>
      <w:proofErr w:type="spellStart"/>
      <w:r w:rsidRPr="003C2D39">
        <w:rPr>
          <w:i/>
          <w:iCs/>
        </w:rPr>
        <w:t>Applied</w:t>
      </w:r>
      <w:proofErr w:type="spellEnd"/>
      <w:r w:rsidRPr="003C2D39">
        <w:rPr>
          <w:i/>
          <w:iCs/>
        </w:rPr>
        <w:t xml:space="preserve"> </w:t>
      </w:r>
      <w:proofErr w:type="spellStart"/>
      <w:r w:rsidRPr="003C2D39">
        <w:rPr>
          <w:i/>
          <w:iCs/>
        </w:rPr>
        <w:t>Corporate</w:t>
      </w:r>
      <w:proofErr w:type="spellEnd"/>
      <w:r w:rsidRPr="003C2D39">
        <w:rPr>
          <w:i/>
          <w:iCs/>
        </w:rPr>
        <w:t xml:space="preserve"> Finance </w:t>
      </w:r>
      <w:r w:rsidRPr="003C2D39">
        <w:t xml:space="preserve">13, </w:t>
      </w:r>
      <w:r>
        <w:t xml:space="preserve">p. </w:t>
      </w:r>
      <w:r w:rsidRPr="003C2D39">
        <w:t>8-14</w:t>
      </w:r>
      <w:r>
        <w:t>.</w:t>
      </w:r>
      <w:r w:rsidRPr="003C2D39">
        <w:t xml:space="preserve"> </w:t>
      </w:r>
    </w:p>
    <w:p w:rsidR="00E732C7" w:rsidRPr="0062650B" w:rsidRDefault="00E732C7" w:rsidP="00F7031D">
      <w:pPr>
        <w:pStyle w:val="NoSpacing"/>
        <w:jc w:val="both"/>
        <w:rPr>
          <w:rFonts w:cs="Times New Roman"/>
        </w:rPr>
      </w:pPr>
    </w:p>
    <w:p w:rsidR="00E732C7" w:rsidRPr="0062650B" w:rsidRDefault="00E732C7" w:rsidP="00F7031D">
      <w:pPr>
        <w:pStyle w:val="NoSpacing"/>
        <w:jc w:val="both"/>
        <w:rPr>
          <w:rFonts w:cs="Times New Roman"/>
        </w:rPr>
      </w:pPr>
      <w:proofErr w:type="spellStart"/>
      <w:r w:rsidRPr="0062650B">
        <w:rPr>
          <w:rFonts w:cs="Times New Roman"/>
        </w:rPr>
        <w:t>Modigliani</w:t>
      </w:r>
      <w:proofErr w:type="spellEnd"/>
      <w:r w:rsidRPr="0062650B">
        <w:rPr>
          <w:rFonts w:cs="Times New Roman"/>
        </w:rPr>
        <w:t>, F., &amp; Miller, M. (1958)</w:t>
      </w:r>
      <w:r>
        <w:rPr>
          <w:rFonts w:cs="Times New Roman"/>
        </w:rPr>
        <w:t>,</w:t>
      </w:r>
      <w:r w:rsidRPr="0062650B">
        <w:rPr>
          <w:rFonts w:cs="Times New Roman"/>
        </w:rPr>
        <w:t xml:space="preserve"> </w:t>
      </w:r>
    </w:p>
    <w:p w:rsidR="00E732C7" w:rsidRPr="0062650B" w:rsidRDefault="00E732C7" w:rsidP="00F7031D">
      <w:pPr>
        <w:pStyle w:val="NoSpacing"/>
        <w:jc w:val="both"/>
        <w:rPr>
          <w:rFonts w:cs="Times New Roman"/>
        </w:rPr>
      </w:pPr>
      <w:r w:rsidRPr="0062650B">
        <w:rPr>
          <w:rFonts w:cs="Times New Roman"/>
        </w:rPr>
        <w:t xml:space="preserve">“The </w:t>
      </w:r>
      <w:proofErr w:type="spellStart"/>
      <w:r w:rsidRPr="0062650B">
        <w:rPr>
          <w:rFonts w:cs="Times New Roman"/>
        </w:rPr>
        <w:t>cost</w:t>
      </w:r>
      <w:proofErr w:type="spellEnd"/>
      <w:r w:rsidRPr="0062650B">
        <w:rPr>
          <w:rFonts w:cs="Times New Roman"/>
        </w:rPr>
        <w:t xml:space="preserve"> of </w:t>
      </w:r>
      <w:proofErr w:type="spellStart"/>
      <w:r w:rsidRPr="0062650B">
        <w:rPr>
          <w:rFonts w:cs="Times New Roman"/>
        </w:rPr>
        <w:t>capital</w:t>
      </w:r>
      <w:proofErr w:type="spellEnd"/>
      <w:r w:rsidRPr="0062650B">
        <w:rPr>
          <w:rFonts w:cs="Times New Roman"/>
        </w:rPr>
        <w:t xml:space="preserve">, </w:t>
      </w:r>
      <w:proofErr w:type="spellStart"/>
      <w:r w:rsidRPr="0062650B">
        <w:rPr>
          <w:rFonts w:cs="Times New Roman"/>
        </w:rPr>
        <w:t>corporation</w:t>
      </w:r>
      <w:proofErr w:type="spellEnd"/>
      <w:r w:rsidRPr="0062650B">
        <w:rPr>
          <w:rFonts w:cs="Times New Roman"/>
        </w:rPr>
        <w:t xml:space="preserve"> </w:t>
      </w:r>
      <w:proofErr w:type="spellStart"/>
      <w:r w:rsidRPr="0062650B">
        <w:rPr>
          <w:rFonts w:cs="Times New Roman"/>
        </w:rPr>
        <w:t>finance</w:t>
      </w:r>
      <w:proofErr w:type="spellEnd"/>
      <w:r w:rsidRPr="0062650B">
        <w:rPr>
          <w:rFonts w:cs="Times New Roman"/>
        </w:rPr>
        <w:t xml:space="preserve"> and the </w:t>
      </w:r>
      <w:proofErr w:type="spellStart"/>
      <w:r w:rsidRPr="0062650B">
        <w:rPr>
          <w:rFonts w:cs="Times New Roman"/>
        </w:rPr>
        <w:t>theory</w:t>
      </w:r>
      <w:proofErr w:type="spellEnd"/>
      <w:r w:rsidRPr="0062650B">
        <w:rPr>
          <w:rFonts w:cs="Times New Roman"/>
        </w:rPr>
        <w:t xml:space="preserve"> of </w:t>
      </w:r>
      <w:proofErr w:type="spellStart"/>
      <w:r w:rsidRPr="0062650B">
        <w:rPr>
          <w:rFonts w:cs="Times New Roman"/>
        </w:rPr>
        <w:t>investment</w:t>
      </w:r>
      <w:proofErr w:type="spellEnd"/>
      <w:r w:rsidRPr="0062650B">
        <w:rPr>
          <w:rFonts w:cs="Times New Roman"/>
        </w:rPr>
        <w:t xml:space="preserve">”, </w:t>
      </w:r>
    </w:p>
    <w:p w:rsidR="00E732C7" w:rsidRPr="0062650B" w:rsidRDefault="00E732C7" w:rsidP="00F7031D">
      <w:pPr>
        <w:pStyle w:val="NoSpacing"/>
        <w:jc w:val="both"/>
        <w:rPr>
          <w:rFonts w:cs="Times New Roman"/>
        </w:rPr>
      </w:pPr>
      <w:r w:rsidRPr="0062650B">
        <w:rPr>
          <w:rFonts w:cs="Times New Roman"/>
          <w:iCs/>
        </w:rPr>
        <w:t xml:space="preserve">American </w:t>
      </w:r>
      <w:proofErr w:type="spellStart"/>
      <w:r w:rsidRPr="0062650B">
        <w:rPr>
          <w:rFonts w:cs="Times New Roman"/>
          <w:iCs/>
        </w:rPr>
        <w:t>Economic</w:t>
      </w:r>
      <w:proofErr w:type="spellEnd"/>
      <w:r w:rsidRPr="0062650B">
        <w:rPr>
          <w:rFonts w:cs="Times New Roman"/>
          <w:iCs/>
        </w:rPr>
        <w:t xml:space="preserve"> </w:t>
      </w:r>
      <w:proofErr w:type="spellStart"/>
      <w:r w:rsidRPr="0062650B">
        <w:rPr>
          <w:rFonts w:cs="Times New Roman"/>
          <w:iCs/>
        </w:rPr>
        <w:t>Review</w:t>
      </w:r>
      <w:proofErr w:type="spellEnd"/>
      <w:r w:rsidRPr="0062650B">
        <w:rPr>
          <w:rFonts w:cs="Times New Roman"/>
          <w:iCs/>
        </w:rPr>
        <w:t>, 48</w:t>
      </w:r>
      <w:r w:rsidRPr="0062650B">
        <w:rPr>
          <w:rFonts w:cs="Times New Roman"/>
        </w:rPr>
        <w:t>(3), 261-297.</w:t>
      </w:r>
    </w:p>
    <w:p w:rsidR="00E732C7" w:rsidRPr="0062650B" w:rsidRDefault="00E732C7" w:rsidP="00F7031D">
      <w:pPr>
        <w:pStyle w:val="NoSpacing"/>
        <w:jc w:val="both"/>
        <w:rPr>
          <w:lang w:val="en-US"/>
        </w:rPr>
      </w:pPr>
    </w:p>
    <w:p w:rsidR="00E732C7" w:rsidRPr="00C14EA6" w:rsidRDefault="00E732C7" w:rsidP="00F7031D">
      <w:pPr>
        <w:pStyle w:val="NoSpacing"/>
        <w:jc w:val="both"/>
      </w:pPr>
      <w:r w:rsidRPr="00C14EA6">
        <w:t>Rau, P.R. &amp; Vermaelen, T. (april, 2002),</w:t>
      </w:r>
    </w:p>
    <w:p w:rsidR="00E732C7" w:rsidRPr="0062650B" w:rsidRDefault="00E732C7" w:rsidP="00F7031D">
      <w:pPr>
        <w:pStyle w:val="NoSpacing"/>
        <w:jc w:val="both"/>
        <w:rPr>
          <w:bCs/>
          <w:szCs w:val="28"/>
          <w:lang w:val="en-US"/>
        </w:rPr>
      </w:pPr>
      <w:r w:rsidRPr="0062650B">
        <w:rPr>
          <w:bCs/>
          <w:szCs w:val="28"/>
          <w:lang w:val="en-US"/>
        </w:rPr>
        <w:t>“Regulation, Taxes, and Share Repurchases in the United Kingdom”,</w:t>
      </w:r>
    </w:p>
    <w:p w:rsidR="00E732C7" w:rsidRPr="0062650B" w:rsidRDefault="00E732C7" w:rsidP="00F7031D">
      <w:pPr>
        <w:pStyle w:val="NoSpacing"/>
        <w:jc w:val="both"/>
        <w:rPr>
          <w:bCs/>
          <w:szCs w:val="28"/>
          <w:lang w:val="en-US"/>
        </w:rPr>
      </w:pPr>
      <w:r w:rsidRPr="0062650B">
        <w:rPr>
          <w:i/>
          <w:iCs/>
          <w:lang w:val="en-US"/>
        </w:rPr>
        <w:t xml:space="preserve">The Journal of </w:t>
      </w:r>
      <w:proofErr w:type="gramStart"/>
      <w:r w:rsidRPr="0062650B">
        <w:rPr>
          <w:i/>
          <w:iCs/>
          <w:lang w:val="en-US"/>
        </w:rPr>
        <w:t>Business</w:t>
      </w:r>
      <w:r w:rsidRPr="0062650B">
        <w:rPr>
          <w:lang w:val="en-US"/>
        </w:rPr>
        <w:t xml:space="preserve"> ,</w:t>
      </w:r>
      <w:proofErr w:type="gramEnd"/>
      <w:r w:rsidRPr="0062650B">
        <w:rPr>
          <w:lang w:val="en-US"/>
        </w:rPr>
        <w:t xml:space="preserve"> Vol. 75, No. 2, p. 245-282</w:t>
      </w:r>
      <w:r>
        <w:rPr>
          <w:lang w:val="en-US"/>
        </w:rPr>
        <w:t>.</w:t>
      </w:r>
    </w:p>
    <w:p w:rsidR="00E732C7" w:rsidRDefault="00E732C7" w:rsidP="00F7031D">
      <w:pPr>
        <w:pStyle w:val="NoSpacing"/>
        <w:jc w:val="both"/>
        <w:rPr>
          <w:lang w:val="en-US"/>
        </w:rPr>
      </w:pPr>
    </w:p>
    <w:p w:rsidR="0042263C" w:rsidRDefault="0042263C" w:rsidP="00F7031D">
      <w:pPr>
        <w:pStyle w:val="NoSpacing"/>
        <w:jc w:val="both"/>
        <w:rPr>
          <w:lang w:val="en-US"/>
        </w:rPr>
      </w:pPr>
    </w:p>
    <w:p w:rsidR="00C7334F" w:rsidRPr="00C14EA6" w:rsidRDefault="00C7334F" w:rsidP="00F7031D">
      <w:pPr>
        <w:pStyle w:val="NoSpacing"/>
        <w:jc w:val="both"/>
      </w:pPr>
      <w:r w:rsidRPr="00C14EA6">
        <w:lastRenderedPageBreak/>
        <w:t>Schippers, L. (november, 2007),</w:t>
      </w:r>
    </w:p>
    <w:p w:rsidR="00C7334F" w:rsidRPr="00C14EA6" w:rsidRDefault="00C7334F" w:rsidP="00F7031D">
      <w:pPr>
        <w:pStyle w:val="NoSpacing"/>
        <w:jc w:val="both"/>
      </w:pPr>
      <w:r w:rsidRPr="00C14EA6">
        <w:t>“Waarom kopen bedrijven massaal hun eigen aandelen terug?”</w:t>
      </w:r>
    </w:p>
    <w:p w:rsidR="00C7334F" w:rsidRDefault="00C7334F" w:rsidP="00F7031D">
      <w:pPr>
        <w:pStyle w:val="NoSpacing"/>
        <w:jc w:val="both"/>
        <w:rPr>
          <w:lang w:val="en-US"/>
        </w:rPr>
      </w:pPr>
      <w:proofErr w:type="spellStart"/>
      <w:proofErr w:type="gramStart"/>
      <w:r>
        <w:rPr>
          <w:lang w:val="en-US"/>
        </w:rPr>
        <w:t>Managementscope</w:t>
      </w:r>
      <w:proofErr w:type="spellEnd"/>
      <w:r>
        <w:rPr>
          <w:lang w:val="en-US"/>
        </w:rPr>
        <w:t>.</w:t>
      </w:r>
      <w:proofErr w:type="gramEnd"/>
    </w:p>
    <w:p w:rsidR="00C7334F" w:rsidRDefault="00C7334F" w:rsidP="00F7031D">
      <w:pPr>
        <w:pStyle w:val="NoSpacing"/>
        <w:jc w:val="both"/>
        <w:rPr>
          <w:lang w:val="en-US"/>
        </w:rPr>
      </w:pPr>
      <w:r w:rsidRPr="00C7334F">
        <w:rPr>
          <w:lang w:val="en-US"/>
        </w:rPr>
        <w:t>http://managementscope.nl/magazine/artikel/281-machogedrag-inkoop-aandelen</w:t>
      </w:r>
    </w:p>
    <w:p w:rsidR="00C7334F" w:rsidRPr="00C14EA6" w:rsidRDefault="00E467D8" w:rsidP="00F7031D">
      <w:pPr>
        <w:pStyle w:val="NoSpacing"/>
        <w:jc w:val="both"/>
      </w:pPr>
      <w:r w:rsidRPr="00C14EA6">
        <w:t>(bezocht op 30 juni 2013)</w:t>
      </w:r>
    </w:p>
    <w:p w:rsidR="0042263C" w:rsidRPr="00C14EA6" w:rsidRDefault="0042263C" w:rsidP="00F7031D">
      <w:pPr>
        <w:pStyle w:val="NoSpacing"/>
        <w:jc w:val="both"/>
      </w:pPr>
    </w:p>
    <w:p w:rsidR="004B0D81" w:rsidRPr="00C14EA6" w:rsidRDefault="004B0D81" w:rsidP="00F7031D">
      <w:pPr>
        <w:pStyle w:val="NoSpacing"/>
        <w:jc w:val="both"/>
      </w:pPr>
      <w:r w:rsidRPr="00C14EA6">
        <w:t>Seifert, U. &amp; Stehle, R. (september, 2003)</w:t>
      </w:r>
    </w:p>
    <w:p w:rsidR="004B0D81" w:rsidRDefault="004B0D81" w:rsidP="00F7031D">
      <w:pPr>
        <w:pStyle w:val="NoSpacing"/>
        <w:jc w:val="both"/>
        <w:rPr>
          <w:lang w:val="en-US"/>
        </w:rPr>
      </w:pPr>
      <w:r>
        <w:rPr>
          <w:lang w:val="en-US"/>
        </w:rPr>
        <w:t>“Stock Performance around Share Repurchase Announcements in Germany”,</w:t>
      </w:r>
    </w:p>
    <w:p w:rsidR="004B0D81" w:rsidRDefault="004B0D81" w:rsidP="00F7031D">
      <w:pPr>
        <w:pStyle w:val="NoSpacing"/>
        <w:jc w:val="both"/>
        <w:rPr>
          <w:lang w:val="en-US"/>
        </w:rPr>
      </w:pPr>
      <w:r>
        <w:rPr>
          <w:lang w:val="en-US"/>
        </w:rPr>
        <w:t xml:space="preserve">Working paper, Humboldt </w:t>
      </w:r>
      <w:proofErr w:type="spellStart"/>
      <w:r>
        <w:rPr>
          <w:lang w:val="en-US"/>
        </w:rPr>
        <w:t>Universität</w:t>
      </w:r>
      <w:proofErr w:type="spellEnd"/>
      <w:r>
        <w:rPr>
          <w:lang w:val="en-US"/>
        </w:rPr>
        <w:t xml:space="preserve"> </w:t>
      </w:r>
      <w:proofErr w:type="spellStart"/>
      <w:r>
        <w:rPr>
          <w:lang w:val="en-US"/>
        </w:rPr>
        <w:t>zu</w:t>
      </w:r>
      <w:proofErr w:type="spellEnd"/>
      <w:r>
        <w:rPr>
          <w:lang w:val="en-US"/>
        </w:rPr>
        <w:t xml:space="preserve"> Berlin</w:t>
      </w:r>
    </w:p>
    <w:p w:rsidR="002C162B" w:rsidRPr="0062650B" w:rsidRDefault="002C162B" w:rsidP="00F7031D">
      <w:pPr>
        <w:pStyle w:val="NoSpacing"/>
        <w:jc w:val="both"/>
        <w:rPr>
          <w:lang w:val="en-US"/>
        </w:rPr>
      </w:pPr>
    </w:p>
    <w:p w:rsidR="00E732C7" w:rsidRDefault="00E732C7" w:rsidP="00F7031D">
      <w:pPr>
        <w:pStyle w:val="NoSpacing"/>
        <w:jc w:val="both"/>
        <w:rPr>
          <w:rFonts w:cs="Times New Roman"/>
          <w:color w:val="000000"/>
          <w:lang w:val="en-US"/>
        </w:rPr>
      </w:pPr>
      <w:r w:rsidRPr="0062650B">
        <w:rPr>
          <w:rFonts w:cs="Times"/>
          <w:color w:val="000000"/>
          <w:lang w:val="en-US"/>
        </w:rPr>
        <w:t>Steenbeek</w:t>
      </w:r>
      <w:r>
        <w:rPr>
          <w:rFonts w:cs="Times New Roman"/>
          <w:color w:val="000000"/>
          <w:lang w:val="en-US"/>
        </w:rPr>
        <w:t>, O.W.</w:t>
      </w:r>
      <w:r w:rsidRPr="0062650B">
        <w:rPr>
          <w:rFonts w:cs="Times New Roman"/>
          <w:color w:val="000000"/>
          <w:lang w:val="en-US"/>
        </w:rPr>
        <w:t xml:space="preserve"> (2004)</w:t>
      </w:r>
      <w:r>
        <w:rPr>
          <w:rFonts w:cs="Times New Roman"/>
          <w:color w:val="000000"/>
          <w:lang w:val="en-US"/>
        </w:rPr>
        <w:t>,</w:t>
      </w:r>
      <w:r w:rsidRPr="0062650B">
        <w:rPr>
          <w:rFonts w:cs="Times New Roman"/>
          <w:color w:val="000000"/>
          <w:lang w:val="en-US"/>
        </w:rPr>
        <w:t xml:space="preserve"> </w:t>
      </w:r>
    </w:p>
    <w:p w:rsidR="00E732C7" w:rsidRDefault="00E732C7" w:rsidP="00F7031D">
      <w:pPr>
        <w:pStyle w:val="NoSpacing"/>
        <w:jc w:val="both"/>
        <w:rPr>
          <w:rFonts w:cs="Times New Roman"/>
          <w:color w:val="000000"/>
          <w:lang w:val="en-US"/>
        </w:rPr>
      </w:pPr>
      <w:r w:rsidRPr="0062650B">
        <w:rPr>
          <w:rFonts w:cs="Times New Roman"/>
          <w:color w:val="000000"/>
          <w:lang w:val="en-US"/>
        </w:rPr>
        <w:t>“</w:t>
      </w:r>
      <w:proofErr w:type="spellStart"/>
      <w:r w:rsidRPr="0062650B">
        <w:rPr>
          <w:rFonts w:cs="Times New Roman"/>
          <w:color w:val="000000"/>
          <w:lang w:val="en-US"/>
        </w:rPr>
        <w:t>Aandeleninkoopprogramma’s</w:t>
      </w:r>
      <w:proofErr w:type="spellEnd"/>
      <w:r w:rsidRPr="0062650B">
        <w:rPr>
          <w:rFonts w:cs="Times New Roman"/>
          <w:color w:val="000000"/>
          <w:lang w:val="en-US"/>
        </w:rPr>
        <w:t xml:space="preserve"> </w:t>
      </w:r>
      <w:proofErr w:type="spellStart"/>
      <w:r w:rsidRPr="0062650B">
        <w:rPr>
          <w:rFonts w:cs="Times New Roman"/>
          <w:color w:val="000000"/>
          <w:lang w:val="en-US"/>
        </w:rPr>
        <w:t>creëren</w:t>
      </w:r>
      <w:proofErr w:type="spellEnd"/>
      <w:r w:rsidRPr="0062650B">
        <w:rPr>
          <w:rFonts w:cs="Times New Roman"/>
          <w:color w:val="000000"/>
          <w:lang w:val="en-US"/>
        </w:rPr>
        <w:t xml:space="preserve"> </w:t>
      </w:r>
      <w:proofErr w:type="spellStart"/>
      <w:r w:rsidRPr="0062650B">
        <w:rPr>
          <w:rFonts w:cs="Times New Roman"/>
          <w:color w:val="000000"/>
          <w:lang w:val="en-US"/>
        </w:rPr>
        <w:t>geen</w:t>
      </w:r>
      <w:proofErr w:type="spellEnd"/>
      <w:r w:rsidRPr="0062650B">
        <w:rPr>
          <w:rFonts w:cs="Times New Roman"/>
          <w:color w:val="000000"/>
          <w:lang w:val="en-US"/>
        </w:rPr>
        <w:t xml:space="preserve"> </w:t>
      </w:r>
      <w:proofErr w:type="spellStart"/>
      <w:r w:rsidRPr="0062650B">
        <w:rPr>
          <w:rFonts w:cs="Times New Roman"/>
          <w:color w:val="000000"/>
          <w:lang w:val="en-US"/>
        </w:rPr>
        <w:t>aandeelhouderswaarde</w:t>
      </w:r>
      <w:proofErr w:type="spellEnd"/>
      <w:r w:rsidRPr="0062650B">
        <w:rPr>
          <w:rFonts w:cs="Times New Roman"/>
          <w:color w:val="000000"/>
          <w:lang w:val="en-US"/>
        </w:rPr>
        <w:t xml:space="preserve">”, </w:t>
      </w:r>
    </w:p>
    <w:p w:rsidR="00E732C7" w:rsidRPr="0062650B" w:rsidRDefault="00E732C7" w:rsidP="00F7031D">
      <w:pPr>
        <w:pStyle w:val="NoSpacing"/>
        <w:jc w:val="both"/>
        <w:rPr>
          <w:rFonts w:cs="Courier"/>
        </w:rPr>
      </w:pPr>
      <w:proofErr w:type="spellStart"/>
      <w:r w:rsidRPr="0062650B">
        <w:rPr>
          <w:rFonts w:cs="Times"/>
          <w:color w:val="000000"/>
          <w:lang w:val="en-US"/>
        </w:rPr>
        <w:t>Economisch</w:t>
      </w:r>
      <w:proofErr w:type="spellEnd"/>
      <w:r w:rsidRPr="0062650B">
        <w:rPr>
          <w:rFonts w:cs="Times"/>
          <w:color w:val="000000"/>
          <w:lang w:val="en-US"/>
        </w:rPr>
        <w:t xml:space="preserve"> </w:t>
      </w:r>
      <w:proofErr w:type="spellStart"/>
      <w:r w:rsidRPr="0062650B">
        <w:rPr>
          <w:rFonts w:cs="Times"/>
          <w:color w:val="000000"/>
          <w:lang w:val="en-US"/>
        </w:rPr>
        <w:t>Statistische</w:t>
      </w:r>
      <w:proofErr w:type="spellEnd"/>
      <w:r w:rsidRPr="0062650B">
        <w:rPr>
          <w:rFonts w:cs="Times"/>
          <w:color w:val="000000"/>
          <w:lang w:val="en-US"/>
        </w:rPr>
        <w:t xml:space="preserve"> </w:t>
      </w:r>
      <w:proofErr w:type="spellStart"/>
      <w:r w:rsidRPr="0062650B">
        <w:rPr>
          <w:rFonts w:cs="Times"/>
          <w:color w:val="000000"/>
          <w:lang w:val="en-US"/>
        </w:rPr>
        <w:t>Berichten</w:t>
      </w:r>
      <w:proofErr w:type="spellEnd"/>
      <w:r w:rsidRPr="0062650B">
        <w:rPr>
          <w:rFonts w:cs="Times New Roman"/>
          <w:color w:val="000000"/>
          <w:lang w:val="en-US"/>
        </w:rPr>
        <w:t>, p. 513-515.</w:t>
      </w:r>
    </w:p>
    <w:p w:rsidR="00E732C7" w:rsidRPr="0062650B" w:rsidRDefault="00E732C7" w:rsidP="00F7031D">
      <w:pPr>
        <w:pStyle w:val="NoSpacing"/>
        <w:jc w:val="both"/>
        <w:rPr>
          <w:lang w:val="en-US"/>
        </w:rPr>
      </w:pPr>
    </w:p>
    <w:p w:rsidR="00E732C7" w:rsidRPr="0062650B" w:rsidRDefault="00E732C7" w:rsidP="00F7031D">
      <w:pPr>
        <w:pStyle w:val="NoSpacing"/>
        <w:jc w:val="both"/>
        <w:rPr>
          <w:lang w:val="en-US"/>
        </w:rPr>
      </w:pPr>
      <w:r w:rsidRPr="0062650B">
        <w:rPr>
          <w:lang w:val="en-US"/>
        </w:rPr>
        <w:t>Stephens, C.P</w:t>
      </w:r>
      <w:r>
        <w:rPr>
          <w:lang w:val="en-US"/>
        </w:rPr>
        <w:t>.</w:t>
      </w:r>
      <w:r w:rsidRPr="0062650B">
        <w:rPr>
          <w:lang w:val="en-US"/>
        </w:rPr>
        <w:t xml:space="preserve">  </w:t>
      </w:r>
      <w:r>
        <w:rPr>
          <w:lang w:val="en-US"/>
        </w:rPr>
        <w:t>&amp;</w:t>
      </w:r>
      <w:r w:rsidRPr="0062650B">
        <w:rPr>
          <w:lang w:val="en-US"/>
        </w:rPr>
        <w:t xml:space="preserve"> </w:t>
      </w:r>
      <w:proofErr w:type="spellStart"/>
      <w:r w:rsidRPr="0062650B">
        <w:rPr>
          <w:lang w:val="en-US"/>
        </w:rPr>
        <w:t>Weisbach</w:t>
      </w:r>
      <w:proofErr w:type="spellEnd"/>
      <w:r w:rsidRPr="0062650B">
        <w:rPr>
          <w:lang w:val="en-US"/>
        </w:rPr>
        <w:t>, M.S</w:t>
      </w:r>
      <w:r>
        <w:rPr>
          <w:lang w:val="en-US"/>
        </w:rPr>
        <w:t>.</w:t>
      </w:r>
      <w:r w:rsidRPr="0062650B">
        <w:rPr>
          <w:lang w:val="en-US"/>
        </w:rPr>
        <w:t xml:space="preserve"> (</w:t>
      </w:r>
      <w:proofErr w:type="spellStart"/>
      <w:r>
        <w:rPr>
          <w:lang w:val="en-US"/>
        </w:rPr>
        <w:t>februari</w:t>
      </w:r>
      <w:proofErr w:type="spellEnd"/>
      <w:r w:rsidRPr="0062650B">
        <w:rPr>
          <w:lang w:val="en-US"/>
        </w:rPr>
        <w:t>, 1998)</w:t>
      </w:r>
      <w:r>
        <w:rPr>
          <w:lang w:val="en-US"/>
        </w:rPr>
        <w:t>,</w:t>
      </w:r>
    </w:p>
    <w:p w:rsidR="00E732C7" w:rsidRPr="0062650B" w:rsidRDefault="00E732C7" w:rsidP="00F7031D">
      <w:pPr>
        <w:pStyle w:val="NoSpacing"/>
        <w:jc w:val="both"/>
        <w:rPr>
          <w:bCs/>
          <w:szCs w:val="28"/>
          <w:lang w:val="en-US"/>
        </w:rPr>
      </w:pPr>
      <w:r w:rsidRPr="0062650B">
        <w:rPr>
          <w:bCs/>
          <w:szCs w:val="28"/>
          <w:lang w:val="en-US"/>
        </w:rPr>
        <w:t xml:space="preserve">“Actual Share </w:t>
      </w:r>
      <w:proofErr w:type="spellStart"/>
      <w:r w:rsidRPr="0062650B">
        <w:rPr>
          <w:bCs/>
          <w:szCs w:val="28"/>
          <w:lang w:val="en-US"/>
        </w:rPr>
        <w:t>Reacquisitions</w:t>
      </w:r>
      <w:proofErr w:type="spellEnd"/>
      <w:r w:rsidRPr="0062650B">
        <w:rPr>
          <w:bCs/>
          <w:szCs w:val="28"/>
          <w:lang w:val="en-US"/>
        </w:rPr>
        <w:t xml:space="preserve"> in Open-Market Repurchase Programs”</w:t>
      </w:r>
    </w:p>
    <w:p w:rsidR="00E732C7" w:rsidRPr="0062650B" w:rsidRDefault="00E732C7" w:rsidP="00F7031D">
      <w:pPr>
        <w:pStyle w:val="NoSpacing"/>
        <w:jc w:val="both"/>
        <w:rPr>
          <w:lang w:val="en-US"/>
        </w:rPr>
      </w:pPr>
      <w:r w:rsidRPr="0062650B">
        <w:rPr>
          <w:i/>
          <w:iCs/>
          <w:lang w:val="en-US"/>
        </w:rPr>
        <w:t xml:space="preserve">The Journal of </w:t>
      </w:r>
      <w:proofErr w:type="gramStart"/>
      <w:r w:rsidRPr="0062650B">
        <w:rPr>
          <w:i/>
          <w:iCs/>
          <w:lang w:val="en-US"/>
        </w:rPr>
        <w:t>Finance</w:t>
      </w:r>
      <w:r w:rsidRPr="0062650B">
        <w:rPr>
          <w:lang w:val="en-US"/>
        </w:rPr>
        <w:t xml:space="preserve"> ,</w:t>
      </w:r>
      <w:proofErr w:type="gramEnd"/>
      <w:r w:rsidRPr="0062650B">
        <w:rPr>
          <w:lang w:val="en-US"/>
        </w:rPr>
        <w:t xml:space="preserve"> </w:t>
      </w:r>
      <w:r>
        <w:rPr>
          <w:lang w:val="en-US"/>
        </w:rPr>
        <w:t>V</w:t>
      </w:r>
      <w:r w:rsidRPr="0062650B">
        <w:rPr>
          <w:lang w:val="en-US"/>
        </w:rPr>
        <w:t>ol. 53, No. 1, p. 313-333</w:t>
      </w:r>
      <w:r>
        <w:rPr>
          <w:lang w:val="en-US"/>
        </w:rPr>
        <w:t>.</w:t>
      </w:r>
    </w:p>
    <w:p w:rsidR="00E732C7" w:rsidRPr="0062650B" w:rsidRDefault="00E732C7" w:rsidP="00F7031D">
      <w:pPr>
        <w:pStyle w:val="NoSpacing"/>
        <w:jc w:val="both"/>
        <w:rPr>
          <w:lang w:val="en-US"/>
        </w:rPr>
      </w:pPr>
    </w:p>
    <w:p w:rsidR="00E732C7" w:rsidRDefault="00E732C7" w:rsidP="00F7031D">
      <w:pPr>
        <w:pStyle w:val="NoSpacing"/>
        <w:jc w:val="both"/>
        <w:rPr>
          <w:rFonts w:cs="Courier"/>
          <w:lang w:val="en-US"/>
        </w:rPr>
      </w:pPr>
      <w:proofErr w:type="spellStart"/>
      <w:r w:rsidRPr="0062650B">
        <w:rPr>
          <w:rFonts w:cs="Courier"/>
          <w:lang w:val="en-US"/>
        </w:rPr>
        <w:t>Vermaelen</w:t>
      </w:r>
      <w:proofErr w:type="spellEnd"/>
      <w:r>
        <w:rPr>
          <w:rFonts w:cs="Courier"/>
          <w:lang w:val="en-US"/>
        </w:rPr>
        <w:t>,</w:t>
      </w:r>
      <w:r w:rsidRPr="0062650B">
        <w:rPr>
          <w:rFonts w:cs="Courier"/>
          <w:lang w:val="en-US"/>
        </w:rPr>
        <w:t xml:space="preserve"> T</w:t>
      </w:r>
      <w:r>
        <w:rPr>
          <w:rFonts w:cs="Courier"/>
          <w:lang w:val="en-US"/>
        </w:rPr>
        <w:t>.</w:t>
      </w:r>
      <w:r w:rsidRPr="0062650B">
        <w:rPr>
          <w:rFonts w:cs="Courier"/>
          <w:lang w:val="en-US"/>
        </w:rPr>
        <w:t xml:space="preserve"> (</w:t>
      </w:r>
      <w:proofErr w:type="spellStart"/>
      <w:r>
        <w:rPr>
          <w:rFonts w:cs="Courier"/>
          <w:lang w:val="en-US"/>
        </w:rPr>
        <w:t>j</w:t>
      </w:r>
      <w:r w:rsidRPr="0062650B">
        <w:rPr>
          <w:rFonts w:cs="Courier"/>
          <w:lang w:val="en-US"/>
        </w:rPr>
        <w:t>un</w:t>
      </w:r>
      <w:r>
        <w:rPr>
          <w:rFonts w:cs="Courier"/>
          <w:lang w:val="en-US"/>
        </w:rPr>
        <w:t>i</w:t>
      </w:r>
      <w:proofErr w:type="spellEnd"/>
      <w:r>
        <w:rPr>
          <w:rFonts w:cs="Courier"/>
          <w:lang w:val="en-US"/>
        </w:rPr>
        <w:t>,</w:t>
      </w:r>
      <w:r w:rsidRPr="0062650B">
        <w:rPr>
          <w:rFonts w:cs="Courier"/>
          <w:lang w:val="en-US"/>
        </w:rPr>
        <w:t xml:space="preserve"> 1981)</w:t>
      </w:r>
      <w:r>
        <w:rPr>
          <w:rFonts w:cs="Courier"/>
          <w:lang w:val="en-US"/>
        </w:rPr>
        <w:t>,</w:t>
      </w:r>
      <w:r w:rsidRPr="0062650B">
        <w:rPr>
          <w:rFonts w:cs="Courier"/>
          <w:lang w:val="en-US"/>
        </w:rPr>
        <w:t xml:space="preserve"> </w:t>
      </w:r>
    </w:p>
    <w:p w:rsidR="00E732C7" w:rsidRDefault="00E732C7" w:rsidP="00F7031D">
      <w:pPr>
        <w:pStyle w:val="NoSpacing"/>
        <w:jc w:val="both"/>
        <w:rPr>
          <w:rFonts w:cs="Courier"/>
          <w:lang w:val="en-US"/>
        </w:rPr>
      </w:pPr>
      <w:r w:rsidRPr="0062650B">
        <w:rPr>
          <w:rFonts w:cs="Courier"/>
          <w:lang w:val="en-US"/>
        </w:rPr>
        <w:t xml:space="preserve">Common stock repurchases and market </w:t>
      </w:r>
      <w:proofErr w:type="spellStart"/>
      <w:r w:rsidRPr="0062650B">
        <w:rPr>
          <w:rFonts w:cs="Courier"/>
          <w:lang w:val="en-US"/>
        </w:rPr>
        <w:t>signalling</w:t>
      </w:r>
      <w:proofErr w:type="spellEnd"/>
      <w:r w:rsidRPr="0062650B">
        <w:rPr>
          <w:rFonts w:cs="Courier"/>
          <w:lang w:val="en-US"/>
        </w:rPr>
        <w:t xml:space="preserve">: An empirical study, </w:t>
      </w:r>
    </w:p>
    <w:p w:rsidR="00E732C7" w:rsidRPr="0062650B" w:rsidRDefault="00E732C7" w:rsidP="00F7031D">
      <w:pPr>
        <w:pStyle w:val="NoSpacing"/>
        <w:jc w:val="both"/>
        <w:rPr>
          <w:rFonts w:cs="Courier"/>
          <w:lang w:val="en-US"/>
        </w:rPr>
      </w:pPr>
      <w:r w:rsidRPr="0062650B">
        <w:rPr>
          <w:rFonts w:cs="Courier"/>
          <w:lang w:val="en-US"/>
        </w:rPr>
        <w:t>Journal of Financial Economics, Vol</w:t>
      </w:r>
      <w:r>
        <w:rPr>
          <w:rFonts w:cs="Courier"/>
          <w:lang w:val="en-US"/>
        </w:rPr>
        <w:t>.</w:t>
      </w:r>
      <w:r w:rsidRPr="0062650B">
        <w:rPr>
          <w:rFonts w:cs="Courier"/>
          <w:lang w:val="en-US"/>
        </w:rPr>
        <w:t xml:space="preserve"> 9, Issue 2, p. 139-183</w:t>
      </w:r>
      <w:r>
        <w:rPr>
          <w:rFonts w:cs="Courier"/>
          <w:lang w:val="en-US"/>
        </w:rPr>
        <w:t>.</w:t>
      </w:r>
      <w:r w:rsidRPr="0062650B">
        <w:rPr>
          <w:rFonts w:cs="Courier"/>
          <w:lang w:val="en-US"/>
        </w:rPr>
        <w:t xml:space="preserve"> </w:t>
      </w:r>
    </w:p>
    <w:p w:rsidR="00E732C7" w:rsidRDefault="00E732C7" w:rsidP="00F7031D">
      <w:pPr>
        <w:widowControl w:val="0"/>
        <w:autoSpaceDE w:val="0"/>
        <w:autoSpaceDN w:val="0"/>
        <w:adjustRightInd w:val="0"/>
        <w:jc w:val="both"/>
        <w:rPr>
          <w:rFonts w:cs="Arial"/>
          <w:szCs w:val="26"/>
          <w:lang w:val="en-US"/>
        </w:rPr>
      </w:pPr>
    </w:p>
    <w:p w:rsidR="00E732C7" w:rsidRDefault="00E732C7" w:rsidP="00F7031D">
      <w:pPr>
        <w:widowControl w:val="0"/>
        <w:autoSpaceDE w:val="0"/>
        <w:autoSpaceDN w:val="0"/>
        <w:adjustRightInd w:val="0"/>
        <w:jc w:val="both"/>
        <w:rPr>
          <w:rFonts w:cs="Arial"/>
          <w:szCs w:val="26"/>
          <w:lang w:val="en-US"/>
        </w:rPr>
      </w:pPr>
    </w:p>
    <w:p w:rsidR="00E732C7" w:rsidRDefault="00E732C7" w:rsidP="00F7031D">
      <w:pPr>
        <w:pStyle w:val="NoSpacing"/>
        <w:jc w:val="both"/>
        <w:rPr>
          <w:lang w:val="en-US"/>
        </w:rPr>
      </w:pPr>
    </w:p>
    <w:p w:rsidR="00E732C7" w:rsidRDefault="00E732C7" w:rsidP="00F7031D">
      <w:pPr>
        <w:jc w:val="both"/>
      </w:pPr>
    </w:p>
    <w:p w:rsidR="00E732C7" w:rsidRPr="00F66353" w:rsidRDefault="00E732C7" w:rsidP="00793412"/>
    <w:sectPr w:rsidR="00E732C7" w:rsidRPr="00F66353" w:rsidSect="00793412">
      <w:headerReference w:type="default" r:id="rId26"/>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D08" w:rsidRDefault="00080D08" w:rsidP="00B95D7C">
      <w:pPr>
        <w:spacing w:line="240" w:lineRule="auto"/>
      </w:pPr>
      <w:r>
        <w:separator/>
      </w:r>
    </w:p>
  </w:endnote>
  <w:endnote w:type="continuationSeparator" w:id="0">
    <w:p w:rsidR="00080D08" w:rsidRDefault="00080D08" w:rsidP="00B95D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D08" w:rsidRDefault="00080D08" w:rsidP="00B95D7C">
      <w:pPr>
        <w:spacing w:line="240" w:lineRule="auto"/>
      </w:pPr>
      <w:r>
        <w:separator/>
      </w:r>
    </w:p>
  </w:footnote>
  <w:footnote w:type="continuationSeparator" w:id="0">
    <w:p w:rsidR="00080D08" w:rsidRDefault="00080D08" w:rsidP="00B95D7C">
      <w:pPr>
        <w:spacing w:line="240" w:lineRule="auto"/>
      </w:pPr>
      <w:r>
        <w:continuationSeparator/>
      </w:r>
    </w:p>
  </w:footnote>
  <w:footnote w:id="1">
    <w:p w:rsidR="00080D08" w:rsidRDefault="00080D08" w:rsidP="00AD3231">
      <w:pPr>
        <w:pStyle w:val="FootnoteText"/>
        <w:jc w:val="both"/>
      </w:pPr>
      <w:r>
        <w:rPr>
          <w:rStyle w:val="FootnoteReference"/>
        </w:rPr>
        <w:footnoteRef/>
      </w:r>
      <w:r>
        <w:t xml:space="preserve"> Een markt zonder transactiekosten, belastingen, asymmetrische informatie etc.</w:t>
      </w:r>
    </w:p>
  </w:footnote>
  <w:footnote w:id="2">
    <w:p w:rsidR="00080D08" w:rsidRDefault="00080D08" w:rsidP="00AD3231">
      <w:pPr>
        <w:pStyle w:val="FootnoteText"/>
        <w:jc w:val="both"/>
      </w:pPr>
      <w:r>
        <w:rPr>
          <w:rStyle w:val="FootnoteReference"/>
        </w:rPr>
        <w:footnoteRef/>
      </w:r>
      <w:r>
        <w:t xml:space="preserve"> Dit voorbeeld is gebaseerd op het artikel van Steenbeek (2004).</w:t>
      </w:r>
    </w:p>
  </w:footnote>
  <w:footnote w:id="3">
    <w:p w:rsidR="00080D08" w:rsidRDefault="00080D08" w:rsidP="00AD3231">
      <w:pPr>
        <w:pStyle w:val="FootnoteText"/>
        <w:jc w:val="both"/>
      </w:pPr>
      <w:r>
        <w:rPr>
          <w:rStyle w:val="FootnoteReference"/>
        </w:rPr>
        <w:footnoteRef/>
      </w:r>
      <w:r>
        <w:t xml:space="preserve"> Dit rendement is gelijk aan het risicovrije rendement van 5%.</w:t>
      </w:r>
    </w:p>
  </w:footnote>
  <w:footnote w:id="4">
    <w:p w:rsidR="00080D08" w:rsidRDefault="00080D08" w:rsidP="00AD3231">
      <w:pPr>
        <w:pStyle w:val="FootnoteText"/>
        <w:jc w:val="both"/>
      </w:pPr>
      <w:r>
        <w:rPr>
          <w:rStyle w:val="FootnoteReference"/>
        </w:rPr>
        <w:footnoteRef/>
      </w:r>
      <w:r>
        <w:t xml:space="preserve"> “De bèta is een maatstaf van het marktrisico en geeft de relatie weer tussen het rendement op de marktindex en het rendement op een beleggingsobject met exact dezelfde </w:t>
      </w:r>
      <w:proofErr w:type="spellStart"/>
      <w:r>
        <w:t>risico-rendements-kenmerken</w:t>
      </w:r>
      <w:proofErr w:type="spellEnd"/>
      <w:r>
        <w:t xml:space="preserve"> als dit project“ (Steenbeek, 2004, p. 513).</w:t>
      </w:r>
    </w:p>
  </w:footnote>
  <w:footnote w:id="5">
    <w:p w:rsidR="00080D08" w:rsidRDefault="00080D08" w:rsidP="00AD3231">
      <w:pPr>
        <w:pStyle w:val="FootnoteText"/>
        <w:jc w:val="both"/>
      </w:pPr>
      <w:r>
        <w:rPr>
          <w:rStyle w:val="FootnoteReference"/>
        </w:rPr>
        <w:footnoteRef/>
      </w:r>
      <w:r>
        <w:t xml:space="preserve"> </w:t>
      </w:r>
      <m:oMath>
        <m:sSub>
          <m:sSubPr>
            <m:ctrlPr>
              <w:rPr>
                <w:rFonts w:ascii="Cambria Math" w:hAnsi="Cambria Math"/>
                <w:i/>
              </w:rPr>
            </m:ctrlPr>
          </m:sSubPr>
          <m:e>
            <m:r>
              <w:rPr>
                <w:rFonts w:ascii="Cambria Math" w:hAnsi="Cambria Math"/>
              </w:rPr>
              <m:t>β</m:t>
            </m:r>
          </m:e>
          <m:sub>
            <m:r>
              <w:rPr>
                <w:rFonts w:ascii="Cambria Math" w:hAnsi="Cambria Math"/>
              </w:rPr>
              <m:t>activa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passiva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EV</m:t>
            </m:r>
          </m:sub>
        </m:sSub>
        <m:f>
          <m:fPr>
            <m:ctrlPr>
              <w:rPr>
                <w:rFonts w:ascii="Cambria Math" w:hAnsi="Cambria Math"/>
                <w:i/>
              </w:rPr>
            </m:ctrlPr>
          </m:fPr>
          <m:num>
            <m:r>
              <w:rPr>
                <w:rFonts w:ascii="Cambria Math" w:hAnsi="Cambria Math"/>
              </w:rPr>
              <m:t>EV</m:t>
            </m:r>
          </m:num>
          <m:den>
            <m:r>
              <w:rPr>
                <w:rFonts w:ascii="Cambria Math" w:hAnsi="Cambria Math"/>
              </w:rPr>
              <m:t>EV+VV</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VV</m:t>
            </m:r>
          </m:sub>
        </m:sSub>
        <m:f>
          <m:fPr>
            <m:ctrlPr>
              <w:rPr>
                <w:rFonts w:ascii="Cambria Math" w:hAnsi="Cambria Math"/>
                <w:i/>
              </w:rPr>
            </m:ctrlPr>
          </m:fPr>
          <m:num>
            <m:r>
              <w:rPr>
                <w:rFonts w:ascii="Cambria Math" w:hAnsi="Cambria Math"/>
              </w:rPr>
              <m:t>VV</m:t>
            </m:r>
          </m:num>
          <m:den>
            <m:r>
              <w:rPr>
                <w:rFonts w:ascii="Cambria Math" w:hAnsi="Cambria Math"/>
              </w:rPr>
              <m:t>EV+VV</m:t>
            </m:r>
          </m:den>
        </m:f>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EV</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Passiva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VV</m:t>
                </m:r>
              </m:sub>
            </m:sSub>
            <m:f>
              <m:fPr>
                <m:ctrlPr>
                  <w:rPr>
                    <w:rFonts w:ascii="Cambria Math" w:hAnsi="Cambria Math"/>
                    <w:i/>
                  </w:rPr>
                </m:ctrlPr>
              </m:fPr>
              <m:num>
                <m:r>
                  <w:rPr>
                    <w:rFonts w:ascii="Cambria Math" w:hAnsi="Cambria Math"/>
                  </w:rPr>
                  <m:t>VV</m:t>
                </m:r>
              </m:num>
              <m:den>
                <m:r>
                  <w:rPr>
                    <w:rFonts w:ascii="Cambria Math" w:hAnsi="Cambria Math"/>
                  </w:rPr>
                  <m:t>EV+VV</m:t>
                </m:r>
              </m:den>
            </m:f>
          </m:e>
        </m:d>
        <m:f>
          <m:fPr>
            <m:ctrlPr>
              <w:rPr>
                <w:rFonts w:ascii="Cambria Math" w:hAnsi="Cambria Math"/>
                <w:i/>
              </w:rPr>
            </m:ctrlPr>
          </m:fPr>
          <m:num>
            <m:r>
              <w:rPr>
                <w:rFonts w:ascii="Cambria Math" w:hAnsi="Cambria Math"/>
              </w:rPr>
              <m:t>EV+VV</m:t>
            </m:r>
          </m:num>
          <m:den>
            <m:r>
              <w:rPr>
                <w:rFonts w:ascii="Cambria Math" w:hAnsi="Cambria Math"/>
              </w:rPr>
              <m:t>EV</m:t>
            </m:r>
          </m:den>
        </m:f>
      </m:oMath>
    </w:p>
  </w:footnote>
  <w:footnote w:id="6">
    <w:p w:rsidR="00080D08" w:rsidRDefault="00080D08" w:rsidP="00AD3231">
      <w:pPr>
        <w:pStyle w:val="FootnoteText"/>
        <w:jc w:val="both"/>
      </w:pPr>
      <w:r>
        <w:rPr>
          <w:rStyle w:val="FootnoteReference"/>
        </w:rPr>
        <w:footnoteRef/>
      </w:r>
      <w:r>
        <w:t xml:space="preserve"> Activiteit A genereert jaarlijks 60 euro, activiteit B 50 euro en de liquide middelen genereren 10 euro.</w:t>
      </w:r>
    </w:p>
  </w:footnote>
  <w:footnote w:id="7">
    <w:p w:rsidR="00080D08" w:rsidRDefault="00080D08" w:rsidP="00AD3231">
      <w:pPr>
        <w:pStyle w:val="FootnoteText"/>
        <w:jc w:val="both"/>
      </w:pPr>
      <w:r>
        <w:rPr>
          <w:rStyle w:val="FootnoteReference"/>
        </w:rPr>
        <w:footnoteRef/>
      </w:r>
      <w:r>
        <w:t xml:space="preserve"> Er stonden eerst 60 aandelen uit, waarvan er 20 zijn ingekocht door de onderneming en zijn ingetrokken. </w:t>
      </w:r>
    </w:p>
  </w:footnote>
  <w:footnote w:id="8">
    <w:p w:rsidR="00080D08" w:rsidRDefault="00080D08" w:rsidP="00AD3231">
      <w:pPr>
        <w:pStyle w:val="FootnoteText"/>
        <w:jc w:val="both"/>
      </w:pPr>
      <w:r>
        <w:rPr>
          <w:rStyle w:val="FootnoteReference"/>
        </w:rPr>
        <w:footnoteRef/>
      </w:r>
      <w:r>
        <w:t xml:space="preserve"> In vergelijking met de situatie voor het inkopen van eigen aandelen valt de jaarlijkse kasstroom van de liquide middelen weg. Activiteit A en activiteit B blijven echter nog respectievelijk 60 en 50 euro per jaar genereren. </w:t>
      </w:r>
    </w:p>
  </w:footnote>
  <w:footnote w:id="9">
    <w:p w:rsidR="00080D08" w:rsidRDefault="00080D08" w:rsidP="00AD3231">
      <w:pPr>
        <w:pStyle w:val="FootnoteText"/>
        <w:jc w:val="both"/>
      </w:pPr>
      <w:r>
        <w:rPr>
          <w:rStyle w:val="FootnoteReference"/>
        </w:rPr>
        <w:footnoteRef/>
      </w:r>
      <w:r>
        <w:t xml:space="preserve"> Hierbij wordt verondersteld dat de onderneming niet de aandelen van het management inkoopt.</w:t>
      </w:r>
    </w:p>
  </w:footnote>
  <w:footnote w:id="10">
    <w:p w:rsidR="00080D08" w:rsidRDefault="00080D08" w:rsidP="00AD3231">
      <w:pPr>
        <w:pStyle w:val="FootnoteText"/>
        <w:jc w:val="both"/>
      </w:pPr>
      <w:r>
        <w:rPr>
          <w:rStyle w:val="FootnoteReference"/>
        </w:rPr>
        <w:footnoteRef/>
      </w:r>
      <w:r>
        <w:t xml:space="preserve"> Een uitzondering hierop is het onderzoek van </w:t>
      </w:r>
      <w:proofErr w:type="spellStart"/>
      <w:r>
        <w:t>Liano</w:t>
      </w:r>
      <w:proofErr w:type="spellEnd"/>
      <w:r>
        <w:t xml:space="preserve"> et al. (2003), die hier wel rekening mee lijkt te houden. In </w:t>
      </w:r>
      <w:proofErr w:type="spellStart"/>
      <w:r>
        <w:t>Vermaelen</w:t>
      </w:r>
      <w:proofErr w:type="spellEnd"/>
      <w:r>
        <w:t xml:space="preserve"> (1981) worden als criteria gehanteerd dat er 3 dagen rondom de aankondiging geen andere gebeurtenissen (</w:t>
      </w:r>
      <w:proofErr w:type="spellStart"/>
      <w:r>
        <w:t>events</w:t>
      </w:r>
      <w:proofErr w:type="spellEnd"/>
      <w:r>
        <w:t xml:space="preserve">) mogen zijn. Het is onduidelijk of er op de </w:t>
      </w:r>
      <w:proofErr w:type="spellStart"/>
      <w:r>
        <w:t>aankondigingsdag</w:t>
      </w:r>
      <w:proofErr w:type="spellEnd"/>
      <w:r>
        <w:t xml:space="preserve"> zelf geen andere gebeurtenis mag zijn geweest.</w:t>
      </w:r>
    </w:p>
  </w:footnote>
  <w:footnote w:id="11">
    <w:p w:rsidR="00080D08" w:rsidRDefault="00080D08" w:rsidP="00AD3231">
      <w:pPr>
        <w:pStyle w:val="FootnoteText"/>
        <w:jc w:val="both"/>
      </w:pPr>
      <w:r>
        <w:rPr>
          <w:rStyle w:val="FootnoteReference"/>
        </w:rPr>
        <w:footnoteRef/>
      </w:r>
      <w:r>
        <w:t xml:space="preserve"> Gegevens over de MSCI World Index in euro’s zijn verkrijgbaar vanaf 1999. Vanaf dat jaar bestaat er een koers voor de euro. </w:t>
      </w:r>
    </w:p>
  </w:footnote>
  <w:footnote w:id="12">
    <w:p w:rsidR="00080D08" w:rsidRDefault="00080D08" w:rsidP="00AD3231">
      <w:pPr>
        <w:pStyle w:val="FootnoteText"/>
        <w:jc w:val="both"/>
      </w:pPr>
      <w:r>
        <w:rPr>
          <w:rStyle w:val="FootnoteReference"/>
        </w:rPr>
        <w:footnoteRef/>
      </w:r>
      <w:r>
        <w:t xml:space="preserve"> De definities van de variabelen in het Markt Model komen overeen met Baltus &amp; Schauten (2000).</w:t>
      </w:r>
    </w:p>
  </w:footnote>
  <w:footnote w:id="13">
    <w:p w:rsidR="00080D08" w:rsidRDefault="00080D08" w:rsidP="00AD3231">
      <w:pPr>
        <w:pStyle w:val="FootnoteText"/>
        <w:jc w:val="both"/>
      </w:pPr>
      <w:r>
        <w:rPr>
          <w:rStyle w:val="FootnoteReference"/>
        </w:rPr>
        <w:footnoteRef/>
      </w:r>
      <w:r>
        <w:t xml:space="preserve"> Het dagelijkse rendement is gebaseerd op handelsdagen.</w:t>
      </w:r>
    </w:p>
  </w:footnote>
  <w:footnote w:id="14">
    <w:p w:rsidR="00080D08" w:rsidRPr="00CE6AA5" w:rsidRDefault="00080D08" w:rsidP="00F82D91">
      <w:pPr>
        <w:pStyle w:val="FootnoteText"/>
        <w:rPr>
          <w:rFonts w:eastAsiaTheme="minorEastAsia"/>
          <w:i/>
        </w:rPr>
      </w:pPr>
      <w:r w:rsidRPr="00CE6AA5">
        <w:rPr>
          <w:rStyle w:val="FootnoteReference"/>
          <w:i/>
        </w:rPr>
        <w:footnoteRef/>
      </w:r>
      <w:r w:rsidRPr="00CE6AA5">
        <w:rPr>
          <w:i/>
        </w:rPr>
        <w:t xml:space="preserve">  </w:t>
      </w: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AR</m:t>
                </m:r>
              </m:e>
              <m:sub>
                <m:r>
                  <w:rPr>
                    <w:rFonts w:ascii="Cambria Math" w:hAnsi="Cambria Math"/>
                  </w:rPr>
                  <m:t>t</m:t>
                </m:r>
              </m:sub>
            </m:sSub>
          </m:num>
          <m:den>
            <m:eqArr>
              <m:eqArrPr>
                <m:ctrlPr>
                  <w:rPr>
                    <w:rFonts w:ascii="Cambria Math" w:hAnsi="Cambria Math"/>
                    <w:i/>
                  </w:rPr>
                </m:ctrlPr>
              </m:eqArrPr>
              <m:e>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t</m:t>
                        </m:r>
                      </m:sub>
                    </m:sSub>
                  </m:num>
                  <m:den>
                    <m:rad>
                      <m:radPr>
                        <m:degHide m:val="on"/>
                        <m:ctrlPr>
                          <w:rPr>
                            <w:rFonts w:ascii="Cambria Math" w:hAnsi="Cambria Math"/>
                            <w:i/>
                          </w:rPr>
                        </m:ctrlPr>
                      </m:radPr>
                      <m:deg/>
                      <m:e>
                        <m:r>
                          <w:rPr>
                            <w:rFonts w:ascii="Cambria Math" w:hAnsi="Cambria Math"/>
                          </w:rPr>
                          <m:t>N</m:t>
                        </m:r>
                      </m:e>
                    </m:rad>
                  </m:den>
                </m:f>
              </m:e>
            </m:eqArr>
          </m:den>
        </m:f>
        <m:r>
          <w:rPr>
            <w:rFonts w:ascii="Cambria Math" w:hAnsi="Cambria Math"/>
          </w:rPr>
          <m:t xml:space="preserve"> </m:t>
        </m:r>
      </m:oMath>
      <w:r w:rsidRPr="00CE6AA5">
        <w:rPr>
          <w:rFonts w:eastAsiaTheme="minorEastAsia"/>
          <w:i/>
        </w:rPr>
        <w:t xml:space="preserve">                                                                                                                                                                                                                Waarin </w:t>
      </w:r>
      <m:oMath>
        <m:sSub>
          <m:sSubPr>
            <m:ctrlPr>
              <w:rPr>
                <w:rFonts w:ascii="Cambria Math" w:hAnsi="Cambria Math"/>
                <w:i/>
              </w:rPr>
            </m:ctrlPr>
          </m:sSubPr>
          <m:e>
            <m:r>
              <w:rPr>
                <w:rFonts w:ascii="Cambria Math" w:hAnsi="Cambria Math"/>
              </w:rPr>
              <m:t>AR</m:t>
            </m:r>
          </m:e>
          <m:sub>
            <m:r>
              <w:rPr>
                <w:rFonts w:ascii="Cambria Math" w:hAnsi="Cambria Math"/>
              </w:rPr>
              <m:t>t</m:t>
            </m:r>
          </m:sub>
        </m:sSub>
      </m:oMath>
      <w:r w:rsidRPr="00CE6AA5">
        <w:rPr>
          <w:rFonts w:eastAsiaTheme="minorEastAsia"/>
          <w:i/>
        </w:rPr>
        <w:tab/>
        <w:t>= Gemiddeld abnormaal rendement op dag t</w:t>
      </w:r>
    </w:p>
    <w:p w:rsidR="00080D08" w:rsidRPr="00CE6AA5" w:rsidRDefault="00080D08" w:rsidP="00F82D91">
      <w:pPr>
        <w:pStyle w:val="FootnoteText"/>
        <w:rPr>
          <w:rFonts w:eastAsiaTheme="minorEastAsia"/>
          <w:i/>
        </w:rPr>
      </w:pPr>
      <w:r w:rsidRPr="00CE6AA5">
        <w:rPr>
          <w:rFonts w:eastAsiaTheme="minorEastAsia"/>
          <w:i/>
        </w:rPr>
        <w:tab/>
      </w:r>
      <m:oMath>
        <m:sSub>
          <m:sSubPr>
            <m:ctrlPr>
              <w:rPr>
                <w:rFonts w:ascii="Cambria Math" w:hAnsi="Cambria Math"/>
                <w:i/>
              </w:rPr>
            </m:ctrlPr>
          </m:sSubPr>
          <m:e>
            <m:r>
              <w:rPr>
                <w:rFonts w:ascii="Cambria Math" w:hAnsi="Cambria Math"/>
              </w:rPr>
              <m:t>σ</m:t>
            </m:r>
          </m:e>
          <m:sub>
            <m:r>
              <w:rPr>
                <w:rFonts w:ascii="Cambria Math" w:hAnsi="Cambria Math"/>
              </w:rPr>
              <m:t>t</m:t>
            </m:r>
          </m:sub>
        </m:sSub>
      </m:oMath>
      <w:r w:rsidRPr="00CE6AA5">
        <w:rPr>
          <w:rFonts w:eastAsiaTheme="minorEastAsia"/>
          <w:i/>
        </w:rPr>
        <w:t xml:space="preserve">  </w:t>
      </w:r>
      <w:r w:rsidRPr="00CE6AA5">
        <w:rPr>
          <w:rFonts w:eastAsiaTheme="minorEastAsia"/>
          <w:i/>
        </w:rPr>
        <w:tab/>
        <w:t>= Standaarddeviatie van abnormale rendementen op dag t</w:t>
      </w:r>
    </w:p>
    <w:p w:rsidR="00080D08" w:rsidRPr="00CE6AA5" w:rsidRDefault="00080D08" w:rsidP="00F82D91">
      <w:pPr>
        <w:pStyle w:val="FootnoteText"/>
        <w:rPr>
          <w:rFonts w:eastAsiaTheme="minorEastAsia"/>
          <w:i/>
        </w:rPr>
      </w:pPr>
      <w:r w:rsidRPr="00CE6AA5">
        <w:rPr>
          <w:rFonts w:eastAsiaTheme="minorEastAsia"/>
          <w:i/>
        </w:rPr>
        <w:tab/>
        <w:t xml:space="preserve">N </w:t>
      </w:r>
      <w:r w:rsidRPr="00CE6AA5">
        <w:rPr>
          <w:rFonts w:eastAsiaTheme="minorEastAsia"/>
          <w:i/>
        </w:rPr>
        <w:tab/>
        <w:t>= Aantal Waarnemingen op dag t</w:t>
      </w:r>
    </w:p>
    <w:p w:rsidR="00080D08" w:rsidRPr="00CE6AA5" w:rsidRDefault="00080D08" w:rsidP="00AD3231">
      <w:pPr>
        <w:pStyle w:val="FootnoteText"/>
        <w:jc w:val="both"/>
        <w:rPr>
          <w:rFonts w:eastAsiaTheme="minorEastAsia"/>
          <w:i/>
        </w:rPr>
      </w:pPr>
      <w:r w:rsidRPr="00CE6AA5">
        <w:rPr>
          <w:rFonts w:eastAsiaTheme="minorEastAsia"/>
          <w:i/>
        </w:rPr>
        <w:t xml:space="preserve">Deze toetsgrootheid heeft een </w:t>
      </w:r>
      <w:proofErr w:type="spellStart"/>
      <w:r w:rsidRPr="00CE6AA5">
        <w:rPr>
          <w:rFonts w:eastAsiaTheme="minorEastAsia"/>
          <w:i/>
        </w:rPr>
        <w:t>Student-t</w:t>
      </w:r>
      <w:proofErr w:type="spellEnd"/>
      <w:r w:rsidRPr="00CE6AA5">
        <w:rPr>
          <w:rFonts w:eastAsiaTheme="minorEastAsia"/>
          <w:i/>
        </w:rPr>
        <w:t xml:space="preserve"> verdeling met N-1 vrijheidsgraden (Baltus &amp; Schauten, 2000). Bij het emp</w:t>
      </w:r>
      <w:r>
        <w:rPr>
          <w:rFonts w:eastAsiaTheme="minorEastAsia"/>
          <w:i/>
        </w:rPr>
        <w:t>i</w:t>
      </w:r>
      <w:r w:rsidRPr="00CE6AA5">
        <w:rPr>
          <w:rFonts w:eastAsiaTheme="minorEastAsia"/>
          <w:i/>
        </w:rPr>
        <w:t xml:space="preserve">risch onderzoek is uitgegaan van een betrouwbaarheidsinterval van </w:t>
      </w:r>
      <w:r>
        <w:rPr>
          <w:rFonts w:eastAsiaTheme="minorEastAsia"/>
          <w:i/>
        </w:rPr>
        <w:t>10</w:t>
      </w:r>
      <w:r w:rsidRPr="00CE6AA5">
        <w:rPr>
          <w:rFonts w:eastAsiaTheme="minorEastAsia"/>
          <w:i/>
        </w:rPr>
        <w:t>% bij een tweezijdige toets</w:t>
      </w:r>
      <w:r>
        <w:rPr>
          <w:rFonts w:eastAsiaTheme="minorEastAsia"/>
          <w:i/>
        </w:rPr>
        <w:t>.</w:t>
      </w:r>
    </w:p>
  </w:footnote>
  <w:footnote w:id="15">
    <w:p w:rsidR="00080D08" w:rsidRDefault="00080D08" w:rsidP="00AD3231">
      <w:pPr>
        <w:pStyle w:val="FootnoteText"/>
        <w:jc w:val="both"/>
      </w:pPr>
      <w:r>
        <w:rPr>
          <w:rStyle w:val="FootnoteReference"/>
        </w:rPr>
        <w:footnoteRef/>
      </w:r>
      <w:r>
        <w:t xml:space="preserve"> </w:t>
      </w:r>
      <w:r w:rsidRPr="00C2257B">
        <w:rPr>
          <w:i/>
        </w:rPr>
        <w:t>Bij een tekentoets worden slechts plus- en mintekens in plaats van numerieke waarden gebruikt. De nulhypothese luidt dat het aantal plussen en minnen van het abnorma</w:t>
      </w:r>
      <w:r>
        <w:rPr>
          <w:i/>
        </w:rPr>
        <w:t>al</w:t>
      </w:r>
      <w:r w:rsidRPr="00C2257B">
        <w:rPr>
          <w:i/>
        </w:rPr>
        <w:t xml:space="preserve"> rendement gelijk is (Baltus &amp; Schauten, 2000)</w:t>
      </w:r>
      <w:r>
        <w:rPr>
          <w:i/>
        </w:rPr>
        <w:t>. In het empirisch onderzoek is uitgegaan van een significantieniveau van 10% bij een tweezijdige toets.</w:t>
      </w:r>
    </w:p>
  </w:footnote>
  <w:footnote w:id="16">
    <w:p w:rsidR="00080D08" w:rsidRDefault="00080D08" w:rsidP="00AD3231">
      <w:pPr>
        <w:pStyle w:val="FootnoteText"/>
        <w:jc w:val="both"/>
      </w:pPr>
      <w:r>
        <w:rPr>
          <w:rStyle w:val="FootnoteReference"/>
        </w:rPr>
        <w:footnoteRef/>
      </w:r>
      <w:r>
        <w:t xml:space="preserve"> De vaste transactiekosten van €6,- zijn verwaarloosbaar indien een grote hoeveelheid aandelen wordt gekocht. </w:t>
      </w:r>
    </w:p>
  </w:footnote>
  <w:footnote w:id="17">
    <w:p w:rsidR="00080D08" w:rsidRDefault="00080D08">
      <w:pPr>
        <w:pStyle w:val="FootnoteText"/>
        <w:rPr>
          <w:rFonts w:eastAsiaTheme="minorEastAsia"/>
        </w:rPr>
      </w:pPr>
      <w:r>
        <w:rPr>
          <w:rStyle w:val="FootnoteReference"/>
        </w:rPr>
        <w:footnoteRef/>
      </w:r>
      <w:r>
        <w:t xml:space="preserve"> </w:t>
      </w:r>
      <m:oMath>
        <m:r>
          <w:rPr>
            <w:rFonts w:ascii="Cambria Math" w:hAnsi="Cambria Math"/>
          </w:rPr>
          <m:t>t=</m:t>
        </m:r>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AR</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AR</m:t>
                    </m:r>
                  </m:e>
                </m:acc>
              </m:e>
              <m:sub>
                <m:r>
                  <w:rPr>
                    <w:rFonts w:ascii="Cambria Math" w:hAnsi="Cambria Math"/>
                  </w:rPr>
                  <m:t>2</m:t>
                </m:r>
              </m:sub>
            </m:sSub>
            <m:r>
              <w:rPr>
                <w:rFonts w:ascii="Cambria Math" w:hAnsi="Cambria Math"/>
              </w:rPr>
              <m:t>)</m:t>
            </m:r>
          </m:num>
          <m:den>
            <m:rad>
              <m:radPr>
                <m:degHide m:val="on"/>
                <m:ctrlPr>
                  <w:rPr>
                    <w:rFonts w:ascii="Cambria Math" w:hAnsi="Cambria Math"/>
                    <w:i/>
                  </w:rPr>
                </m:ctrlPr>
              </m:radPr>
              <m:deg/>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1</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2</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e>
            </m:rad>
          </m:den>
        </m:f>
      </m:oMath>
    </w:p>
    <w:p w:rsidR="00080D08" w:rsidRDefault="00080D08" w:rsidP="00AD3231">
      <w:pPr>
        <w:pStyle w:val="FootnoteText"/>
        <w:jc w:val="both"/>
        <w:rPr>
          <w:rFonts w:eastAsiaTheme="minorEastAsia"/>
        </w:rPr>
      </w:pPr>
      <w:r>
        <w:rPr>
          <w:rFonts w:eastAsiaTheme="minorEastAsia"/>
        </w:rPr>
        <w:t>Waarin</w:t>
      </w:r>
    </w:p>
    <w:p w:rsidR="00080D08" w:rsidRDefault="00080D08" w:rsidP="00AD3231">
      <w:pPr>
        <w:pStyle w:val="FootnoteText"/>
        <w:jc w:val="both"/>
      </w:pPr>
      <w:r>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AR</m:t>
                </m:r>
              </m:e>
            </m:acc>
          </m:e>
          <m:sub>
            <m:r>
              <w:rPr>
                <w:rFonts w:ascii="Cambria Math" w:hAnsi="Cambria Math"/>
              </w:rPr>
              <m:t>1</m:t>
            </m:r>
          </m:sub>
        </m:sSub>
        <m:r>
          <w:rPr>
            <w:rFonts w:ascii="Cambria Math" w:eastAsiaTheme="minorEastAsia" w:hAnsi="Cambria Math"/>
          </w:rPr>
          <m:t xml:space="preserve"> =gemiddelde abnormale rendement met gebeurtenissen op de dag van aankondiging</m:t>
        </m:r>
      </m:oMath>
      <w:r>
        <w:tab/>
      </w:r>
    </w:p>
    <w:p w:rsidR="00080D08" w:rsidRDefault="00080D08" w:rsidP="00AD3231">
      <w:pPr>
        <w:pStyle w:val="FootnoteText"/>
        <w:jc w:val="both"/>
        <w:rPr>
          <w:rFonts w:eastAsiaTheme="minorEastAsia"/>
        </w:rPr>
      </w:pP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AR</m:t>
                </m:r>
              </m:e>
            </m:acc>
          </m:e>
          <m:sub>
            <m:r>
              <w:rPr>
                <w:rFonts w:ascii="Cambria Math" w:hAnsi="Cambria Math"/>
              </w:rPr>
              <m:t>2</m:t>
            </m:r>
          </m:sub>
        </m:sSub>
        <m:r>
          <w:rPr>
            <w:rFonts w:ascii="Cambria Math" w:hAnsi="Cambria Math"/>
          </w:rPr>
          <m:t xml:space="preserve"> =gemiddelde abnormale rendement zonder g</m:t>
        </m:r>
        <m:r>
          <w:rPr>
            <w:rFonts w:ascii="Cambria Math" w:hAnsi="Cambria Math"/>
          </w:rPr>
          <m:t xml:space="preserve">ebeurtenissen op de dag van aankondiging </m:t>
        </m:r>
      </m:oMath>
    </w:p>
    <w:p w:rsidR="00080D08" w:rsidRDefault="00E77650" w:rsidP="00AD3231">
      <w:pPr>
        <w:pStyle w:val="FootnoteText"/>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q</m:t>
            </m:r>
          </m:sub>
        </m:sSub>
        <m:r>
          <w:rPr>
            <w:rFonts w:ascii="Cambria Math" w:eastAsiaTheme="minorEastAsia" w:hAnsi="Cambria Math"/>
          </w:rPr>
          <m:t xml:space="preserve">     =standaardeviatie van het abnormale rendement van q op de dag van aankondiging</m:t>
        </m:r>
      </m:oMath>
      <w:r w:rsidR="00080D08">
        <w:rPr>
          <w:rFonts w:eastAsiaTheme="minorEastAsia"/>
        </w:rPr>
        <w:t xml:space="preserve"> </w:t>
      </w:r>
    </w:p>
    <w:p w:rsidR="00080D08" w:rsidRDefault="00E77650" w:rsidP="00AD3231">
      <w:pPr>
        <w:pStyle w:val="FootnoteText"/>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q</m:t>
            </m:r>
          </m:sub>
        </m:sSub>
        <m:r>
          <w:rPr>
            <w:rFonts w:ascii="Cambria Math" w:eastAsiaTheme="minorEastAsia" w:hAnsi="Cambria Math"/>
          </w:rPr>
          <m:t xml:space="preserve">    =aantal waarnemingen van q op de dag van aankondiging</m:t>
        </m:r>
      </m:oMath>
      <w:r w:rsidR="00080D08">
        <w:rPr>
          <w:rFonts w:eastAsiaTheme="minorEastAsia"/>
        </w:rPr>
        <w:t xml:space="preserve"> </w:t>
      </w:r>
      <m:oMath>
        <m:r>
          <w:rPr>
            <w:rFonts w:ascii="Cambria Math" w:eastAsiaTheme="minorEastAsia" w:hAnsi="Cambria Math"/>
          </w:rPr>
          <m:t>Hierbij is q=1 met belangrijke gebeurtenissen en q=2 zonder belangrijke gebeurtenissen</m:t>
        </m:r>
      </m:oMath>
      <w:r w:rsidR="00080D08">
        <w:rPr>
          <w:rFonts w:eastAsiaTheme="minorEastAsia"/>
        </w:rPr>
        <w:t xml:space="preserve"> </w:t>
      </w:r>
    </w:p>
    <w:p w:rsidR="00080D08" w:rsidRPr="006C167D" w:rsidRDefault="00080D08" w:rsidP="00AD3231">
      <w:pPr>
        <w:pStyle w:val="FootnoteText"/>
        <w:jc w:val="both"/>
        <w:rPr>
          <w:rFonts w:eastAsiaTheme="minorEastAsia"/>
        </w:rPr>
      </w:pPr>
      <w:r>
        <w:rPr>
          <w:rFonts w:eastAsiaTheme="minorEastAsia"/>
        </w:rPr>
        <w:t xml:space="preserve">Deze toetsgrootheid heeft een </w:t>
      </w:r>
      <w:proofErr w:type="spellStart"/>
      <w:r>
        <w:rPr>
          <w:rFonts w:eastAsiaTheme="minorEastAsia"/>
        </w:rPr>
        <w:t>Student-t</w:t>
      </w:r>
      <w:proofErr w:type="spellEnd"/>
      <w:r>
        <w:rPr>
          <w:rFonts w:eastAsiaTheme="minorEastAsia"/>
        </w:rPr>
        <w:t xml:space="preserve"> verdeling met min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oMath>
      <w:r>
        <w:rPr>
          <w:rFonts w:eastAsiaTheme="minorEastAsia"/>
        </w:rPr>
        <w:t>-1;</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oMath>
      <w:r>
        <w:rPr>
          <w:rFonts w:eastAsiaTheme="minorEastAsia"/>
        </w:rPr>
        <w:t>-1) vrijheidsgraden. Bij het empirisch onderzoek is uitgegaan van een betrouwbaarheidsinterval van 10% bij een tweezijdige toets.</w:t>
      </w:r>
    </w:p>
  </w:footnote>
  <w:footnote w:id="18">
    <w:p w:rsidR="00080D08" w:rsidRDefault="00080D08">
      <w:pPr>
        <w:pStyle w:val="FootnoteText"/>
      </w:pPr>
      <w:r>
        <w:rPr>
          <w:rStyle w:val="FootnoteReference"/>
        </w:rPr>
        <w:footnoteRef/>
      </w:r>
      <w:r>
        <w:t xml:space="preserve"> </w:t>
      </w:r>
      <w:r w:rsidRPr="00111129">
        <w:t xml:space="preserve">In een rationele markt wordt de onderneming namelijk pas afgestraft op het moment dat blijkt dat zij haar belofte niet nakomt. </w:t>
      </w:r>
      <w:proofErr w:type="spellStart"/>
      <w:r w:rsidRPr="00111129">
        <w:t>Stephens</w:t>
      </w:r>
      <w:proofErr w:type="spellEnd"/>
      <w:r w:rsidRPr="00111129">
        <w:t xml:space="preserve"> &amp; </w:t>
      </w:r>
      <w:proofErr w:type="spellStart"/>
      <w:r w:rsidRPr="00111129">
        <w:t>Weisbach</w:t>
      </w:r>
      <w:proofErr w:type="spellEnd"/>
      <w:r w:rsidRPr="00111129">
        <w:t xml:space="preserve"> (1998) hebben onderzoek gedaan naar de daadwerkelijke uitvoering van de aangekondigde </w:t>
      </w:r>
      <w:proofErr w:type="spellStart"/>
      <w:r w:rsidRPr="00111129">
        <w:t>aandeleninkoopprogramma’s</w:t>
      </w:r>
      <w:proofErr w:type="spellEnd"/>
      <w:r w:rsidRPr="00111129">
        <w:t xml:space="preserve">. Hieruit bleek dat 74 tot 82 procent van de omvang van de aangekondigde </w:t>
      </w:r>
      <w:proofErr w:type="spellStart"/>
      <w:r w:rsidRPr="00111129">
        <w:t>aandeleninkoopprogramma’s</w:t>
      </w:r>
      <w:proofErr w:type="spellEnd"/>
      <w:r w:rsidRPr="00111129">
        <w:t xml:space="preserve"> daadwerkelijk </w:t>
      </w:r>
      <w:r>
        <w:t xml:space="preserve">werd </w:t>
      </w:r>
      <w:r w:rsidRPr="00111129">
        <w:t>uitgevoerd.</w:t>
      </w:r>
    </w:p>
  </w:footnote>
  <w:footnote w:id="19">
    <w:p w:rsidR="00080D08" w:rsidRDefault="00080D08" w:rsidP="00AD3231">
      <w:pPr>
        <w:pStyle w:val="FootnoteText"/>
        <w:jc w:val="both"/>
      </w:pPr>
      <w:r>
        <w:rPr>
          <w:rStyle w:val="FootnoteReference"/>
        </w:rPr>
        <w:footnoteRef/>
      </w:r>
      <w:r>
        <w:t xml:space="preserve"> De koersinformatie is gebruikt om het rendement van het aandeel van de onderneming, het rendement van de marktindex en de alfa en bèta van het Markt Model te berekenen. </w:t>
      </w:r>
    </w:p>
  </w:footnote>
  <w:footnote w:id="20">
    <w:p w:rsidR="00080D08" w:rsidRDefault="00080D08" w:rsidP="00AD3231">
      <w:pPr>
        <w:pStyle w:val="FootnoteText"/>
        <w:jc w:val="both"/>
      </w:pPr>
      <w:r>
        <w:rPr>
          <w:rStyle w:val="FootnoteReference"/>
        </w:rPr>
        <w:footnoteRef/>
      </w:r>
      <w:r>
        <w:t xml:space="preserve"> De jaarcijfers werden 3 handelsdagen voor de aankondiging van het inkopen van eigen aandelen gepresenteerd. Dit leidde op die dag tot een abnormaal rendement van -20%. </w:t>
      </w:r>
    </w:p>
  </w:footnote>
  <w:footnote w:id="21">
    <w:p w:rsidR="00080D08" w:rsidRDefault="00080D08" w:rsidP="00AD3231">
      <w:pPr>
        <w:pStyle w:val="FootnoteText"/>
        <w:jc w:val="both"/>
      </w:pPr>
      <w:r>
        <w:rPr>
          <w:rStyle w:val="FootnoteReference"/>
        </w:rPr>
        <w:footnoteRef/>
      </w:r>
      <w:r>
        <w:t xml:space="preserve"> 36 van de 69 </w:t>
      </w:r>
      <w:proofErr w:type="spellStart"/>
      <w:r>
        <w:t>aandeleninkoopprogramma’s</w:t>
      </w:r>
      <w:proofErr w:type="spellEnd"/>
      <w:r>
        <w:t xml:space="preserve"> hebben als theoretisch motief de </w:t>
      </w:r>
      <w:proofErr w:type="spellStart"/>
      <w:r>
        <w:t>leverage-hypothese</w:t>
      </w:r>
      <w:proofErr w:type="spellEnd"/>
      <w:r>
        <w:t>.</w:t>
      </w:r>
    </w:p>
  </w:footnote>
  <w:footnote w:id="22">
    <w:p w:rsidR="00080D08" w:rsidRDefault="00080D08" w:rsidP="00AD3231">
      <w:pPr>
        <w:pStyle w:val="FootnoteText"/>
        <w:jc w:val="both"/>
      </w:pPr>
      <w:r>
        <w:rPr>
          <w:rStyle w:val="FootnoteReference"/>
        </w:rPr>
        <w:footnoteRef/>
      </w:r>
      <w:r>
        <w:t xml:space="preserve"> Baltus &amp; Schauten (2000) vinden bij 52% van de onderzochte </w:t>
      </w:r>
      <w:proofErr w:type="spellStart"/>
      <w:r>
        <w:t>aandeleninkoopprogramma’s</w:t>
      </w:r>
      <w:proofErr w:type="spellEnd"/>
      <w:r>
        <w:t xml:space="preserve"> als theoretisch motief de </w:t>
      </w:r>
      <w:proofErr w:type="spellStart"/>
      <w:r>
        <w:t>leverage</w:t>
      </w:r>
      <w:proofErr w:type="spellEnd"/>
      <w:r>
        <w:t xml:space="preserve"> hypothese. Zij hebben er echter voor gekozen om het motief “overtollig kasgeld uitkeren” te koppelen aan de </w:t>
      </w:r>
      <w:proofErr w:type="spellStart"/>
      <w:r>
        <w:t>leverage</w:t>
      </w:r>
      <w:proofErr w:type="spellEnd"/>
      <w:r>
        <w:t xml:space="preserve"> hypothese. Indien in hun onderzoek het uitkeren van overtollig kasgeld wordt gekoppeld aan de free cash </w:t>
      </w:r>
      <w:proofErr w:type="spellStart"/>
      <w:r>
        <w:t>flow</w:t>
      </w:r>
      <w:proofErr w:type="spellEnd"/>
      <w:r>
        <w:t xml:space="preserve"> hypothese, daalt het percentage dat gekoppeld wordt aan de </w:t>
      </w:r>
      <w:proofErr w:type="spellStart"/>
      <w:r>
        <w:t>leverage</w:t>
      </w:r>
      <w:proofErr w:type="spellEnd"/>
      <w:r>
        <w:t xml:space="preserve"> hypothese naar 38%. De </w:t>
      </w:r>
      <w:proofErr w:type="spellStart"/>
      <w:r>
        <w:t>leverage</w:t>
      </w:r>
      <w:proofErr w:type="spellEnd"/>
      <w:r>
        <w:t xml:space="preserve"> hypothese blijft in hun onderzoek na deze aanpassing ook het belangrijkste theoretisch motief om eigen aandelen in te kopen. </w:t>
      </w:r>
    </w:p>
  </w:footnote>
  <w:footnote w:id="23">
    <w:p w:rsidR="00080D08" w:rsidRDefault="00080D08">
      <w:pPr>
        <w:pStyle w:val="FootnoteText"/>
      </w:pPr>
      <w:r>
        <w:rPr>
          <w:rStyle w:val="FootnoteReference"/>
        </w:rPr>
        <w:footnoteRef/>
      </w:r>
      <w:r>
        <w:t xml:space="preserve"> De indeling van de subgroepen is gelijk aan Baltus &amp; Schauten (2000). Hierdoor kunnen de resultaten goed vergeleken worden met dit onderzoek.</w:t>
      </w:r>
    </w:p>
  </w:footnote>
  <w:footnote w:id="24">
    <w:p w:rsidR="00080D08" w:rsidRDefault="00080D08">
      <w:pPr>
        <w:pStyle w:val="FootnoteText"/>
      </w:pPr>
      <w:r>
        <w:rPr>
          <w:rStyle w:val="FootnoteReference"/>
        </w:rPr>
        <w:footnoteRef/>
      </w:r>
      <w:r>
        <w:t xml:space="preserve"> </w:t>
      </w:r>
      <w:r w:rsidRPr="00007685">
        <w:t>Er is ervoor gekozen om alleen de resultaten van de statis</w:t>
      </w:r>
      <w:r>
        <w:t>tis</w:t>
      </w:r>
      <w:r w:rsidRPr="00007685">
        <w:t xml:space="preserve">che testen van de </w:t>
      </w:r>
      <w:proofErr w:type="spellStart"/>
      <w:r w:rsidRPr="00007685">
        <w:t>leverage</w:t>
      </w:r>
      <w:proofErr w:type="spellEnd"/>
      <w:r w:rsidRPr="00007685">
        <w:t xml:space="preserve"> hypothese hieronder te weergeven, omdat deze </w:t>
      </w:r>
      <w:r>
        <w:t>(</w:t>
      </w:r>
      <w:r w:rsidRPr="00007685">
        <w:t xml:space="preserve">op basis van figuur 5 en </w:t>
      </w:r>
      <w:r>
        <w:t xml:space="preserve">figuur </w:t>
      </w:r>
      <w:r w:rsidRPr="00007685">
        <w:t>6</w:t>
      </w:r>
      <w:r>
        <w:t>)</w:t>
      </w:r>
      <w:r w:rsidRPr="00007685">
        <w:t xml:space="preserve"> het meest interessant lijken te zijn</w:t>
      </w:r>
      <w:r>
        <w:t>.</w:t>
      </w:r>
    </w:p>
  </w:footnote>
  <w:footnote w:id="25">
    <w:p w:rsidR="00080D08" w:rsidRDefault="00080D08">
      <w:pPr>
        <w:pStyle w:val="FootnoteText"/>
      </w:pPr>
      <w:r>
        <w:rPr>
          <w:rStyle w:val="FootnoteReference"/>
        </w:rPr>
        <w:footnoteRef/>
      </w:r>
      <w:r>
        <w:t xml:space="preserve"> </w:t>
      </w:r>
      <w:r w:rsidRPr="00007685">
        <w:t xml:space="preserve">Om de invloed van de omvang van het </w:t>
      </w:r>
      <w:proofErr w:type="spellStart"/>
      <w:r w:rsidRPr="00007685">
        <w:t>aandeleninkoopprogramma</w:t>
      </w:r>
      <w:proofErr w:type="spellEnd"/>
      <w:r w:rsidRPr="00007685">
        <w:t xml:space="preserve"> op deze resultaten uit te sluiten, is het abnormaal rendement op de dag van aankondiging van beide theoretische motieven bij een omvang van tussen de 0 en 5% van het uitstaande </w:t>
      </w:r>
      <w:proofErr w:type="spellStart"/>
      <w:r w:rsidRPr="00007685">
        <w:t>aandeleninkoopprogramma</w:t>
      </w:r>
      <w:proofErr w:type="spellEnd"/>
      <w:r w:rsidRPr="00007685">
        <w:t xml:space="preserve"> vergeleken. Bij de </w:t>
      </w:r>
      <w:proofErr w:type="spellStart"/>
      <w:r w:rsidRPr="00007685">
        <w:t>leverage</w:t>
      </w:r>
      <w:proofErr w:type="spellEnd"/>
      <w:r w:rsidRPr="00007685">
        <w:t xml:space="preserve"> hypothese wordt een abnormaal rendement van 1,77% gevonden en bij de free cash </w:t>
      </w:r>
      <w:proofErr w:type="spellStart"/>
      <w:r w:rsidRPr="00007685">
        <w:t>flow</w:t>
      </w:r>
      <w:proofErr w:type="spellEnd"/>
      <w:r w:rsidRPr="00007685">
        <w:t xml:space="preserve"> hypothese 0,48%. De omvang verklaart de invloed van het theoretisch motief op de hoogte van het abnormaal rendement dus niet.   </w:t>
      </w:r>
    </w:p>
  </w:footnote>
  <w:footnote w:id="26">
    <w:p w:rsidR="00080D08" w:rsidRDefault="00080D08" w:rsidP="007C52AA">
      <w:pPr>
        <w:pStyle w:val="FootnoteText"/>
      </w:pPr>
      <w:r>
        <w:rPr>
          <w:rStyle w:val="FootnoteReference"/>
        </w:rPr>
        <w:footnoteRef/>
      </w:r>
      <w:r>
        <w:t xml:space="preserve"> Er is ervoor gekozen om</w:t>
      </w:r>
      <w:r w:rsidRPr="00007685">
        <w:t xml:space="preserve"> </w:t>
      </w:r>
      <w:r>
        <w:t>op de volgende pagina</w:t>
      </w:r>
      <w:r w:rsidRPr="00007685">
        <w:t xml:space="preserve"> alleen de resultaten van de statis</w:t>
      </w:r>
      <w:r>
        <w:t>tis</w:t>
      </w:r>
      <w:r w:rsidRPr="00007685">
        <w:t xml:space="preserve">che testen van </w:t>
      </w:r>
      <w:r>
        <w:t xml:space="preserve">subgroep C </w:t>
      </w:r>
      <w:r w:rsidRPr="00007685">
        <w:t xml:space="preserve">te weergeven, omdat deze </w:t>
      </w:r>
      <w:r>
        <w:t>(</w:t>
      </w:r>
      <w:r w:rsidRPr="00007685">
        <w:t xml:space="preserve">op basis van figuur </w:t>
      </w:r>
      <w:r>
        <w:t>7</w:t>
      </w:r>
      <w:r w:rsidRPr="00007685">
        <w:t xml:space="preserve"> en </w:t>
      </w:r>
      <w:r>
        <w:t xml:space="preserve">bijlage </w:t>
      </w:r>
      <w:r w:rsidRPr="00007685">
        <w:t>6</w:t>
      </w:r>
      <w:r>
        <w:t>)</w:t>
      </w:r>
      <w:r w:rsidRPr="00007685">
        <w:t xml:space="preserve"> het meest interessant lijk</w:t>
      </w:r>
      <w:r>
        <w:t>en</w:t>
      </w:r>
      <w:r w:rsidRPr="00007685">
        <w:t xml:space="preserve"> te zijn</w:t>
      </w:r>
      <w:r>
        <w:t>.</w:t>
      </w:r>
    </w:p>
    <w:p w:rsidR="00080D08" w:rsidRDefault="00080D08">
      <w:pPr>
        <w:pStyle w:val="FootnoteText"/>
      </w:pPr>
    </w:p>
  </w:footnote>
  <w:footnote w:id="27">
    <w:p w:rsidR="00080D08" w:rsidRDefault="00080D08">
      <w:pPr>
        <w:pStyle w:val="FootnoteText"/>
      </w:pPr>
      <w:r>
        <w:rPr>
          <w:rStyle w:val="FootnoteReference"/>
        </w:rPr>
        <w:footnoteRef/>
      </w:r>
      <w:r>
        <w:t xml:space="preserve"> </w:t>
      </w:r>
      <w:r w:rsidRPr="00007685">
        <w:t>Er is ervoor gekozen om alleen de resultaten van de statis</w:t>
      </w:r>
      <w:r>
        <w:t>tis</w:t>
      </w:r>
      <w:r w:rsidRPr="00007685">
        <w:t xml:space="preserve">che testen van de </w:t>
      </w:r>
      <w:proofErr w:type="spellStart"/>
      <w:r w:rsidRPr="00007685">
        <w:t>leverage</w:t>
      </w:r>
      <w:proofErr w:type="spellEnd"/>
      <w:r w:rsidRPr="00007685">
        <w:t xml:space="preserve"> hypothese hieronder te weergeven, omdat deze </w:t>
      </w:r>
      <w:r>
        <w:t>het meest interessant</w:t>
      </w:r>
      <w:r w:rsidRPr="00007685">
        <w:t xml:space="preserve"> zijn</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27781616"/>
      <w:docPartObj>
        <w:docPartGallery w:val="Page Numbers (Top of Page)"/>
        <w:docPartUnique/>
      </w:docPartObj>
    </w:sdtPr>
    <w:sdtEndPr>
      <w:rPr>
        <w:spacing w:val="0"/>
      </w:rPr>
    </w:sdtEndPr>
    <w:sdtContent>
      <w:p w:rsidR="00080D08" w:rsidRPr="00232EED" w:rsidRDefault="00080D08">
        <w:pPr>
          <w:pStyle w:val="Header"/>
          <w:pBdr>
            <w:bottom w:val="single" w:sz="4" w:space="1" w:color="D9D9D9" w:themeColor="background1" w:themeShade="D9"/>
          </w:pBdr>
          <w:jc w:val="right"/>
          <w:rPr>
            <w:b/>
          </w:rPr>
        </w:pPr>
        <w:r w:rsidRPr="00232EED">
          <w:rPr>
            <w:spacing w:val="60"/>
          </w:rPr>
          <w:t>Inko</w:t>
        </w:r>
        <w:r>
          <w:rPr>
            <w:spacing w:val="60"/>
          </w:rPr>
          <w:t>op</w:t>
        </w:r>
        <w:r w:rsidRPr="00232EED">
          <w:rPr>
            <w:spacing w:val="60"/>
          </w:rPr>
          <w:t xml:space="preserve"> van eigen aandelen op de AEX </w:t>
        </w:r>
        <w:r w:rsidRPr="00232EED">
          <w:t xml:space="preserve"> | </w:t>
        </w:r>
        <w:fldSimple w:instr=" PAGE   \* MERGEFORMAT ">
          <w:r w:rsidR="00C14EA6" w:rsidRPr="00C14EA6">
            <w:rPr>
              <w:b/>
              <w:noProof/>
            </w:rPr>
            <w:t>47</w:t>
          </w:r>
        </w:fldSimple>
      </w:p>
    </w:sdtContent>
  </w:sdt>
  <w:p w:rsidR="00080D08" w:rsidRDefault="00080D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767D"/>
    <w:multiLevelType w:val="hybridMultilevel"/>
    <w:tmpl w:val="422884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922DD3"/>
    <w:multiLevelType w:val="hybridMultilevel"/>
    <w:tmpl w:val="3072D5C0"/>
    <w:lvl w:ilvl="0" w:tplc="203025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7E396B"/>
    <w:multiLevelType w:val="hybridMultilevel"/>
    <w:tmpl w:val="EC3C6FB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8656DED"/>
    <w:multiLevelType w:val="hybridMultilevel"/>
    <w:tmpl w:val="CF74540E"/>
    <w:lvl w:ilvl="0" w:tplc="04130005">
      <w:start w:val="1"/>
      <w:numFmt w:val="bullet"/>
      <w:lvlText w:val=""/>
      <w:lvlJc w:val="left"/>
      <w:pPr>
        <w:ind w:left="1211" w:hanging="360"/>
      </w:pPr>
      <w:rPr>
        <w:rFonts w:ascii="Wingdings" w:hAnsi="Wingdings"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
    <w:nsid w:val="29393690"/>
    <w:multiLevelType w:val="multilevel"/>
    <w:tmpl w:val="DD942F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54B4356"/>
    <w:multiLevelType w:val="hybridMultilevel"/>
    <w:tmpl w:val="DA16315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956648C"/>
    <w:multiLevelType w:val="multilevel"/>
    <w:tmpl w:val="1044746A"/>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7">
    <w:nsid w:val="3ECA01F7"/>
    <w:multiLevelType w:val="hybridMultilevel"/>
    <w:tmpl w:val="098EF4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7A67D8F"/>
    <w:multiLevelType w:val="multilevel"/>
    <w:tmpl w:val="1044746A"/>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9">
    <w:nsid w:val="51090DA5"/>
    <w:multiLevelType w:val="hybridMultilevel"/>
    <w:tmpl w:val="41781D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6BD66EF"/>
    <w:multiLevelType w:val="hybridMultilevel"/>
    <w:tmpl w:val="69F426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4BF2FC1"/>
    <w:multiLevelType w:val="hybridMultilevel"/>
    <w:tmpl w:val="9A2617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8943BF6"/>
    <w:multiLevelType w:val="hybridMultilevel"/>
    <w:tmpl w:val="82FC8CF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6F45200"/>
    <w:multiLevelType w:val="hybridMultilevel"/>
    <w:tmpl w:val="EAB841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B1A75C6"/>
    <w:multiLevelType w:val="multilevel"/>
    <w:tmpl w:val="DAFA389C"/>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12"/>
  </w:num>
  <w:num w:numId="4">
    <w:abstractNumId w:val="5"/>
  </w:num>
  <w:num w:numId="5">
    <w:abstractNumId w:val="0"/>
  </w:num>
  <w:num w:numId="6">
    <w:abstractNumId w:val="2"/>
  </w:num>
  <w:num w:numId="7">
    <w:abstractNumId w:val="11"/>
  </w:num>
  <w:num w:numId="8">
    <w:abstractNumId w:val="3"/>
  </w:num>
  <w:num w:numId="9">
    <w:abstractNumId w:val="10"/>
  </w:num>
  <w:num w:numId="10">
    <w:abstractNumId w:val="9"/>
  </w:num>
  <w:num w:numId="11">
    <w:abstractNumId w:val="13"/>
  </w:num>
  <w:num w:numId="12">
    <w:abstractNumId w:val="14"/>
  </w:num>
  <w:num w:numId="13">
    <w:abstractNumId w:val="7"/>
  </w:num>
  <w:num w:numId="14">
    <w:abstractNumId w:val="1"/>
  </w:num>
  <w:num w:numId="15">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F7D2D"/>
    <w:rsid w:val="00000227"/>
    <w:rsid w:val="00001E51"/>
    <w:rsid w:val="00002341"/>
    <w:rsid w:val="00003B03"/>
    <w:rsid w:val="000043F4"/>
    <w:rsid w:val="00007685"/>
    <w:rsid w:val="00007EC7"/>
    <w:rsid w:val="0001249F"/>
    <w:rsid w:val="00013BE9"/>
    <w:rsid w:val="00013D6A"/>
    <w:rsid w:val="000144D4"/>
    <w:rsid w:val="00020C3E"/>
    <w:rsid w:val="00021154"/>
    <w:rsid w:val="00021F82"/>
    <w:rsid w:val="00022212"/>
    <w:rsid w:val="00026AA3"/>
    <w:rsid w:val="00026B0D"/>
    <w:rsid w:val="000300D1"/>
    <w:rsid w:val="00033883"/>
    <w:rsid w:val="000342CE"/>
    <w:rsid w:val="0003589A"/>
    <w:rsid w:val="00036074"/>
    <w:rsid w:val="00040405"/>
    <w:rsid w:val="000418E6"/>
    <w:rsid w:val="000462E7"/>
    <w:rsid w:val="0005052F"/>
    <w:rsid w:val="000527DE"/>
    <w:rsid w:val="00055567"/>
    <w:rsid w:val="00056BFF"/>
    <w:rsid w:val="00061B80"/>
    <w:rsid w:val="00062926"/>
    <w:rsid w:val="00065F8C"/>
    <w:rsid w:val="00073B50"/>
    <w:rsid w:val="0007528E"/>
    <w:rsid w:val="00076082"/>
    <w:rsid w:val="000802D5"/>
    <w:rsid w:val="00080BA5"/>
    <w:rsid w:val="00080D08"/>
    <w:rsid w:val="0008143F"/>
    <w:rsid w:val="000819B7"/>
    <w:rsid w:val="00083CC5"/>
    <w:rsid w:val="00083D78"/>
    <w:rsid w:val="00090809"/>
    <w:rsid w:val="00092800"/>
    <w:rsid w:val="00094BC5"/>
    <w:rsid w:val="000A17B8"/>
    <w:rsid w:val="000A1FF7"/>
    <w:rsid w:val="000A21F4"/>
    <w:rsid w:val="000A57BE"/>
    <w:rsid w:val="000A7CD2"/>
    <w:rsid w:val="000B0F7E"/>
    <w:rsid w:val="000B1D64"/>
    <w:rsid w:val="000B23E6"/>
    <w:rsid w:val="000B479A"/>
    <w:rsid w:val="000B6F21"/>
    <w:rsid w:val="000C5669"/>
    <w:rsid w:val="000C5ABA"/>
    <w:rsid w:val="000D14B6"/>
    <w:rsid w:val="000D7A3C"/>
    <w:rsid w:val="000E0793"/>
    <w:rsid w:val="000E2527"/>
    <w:rsid w:val="000E5E8A"/>
    <w:rsid w:val="000F1A53"/>
    <w:rsid w:val="000F3872"/>
    <w:rsid w:val="000F6261"/>
    <w:rsid w:val="00104E5C"/>
    <w:rsid w:val="00110241"/>
    <w:rsid w:val="00111129"/>
    <w:rsid w:val="0011208B"/>
    <w:rsid w:val="00116E22"/>
    <w:rsid w:val="00122B00"/>
    <w:rsid w:val="00122BC8"/>
    <w:rsid w:val="00122BEF"/>
    <w:rsid w:val="001235D1"/>
    <w:rsid w:val="001247AA"/>
    <w:rsid w:val="00126EF6"/>
    <w:rsid w:val="001325D3"/>
    <w:rsid w:val="00133624"/>
    <w:rsid w:val="0013654B"/>
    <w:rsid w:val="00144DDD"/>
    <w:rsid w:val="001454D7"/>
    <w:rsid w:val="00146941"/>
    <w:rsid w:val="00146F3D"/>
    <w:rsid w:val="00147082"/>
    <w:rsid w:val="001518DD"/>
    <w:rsid w:val="00160A0B"/>
    <w:rsid w:val="00160EA7"/>
    <w:rsid w:val="0017018E"/>
    <w:rsid w:val="001749DE"/>
    <w:rsid w:val="00174F4E"/>
    <w:rsid w:val="0017557C"/>
    <w:rsid w:val="00177214"/>
    <w:rsid w:val="0018184E"/>
    <w:rsid w:val="00181B90"/>
    <w:rsid w:val="00187709"/>
    <w:rsid w:val="0019090C"/>
    <w:rsid w:val="001914EA"/>
    <w:rsid w:val="001923D4"/>
    <w:rsid w:val="00193686"/>
    <w:rsid w:val="00193C13"/>
    <w:rsid w:val="00194A97"/>
    <w:rsid w:val="00197804"/>
    <w:rsid w:val="00197AF8"/>
    <w:rsid w:val="001A008A"/>
    <w:rsid w:val="001A2F09"/>
    <w:rsid w:val="001A389D"/>
    <w:rsid w:val="001A5FFE"/>
    <w:rsid w:val="001A651D"/>
    <w:rsid w:val="001A795C"/>
    <w:rsid w:val="001B25FB"/>
    <w:rsid w:val="001B27C2"/>
    <w:rsid w:val="001B776B"/>
    <w:rsid w:val="001C606A"/>
    <w:rsid w:val="001C7111"/>
    <w:rsid w:val="001C74CC"/>
    <w:rsid w:val="001D218B"/>
    <w:rsid w:val="001D28EF"/>
    <w:rsid w:val="001D69E6"/>
    <w:rsid w:val="001D73BE"/>
    <w:rsid w:val="001E0CA3"/>
    <w:rsid w:val="001E14C1"/>
    <w:rsid w:val="001E7EEA"/>
    <w:rsid w:val="001F05F1"/>
    <w:rsid w:val="001F2DE5"/>
    <w:rsid w:val="001F48DD"/>
    <w:rsid w:val="001F4F6A"/>
    <w:rsid w:val="001F58F1"/>
    <w:rsid w:val="001F6AB5"/>
    <w:rsid w:val="001F71F2"/>
    <w:rsid w:val="001F7D2D"/>
    <w:rsid w:val="002041B9"/>
    <w:rsid w:val="00205533"/>
    <w:rsid w:val="00211894"/>
    <w:rsid w:val="00211982"/>
    <w:rsid w:val="00211EFD"/>
    <w:rsid w:val="00213BFB"/>
    <w:rsid w:val="0021468D"/>
    <w:rsid w:val="00215077"/>
    <w:rsid w:val="002155D7"/>
    <w:rsid w:val="00217089"/>
    <w:rsid w:val="00226C8D"/>
    <w:rsid w:val="002310CA"/>
    <w:rsid w:val="00232EED"/>
    <w:rsid w:val="00233765"/>
    <w:rsid w:val="00234665"/>
    <w:rsid w:val="00235E1F"/>
    <w:rsid w:val="002415FD"/>
    <w:rsid w:val="00244B6F"/>
    <w:rsid w:val="00246260"/>
    <w:rsid w:val="00246C1C"/>
    <w:rsid w:val="00247195"/>
    <w:rsid w:val="00252DF3"/>
    <w:rsid w:val="002539ED"/>
    <w:rsid w:val="00255276"/>
    <w:rsid w:val="002556BF"/>
    <w:rsid w:val="00255DB8"/>
    <w:rsid w:val="00256EEE"/>
    <w:rsid w:val="00257828"/>
    <w:rsid w:val="00262D35"/>
    <w:rsid w:val="002634AE"/>
    <w:rsid w:val="00263A12"/>
    <w:rsid w:val="00264565"/>
    <w:rsid w:val="0027016C"/>
    <w:rsid w:val="002702B1"/>
    <w:rsid w:val="002721E6"/>
    <w:rsid w:val="002756F5"/>
    <w:rsid w:val="00275B27"/>
    <w:rsid w:val="00277292"/>
    <w:rsid w:val="002779DD"/>
    <w:rsid w:val="002809E9"/>
    <w:rsid w:val="00280DC8"/>
    <w:rsid w:val="0028135C"/>
    <w:rsid w:val="00286239"/>
    <w:rsid w:val="0029120D"/>
    <w:rsid w:val="00292FDA"/>
    <w:rsid w:val="00294EC8"/>
    <w:rsid w:val="00295665"/>
    <w:rsid w:val="002A0D60"/>
    <w:rsid w:val="002A21C0"/>
    <w:rsid w:val="002A34C6"/>
    <w:rsid w:val="002A7394"/>
    <w:rsid w:val="002B23AD"/>
    <w:rsid w:val="002B3BBE"/>
    <w:rsid w:val="002B7369"/>
    <w:rsid w:val="002C162B"/>
    <w:rsid w:val="002C795B"/>
    <w:rsid w:val="002D7D33"/>
    <w:rsid w:val="002E2503"/>
    <w:rsid w:val="002E3542"/>
    <w:rsid w:val="002E6C2B"/>
    <w:rsid w:val="002F64F6"/>
    <w:rsid w:val="002F7B66"/>
    <w:rsid w:val="00300A7E"/>
    <w:rsid w:val="00303FCC"/>
    <w:rsid w:val="003043D9"/>
    <w:rsid w:val="00304E24"/>
    <w:rsid w:val="00306E98"/>
    <w:rsid w:val="003100EC"/>
    <w:rsid w:val="00311830"/>
    <w:rsid w:val="0031587C"/>
    <w:rsid w:val="00320425"/>
    <w:rsid w:val="0032222C"/>
    <w:rsid w:val="00322AFD"/>
    <w:rsid w:val="00326BB7"/>
    <w:rsid w:val="003279D1"/>
    <w:rsid w:val="00327A9A"/>
    <w:rsid w:val="0033096A"/>
    <w:rsid w:val="00335A83"/>
    <w:rsid w:val="003375B8"/>
    <w:rsid w:val="00340656"/>
    <w:rsid w:val="00340CCA"/>
    <w:rsid w:val="003443BF"/>
    <w:rsid w:val="00344B51"/>
    <w:rsid w:val="00346CBF"/>
    <w:rsid w:val="003478D8"/>
    <w:rsid w:val="00347D9C"/>
    <w:rsid w:val="0035396F"/>
    <w:rsid w:val="00362145"/>
    <w:rsid w:val="00364AA4"/>
    <w:rsid w:val="00364F42"/>
    <w:rsid w:val="00365C0A"/>
    <w:rsid w:val="00367987"/>
    <w:rsid w:val="00370851"/>
    <w:rsid w:val="00380D5B"/>
    <w:rsid w:val="003813B9"/>
    <w:rsid w:val="00381F5D"/>
    <w:rsid w:val="003841A4"/>
    <w:rsid w:val="00384BF4"/>
    <w:rsid w:val="003918E4"/>
    <w:rsid w:val="003929D8"/>
    <w:rsid w:val="003935C6"/>
    <w:rsid w:val="00394809"/>
    <w:rsid w:val="00394B48"/>
    <w:rsid w:val="003A0944"/>
    <w:rsid w:val="003A0D8C"/>
    <w:rsid w:val="003A3058"/>
    <w:rsid w:val="003A67A5"/>
    <w:rsid w:val="003B48DD"/>
    <w:rsid w:val="003B779F"/>
    <w:rsid w:val="003C3C18"/>
    <w:rsid w:val="003C3F17"/>
    <w:rsid w:val="003D19C0"/>
    <w:rsid w:val="003D2C6C"/>
    <w:rsid w:val="003D4887"/>
    <w:rsid w:val="003E4763"/>
    <w:rsid w:val="003E4A41"/>
    <w:rsid w:val="003F37A4"/>
    <w:rsid w:val="003F5485"/>
    <w:rsid w:val="003F619C"/>
    <w:rsid w:val="0040359D"/>
    <w:rsid w:val="00404BDE"/>
    <w:rsid w:val="00406C3D"/>
    <w:rsid w:val="00410265"/>
    <w:rsid w:val="00410B14"/>
    <w:rsid w:val="00414BF1"/>
    <w:rsid w:val="00415684"/>
    <w:rsid w:val="00415EEA"/>
    <w:rsid w:val="00420938"/>
    <w:rsid w:val="0042263C"/>
    <w:rsid w:val="0042312E"/>
    <w:rsid w:val="00423C58"/>
    <w:rsid w:val="00423DB4"/>
    <w:rsid w:val="00425E6F"/>
    <w:rsid w:val="00430803"/>
    <w:rsid w:val="004308CA"/>
    <w:rsid w:val="00431EB8"/>
    <w:rsid w:val="0043289B"/>
    <w:rsid w:val="00436B0C"/>
    <w:rsid w:val="00440DD9"/>
    <w:rsid w:val="004417FE"/>
    <w:rsid w:val="004422F2"/>
    <w:rsid w:val="00447558"/>
    <w:rsid w:val="004478A2"/>
    <w:rsid w:val="00454B4D"/>
    <w:rsid w:val="00456D98"/>
    <w:rsid w:val="004615F9"/>
    <w:rsid w:val="004621AE"/>
    <w:rsid w:val="00467EFB"/>
    <w:rsid w:val="00470942"/>
    <w:rsid w:val="00476DBE"/>
    <w:rsid w:val="0047730A"/>
    <w:rsid w:val="004776D9"/>
    <w:rsid w:val="00486DAA"/>
    <w:rsid w:val="0049002A"/>
    <w:rsid w:val="004932C0"/>
    <w:rsid w:val="0049533E"/>
    <w:rsid w:val="00496834"/>
    <w:rsid w:val="004A166F"/>
    <w:rsid w:val="004A1E0F"/>
    <w:rsid w:val="004A24DB"/>
    <w:rsid w:val="004A2CF6"/>
    <w:rsid w:val="004A3036"/>
    <w:rsid w:val="004A4291"/>
    <w:rsid w:val="004A7E48"/>
    <w:rsid w:val="004B0D81"/>
    <w:rsid w:val="004B0EE4"/>
    <w:rsid w:val="004B32AB"/>
    <w:rsid w:val="004B50D6"/>
    <w:rsid w:val="004B650F"/>
    <w:rsid w:val="004C051E"/>
    <w:rsid w:val="004C5EA2"/>
    <w:rsid w:val="004C6986"/>
    <w:rsid w:val="004C7E64"/>
    <w:rsid w:val="004D0337"/>
    <w:rsid w:val="004D06FD"/>
    <w:rsid w:val="004D2E96"/>
    <w:rsid w:val="004D4687"/>
    <w:rsid w:val="004D56B7"/>
    <w:rsid w:val="004D6E11"/>
    <w:rsid w:val="004D7E7D"/>
    <w:rsid w:val="004E1FD7"/>
    <w:rsid w:val="004E2866"/>
    <w:rsid w:val="004E2DD4"/>
    <w:rsid w:val="004E41AF"/>
    <w:rsid w:val="004E6D3D"/>
    <w:rsid w:val="004E7BBD"/>
    <w:rsid w:val="004F00C8"/>
    <w:rsid w:val="004F02D0"/>
    <w:rsid w:val="004F162E"/>
    <w:rsid w:val="004F280C"/>
    <w:rsid w:val="004F2927"/>
    <w:rsid w:val="004F68D4"/>
    <w:rsid w:val="004F717A"/>
    <w:rsid w:val="00500B1B"/>
    <w:rsid w:val="00502A22"/>
    <w:rsid w:val="00507FEB"/>
    <w:rsid w:val="00511998"/>
    <w:rsid w:val="00515C87"/>
    <w:rsid w:val="00516A7C"/>
    <w:rsid w:val="00517577"/>
    <w:rsid w:val="005216CD"/>
    <w:rsid w:val="0052731F"/>
    <w:rsid w:val="00527AD7"/>
    <w:rsid w:val="00527D10"/>
    <w:rsid w:val="00527D51"/>
    <w:rsid w:val="00530847"/>
    <w:rsid w:val="0053400B"/>
    <w:rsid w:val="00535B58"/>
    <w:rsid w:val="00535CDC"/>
    <w:rsid w:val="00540B59"/>
    <w:rsid w:val="005422CF"/>
    <w:rsid w:val="00542310"/>
    <w:rsid w:val="00544788"/>
    <w:rsid w:val="0054733B"/>
    <w:rsid w:val="00547D62"/>
    <w:rsid w:val="00551EAB"/>
    <w:rsid w:val="005534C9"/>
    <w:rsid w:val="005536A1"/>
    <w:rsid w:val="00555018"/>
    <w:rsid w:val="00555D57"/>
    <w:rsid w:val="00556D0F"/>
    <w:rsid w:val="0055742F"/>
    <w:rsid w:val="00560D8E"/>
    <w:rsid w:val="00561B39"/>
    <w:rsid w:val="0056366D"/>
    <w:rsid w:val="005640ED"/>
    <w:rsid w:val="00574EEE"/>
    <w:rsid w:val="00575248"/>
    <w:rsid w:val="0058046F"/>
    <w:rsid w:val="0058624B"/>
    <w:rsid w:val="00586567"/>
    <w:rsid w:val="0058702D"/>
    <w:rsid w:val="00590CF9"/>
    <w:rsid w:val="005A2C4A"/>
    <w:rsid w:val="005A4C7C"/>
    <w:rsid w:val="005A59E6"/>
    <w:rsid w:val="005A62D0"/>
    <w:rsid w:val="005A6857"/>
    <w:rsid w:val="005A7D3A"/>
    <w:rsid w:val="005A7EA8"/>
    <w:rsid w:val="005B3DCA"/>
    <w:rsid w:val="005B5D72"/>
    <w:rsid w:val="005C331C"/>
    <w:rsid w:val="005C4703"/>
    <w:rsid w:val="005C609A"/>
    <w:rsid w:val="005C7388"/>
    <w:rsid w:val="005D114C"/>
    <w:rsid w:val="005D18D6"/>
    <w:rsid w:val="005D3706"/>
    <w:rsid w:val="005D52B1"/>
    <w:rsid w:val="005E3A58"/>
    <w:rsid w:val="005E5BAE"/>
    <w:rsid w:val="005F310D"/>
    <w:rsid w:val="005F45A3"/>
    <w:rsid w:val="005F5455"/>
    <w:rsid w:val="005F5D70"/>
    <w:rsid w:val="00600730"/>
    <w:rsid w:val="00600BF4"/>
    <w:rsid w:val="00602A30"/>
    <w:rsid w:val="00606978"/>
    <w:rsid w:val="00616411"/>
    <w:rsid w:val="00616E96"/>
    <w:rsid w:val="00623BBD"/>
    <w:rsid w:val="0062726A"/>
    <w:rsid w:val="00631C69"/>
    <w:rsid w:val="0063625E"/>
    <w:rsid w:val="00642B1A"/>
    <w:rsid w:val="00645C97"/>
    <w:rsid w:val="0065058A"/>
    <w:rsid w:val="0065212C"/>
    <w:rsid w:val="00652E61"/>
    <w:rsid w:val="006535D0"/>
    <w:rsid w:val="006544BB"/>
    <w:rsid w:val="00663D2F"/>
    <w:rsid w:val="006662D9"/>
    <w:rsid w:val="00666B70"/>
    <w:rsid w:val="0066707E"/>
    <w:rsid w:val="0067121E"/>
    <w:rsid w:val="00673824"/>
    <w:rsid w:val="006804A7"/>
    <w:rsid w:val="0068097B"/>
    <w:rsid w:val="00680F93"/>
    <w:rsid w:val="006832F8"/>
    <w:rsid w:val="00684939"/>
    <w:rsid w:val="006852F1"/>
    <w:rsid w:val="006943DF"/>
    <w:rsid w:val="006A6503"/>
    <w:rsid w:val="006B083C"/>
    <w:rsid w:val="006B37B3"/>
    <w:rsid w:val="006C02B2"/>
    <w:rsid w:val="006C167D"/>
    <w:rsid w:val="006C6A2C"/>
    <w:rsid w:val="006D7535"/>
    <w:rsid w:val="006E4A64"/>
    <w:rsid w:val="006E7717"/>
    <w:rsid w:val="006F1513"/>
    <w:rsid w:val="006F359A"/>
    <w:rsid w:val="006F5CEF"/>
    <w:rsid w:val="006F5F53"/>
    <w:rsid w:val="00701EF1"/>
    <w:rsid w:val="00702135"/>
    <w:rsid w:val="00702A71"/>
    <w:rsid w:val="00702B59"/>
    <w:rsid w:val="00704512"/>
    <w:rsid w:val="00705B37"/>
    <w:rsid w:val="0070717D"/>
    <w:rsid w:val="00711B45"/>
    <w:rsid w:val="0071265B"/>
    <w:rsid w:val="00713595"/>
    <w:rsid w:val="00713603"/>
    <w:rsid w:val="00713C4D"/>
    <w:rsid w:val="00714724"/>
    <w:rsid w:val="00714E06"/>
    <w:rsid w:val="00717AB9"/>
    <w:rsid w:val="0072399A"/>
    <w:rsid w:val="00724364"/>
    <w:rsid w:val="007257EA"/>
    <w:rsid w:val="00726457"/>
    <w:rsid w:val="007270F9"/>
    <w:rsid w:val="00727CD9"/>
    <w:rsid w:val="007301C7"/>
    <w:rsid w:val="00735AC7"/>
    <w:rsid w:val="00736012"/>
    <w:rsid w:val="00741056"/>
    <w:rsid w:val="00744CEF"/>
    <w:rsid w:val="00753B1C"/>
    <w:rsid w:val="0075434D"/>
    <w:rsid w:val="00760771"/>
    <w:rsid w:val="007652C3"/>
    <w:rsid w:val="007653D1"/>
    <w:rsid w:val="00765CCC"/>
    <w:rsid w:val="0076602B"/>
    <w:rsid w:val="007704B4"/>
    <w:rsid w:val="00771E22"/>
    <w:rsid w:val="0077533B"/>
    <w:rsid w:val="00775C81"/>
    <w:rsid w:val="00777076"/>
    <w:rsid w:val="00777D4D"/>
    <w:rsid w:val="00780B1D"/>
    <w:rsid w:val="00781B79"/>
    <w:rsid w:val="00783920"/>
    <w:rsid w:val="00784B11"/>
    <w:rsid w:val="0079097E"/>
    <w:rsid w:val="00793412"/>
    <w:rsid w:val="00794CD4"/>
    <w:rsid w:val="00795AA0"/>
    <w:rsid w:val="00795F57"/>
    <w:rsid w:val="007A084C"/>
    <w:rsid w:val="007A5074"/>
    <w:rsid w:val="007B1167"/>
    <w:rsid w:val="007B1B87"/>
    <w:rsid w:val="007B304D"/>
    <w:rsid w:val="007B52DC"/>
    <w:rsid w:val="007C2B7E"/>
    <w:rsid w:val="007C52AA"/>
    <w:rsid w:val="007C76E8"/>
    <w:rsid w:val="007D0154"/>
    <w:rsid w:val="007D72B4"/>
    <w:rsid w:val="007E05AD"/>
    <w:rsid w:val="007E2926"/>
    <w:rsid w:val="007F221E"/>
    <w:rsid w:val="007F5451"/>
    <w:rsid w:val="007F57C2"/>
    <w:rsid w:val="00802F9A"/>
    <w:rsid w:val="0080323A"/>
    <w:rsid w:val="00803A67"/>
    <w:rsid w:val="00807795"/>
    <w:rsid w:val="00807A87"/>
    <w:rsid w:val="008103E0"/>
    <w:rsid w:val="00810FCD"/>
    <w:rsid w:val="00811B8F"/>
    <w:rsid w:val="008128B7"/>
    <w:rsid w:val="00812FFF"/>
    <w:rsid w:val="00813627"/>
    <w:rsid w:val="00813ED5"/>
    <w:rsid w:val="008143B1"/>
    <w:rsid w:val="008155B3"/>
    <w:rsid w:val="00820932"/>
    <w:rsid w:val="008214F5"/>
    <w:rsid w:val="0082167B"/>
    <w:rsid w:val="008252AD"/>
    <w:rsid w:val="0082792C"/>
    <w:rsid w:val="00836FC8"/>
    <w:rsid w:val="008454E3"/>
    <w:rsid w:val="008467C4"/>
    <w:rsid w:val="00847540"/>
    <w:rsid w:val="00847DF0"/>
    <w:rsid w:val="00851374"/>
    <w:rsid w:val="00851F40"/>
    <w:rsid w:val="00855436"/>
    <w:rsid w:val="00855842"/>
    <w:rsid w:val="0086289C"/>
    <w:rsid w:val="00863D61"/>
    <w:rsid w:val="00865BE3"/>
    <w:rsid w:val="00866D1B"/>
    <w:rsid w:val="00867430"/>
    <w:rsid w:val="00867DDA"/>
    <w:rsid w:val="008703F9"/>
    <w:rsid w:val="0087255A"/>
    <w:rsid w:val="00873C0B"/>
    <w:rsid w:val="00873EA8"/>
    <w:rsid w:val="00876075"/>
    <w:rsid w:val="00877459"/>
    <w:rsid w:val="00877A0D"/>
    <w:rsid w:val="00880755"/>
    <w:rsid w:val="00883789"/>
    <w:rsid w:val="008847FB"/>
    <w:rsid w:val="0088535E"/>
    <w:rsid w:val="00891507"/>
    <w:rsid w:val="00895A0A"/>
    <w:rsid w:val="00896053"/>
    <w:rsid w:val="008962A7"/>
    <w:rsid w:val="00897794"/>
    <w:rsid w:val="008A2517"/>
    <w:rsid w:val="008A3493"/>
    <w:rsid w:val="008B2472"/>
    <w:rsid w:val="008B4D92"/>
    <w:rsid w:val="008B5147"/>
    <w:rsid w:val="008C0087"/>
    <w:rsid w:val="008C2820"/>
    <w:rsid w:val="008C5FE6"/>
    <w:rsid w:val="008D0D44"/>
    <w:rsid w:val="008E558E"/>
    <w:rsid w:val="008F01B2"/>
    <w:rsid w:val="008F3A88"/>
    <w:rsid w:val="008F53BD"/>
    <w:rsid w:val="008F6DA6"/>
    <w:rsid w:val="008F7024"/>
    <w:rsid w:val="0090636B"/>
    <w:rsid w:val="00910C18"/>
    <w:rsid w:val="0091524D"/>
    <w:rsid w:val="0091733D"/>
    <w:rsid w:val="00922758"/>
    <w:rsid w:val="0092293E"/>
    <w:rsid w:val="00940F95"/>
    <w:rsid w:val="00950C55"/>
    <w:rsid w:val="00952ABA"/>
    <w:rsid w:val="00955EF7"/>
    <w:rsid w:val="0096083D"/>
    <w:rsid w:val="0096157F"/>
    <w:rsid w:val="00964585"/>
    <w:rsid w:val="0098145B"/>
    <w:rsid w:val="00983841"/>
    <w:rsid w:val="009850B5"/>
    <w:rsid w:val="00985BC2"/>
    <w:rsid w:val="0098754D"/>
    <w:rsid w:val="009905D3"/>
    <w:rsid w:val="00992938"/>
    <w:rsid w:val="009965EB"/>
    <w:rsid w:val="00997128"/>
    <w:rsid w:val="009A2AE2"/>
    <w:rsid w:val="009A3584"/>
    <w:rsid w:val="009A3BC3"/>
    <w:rsid w:val="009A3DB6"/>
    <w:rsid w:val="009A44E4"/>
    <w:rsid w:val="009A6165"/>
    <w:rsid w:val="009A6972"/>
    <w:rsid w:val="009A7021"/>
    <w:rsid w:val="009C067D"/>
    <w:rsid w:val="009C3A09"/>
    <w:rsid w:val="009C3B0C"/>
    <w:rsid w:val="009C4024"/>
    <w:rsid w:val="009C4E91"/>
    <w:rsid w:val="009C4FE4"/>
    <w:rsid w:val="009C5823"/>
    <w:rsid w:val="009C79FD"/>
    <w:rsid w:val="009D11E7"/>
    <w:rsid w:val="009D2289"/>
    <w:rsid w:val="009D3B39"/>
    <w:rsid w:val="009D4407"/>
    <w:rsid w:val="009D4DBB"/>
    <w:rsid w:val="009D7144"/>
    <w:rsid w:val="009F4101"/>
    <w:rsid w:val="009F6585"/>
    <w:rsid w:val="00A03421"/>
    <w:rsid w:val="00A04D14"/>
    <w:rsid w:val="00A0732E"/>
    <w:rsid w:val="00A07337"/>
    <w:rsid w:val="00A0795C"/>
    <w:rsid w:val="00A104BC"/>
    <w:rsid w:val="00A133E4"/>
    <w:rsid w:val="00A14F05"/>
    <w:rsid w:val="00A16C92"/>
    <w:rsid w:val="00A21D1A"/>
    <w:rsid w:val="00A23F15"/>
    <w:rsid w:val="00A25373"/>
    <w:rsid w:val="00A30AE9"/>
    <w:rsid w:val="00A35076"/>
    <w:rsid w:val="00A40A31"/>
    <w:rsid w:val="00A42F94"/>
    <w:rsid w:val="00A45798"/>
    <w:rsid w:val="00A45F2D"/>
    <w:rsid w:val="00A4618A"/>
    <w:rsid w:val="00A53815"/>
    <w:rsid w:val="00A55980"/>
    <w:rsid w:val="00A642FC"/>
    <w:rsid w:val="00A65879"/>
    <w:rsid w:val="00A672B9"/>
    <w:rsid w:val="00A719F6"/>
    <w:rsid w:val="00A730FB"/>
    <w:rsid w:val="00A740C4"/>
    <w:rsid w:val="00A76B0B"/>
    <w:rsid w:val="00A80B12"/>
    <w:rsid w:val="00A8432D"/>
    <w:rsid w:val="00A90BF3"/>
    <w:rsid w:val="00A93CB0"/>
    <w:rsid w:val="00A967AD"/>
    <w:rsid w:val="00AA3B2F"/>
    <w:rsid w:val="00AA6C71"/>
    <w:rsid w:val="00AB35A1"/>
    <w:rsid w:val="00AB5C4D"/>
    <w:rsid w:val="00AB7CBF"/>
    <w:rsid w:val="00AC0142"/>
    <w:rsid w:val="00AC2408"/>
    <w:rsid w:val="00AC4F56"/>
    <w:rsid w:val="00AD3231"/>
    <w:rsid w:val="00AD48F8"/>
    <w:rsid w:val="00AD70D0"/>
    <w:rsid w:val="00AF6DAD"/>
    <w:rsid w:val="00AF7648"/>
    <w:rsid w:val="00B000B3"/>
    <w:rsid w:val="00B00C2D"/>
    <w:rsid w:val="00B02892"/>
    <w:rsid w:val="00B13A86"/>
    <w:rsid w:val="00B150D4"/>
    <w:rsid w:val="00B17723"/>
    <w:rsid w:val="00B205D6"/>
    <w:rsid w:val="00B20779"/>
    <w:rsid w:val="00B20C34"/>
    <w:rsid w:val="00B25474"/>
    <w:rsid w:val="00B26828"/>
    <w:rsid w:val="00B30150"/>
    <w:rsid w:val="00B32E73"/>
    <w:rsid w:val="00B3551C"/>
    <w:rsid w:val="00B35F3F"/>
    <w:rsid w:val="00B41342"/>
    <w:rsid w:val="00B500B9"/>
    <w:rsid w:val="00B514A2"/>
    <w:rsid w:val="00B528B5"/>
    <w:rsid w:val="00B53219"/>
    <w:rsid w:val="00B53F09"/>
    <w:rsid w:val="00B5444B"/>
    <w:rsid w:val="00B564FF"/>
    <w:rsid w:val="00B5751D"/>
    <w:rsid w:val="00B57673"/>
    <w:rsid w:val="00B57D41"/>
    <w:rsid w:val="00B60005"/>
    <w:rsid w:val="00B62941"/>
    <w:rsid w:val="00B64C43"/>
    <w:rsid w:val="00B659E1"/>
    <w:rsid w:val="00B67457"/>
    <w:rsid w:val="00B67BBF"/>
    <w:rsid w:val="00B70B75"/>
    <w:rsid w:val="00B70E2B"/>
    <w:rsid w:val="00B715C3"/>
    <w:rsid w:val="00B763D0"/>
    <w:rsid w:val="00B81B36"/>
    <w:rsid w:val="00B8622E"/>
    <w:rsid w:val="00B87054"/>
    <w:rsid w:val="00B95D7C"/>
    <w:rsid w:val="00BA18FF"/>
    <w:rsid w:val="00BA6D2B"/>
    <w:rsid w:val="00BA7F39"/>
    <w:rsid w:val="00BB073B"/>
    <w:rsid w:val="00BB5883"/>
    <w:rsid w:val="00BB589A"/>
    <w:rsid w:val="00BC1E03"/>
    <w:rsid w:val="00BD071F"/>
    <w:rsid w:val="00BD3ACF"/>
    <w:rsid w:val="00BD6BF2"/>
    <w:rsid w:val="00BE122C"/>
    <w:rsid w:val="00BE2996"/>
    <w:rsid w:val="00BE44D8"/>
    <w:rsid w:val="00BE6577"/>
    <w:rsid w:val="00BE7F7D"/>
    <w:rsid w:val="00BF1E4E"/>
    <w:rsid w:val="00BF2F06"/>
    <w:rsid w:val="00BF5387"/>
    <w:rsid w:val="00C000E1"/>
    <w:rsid w:val="00C00C89"/>
    <w:rsid w:val="00C00F8E"/>
    <w:rsid w:val="00C022EE"/>
    <w:rsid w:val="00C02D0D"/>
    <w:rsid w:val="00C0640E"/>
    <w:rsid w:val="00C07694"/>
    <w:rsid w:val="00C10289"/>
    <w:rsid w:val="00C107E5"/>
    <w:rsid w:val="00C14EA6"/>
    <w:rsid w:val="00C16DB2"/>
    <w:rsid w:val="00C17454"/>
    <w:rsid w:val="00C20DA3"/>
    <w:rsid w:val="00C21D26"/>
    <w:rsid w:val="00C2755C"/>
    <w:rsid w:val="00C27966"/>
    <w:rsid w:val="00C3246C"/>
    <w:rsid w:val="00C33385"/>
    <w:rsid w:val="00C334D8"/>
    <w:rsid w:val="00C35487"/>
    <w:rsid w:val="00C35BC6"/>
    <w:rsid w:val="00C400D7"/>
    <w:rsid w:val="00C40D9A"/>
    <w:rsid w:val="00C40DBE"/>
    <w:rsid w:val="00C44FAB"/>
    <w:rsid w:val="00C4515C"/>
    <w:rsid w:val="00C46E27"/>
    <w:rsid w:val="00C51845"/>
    <w:rsid w:val="00C531C9"/>
    <w:rsid w:val="00C5600F"/>
    <w:rsid w:val="00C60D6D"/>
    <w:rsid w:val="00C62EDC"/>
    <w:rsid w:val="00C63037"/>
    <w:rsid w:val="00C65E1A"/>
    <w:rsid w:val="00C70254"/>
    <w:rsid w:val="00C70D8C"/>
    <w:rsid w:val="00C71798"/>
    <w:rsid w:val="00C7334F"/>
    <w:rsid w:val="00C73CAF"/>
    <w:rsid w:val="00C742A4"/>
    <w:rsid w:val="00C85897"/>
    <w:rsid w:val="00C86211"/>
    <w:rsid w:val="00C873AB"/>
    <w:rsid w:val="00C9232B"/>
    <w:rsid w:val="00C92594"/>
    <w:rsid w:val="00C957E8"/>
    <w:rsid w:val="00CA0168"/>
    <w:rsid w:val="00CA0603"/>
    <w:rsid w:val="00CA0C79"/>
    <w:rsid w:val="00CA1ECE"/>
    <w:rsid w:val="00CC02A8"/>
    <w:rsid w:val="00CC07CC"/>
    <w:rsid w:val="00CC30E1"/>
    <w:rsid w:val="00CD035F"/>
    <w:rsid w:val="00CD08EA"/>
    <w:rsid w:val="00CD1A76"/>
    <w:rsid w:val="00CD1ECF"/>
    <w:rsid w:val="00CE1D1E"/>
    <w:rsid w:val="00CE790F"/>
    <w:rsid w:val="00CF0B7E"/>
    <w:rsid w:val="00CF61D9"/>
    <w:rsid w:val="00D0658D"/>
    <w:rsid w:val="00D138AC"/>
    <w:rsid w:val="00D16164"/>
    <w:rsid w:val="00D177EF"/>
    <w:rsid w:val="00D2007F"/>
    <w:rsid w:val="00D25076"/>
    <w:rsid w:val="00D262B8"/>
    <w:rsid w:val="00D2649A"/>
    <w:rsid w:val="00D26D65"/>
    <w:rsid w:val="00D30C05"/>
    <w:rsid w:val="00D30F25"/>
    <w:rsid w:val="00D32459"/>
    <w:rsid w:val="00D3439B"/>
    <w:rsid w:val="00D37402"/>
    <w:rsid w:val="00D4036F"/>
    <w:rsid w:val="00D44503"/>
    <w:rsid w:val="00D45950"/>
    <w:rsid w:val="00D4639A"/>
    <w:rsid w:val="00D470DA"/>
    <w:rsid w:val="00D47C97"/>
    <w:rsid w:val="00D51924"/>
    <w:rsid w:val="00D5296A"/>
    <w:rsid w:val="00D52FC8"/>
    <w:rsid w:val="00D57AB7"/>
    <w:rsid w:val="00D61D4E"/>
    <w:rsid w:val="00D62547"/>
    <w:rsid w:val="00D634D4"/>
    <w:rsid w:val="00D64647"/>
    <w:rsid w:val="00D66877"/>
    <w:rsid w:val="00D7060D"/>
    <w:rsid w:val="00D70D58"/>
    <w:rsid w:val="00D73544"/>
    <w:rsid w:val="00D74C3F"/>
    <w:rsid w:val="00D76FE6"/>
    <w:rsid w:val="00D80223"/>
    <w:rsid w:val="00D8276E"/>
    <w:rsid w:val="00D8290A"/>
    <w:rsid w:val="00D84561"/>
    <w:rsid w:val="00D9028F"/>
    <w:rsid w:val="00D92A1E"/>
    <w:rsid w:val="00D95C4F"/>
    <w:rsid w:val="00DA0AC0"/>
    <w:rsid w:val="00DA2050"/>
    <w:rsid w:val="00DA2C67"/>
    <w:rsid w:val="00DA71AB"/>
    <w:rsid w:val="00DB2038"/>
    <w:rsid w:val="00DB44A2"/>
    <w:rsid w:val="00DB5A44"/>
    <w:rsid w:val="00DB7D4B"/>
    <w:rsid w:val="00DC1CE0"/>
    <w:rsid w:val="00DC32F3"/>
    <w:rsid w:val="00DC3CEB"/>
    <w:rsid w:val="00DC4769"/>
    <w:rsid w:val="00DC5004"/>
    <w:rsid w:val="00DC5936"/>
    <w:rsid w:val="00DC5F07"/>
    <w:rsid w:val="00DD03D8"/>
    <w:rsid w:val="00DD299A"/>
    <w:rsid w:val="00DD4E33"/>
    <w:rsid w:val="00DD6B5A"/>
    <w:rsid w:val="00DE59D4"/>
    <w:rsid w:val="00DE617A"/>
    <w:rsid w:val="00DF0E0D"/>
    <w:rsid w:val="00DF1A3F"/>
    <w:rsid w:val="00DF2E98"/>
    <w:rsid w:val="00E00F01"/>
    <w:rsid w:val="00E0506C"/>
    <w:rsid w:val="00E0619A"/>
    <w:rsid w:val="00E0688B"/>
    <w:rsid w:val="00E0784C"/>
    <w:rsid w:val="00E11BFD"/>
    <w:rsid w:val="00E206BE"/>
    <w:rsid w:val="00E20815"/>
    <w:rsid w:val="00E226AF"/>
    <w:rsid w:val="00E244FB"/>
    <w:rsid w:val="00E27451"/>
    <w:rsid w:val="00E35BE8"/>
    <w:rsid w:val="00E3604C"/>
    <w:rsid w:val="00E40FC4"/>
    <w:rsid w:val="00E467D8"/>
    <w:rsid w:val="00E47332"/>
    <w:rsid w:val="00E51108"/>
    <w:rsid w:val="00E52CF2"/>
    <w:rsid w:val="00E531D0"/>
    <w:rsid w:val="00E54651"/>
    <w:rsid w:val="00E57263"/>
    <w:rsid w:val="00E575DD"/>
    <w:rsid w:val="00E6308B"/>
    <w:rsid w:val="00E64F65"/>
    <w:rsid w:val="00E657B8"/>
    <w:rsid w:val="00E65C6C"/>
    <w:rsid w:val="00E7171A"/>
    <w:rsid w:val="00E732C7"/>
    <w:rsid w:val="00E77650"/>
    <w:rsid w:val="00E9066D"/>
    <w:rsid w:val="00E90D23"/>
    <w:rsid w:val="00E91175"/>
    <w:rsid w:val="00E917D8"/>
    <w:rsid w:val="00E93AF7"/>
    <w:rsid w:val="00EA0BD2"/>
    <w:rsid w:val="00EA59D9"/>
    <w:rsid w:val="00EA7FB3"/>
    <w:rsid w:val="00EB0E93"/>
    <w:rsid w:val="00EB439E"/>
    <w:rsid w:val="00EB4BD1"/>
    <w:rsid w:val="00EB4F5C"/>
    <w:rsid w:val="00EC161B"/>
    <w:rsid w:val="00EC172B"/>
    <w:rsid w:val="00EC2447"/>
    <w:rsid w:val="00EC6E12"/>
    <w:rsid w:val="00ED1843"/>
    <w:rsid w:val="00EE186E"/>
    <w:rsid w:val="00EE246C"/>
    <w:rsid w:val="00EE353C"/>
    <w:rsid w:val="00EE530D"/>
    <w:rsid w:val="00EE6F6D"/>
    <w:rsid w:val="00EE7706"/>
    <w:rsid w:val="00EF266E"/>
    <w:rsid w:val="00EF43D9"/>
    <w:rsid w:val="00EF65F2"/>
    <w:rsid w:val="00EF6A5D"/>
    <w:rsid w:val="00EF7A18"/>
    <w:rsid w:val="00F02C49"/>
    <w:rsid w:val="00F06160"/>
    <w:rsid w:val="00F065FE"/>
    <w:rsid w:val="00F0782D"/>
    <w:rsid w:val="00F10C80"/>
    <w:rsid w:val="00F1179A"/>
    <w:rsid w:val="00F14463"/>
    <w:rsid w:val="00F20692"/>
    <w:rsid w:val="00F23D3B"/>
    <w:rsid w:val="00F25E11"/>
    <w:rsid w:val="00F27913"/>
    <w:rsid w:val="00F30D8A"/>
    <w:rsid w:val="00F333BE"/>
    <w:rsid w:val="00F40384"/>
    <w:rsid w:val="00F4063E"/>
    <w:rsid w:val="00F4068F"/>
    <w:rsid w:val="00F40A0A"/>
    <w:rsid w:val="00F447A1"/>
    <w:rsid w:val="00F4495C"/>
    <w:rsid w:val="00F452EA"/>
    <w:rsid w:val="00F45B63"/>
    <w:rsid w:val="00F50401"/>
    <w:rsid w:val="00F50C32"/>
    <w:rsid w:val="00F51F35"/>
    <w:rsid w:val="00F63073"/>
    <w:rsid w:val="00F6474B"/>
    <w:rsid w:val="00F66353"/>
    <w:rsid w:val="00F67163"/>
    <w:rsid w:val="00F7031D"/>
    <w:rsid w:val="00F7409E"/>
    <w:rsid w:val="00F74C15"/>
    <w:rsid w:val="00F760FD"/>
    <w:rsid w:val="00F76EE7"/>
    <w:rsid w:val="00F80C87"/>
    <w:rsid w:val="00F8157B"/>
    <w:rsid w:val="00F82C06"/>
    <w:rsid w:val="00F82D91"/>
    <w:rsid w:val="00F85E99"/>
    <w:rsid w:val="00F94FC2"/>
    <w:rsid w:val="00F9745C"/>
    <w:rsid w:val="00FA3D3C"/>
    <w:rsid w:val="00FA4641"/>
    <w:rsid w:val="00FA4DA1"/>
    <w:rsid w:val="00FA50D5"/>
    <w:rsid w:val="00FB1187"/>
    <w:rsid w:val="00FB121D"/>
    <w:rsid w:val="00FB144B"/>
    <w:rsid w:val="00FB146F"/>
    <w:rsid w:val="00FB1708"/>
    <w:rsid w:val="00FB369F"/>
    <w:rsid w:val="00FB5FC6"/>
    <w:rsid w:val="00FB6B3E"/>
    <w:rsid w:val="00FC2632"/>
    <w:rsid w:val="00FC5883"/>
    <w:rsid w:val="00FD23E7"/>
    <w:rsid w:val="00FD3530"/>
    <w:rsid w:val="00FD79AF"/>
    <w:rsid w:val="00FD7B3C"/>
    <w:rsid w:val="00FE0222"/>
    <w:rsid w:val="00FE06FB"/>
    <w:rsid w:val="00FE09D6"/>
    <w:rsid w:val="00FE5531"/>
    <w:rsid w:val="00FF156B"/>
    <w:rsid w:val="00FF33CA"/>
    <w:rsid w:val="00FF3FB7"/>
    <w:rsid w:val="00FF48C6"/>
    <w:rsid w:val="00FF4939"/>
    <w:rsid w:val="00FF6C67"/>
    <w:rsid w:val="00FF73E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49"/>
  </w:style>
  <w:style w:type="paragraph" w:styleId="Heading1">
    <w:name w:val="heading 1"/>
    <w:basedOn w:val="Normal"/>
    <w:next w:val="Normal"/>
    <w:link w:val="Heading1Char"/>
    <w:uiPriority w:val="9"/>
    <w:qFormat/>
    <w:rsid w:val="001F7D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0F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0F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84B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362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F7D2D"/>
    <w:pPr>
      <w:ind w:left="720"/>
      <w:contextualSpacing/>
    </w:pPr>
  </w:style>
  <w:style w:type="character" w:customStyle="1" w:styleId="Heading2Char">
    <w:name w:val="Heading 2 Char"/>
    <w:basedOn w:val="DefaultParagraphFont"/>
    <w:link w:val="Heading2"/>
    <w:uiPriority w:val="9"/>
    <w:rsid w:val="00D30F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0F25"/>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B95D7C"/>
    <w:pPr>
      <w:spacing w:line="240" w:lineRule="auto"/>
    </w:pPr>
  </w:style>
  <w:style w:type="paragraph" w:styleId="FootnoteText">
    <w:name w:val="footnote text"/>
    <w:basedOn w:val="Normal"/>
    <w:link w:val="FootnoteTextChar"/>
    <w:uiPriority w:val="99"/>
    <w:unhideWhenUsed/>
    <w:rsid w:val="00B95D7C"/>
    <w:pPr>
      <w:spacing w:line="240" w:lineRule="auto"/>
    </w:pPr>
    <w:rPr>
      <w:sz w:val="20"/>
      <w:szCs w:val="20"/>
    </w:rPr>
  </w:style>
  <w:style w:type="character" w:customStyle="1" w:styleId="FootnoteTextChar">
    <w:name w:val="Footnote Text Char"/>
    <w:basedOn w:val="DefaultParagraphFont"/>
    <w:link w:val="FootnoteText"/>
    <w:uiPriority w:val="99"/>
    <w:rsid w:val="00B95D7C"/>
    <w:rPr>
      <w:sz w:val="20"/>
      <w:szCs w:val="20"/>
    </w:rPr>
  </w:style>
  <w:style w:type="character" w:styleId="FootnoteReference">
    <w:name w:val="footnote reference"/>
    <w:basedOn w:val="DefaultParagraphFont"/>
    <w:uiPriority w:val="99"/>
    <w:unhideWhenUsed/>
    <w:rsid w:val="00B95D7C"/>
    <w:rPr>
      <w:vertAlign w:val="superscript"/>
    </w:rPr>
  </w:style>
  <w:style w:type="character" w:customStyle="1" w:styleId="NoSpacingChar">
    <w:name w:val="No Spacing Char"/>
    <w:basedOn w:val="DefaultParagraphFont"/>
    <w:link w:val="NoSpacing"/>
    <w:uiPriority w:val="1"/>
    <w:rsid w:val="00B95D7C"/>
  </w:style>
  <w:style w:type="table" w:styleId="TableGrid">
    <w:name w:val="Table Grid"/>
    <w:basedOn w:val="TableNormal"/>
    <w:uiPriority w:val="59"/>
    <w:rsid w:val="00B95D7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95D7C"/>
    <w:pPr>
      <w:spacing w:after="200" w:line="240" w:lineRule="auto"/>
    </w:pPr>
    <w:rPr>
      <w:b/>
      <w:bCs/>
      <w:color w:val="4F81BD" w:themeColor="accent1"/>
      <w:sz w:val="18"/>
      <w:szCs w:val="18"/>
    </w:rPr>
  </w:style>
  <w:style w:type="paragraph" w:styleId="BalloonText">
    <w:name w:val="Balloon Text"/>
    <w:basedOn w:val="Normal"/>
    <w:link w:val="BalloonTextChar"/>
    <w:uiPriority w:val="99"/>
    <w:unhideWhenUsed/>
    <w:rsid w:val="00B95D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5D7C"/>
    <w:rPr>
      <w:rFonts w:ascii="Tahoma" w:hAnsi="Tahoma" w:cs="Tahoma"/>
      <w:sz w:val="16"/>
      <w:szCs w:val="16"/>
    </w:rPr>
  </w:style>
  <w:style w:type="character" w:customStyle="1" w:styleId="Heading4Char">
    <w:name w:val="Heading 4 Char"/>
    <w:basedOn w:val="DefaultParagraphFont"/>
    <w:link w:val="Heading4"/>
    <w:uiPriority w:val="9"/>
    <w:rsid w:val="00384BF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3625E"/>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847540"/>
    <w:pPr>
      <w:tabs>
        <w:tab w:val="center" w:pos="4536"/>
        <w:tab w:val="right" w:pos="9072"/>
      </w:tabs>
      <w:spacing w:line="240" w:lineRule="auto"/>
    </w:pPr>
  </w:style>
  <w:style w:type="character" w:customStyle="1" w:styleId="HeaderChar">
    <w:name w:val="Header Char"/>
    <w:basedOn w:val="DefaultParagraphFont"/>
    <w:link w:val="Header"/>
    <w:uiPriority w:val="99"/>
    <w:rsid w:val="00847540"/>
  </w:style>
  <w:style w:type="paragraph" w:styleId="Footer">
    <w:name w:val="footer"/>
    <w:basedOn w:val="Normal"/>
    <w:link w:val="FooterChar"/>
    <w:uiPriority w:val="99"/>
    <w:unhideWhenUsed/>
    <w:rsid w:val="00847540"/>
    <w:pPr>
      <w:tabs>
        <w:tab w:val="center" w:pos="4536"/>
        <w:tab w:val="right" w:pos="9072"/>
      </w:tabs>
      <w:spacing w:line="240" w:lineRule="auto"/>
    </w:pPr>
  </w:style>
  <w:style w:type="character" w:customStyle="1" w:styleId="FooterChar">
    <w:name w:val="Footer Char"/>
    <w:basedOn w:val="DefaultParagraphFont"/>
    <w:link w:val="Footer"/>
    <w:uiPriority w:val="99"/>
    <w:rsid w:val="00847540"/>
  </w:style>
  <w:style w:type="paragraph" w:styleId="TOC1">
    <w:name w:val="toc 1"/>
    <w:basedOn w:val="Normal"/>
    <w:next w:val="Normal"/>
    <w:autoRedefine/>
    <w:uiPriority w:val="39"/>
    <w:unhideWhenUsed/>
    <w:rsid w:val="00847540"/>
    <w:pPr>
      <w:spacing w:after="100"/>
    </w:pPr>
  </w:style>
  <w:style w:type="paragraph" w:styleId="TOC2">
    <w:name w:val="toc 2"/>
    <w:basedOn w:val="Normal"/>
    <w:next w:val="Normal"/>
    <w:autoRedefine/>
    <w:uiPriority w:val="39"/>
    <w:unhideWhenUsed/>
    <w:rsid w:val="00847540"/>
    <w:pPr>
      <w:spacing w:after="100"/>
      <w:ind w:left="220"/>
    </w:pPr>
  </w:style>
  <w:style w:type="paragraph" w:styleId="TOC3">
    <w:name w:val="toc 3"/>
    <w:basedOn w:val="Normal"/>
    <w:next w:val="Normal"/>
    <w:autoRedefine/>
    <w:uiPriority w:val="39"/>
    <w:unhideWhenUsed/>
    <w:rsid w:val="00847540"/>
    <w:pPr>
      <w:spacing w:after="100"/>
      <w:ind w:left="440"/>
    </w:pPr>
  </w:style>
  <w:style w:type="paragraph" w:styleId="TOC4">
    <w:name w:val="toc 4"/>
    <w:basedOn w:val="Normal"/>
    <w:next w:val="Normal"/>
    <w:autoRedefine/>
    <w:uiPriority w:val="39"/>
    <w:unhideWhenUsed/>
    <w:rsid w:val="00847540"/>
    <w:pPr>
      <w:spacing w:after="100"/>
      <w:ind w:left="660"/>
    </w:pPr>
  </w:style>
  <w:style w:type="paragraph" w:styleId="TOC5">
    <w:name w:val="toc 5"/>
    <w:basedOn w:val="Normal"/>
    <w:next w:val="Normal"/>
    <w:autoRedefine/>
    <w:uiPriority w:val="39"/>
    <w:unhideWhenUsed/>
    <w:rsid w:val="00847540"/>
    <w:pPr>
      <w:spacing w:after="100"/>
      <w:ind w:left="880"/>
    </w:pPr>
  </w:style>
  <w:style w:type="character" w:styleId="Hyperlink">
    <w:name w:val="Hyperlink"/>
    <w:basedOn w:val="DefaultParagraphFont"/>
    <w:uiPriority w:val="99"/>
    <w:unhideWhenUsed/>
    <w:rsid w:val="00847540"/>
    <w:rPr>
      <w:color w:val="0000FF" w:themeColor="hyperlink"/>
      <w:u w:val="single"/>
    </w:rPr>
  </w:style>
  <w:style w:type="paragraph" w:styleId="Title">
    <w:name w:val="Title"/>
    <w:basedOn w:val="Normal"/>
    <w:next w:val="Normal"/>
    <w:link w:val="TitleChar"/>
    <w:uiPriority w:val="10"/>
    <w:qFormat/>
    <w:rsid w:val="00DB20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DB2038"/>
    <w:rPr>
      <w:rFonts w:asciiTheme="majorHAnsi" w:eastAsiaTheme="majorEastAsia" w:hAnsiTheme="majorHAnsi" w:cstheme="majorBidi"/>
      <w:color w:val="17365D" w:themeColor="text2" w:themeShade="BF"/>
      <w:spacing w:val="5"/>
      <w:kern w:val="28"/>
      <w:sz w:val="52"/>
      <w:szCs w:val="52"/>
      <w:lang w:val="en-US"/>
    </w:rPr>
  </w:style>
  <w:style w:type="character" w:styleId="PlaceholderText">
    <w:name w:val="Placeholder Text"/>
    <w:basedOn w:val="DefaultParagraphFont"/>
    <w:uiPriority w:val="99"/>
    <w:semiHidden/>
    <w:rsid w:val="00DB2038"/>
    <w:rPr>
      <w:color w:val="808080"/>
    </w:rPr>
  </w:style>
  <w:style w:type="character" w:styleId="CommentReference">
    <w:name w:val="annotation reference"/>
    <w:basedOn w:val="DefaultParagraphFont"/>
    <w:uiPriority w:val="99"/>
    <w:unhideWhenUsed/>
    <w:rsid w:val="00286239"/>
    <w:rPr>
      <w:sz w:val="16"/>
      <w:szCs w:val="16"/>
    </w:rPr>
  </w:style>
  <w:style w:type="paragraph" w:styleId="CommentText">
    <w:name w:val="annotation text"/>
    <w:basedOn w:val="Normal"/>
    <w:link w:val="CommentTextChar"/>
    <w:uiPriority w:val="99"/>
    <w:unhideWhenUsed/>
    <w:rsid w:val="00C21D26"/>
    <w:pPr>
      <w:spacing w:line="240" w:lineRule="auto"/>
    </w:pPr>
    <w:rPr>
      <w:sz w:val="20"/>
      <w:szCs w:val="20"/>
    </w:rPr>
  </w:style>
  <w:style w:type="character" w:customStyle="1" w:styleId="CommentTextChar">
    <w:name w:val="Comment Text Char"/>
    <w:basedOn w:val="DefaultParagraphFont"/>
    <w:link w:val="CommentText"/>
    <w:uiPriority w:val="99"/>
    <w:rsid w:val="00C21D26"/>
    <w:rPr>
      <w:sz w:val="20"/>
      <w:szCs w:val="20"/>
    </w:rPr>
  </w:style>
  <w:style w:type="paragraph" w:styleId="CommentSubject">
    <w:name w:val="annotation subject"/>
    <w:basedOn w:val="CommentText"/>
    <w:next w:val="CommentText"/>
    <w:link w:val="CommentSubjectChar"/>
    <w:uiPriority w:val="99"/>
    <w:unhideWhenUsed/>
    <w:rsid w:val="00C21D26"/>
    <w:rPr>
      <w:b/>
      <w:bCs/>
    </w:rPr>
  </w:style>
  <w:style w:type="character" w:customStyle="1" w:styleId="CommentSubjectChar">
    <w:name w:val="Comment Subject Char"/>
    <w:basedOn w:val="CommentTextChar"/>
    <w:link w:val="CommentSubject"/>
    <w:uiPriority w:val="99"/>
    <w:rsid w:val="00C21D26"/>
    <w:rPr>
      <w:b/>
      <w:bCs/>
      <w:sz w:val="20"/>
      <w:szCs w:val="20"/>
    </w:rPr>
  </w:style>
  <w:style w:type="paragraph" w:customStyle="1" w:styleId="DecimalAligned">
    <w:name w:val="Decimal Aligned"/>
    <w:basedOn w:val="Normal"/>
    <w:uiPriority w:val="40"/>
    <w:qFormat/>
    <w:rsid w:val="00535CDC"/>
    <w:pPr>
      <w:tabs>
        <w:tab w:val="decimal" w:pos="360"/>
      </w:tabs>
      <w:spacing w:after="200"/>
    </w:pPr>
    <w:rPr>
      <w:rFonts w:eastAsiaTheme="minorEastAsia"/>
      <w:lang w:val="en-US"/>
    </w:rPr>
  </w:style>
  <w:style w:type="character" w:styleId="SubtleEmphasis">
    <w:name w:val="Subtle Emphasis"/>
    <w:basedOn w:val="DefaultParagraphFont"/>
    <w:uiPriority w:val="19"/>
    <w:qFormat/>
    <w:rsid w:val="00535CDC"/>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535CDC"/>
    <w:pPr>
      <w:spacing w:line="240" w:lineRule="auto"/>
    </w:pPr>
    <w:rPr>
      <w:rFonts w:eastAsiaTheme="minorEastAsia"/>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E732C7"/>
    <w:pPr>
      <w:autoSpaceDE w:val="0"/>
      <w:autoSpaceDN w:val="0"/>
      <w:adjustRightInd w:val="0"/>
      <w:spacing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7D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0F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0F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84B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3625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F7D2D"/>
    <w:pPr>
      <w:ind w:left="720"/>
      <w:contextualSpacing/>
    </w:pPr>
  </w:style>
  <w:style w:type="character" w:customStyle="1" w:styleId="Heading2Char">
    <w:name w:val="Heading 2 Char"/>
    <w:basedOn w:val="DefaultParagraphFont"/>
    <w:link w:val="Heading2"/>
    <w:uiPriority w:val="9"/>
    <w:rsid w:val="00D30F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0F25"/>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B95D7C"/>
    <w:pPr>
      <w:spacing w:line="240" w:lineRule="auto"/>
    </w:pPr>
  </w:style>
  <w:style w:type="paragraph" w:styleId="FootnoteText">
    <w:name w:val="footnote text"/>
    <w:basedOn w:val="Normal"/>
    <w:link w:val="FootnoteTextChar"/>
    <w:uiPriority w:val="99"/>
    <w:unhideWhenUsed/>
    <w:rsid w:val="00B95D7C"/>
    <w:pPr>
      <w:spacing w:line="240" w:lineRule="auto"/>
    </w:pPr>
    <w:rPr>
      <w:sz w:val="20"/>
      <w:szCs w:val="20"/>
    </w:rPr>
  </w:style>
  <w:style w:type="character" w:customStyle="1" w:styleId="FootnoteTextChar">
    <w:name w:val="Footnote Text Char"/>
    <w:basedOn w:val="DefaultParagraphFont"/>
    <w:link w:val="FootnoteText"/>
    <w:uiPriority w:val="99"/>
    <w:rsid w:val="00B95D7C"/>
    <w:rPr>
      <w:sz w:val="20"/>
      <w:szCs w:val="20"/>
    </w:rPr>
  </w:style>
  <w:style w:type="character" w:styleId="FootnoteReference">
    <w:name w:val="footnote reference"/>
    <w:basedOn w:val="DefaultParagraphFont"/>
    <w:uiPriority w:val="99"/>
    <w:unhideWhenUsed/>
    <w:rsid w:val="00B95D7C"/>
    <w:rPr>
      <w:vertAlign w:val="superscript"/>
    </w:rPr>
  </w:style>
  <w:style w:type="character" w:customStyle="1" w:styleId="NoSpacingChar">
    <w:name w:val="No Spacing Char"/>
    <w:basedOn w:val="DefaultParagraphFont"/>
    <w:link w:val="NoSpacing"/>
    <w:uiPriority w:val="1"/>
    <w:rsid w:val="00B95D7C"/>
  </w:style>
  <w:style w:type="table" w:styleId="TableGrid">
    <w:name w:val="Table Grid"/>
    <w:basedOn w:val="TableNormal"/>
    <w:uiPriority w:val="59"/>
    <w:rsid w:val="00B95D7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95D7C"/>
    <w:pPr>
      <w:spacing w:after="200" w:line="240" w:lineRule="auto"/>
    </w:pPr>
    <w:rPr>
      <w:b/>
      <w:bCs/>
      <w:color w:val="4F81BD" w:themeColor="accent1"/>
      <w:sz w:val="18"/>
      <w:szCs w:val="18"/>
    </w:rPr>
  </w:style>
  <w:style w:type="paragraph" w:styleId="BalloonText">
    <w:name w:val="Balloon Text"/>
    <w:basedOn w:val="Normal"/>
    <w:link w:val="BalloonTextChar"/>
    <w:uiPriority w:val="99"/>
    <w:unhideWhenUsed/>
    <w:rsid w:val="00B95D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5D7C"/>
    <w:rPr>
      <w:rFonts w:ascii="Tahoma" w:hAnsi="Tahoma" w:cs="Tahoma"/>
      <w:sz w:val="16"/>
      <w:szCs w:val="16"/>
    </w:rPr>
  </w:style>
  <w:style w:type="character" w:customStyle="1" w:styleId="Heading4Char">
    <w:name w:val="Heading 4 Char"/>
    <w:basedOn w:val="DefaultParagraphFont"/>
    <w:link w:val="Heading4"/>
    <w:uiPriority w:val="9"/>
    <w:rsid w:val="00384BF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3625E"/>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847540"/>
    <w:pPr>
      <w:tabs>
        <w:tab w:val="center" w:pos="4536"/>
        <w:tab w:val="right" w:pos="9072"/>
      </w:tabs>
      <w:spacing w:line="240" w:lineRule="auto"/>
    </w:pPr>
  </w:style>
  <w:style w:type="character" w:customStyle="1" w:styleId="HeaderChar">
    <w:name w:val="Header Char"/>
    <w:basedOn w:val="DefaultParagraphFont"/>
    <w:link w:val="Header"/>
    <w:uiPriority w:val="99"/>
    <w:rsid w:val="00847540"/>
  </w:style>
  <w:style w:type="paragraph" w:styleId="Footer">
    <w:name w:val="footer"/>
    <w:basedOn w:val="Normal"/>
    <w:link w:val="FooterChar"/>
    <w:uiPriority w:val="99"/>
    <w:unhideWhenUsed/>
    <w:rsid w:val="00847540"/>
    <w:pPr>
      <w:tabs>
        <w:tab w:val="center" w:pos="4536"/>
        <w:tab w:val="right" w:pos="9072"/>
      </w:tabs>
      <w:spacing w:line="240" w:lineRule="auto"/>
    </w:pPr>
  </w:style>
  <w:style w:type="character" w:customStyle="1" w:styleId="FooterChar">
    <w:name w:val="Footer Char"/>
    <w:basedOn w:val="DefaultParagraphFont"/>
    <w:link w:val="Footer"/>
    <w:uiPriority w:val="99"/>
    <w:rsid w:val="00847540"/>
  </w:style>
  <w:style w:type="paragraph" w:styleId="TOC1">
    <w:name w:val="toc 1"/>
    <w:basedOn w:val="Normal"/>
    <w:next w:val="Normal"/>
    <w:autoRedefine/>
    <w:uiPriority w:val="39"/>
    <w:unhideWhenUsed/>
    <w:rsid w:val="00847540"/>
    <w:pPr>
      <w:spacing w:after="100"/>
    </w:pPr>
  </w:style>
  <w:style w:type="paragraph" w:styleId="TOC2">
    <w:name w:val="toc 2"/>
    <w:basedOn w:val="Normal"/>
    <w:next w:val="Normal"/>
    <w:autoRedefine/>
    <w:uiPriority w:val="39"/>
    <w:unhideWhenUsed/>
    <w:rsid w:val="00847540"/>
    <w:pPr>
      <w:spacing w:after="100"/>
      <w:ind w:left="220"/>
    </w:pPr>
  </w:style>
  <w:style w:type="paragraph" w:styleId="TOC3">
    <w:name w:val="toc 3"/>
    <w:basedOn w:val="Normal"/>
    <w:next w:val="Normal"/>
    <w:autoRedefine/>
    <w:uiPriority w:val="39"/>
    <w:unhideWhenUsed/>
    <w:rsid w:val="00847540"/>
    <w:pPr>
      <w:spacing w:after="100"/>
      <w:ind w:left="440"/>
    </w:pPr>
  </w:style>
  <w:style w:type="paragraph" w:styleId="TOC4">
    <w:name w:val="toc 4"/>
    <w:basedOn w:val="Normal"/>
    <w:next w:val="Normal"/>
    <w:autoRedefine/>
    <w:uiPriority w:val="39"/>
    <w:unhideWhenUsed/>
    <w:rsid w:val="00847540"/>
    <w:pPr>
      <w:spacing w:after="100"/>
      <w:ind w:left="660"/>
    </w:pPr>
  </w:style>
  <w:style w:type="paragraph" w:styleId="TOC5">
    <w:name w:val="toc 5"/>
    <w:basedOn w:val="Normal"/>
    <w:next w:val="Normal"/>
    <w:autoRedefine/>
    <w:uiPriority w:val="39"/>
    <w:unhideWhenUsed/>
    <w:rsid w:val="00847540"/>
    <w:pPr>
      <w:spacing w:after="100"/>
      <w:ind w:left="880"/>
    </w:pPr>
  </w:style>
  <w:style w:type="character" w:styleId="Hyperlink">
    <w:name w:val="Hyperlink"/>
    <w:basedOn w:val="DefaultParagraphFont"/>
    <w:uiPriority w:val="99"/>
    <w:unhideWhenUsed/>
    <w:rsid w:val="00847540"/>
    <w:rPr>
      <w:color w:val="0000FF" w:themeColor="hyperlink"/>
      <w:u w:val="single"/>
    </w:rPr>
  </w:style>
  <w:style w:type="paragraph" w:styleId="Title">
    <w:name w:val="Title"/>
    <w:basedOn w:val="Normal"/>
    <w:next w:val="Normal"/>
    <w:link w:val="TitleChar"/>
    <w:uiPriority w:val="10"/>
    <w:qFormat/>
    <w:rsid w:val="00DB20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DB2038"/>
    <w:rPr>
      <w:rFonts w:asciiTheme="majorHAnsi" w:eastAsiaTheme="majorEastAsia" w:hAnsiTheme="majorHAnsi" w:cstheme="majorBidi"/>
      <w:color w:val="17365D" w:themeColor="text2" w:themeShade="BF"/>
      <w:spacing w:val="5"/>
      <w:kern w:val="28"/>
      <w:sz w:val="52"/>
      <w:szCs w:val="52"/>
      <w:lang w:val="en-US"/>
    </w:rPr>
  </w:style>
  <w:style w:type="character" w:styleId="PlaceholderText">
    <w:name w:val="Placeholder Text"/>
    <w:basedOn w:val="DefaultParagraphFont"/>
    <w:uiPriority w:val="99"/>
    <w:semiHidden/>
    <w:rsid w:val="00DB2038"/>
    <w:rPr>
      <w:color w:val="808080"/>
    </w:rPr>
  </w:style>
  <w:style w:type="character" w:styleId="CommentReference">
    <w:name w:val="annotation reference"/>
    <w:basedOn w:val="DefaultParagraphFont"/>
    <w:uiPriority w:val="99"/>
    <w:unhideWhenUsed/>
    <w:rsid w:val="00286239"/>
    <w:rPr>
      <w:sz w:val="16"/>
      <w:szCs w:val="16"/>
    </w:rPr>
  </w:style>
  <w:style w:type="paragraph" w:styleId="CommentText">
    <w:name w:val="annotation text"/>
    <w:basedOn w:val="Normal"/>
    <w:link w:val="CommentTextChar"/>
    <w:uiPriority w:val="99"/>
    <w:unhideWhenUsed/>
    <w:rsid w:val="00C21D26"/>
    <w:pPr>
      <w:spacing w:line="240" w:lineRule="auto"/>
    </w:pPr>
    <w:rPr>
      <w:sz w:val="20"/>
      <w:szCs w:val="20"/>
    </w:rPr>
  </w:style>
  <w:style w:type="character" w:customStyle="1" w:styleId="CommentTextChar">
    <w:name w:val="Comment Text Char"/>
    <w:basedOn w:val="DefaultParagraphFont"/>
    <w:link w:val="CommentText"/>
    <w:uiPriority w:val="99"/>
    <w:rsid w:val="00C21D26"/>
    <w:rPr>
      <w:sz w:val="20"/>
      <w:szCs w:val="20"/>
    </w:rPr>
  </w:style>
  <w:style w:type="paragraph" w:styleId="CommentSubject">
    <w:name w:val="annotation subject"/>
    <w:basedOn w:val="CommentText"/>
    <w:next w:val="CommentText"/>
    <w:link w:val="CommentSubjectChar"/>
    <w:uiPriority w:val="99"/>
    <w:unhideWhenUsed/>
    <w:rsid w:val="00C21D26"/>
    <w:rPr>
      <w:b/>
      <w:bCs/>
    </w:rPr>
  </w:style>
  <w:style w:type="character" w:customStyle="1" w:styleId="CommentSubjectChar">
    <w:name w:val="Comment Subject Char"/>
    <w:basedOn w:val="CommentTextChar"/>
    <w:link w:val="CommentSubject"/>
    <w:uiPriority w:val="99"/>
    <w:rsid w:val="00C21D26"/>
    <w:rPr>
      <w:b/>
      <w:bCs/>
      <w:sz w:val="20"/>
      <w:szCs w:val="20"/>
    </w:rPr>
  </w:style>
</w:styles>
</file>

<file path=word/webSettings.xml><?xml version="1.0" encoding="utf-8"?>
<w:webSettings xmlns:r="http://schemas.openxmlformats.org/officeDocument/2006/relationships" xmlns:w="http://schemas.openxmlformats.org/wordprocessingml/2006/main">
  <w:divs>
    <w:div w:id="242690561">
      <w:bodyDiv w:val="1"/>
      <w:marLeft w:val="0"/>
      <w:marRight w:val="0"/>
      <w:marTop w:val="0"/>
      <w:marBottom w:val="0"/>
      <w:divBdr>
        <w:top w:val="none" w:sz="0" w:space="0" w:color="auto"/>
        <w:left w:val="none" w:sz="0" w:space="0" w:color="auto"/>
        <w:bottom w:val="none" w:sz="0" w:space="0" w:color="auto"/>
        <w:right w:val="none" w:sz="0" w:space="0" w:color="auto"/>
      </w:divBdr>
    </w:div>
    <w:div w:id="636842905">
      <w:bodyDiv w:val="1"/>
      <w:marLeft w:val="0"/>
      <w:marRight w:val="0"/>
      <w:marTop w:val="0"/>
      <w:marBottom w:val="0"/>
      <w:divBdr>
        <w:top w:val="none" w:sz="0" w:space="0" w:color="auto"/>
        <w:left w:val="none" w:sz="0" w:space="0" w:color="auto"/>
        <w:bottom w:val="none" w:sz="0" w:space="0" w:color="auto"/>
        <w:right w:val="none" w:sz="0" w:space="0" w:color="auto"/>
      </w:divBdr>
    </w:div>
    <w:div w:id="782651981">
      <w:bodyDiv w:val="1"/>
      <w:marLeft w:val="0"/>
      <w:marRight w:val="0"/>
      <w:marTop w:val="0"/>
      <w:marBottom w:val="0"/>
      <w:divBdr>
        <w:top w:val="none" w:sz="0" w:space="0" w:color="auto"/>
        <w:left w:val="none" w:sz="0" w:space="0" w:color="auto"/>
        <w:bottom w:val="none" w:sz="0" w:space="0" w:color="auto"/>
        <w:right w:val="none" w:sz="0" w:space="0" w:color="auto"/>
      </w:divBdr>
    </w:div>
    <w:div w:id="816604577">
      <w:bodyDiv w:val="1"/>
      <w:marLeft w:val="0"/>
      <w:marRight w:val="0"/>
      <w:marTop w:val="0"/>
      <w:marBottom w:val="0"/>
      <w:divBdr>
        <w:top w:val="none" w:sz="0" w:space="0" w:color="auto"/>
        <w:left w:val="none" w:sz="0" w:space="0" w:color="auto"/>
        <w:bottom w:val="none" w:sz="0" w:space="0" w:color="auto"/>
        <w:right w:val="none" w:sz="0" w:space="0" w:color="auto"/>
      </w:divBdr>
    </w:div>
    <w:div w:id="913396829">
      <w:bodyDiv w:val="1"/>
      <w:marLeft w:val="0"/>
      <w:marRight w:val="0"/>
      <w:marTop w:val="0"/>
      <w:marBottom w:val="0"/>
      <w:divBdr>
        <w:top w:val="none" w:sz="0" w:space="0" w:color="auto"/>
        <w:left w:val="none" w:sz="0" w:space="0" w:color="auto"/>
        <w:bottom w:val="none" w:sz="0" w:space="0" w:color="auto"/>
        <w:right w:val="none" w:sz="0" w:space="0" w:color="auto"/>
      </w:divBdr>
    </w:div>
    <w:div w:id="979308650">
      <w:bodyDiv w:val="1"/>
      <w:marLeft w:val="0"/>
      <w:marRight w:val="0"/>
      <w:marTop w:val="0"/>
      <w:marBottom w:val="0"/>
      <w:divBdr>
        <w:top w:val="none" w:sz="0" w:space="0" w:color="auto"/>
        <w:left w:val="none" w:sz="0" w:space="0" w:color="auto"/>
        <w:bottom w:val="none" w:sz="0" w:space="0" w:color="auto"/>
        <w:right w:val="none" w:sz="0" w:space="0" w:color="auto"/>
      </w:divBdr>
    </w:div>
    <w:div w:id="1026104605">
      <w:bodyDiv w:val="1"/>
      <w:marLeft w:val="0"/>
      <w:marRight w:val="0"/>
      <w:marTop w:val="0"/>
      <w:marBottom w:val="0"/>
      <w:divBdr>
        <w:top w:val="none" w:sz="0" w:space="0" w:color="auto"/>
        <w:left w:val="none" w:sz="0" w:space="0" w:color="auto"/>
        <w:bottom w:val="none" w:sz="0" w:space="0" w:color="auto"/>
        <w:right w:val="none" w:sz="0" w:space="0" w:color="auto"/>
      </w:divBdr>
      <w:divsChild>
        <w:div w:id="1590236516">
          <w:marLeft w:val="0"/>
          <w:marRight w:val="0"/>
          <w:marTop w:val="0"/>
          <w:marBottom w:val="0"/>
          <w:divBdr>
            <w:top w:val="none" w:sz="0" w:space="0" w:color="auto"/>
            <w:left w:val="none" w:sz="0" w:space="0" w:color="auto"/>
            <w:bottom w:val="none" w:sz="0" w:space="0" w:color="auto"/>
            <w:right w:val="none" w:sz="0" w:space="0" w:color="auto"/>
          </w:divBdr>
        </w:div>
        <w:div w:id="771779988">
          <w:marLeft w:val="0"/>
          <w:marRight w:val="0"/>
          <w:marTop w:val="0"/>
          <w:marBottom w:val="0"/>
          <w:divBdr>
            <w:top w:val="none" w:sz="0" w:space="0" w:color="auto"/>
            <w:left w:val="none" w:sz="0" w:space="0" w:color="auto"/>
            <w:bottom w:val="none" w:sz="0" w:space="0" w:color="auto"/>
            <w:right w:val="none" w:sz="0" w:space="0" w:color="auto"/>
          </w:divBdr>
        </w:div>
        <w:div w:id="1913850754">
          <w:marLeft w:val="0"/>
          <w:marRight w:val="0"/>
          <w:marTop w:val="0"/>
          <w:marBottom w:val="0"/>
          <w:divBdr>
            <w:top w:val="none" w:sz="0" w:space="0" w:color="auto"/>
            <w:left w:val="none" w:sz="0" w:space="0" w:color="auto"/>
            <w:bottom w:val="none" w:sz="0" w:space="0" w:color="auto"/>
            <w:right w:val="none" w:sz="0" w:space="0" w:color="auto"/>
          </w:divBdr>
        </w:div>
        <w:div w:id="257755695">
          <w:marLeft w:val="0"/>
          <w:marRight w:val="0"/>
          <w:marTop w:val="0"/>
          <w:marBottom w:val="0"/>
          <w:divBdr>
            <w:top w:val="none" w:sz="0" w:space="0" w:color="auto"/>
            <w:left w:val="none" w:sz="0" w:space="0" w:color="auto"/>
            <w:bottom w:val="none" w:sz="0" w:space="0" w:color="auto"/>
            <w:right w:val="none" w:sz="0" w:space="0" w:color="auto"/>
          </w:divBdr>
        </w:div>
      </w:divsChild>
    </w:div>
    <w:div w:id="1071150327">
      <w:bodyDiv w:val="1"/>
      <w:marLeft w:val="0"/>
      <w:marRight w:val="0"/>
      <w:marTop w:val="0"/>
      <w:marBottom w:val="0"/>
      <w:divBdr>
        <w:top w:val="none" w:sz="0" w:space="0" w:color="auto"/>
        <w:left w:val="none" w:sz="0" w:space="0" w:color="auto"/>
        <w:bottom w:val="none" w:sz="0" w:space="0" w:color="auto"/>
        <w:right w:val="none" w:sz="0" w:space="0" w:color="auto"/>
      </w:divBdr>
    </w:div>
    <w:div w:id="1084644593">
      <w:bodyDiv w:val="1"/>
      <w:marLeft w:val="0"/>
      <w:marRight w:val="0"/>
      <w:marTop w:val="0"/>
      <w:marBottom w:val="0"/>
      <w:divBdr>
        <w:top w:val="none" w:sz="0" w:space="0" w:color="auto"/>
        <w:left w:val="none" w:sz="0" w:space="0" w:color="auto"/>
        <w:bottom w:val="none" w:sz="0" w:space="0" w:color="auto"/>
        <w:right w:val="none" w:sz="0" w:space="0" w:color="auto"/>
      </w:divBdr>
    </w:div>
    <w:div w:id="1268657509">
      <w:bodyDiv w:val="1"/>
      <w:marLeft w:val="0"/>
      <w:marRight w:val="0"/>
      <w:marTop w:val="0"/>
      <w:marBottom w:val="0"/>
      <w:divBdr>
        <w:top w:val="none" w:sz="0" w:space="0" w:color="auto"/>
        <w:left w:val="none" w:sz="0" w:space="0" w:color="auto"/>
        <w:bottom w:val="none" w:sz="0" w:space="0" w:color="auto"/>
        <w:right w:val="none" w:sz="0" w:space="0" w:color="auto"/>
      </w:divBdr>
    </w:div>
    <w:div w:id="1300761946">
      <w:bodyDiv w:val="1"/>
      <w:marLeft w:val="0"/>
      <w:marRight w:val="0"/>
      <w:marTop w:val="0"/>
      <w:marBottom w:val="0"/>
      <w:divBdr>
        <w:top w:val="none" w:sz="0" w:space="0" w:color="auto"/>
        <w:left w:val="none" w:sz="0" w:space="0" w:color="auto"/>
        <w:bottom w:val="none" w:sz="0" w:space="0" w:color="auto"/>
        <w:right w:val="none" w:sz="0" w:space="0" w:color="auto"/>
      </w:divBdr>
    </w:div>
    <w:div w:id="1454128922">
      <w:bodyDiv w:val="1"/>
      <w:marLeft w:val="0"/>
      <w:marRight w:val="0"/>
      <w:marTop w:val="0"/>
      <w:marBottom w:val="0"/>
      <w:divBdr>
        <w:top w:val="none" w:sz="0" w:space="0" w:color="auto"/>
        <w:left w:val="none" w:sz="0" w:space="0" w:color="auto"/>
        <w:bottom w:val="none" w:sz="0" w:space="0" w:color="auto"/>
        <w:right w:val="none" w:sz="0" w:space="0" w:color="auto"/>
      </w:divBdr>
    </w:div>
    <w:div w:id="1539394063">
      <w:bodyDiv w:val="1"/>
      <w:marLeft w:val="0"/>
      <w:marRight w:val="0"/>
      <w:marTop w:val="0"/>
      <w:marBottom w:val="0"/>
      <w:divBdr>
        <w:top w:val="none" w:sz="0" w:space="0" w:color="auto"/>
        <w:left w:val="none" w:sz="0" w:space="0" w:color="auto"/>
        <w:bottom w:val="none" w:sz="0" w:space="0" w:color="auto"/>
        <w:right w:val="none" w:sz="0" w:space="0" w:color="auto"/>
      </w:divBdr>
    </w:div>
    <w:div w:id="1614285299">
      <w:bodyDiv w:val="1"/>
      <w:marLeft w:val="0"/>
      <w:marRight w:val="0"/>
      <w:marTop w:val="0"/>
      <w:marBottom w:val="0"/>
      <w:divBdr>
        <w:top w:val="none" w:sz="0" w:space="0" w:color="auto"/>
        <w:left w:val="none" w:sz="0" w:space="0" w:color="auto"/>
        <w:bottom w:val="none" w:sz="0" w:space="0" w:color="auto"/>
        <w:right w:val="none" w:sz="0" w:space="0" w:color="auto"/>
      </w:divBdr>
    </w:div>
    <w:div w:id="1655061851">
      <w:bodyDiv w:val="1"/>
      <w:marLeft w:val="0"/>
      <w:marRight w:val="0"/>
      <w:marTop w:val="0"/>
      <w:marBottom w:val="0"/>
      <w:divBdr>
        <w:top w:val="none" w:sz="0" w:space="0" w:color="auto"/>
        <w:left w:val="none" w:sz="0" w:space="0" w:color="auto"/>
        <w:bottom w:val="none" w:sz="0" w:space="0" w:color="auto"/>
        <w:right w:val="none" w:sz="0" w:space="0" w:color="auto"/>
      </w:divBdr>
    </w:div>
    <w:div w:id="1685860344">
      <w:bodyDiv w:val="1"/>
      <w:marLeft w:val="0"/>
      <w:marRight w:val="0"/>
      <w:marTop w:val="0"/>
      <w:marBottom w:val="0"/>
      <w:divBdr>
        <w:top w:val="none" w:sz="0" w:space="0" w:color="auto"/>
        <w:left w:val="none" w:sz="0" w:space="0" w:color="auto"/>
        <w:bottom w:val="none" w:sz="0" w:space="0" w:color="auto"/>
        <w:right w:val="none" w:sz="0" w:space="0" w:color="auto"/>
      </w:divBdr>
    </w:div>
    <w:div w:id="1723482559">
      <w:bodyDiv w:val="1"/>
      <w:marLeft w:val="0"/>
      <w:marRight w:val="0"/>
      <w:marTop w:val="0"/>
      <w:marBottom w:val="0"/>
      <w:divBdr>
        <w:top w:val="none" w:sz="0" w:space="0" w:color="auto"/>
        <w:left w:val="none" w:sz="0" w:space="0" w:color="auto"/>
        <w:bottom w:val="none" w:sz="0" w:space="0" w:color="auto"/>
        <w:right w:val="none" w:sz="0" w:space="0" w:color="auto"/>
      </w:divBdr>
    </w:div>
    <w:div w:id="1763060669">
      <w:bodyDiv w:val="1"/>
      <w:marLeft w:val="0"/>
      <w:marRight w:val="0"/>
      <w:marTop w:val="0"/>
      <w:marBottom w:val="0"/>
      <w:divBdr>
        <w:top w:val="none" w:sz="0" w:space="0" w:color="auto"/>
        <w:left w:val="none" w:sz="0" w:space="0" w:color="auto"/>
        <w:bottom w:val="none" w:sz="0" w:space="0" w:color="auto"/>
        <w:right w:val="none" w:sz="0" w:space="0" w:color="auto"/>
      </w:divBdr>
    </w:div>
    <w:div w:id="1807353691">
      <w:bodyDiv w:val="1"/>
      <w:marLeft w:val="0"/>
      <w:marRight w:val="0"/>
      <w:marTop w:val="0"/>
      <w:marBottom w:val="0"/>
      <w:divBdr>
        <w:top w:val="none" w:sz="0" w:space="0" w:color="auto"/>
        <w:left w:val="none" w:sz="0" w:space="0" w:color="auto"/>
        <w:bottom w:val="none" w:sz="0" w:space="0" w:color="auto"/>
        <w:right w:val="none" w:sz="0" w:space="0" w:color="auto"/>
      </w:divBdr>
    </w:div>
    <w:div w:id="1933510482">
      <w:bodyDiv w:val="1"/>
      <w:marLeft w:val="0"/>
      <w:marRight w:val="0"/>
      <w:marTop w:val="0"/>
      <w:marBottom w:val="0"/>
      <w:divBdr>
        <w:top w:val="none" w:sz="0" w:space="0" w:color="auto"/>
        <w:left w:val="none" w:sz="0" w:space="0" w:color="auto"/>
        <w:bottom w:val="none" w:sz="0" w:space="0" w:color="auto"/>
        <w:right w:val="none" w:sz="0" w:space="0" w:color="auto"/>
      </w:divBdr>
    </w:div>
    <w:div w:id="1941331153">
      <w:bodyDiv w:val="1"/>
      <w:marLeft w:val="0"/>
      <w:marRight w:val="0"/>
      <w:marTop w:val="0"/>
      <w:marBottom w:val="0"/>
      <w:divBdr>
        <w:top w:val="none" w:sz="0" w:space="0" w:color="auto"/>
        <w:left w:val="none" w:sz="0" w:space="0" w:color="auto"/>
        <w:bottom w:val="none" w:sz="0" w:space="0" w:color="auto"/>
        <w:right w:val="none" w:sz="0" w:space="0" w:color="auto"/>
      </w:divBdr>
    </w:div>
    <w:div w:id="1945720626">
      <w:bodyDiv w:val="1"/>
      <w:marLeft w:val="0"/>
      <w:marRight w:val="0"/>
      <w:marTop w:val="0"/>
      <w:marBottom w:val="0"/>
      <w:divBdr>
        <w:top w:val="none" w:sz="0" w:space="0" w:color="auto"/>
        <w:left w:val="none" w:sz="0" w:space="0" w:color="auto"/>
        <w:bottom w:val="none" w:sz="0" w:space="0" w:color="auto"/>
        <w:right w:val="none" w:sz="0" w:space="0" w:color="auto"/>
      </w:divBdr>
    </w:div>
    <w:div w:id="19580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package" Target="embeddings/Microsoft_Office_Excel_Worksheet2.xlsx"/><Relationship Id="rId17" Type="http://schemas.openxmlformats.org/officeDocument/2006/relationships/chart" Target="charts/chart3.xml"/><Relationship Id="rId25" Type="http://schemas.openxmlformats.org/officeDocument/2006/relationships/chart" Target="charts/chart9.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package" Target="embeddings/Microsoft_Office_Excel_Worksheet1.xlsx"/><Relationship Id="rId19" Type="http://schemas.openxmlformats.org/officeDocument/2006/relationships/chart" Target="charts/chart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nieuwe%20map%20BACHELORSCRIPTIE\inkoopprogramma's%20per%20jaar\aantal%20aandeleninkoopprogramma's%20per%20ja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nieuwe%20map%20BACHELORSCRIPTIE\OVERZICHT%20ABNORMALE%20RENDEMENT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aantal aandeleninkoopprogramma's</c:v>
                </c:pt>
              </c:strCache>
            </c:strRef>
          </c:tx>
          <c:cat>
            <c:numRef>
              <c:f>Sheet1!$A$2:$A$14</c:f>
              <c:numCache>
                <c:formatCode>Standaard</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Sheet1!$B$2:$B$14</c:f>
              <c:numCache>
                <c:formatCode>Standaard</c:formatCode>
                <c:ptCount val="13"/>
                <c:pt idx="0">
                  <c:v>2</c:v>
                </c:pt>
                <c:pt idx="1">
                  <c:v>1</c:v>
                </c:pt>
                <c:pt idx="2">
                  <c:v>1</c:v>
                </c:pt>
                <c:pt idx="3">
                  <c:v>5</c:v>
                </c:pt>
                <c:pt idx="4">
                  <c:v>7</c:v>
                </c:pt>
                <c:pt idx="5">
                  <c:v>12</c:v>
                </c:pt>
                <c:pt idx="6">
                  <c:v>22</c:v>
                </c:pt>
                <c:pt idx="7">
                  <c:v>3</c:v>
                </c:pt>
                <c:pt idx="8">
                  <c:v>0</c:v>
                </c:pt>
                <c:pt idx="9">
                  <c:v>4</c:v>
                </c:pt>
                <c:pt idx="10">
                  <c:v>6</c:v>
                </c:pt>
                <c:pt idx="11">
                  <c:v>4</c:v>
                </c:pt>
                <c:pt idx="12">
                  <c:v>2</c:v>
                </c:pt>
              </c:numCache>
            </c:numRef>
          </c:val>
        </c:ser>
        <c:axId val="93872128"/>
        <c:axId val="93874432"/>
      </c:barChart>
      <c:catAx>
        <c:axId val="93872128"/>
        <c:scaling>
          <c:orientation val="minMax"/>
        </c:scaling>
        <c:axPos val="b"/>
        <c:title>
          <c:tx>
            <c:rich>
              <a:bodyPr/>
              <a:lstStyle/>
              <a:p>
                <a:pPr>
                  <a:defRPr/>
                </a:pPr>
                <a:r>
                  <a:rPr lang="nl-NL"/>
                  <a:t>Jaar</a:t>
                </a:r>
              </a:p>
            </c:rich>
          </c:tx>
        </c:title>
        <c:numFmt formatCode="Standaard" sourceLinked="1"/>
        <c:tickLblPos val="nextTo"/>
        <c:crossAx val="93874432"/>
        <c:crosses val="autoZero"/>
        <c:auto val="1"/>
        <c:lblAlgn val="ctr"/>
        <c:lblOffset val="100"/>
      </c:catAx>
      <c:valAx>
        <c:axId val="93874432"/>
        <c:scaling>
          <c:orientation val="minMax"/>
        </c:scaling>
        <c:axPos val="l"/>
        <c:majorGridlines/>
        <c:title>
          <c:tx>
            <c:rich>
              <a:bodyPr rot="-5400000" vert="horz"/>
              <a:lstStyle/>
              <a:p>
                <a:pPr>
                  <a:defRPr/>
                </a:pPr>
                <a:r>
                  <a:rPr lang="nl-NL"/>
                  <a:t>Aantal</a:t>
                </a:r>
                <a:r>
                  <a:rPr lang="nl-NL" baseline="0"/>
                  <a:t> aangekondigde aandeleninkoopprogramma's</a:t>
                </a:r>
                <a:endParaRPr lang="nl-NL"/>
              </a:p>
            </c:rich>
          </c:tx>
        </c:title>
        <c:numFmt formatCode="Standaard" sourceLinked="1"/>
        <c:tickLblPos val="nextTo"/>
        <c:crossAx val="9387212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136351706036745"/>
          <c:y val="5.1400554097404488E-2"/>
          <c:w val="0.54894915222631535"/>
          <c:h val="0.89719889180519163"/>
        </c:manualLayout>
      </c:layout>
      <c:lineChart>
        <c:grouping val="standard"/>
        <c:ser>
          <c:idx val="0"/>
          <c:order val="0"/>
          <c:tx>
            <c:v>Market-Adjusted Return Model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Sheet1!$B$3:$B$13</c:f>
              <c:numCache>
                <c:formatCode>0.00%</c:formatCode>
                <c:ptCount val="11"/>
                <c:pt idx="0">
                  <c:v>1.7028358676816641E-3</c:v>
                </c:pt>
                <c:pt idx="1">
                  <c:v>-2.8839221126886216E-3</c:v>
                </c:pt>
                <c:pt idx="2">
                  <c:v>1.6983314019524294E-3</c:v>
                </c:pt>
                <c:pt idx="3">
                  <c:v>-7.0838692514663462E-4</c:v>
                </c:pt>
                <c:pt idx="4">
                  <c:v>1.2556584540210219E-3</c:v>
                </c:pt>
                <c:pt idx="5">
                  <c:v>1.3286004638659742E-2</c:v>
                </c:pt>
                <c:pt idx="6">
                  <c:v>4.5060893048634683E-3</c:v>
                </c:pt>
                <c:pt idx="7">
                  <c:v>2.5366446283085994E-3</c:v>
                </c:pt>
                <c:pt idx="8">
                  <c:v>1.45455913816325E-3</c:v>
                </c:pt>
                <c:pt idx="9">
                  <c:v>3.803033090816144E-3</c:v>
                </c:pt>
                <c:pt idx="10">
                  <c:v>-6.5176220589144101E-4</c:v>
                </c:pt>
              </c:numCache>
            </c:numRef>
          </c:val>
        </c:ser>
        <c:ser>
          <c:idx val="1"/>
          <c:order val="1"/>
          <c:tx>
            <c:v>Markt Model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Sheet1!$C$3:$C$13</c:f>
              <c:numCache>
                <c:formatCode>0.00%</c:formatCode>
                <c:ptCount val="11"/>
                <c:pt idx="0">
                  <c:v>1.5377691700956448E-3</c:v>
                </c:pt>
                <c:pt idx="1">
                  <c:v>-3.2437707684433896E-3</c:v>
                </c:pt>
                <c:pt idx="2">
                  <c:v>1.5446593910442021E-3</c:v>
                </c:pt>
                <c:pt idx="3">
                  <c:v>-1.378355696997819E-3</c:v>
                </c:pt>
                <c:pt idx="4">
                  <c:v>7.4321121544684095E-4</c:v>
                </c:pt>
                <c:pt idx="5">
                  <c:v>1.2628889492315682E-2</c:v>
                </c:pt>
                <c:pt idx="6">
                  <c:v>4.2241262620313965E-3</c:v>
                </c:pt>
                <c:pt idx="7">
                  <c:v>1.9331632656229001E-3</c:v>
                </c:pt>
                <c:pt idx="8">
                  <c:v>1.5482220791661573E-3</c:v>
                </c:pt>
                <c:pt idx="9">
                  <c:v>3.7936844074232612E-3</c:v>
                </c:pt>
                <c:pt idx="10">
                  <c:v>-5.310242877399798E-4</c:v>
                </c:pt>
              </c:numCache>
            </c:numRef>
          </c:val>
        </c:ser>
        <c:marker val="1"/>
        <c:axId val="94918528"/>
        <c:axId val="94920704"/>
      </c:lineChart>
      <c:catAx>
        <c:axId val="94918528"/>
        <c:scaling>
          <c:orientation val="minMax"/>
        </c:scaling>
        <c:axPos val="b"/>
        <c:title>
          <c:tx>
            <c:rich>
              <a:bodyPr/>
              <a:lstStyle/>
              <a:p>
                <a:pPr>
                  <a:defRPr/>
                </a:pPr>
                <a:r>
                  <a:rPr lang="en-US"/>
                  <a:t>Handelsdag </a:t>
                </a:r>
              </a:p>
            </c:rich>
          </c:tx>
        </c:title>
        <c:tickLblPos val="nextTo"/>
        <c:crossAx val="94920704"/>
        <c:crosses val="autoZero"/>
        <c:auto val="1"/>
        <c:lblAlgn val="ctr"/>
        <c:lblOffset val="100"/>
      </c:catAx>
      <c:valAx>
        <c:axId val="94920704"/>
        <c:scaling>
          <c:orientation val="minMax"/>
        </c:scaling>
        <c:axPos val="l"/>
        <c:majorGridlines/>
        <c:title>
          <c:tx>
            <c:rich>
              <a:bodyPr rot="-5400000" vert="horz"/>
              <a:lstStyle/>
              <a:p>
                <a:pPr>
                  <a:defRPr/>
                </a:pPr>
                <a:r>
                  <a:rPr lang="en-US"/>
                  <a:t>Abnormaal Rendement</a:t>
                </a:r>
              </a:p>
            </c:rich>
          </c:tx>
        </c:title>
        <c:numFmt formatCode="0.00%" sourceLinked="1"/>
        <c:tickLblPos val="nextTo"/>
        <c:crossAx val="9491852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136351706036745"/>
          <c:y val="5.1400554097404488E-2"/>
          <c:w val="0.56601137357830866"/>
          <c:h val="0.87868037328667992"/>
        </c:manualLayout>
      </c:layout>
      <c:lineChart>
        <c:grouping val="standard"/>
        <c:ser>
          <c:idx val="0"/>
          <c:order val="0"/>
          <c:tx>
            <c:v>Adjusted-Market Return Model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Sheet1!$H$3:$H$13</c:f>
              <c:numCache>
                <c:formatCode>0.00%</c:formatCode>
                <c:ptCount val="11"/>
                <c:pt idx="0">
                  <c:v>4.2704643802505578E-4</c:v>
                </c:pt>
                <c:pt idx="1">
                  <c:v>-4.9649559843892915E-3</c:v>
                </c:pt>
                <c:pt idx="2">
                  <c:v>-1.405069232490736E-3</c:v>
                </c:pt>
                <c:pt idx="3">
                  <c:v>-2.0780058787056481E-3</c:v>
                </c:pt>
                <c:pt idx="4">
                  <c:v>2.0480587477538456E-3</c:v>
                </c:pt>
                <c:pt idx="5">
                  <c:v>1.7125694600892579E-2</c:v>
                </c:pt>
                <c:pt idx="6">
                  <c:v>6.0655280898827832E-3</c:v>
                </c:pt>
                <c:pt idx="7">
                  <c:v>2.9739080332672006E-3</c:v>
                </c:pt>
                <c:pt idx="8">
                  <c:v>1.3133905356118296E-3</c:v>
                </c:pt>
                <c:pt idx="9">
                  <c:v>5.5201203146371903E-3</c:v>
                </c:pt>
                <c:pt idx="10">
                  <c:v>-2.6835938858465113E-3</c:v>
                </c:pt>
              </c:numCache>
            </c:numRef>
          </c:val>
        </c:ser>
        <c:ser>
          <c:idx val="1"/>
          <c:order val="1"/>
          <c:tx>
            <c:v>Markt Model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Sheet1!$I$3:$I$13</c:f>
              <c:numCache>
                <c:formatCode>0.00%</c:formatCode>
                <c:ptCount val="11"/>
                <c:pt idx="0">
                  <c:v>6.4116396243941531E-4</c:v>
                </c:pt>
                <c:pt idx="1">
                  <c:v>-5.3620732469636711E-3</c:v>
                </c:pt>
                <c:pt idx="2">
                  <c:v>-1.6507553439450353E-3</c:v>
                </c:pt>
                <c:pt idx="3">
                  <c:v>-3.4188284341939777E-3</c:v>
                </c:pt>
                <c:pt idx="4">
                  <c:v>1.6500262733387437E-3</c:v>
                </c:pt>
                <c:pt idx="5">
                  <c:v>1.6577332642501913E-2</c:v>
                </c:pt>
                <c:pt idx="6">
                  <c:v>6.2773151869577014E-3</c:v>
                </c:pt>
                <c:pt idx="7">
                  <c:v>2.5997301633455651E-3</c:v>
                </c:pt>
                <c:pt idx="8">
                  <c:v>1.0433340392313245E-3</c:v>
                </c:pt>
                <c:pt idx="9">
                  <c:v>4.8944695863480884E-3</c:v>
                </c:pt>
                <c:pt idx="10">
                  <c:v>-2.4144513002853692E-3</c:v>
                </c:pt>
              </c:numCache>
            </c:numRef>
          </c:val>
        </c:ser>
        <c:marker val="1"/>
        <c:axId val="94945664"/>
        <c:axId val="94947584"/>
      </c:lineChart>
      <c:catAx>
        <c:axId val="94945664"/>
        <c:scaling>
          <c:orientation val="minMax"/>
        </c:scaling>
        <c:axPos val="b"/>
        <c:title>
          <c:tx>
            <c:rich>
              <a:bodyPr/>
              <a:lstStyle/>
              <a:p>
                <a:pPr>
                  <a:defRPr/>
                </a:pPr>
                <a:r>
                  <a:rPr lang="en-US"/>
                  <a:t>Handelsdag</a:t>
                </a:r>
              </a:p>
            </c:rich>
          </c:tx>
        </c:title>
        <c:tickLblPos val="nextTo"/>
        <c:crossAx val="94947584"/>
        <c:crosses val="autoZero"/>
        <c:auto val="1"/>
        <c:lblAlgn val="ctr"/>
        <c:lblOffset val="100"/>
      </c:catAx>
      <c:valAx>
        <c:axId val="94947584"/>
        <c:scaling>
          <c:orientation val="minMax"/>
        </c:scaling>
        <c:axPos val="l"/>
        <c:majorGridlines/>
        <c:title>
          <c:tx>
            <c:rich>
              <a:bodyPr rot="-5400000" vert="horz"/>
              <a:lstStyle/>
              <a:p>
                <a:pPr>
                  <a:defRPr/>
                </a:pPr>
                <a:r>
                  <a:rPr lang="en-US"/>
                  <a:t>Abnormaal Rendement</a:t>
                </a:r>
              </a:p>
            </c:rich>
          </c:tx>
        </c:title>
        <c:numFmt formatCode="0.00%" sourceLinked="1"/>
        <c:tickLblPos val="nextTo"/>
        <c:crossAx val="9494566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136351706036745"/>
          <c:y val="5.1400554097404488E-2"/>
          <c:w val="0.56601137357830811"/>
          <c:h val="0.87868037328667914"/>
        </c:manualLayout>
      </c:layout>
      <c:lineChart>
        <c:grouping val="standard"/>
        <c:ser>
          <c:idx val="0"/>
          <c:order val="0"/>
          <c:tx>
            <c:v>Adjusted-Market Return Model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Sheet1!$H$3:$H$13</c:f>
              <c:numCache>
                <c:formatCode>0.00%</c:formatCode>
                <c:ptCount val="11"/>
                <c:pt idx="0">
                  <c:v>3.6577495144419314E-3</c:v>
                </c:pt>
                <c:pt idx="1">
                  <c:v>-1.6550886741072009E-3</c:v>
                </c:pt>
                <c:pt idx="2">
                  <c:v>6.0078239890460194E-3</c:v>
                </c:pt>
                <c:pt idx="3">
                  <c:v>7.7048995006372934E-5</c:v>
                </c:pt>
                <c:pt idx="4">
                  <c:v>-5.2085232762146894E-4</c:v>
                </c:pt>
                <c:pt idx="5">
                  <c:v>7.4186716858657426E-3</c:v>
                </c:pt>
                <c:pt idx="6">
                  <c:v>2.9507661459918454E-3</c:v>
                </c:pt>
                <c:pt idx="7">
                  <c:v>4.3902089672389673E-3</c:v>
                </c:pt>
                <c:pt idx="8">
                  <c:v>2.4000784114706804E-3</c:v>
                </c:pt>
                <c:pt idx="9">
                  <c:v>8.6849908642588967E-4</c:v>
                </c:pt>
                <c:pt idx="10">
                  <c:v>4.7811204013550514E-3</c:v>
                </c:pt>
              </c:numCache>
            </c:numRef>
          </c:val>
        </c:ser>
        <c:ser>
          <c:idx val="1"/>
          <c:order val="1"/>
          <c:tx>
            <c:v>Markt Model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Sheet1!$I$3:$I$13</c:f>
              <c:numCache>
                <c:formatCode>0.00%</c:formatCode>
                <c:ptCount val="11"/>
                <c:pt idx="0">
                  <c:v>3.039091063319808E-3</c:v>
                </c:pt>
                <c:pt idx="1">
                  <c:v>-1.1872645389798021E-3</c:v>
                </c:pt>
                <c:pt idx="2">
                  <c:v>6.152058260824711E-3</c:v>
                </c:pt>
                <c:pt idx="3">
                  <c:v>1.6909646742211797E-4</c:v>
                </c:pt>
                <c:pt idx="4">
                  <c:v>-1.1529285240969363E-3</c:v>
                </c:pt>
                <c:pt idx="5">
                  <c:v>6.4435537293665674E-3</c:v>
                </c:pt>
                <c:pt idx="6">
                  <c:v>2.2926591846341568E-3</c:v>
                </c:pt>
                <c:pt idx="7">
                  <c:v>3.1096314564902066E-3</c:v>
                </c:pt>
                <c:pt idx="8">
                  <c:v>2.7667416299350092E-3</c:v>
                </c:pt>
                <c:pt idx="9">
                  <c:v>1.6116538547750608E-3</c:v>
                </c:pt>
                <c:pt idx="10">
                  <c:v>4.3872396914999903E-3</c:v>
                </c:pt>
              </c:numCache>
            </c:numRef>
          </c:val>
        </c:ser>
        <c:marker val="1"/>
        <c:axId val="101661312"/>
        <c:axId val="101667584"/>
      </c:lineChart>
      <c:catAx>
        <c:axId val="101661312"/>
        <c:scaling>
          <c:orientation val="minMax"/>
        </c:scaling>
        <c:axPos val="b"/>
        <c:title>
          <c:tx>
            <c:rich>
              <a:bodyPr/>
              <a:lstStyle/>
              <a:p>
                <a:pPr>
                  <a:defRPr/>
                </a:pPr>
                <a:r>
                  <a:rPr lang="en-US"/>
                  <a:t>Handelsdag</a:t>
                </a:r>
              </a:p>
            </c:rich>
          </c:tx>
        </c:title>
        <c:tickLblPos val="nextTo"/>
        <c:crossAx val="101667584"/>
        <c:crosses val="autoZero"/>
        <c:auto val="1"/>
        <c:lblAlgn val="ctr"/>
        <c:lblOffset val="100"/>
      </c:catAx>
      <c:valAx>
        <c:axId val="101667584"/>
        <c:scaling>
          <c:orientation val="minMax"/>
        </c:scaling>
        <c:axPos val="l"/>
        <c:majorGridlines/>
        <c:title>
          <c:tx>
            <c:rich>
              <a:bodyPr rot="-5400000" vert="horz"/>
              <a:lstStyle/>
              <a:p>
                <a:pPr>
                  <a:defRPr/>
                </a:pPr>
                <a:r>
                  <a:rPr lang="en-US"/>
                  <a:t>Abnormaal Rendement</a:t>
                </a:r>
              </a:p>
            </c:rich>
          </c:tx>
        </c:title>
        <c:numFmt formatCode="0.00%" sourceLinked="1"/>
        <c:tickLblPos val="nextTo"/>
        <c:crossAx val="101661312"/>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0-5% uitstaande aandelenkapitaal (subgroep A)</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Sheet1!$Z$3:$Z$13</c:f>
              <c:numCache>
                <c:formatCode>0.00%</c:formatCode>
                <c:ptCount val="11"/>
                <c:pt idx="0">
                  <c:v>9.6398104576774507E-5</c:v>
                </c:pt>
                <c:pt idx="1">
                  <c:v>-1.4663221397281047E-3</c:v>
                </c:pt>
                <c:pt idx="2">
                  <c:v>-1.7954107121003161E-3</c:v>
                </c:pt>
                <c:pt idx="3">
                  <c:v>9.0109739834982037E-4</c:v>
                </c:pt>
                <c:pt idx="4">
                  <c:v>1.441725255044791E-4</c:v>
                </c:pt>
                <c:pt idx="5">
                  <c:v>1.0859402550207554E-2</c:v>
                </c:pt>
                <c:pt idx="6">
                  <c:v>2.4314679449764292E-3</c:v>
                </c:pt>
                <c:pt idx="7">
                  <c:v>1.1471127253908301E-3</c:v>
                </c:pt>
                <c:pt idx="8">
                  <c:v>4.0764842471580126E-5</c:v>
                </c:pt>
                <c:pt idx="9">
                  <c:v>2.9689628304698087E-3</c:v>
                </c:pt>
                <c:pt idx="10">
                  <c:v>-2.5842014441877837E-3</c:v>
                </c:pt>
              </c:numCache>
            </c:numRef>
          </c:val>
        </c:ser>
        <c:ser>
          <c:idx val="1"/>
          <c:order val="1"/>
          <c:tx>
            <c:v>5-10% uitstaande aandelenkapitaal (subgroep B)</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Sheet1!$AA$3:$AA$13</c:f>
              <c:numCache>
                <c:formatCode>0.00%</c:formatCode>
                <c:ptCount val="11"/>
                <c:pt idx="0">
                  <c:v>2.8648075625506047E-3</c:v>
                </c:pt>
                <c:pt idx="1">
                  <c:v>-7.1299354451383502E-3</c:v>
                </c:pt>
                <c:pt idx="2">
                  <c:v>8.7159672197958046E-3</c:v>
                </c:pt>
                <c:pt idx="3">
                  <c:v>-4.9430907041699999E-3</c:v>
                </c:pt>
                <c:pt idx="4">
                  <c:v>-3.2327745904765407E-4</c:v>
                </c:pt>
                <c:pt idx="5">
                  <c:v>8.3346604180197514E-3</c:v>
                </c:pt>
                <c:pt idx="6">
                  <c:v>5.5667520286431377E-3</c:v>
                </c:pt>
                <c:pt idx="7">
                  <c:v>4.7265096172448727E-3</c:v>
                </c:pt>
                <c:pt idx="8">
                  <c:v>4.3836044360718723E-3</c:v>
                </c:pt>
                <c:pt idx="9">
                  <c:v>4.8793909177648823E-3</c:v>
                </c:pt>
                <c:pt idx="10">
                  <c:v>6.8320013378185326E-3</c:v>
                </c:pt>
              </c:numCache>
            </c:numRef>
          </c:val>
        </c:ser>
        <c:ser>
          <c:idx val="2"/>
          <c:order val="2"/>
          <c:tx>
            <c:v>&gt;10% uitstaande aandelenkapitaal (subgroep C)</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Sheet1!$AB$3:$AB$13</c:f>
              <c:numCache>
                <c:formatCode>0.00%</c:formatCode>
                <c:ptCount val="11"/>
                <c:pt idx="0">
                  <c:v>6.9795212776845557E-3</c:v>
                </c:pt>
                <c:pt idx="1">
                  <c:v>-4.1693888904782393E-3</c:v>
                </c:pt>
                <c:pt idx="2">
                  <c:v>3.6217270364278238E-3</c:v>
                </c:pt>
                <c:pt idx="3">
                  <c:v>-6.2142489785475914E-3</c:v>
                </c:pt>
                <c:pt idx="4">
                  <c:v>7.1654197595071214E-3</c:v>
                </c:pt>
                <c:pt idx="5">
                  <c:v>3.4540898327739281E-2</c:v>
                </c:pt>
                <c:pt idx="6">
                  <c:v>1.1783703952653305E-2</c:v>
                </c:pt>
                <c:pt idx="7">
                  <c:v>-4.2113117712227251E-4</c:v>
                </c:pt>
                <c:pt idx="8">
                  <c:v>3.5173333296751891E-3</c:v>
                </c:pt>
                <c:pt idx="9">
                  <c:v>6.0680144964016924E-3</c:v>
                </c:pt>
                <c:pt idx="10">
                  <c:v>-6.8521447924253824E-3</c:v>
                </c:pt>
              </c:numCache>
            </c:numRef>
          </c:val>
        </c:ser>
        <c:marker val="1"/>
        <c:axId val="101710080"/>
        <c:axId val="101716352"/>
      </c:lineChart>
      <c:catAx>
        <c:axId val="101710080"/>
        <c:scaling>
          <c:orientation val="minMax"/>
        </c:scaling>
        <c:axPos val="b"/>
        <c:title>
          <c:tx>
            <c:rich>
              <a:bodyPr/>
              <a:lstStyle/>
              <a:p>
                <a:pPr>
                  <a:defRPr/>
                </a:pPr>
                <a:r>
                  <a:rPr lang="nl-NL"/>
                  <a:t>Handelsdag</a:t>
                </a:r>
              </a:p>
            </c:rich>
          </c:tx>
        </c:title>
        <c:tickLblPos val="nextTo"/>
        <c:crossAx val="101716352"/>
        <c:crosses val="autoZero"/>
        <c:auto val="1"/>
        <c:lblAlgn val="ctr"/>
        <c:lblOffset val="100"/>
      </c:catAx>
      <c:valAx>
        <c:axId val="101716352"/>
        <c:scaling>
          <c:orientation val="minMax"/>
        </c:scaling>
        <c:axPos val="l"/>
        <c:majorGridlines/>
        <c:title>
          <c:tx>
            <c:rich>
              <a:bodyPr rot="-5400000" vert="horz"/>
              <a:lstStyle/>
              <a:p>
                <a:pPr>
                  <a:defRPr/>
                </a:pPr>
                <a:r>
                  <a:rPr lang="nl-NL"/>
                  <a:t>Abnormaal</a:t>
                </a:r>
                <a:r>
                  <a:rPr lang="nl-NL" baseline="0"/>
                  <a:t> Rendement</a:t>
                </a:r>
                <a:endParaRPr lang="nl-NL"/>
              </a:p>
            </c:rich>
          </c:tx>
        </c:title>
        <c:numFmt formatCode="0.00%" sourceLinked="1"/>
        <c:tickLblPos val="nextTo"/>
        <c:crossAx val="10171008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Met belangrijke gebeurtenissen op de dag van aankondiging</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Sheet1!$AD$3:$AD$13</c:f>
              <c:numCache>
                <c:formatCode>0.00%</c:formatCode>
                <c:ptCount val="11"/>
                <c:pt idx="0">
                  <c:v>-5.8506079895109082E-4</c:v>
                </c:pt>
                <c:pt idx="1">
                  <c:v>-4.4337599389489904E-3</c:v>
                </c:pt>
                <c:pt idx="2">
                  <c:v>4.7047143552514364E-3</c:v>
                </c:pt>
                <c:pt idx="3">
                  <c:v>-2.3030567135126412E-4</c:v>
                </c:pt>
                <c:pt idx="4">
                  <c:v>8.8125101636111667E-4</c:v>
                </c:pt>
                <c:pt idx="5">
                  <c:v>1.4344443308223615E-2</c:v>
                </c:pt>
                <c:pt idx="6">
                  <c:v>5.3268361791106314E-3</c:v>
                </c:pt>
                <c:pt idx="7">
                  <c:v>3.5524392209989692E-3</c:v>
                </c:pt>
                <c:pt idx="8">
                  <c:v>2.8005336491065307E-3</c:v>
                </c:pt>
                <c:pt idx="9">
                  <c:v>3.2084904696028016E-3</c:v>
                </c:pt>
                <c:pt idx="10">
                  <c:v>-1.0214595923903648E-3</c:v>
                </c:pt>
              </c:numCache>
            </c:numRef>
          </c:val>
        </c:ser>
        <c:ser>
          <c:idx val="1"/>
          <c:order val="1"/>
          <c:tx>
            <c:v>Zonder gebeurtenissen op de dag van aankondiging</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Sheet1!$AE$3:$AE$13</c:f>
              <c:numCache>
                <c:formatCode>0.00%</c:formatCode>
                <c:ptCount val="11"/>
                <c:pt idx="0">
                  <c:v>7.6032009553134924E-3</c:v>
                </c:pt>
                <c:pt idx="1">
                  <c:v>1.113028070824882E-3</c:v>
                </c:pt>
                <c:pt idx="2">
                  <c:v>-6.0549720039240343E-3</c:v>
                </c:pt>
                <c:pt idx="3">
                  <c:v>-1.9413333165136317E-3</c:v>
                </c:pt>
                <c:pt idx="4">
                  <c:v>2.2212355300912801E-3</c:v>
                </c:pt>
                <c:pt idx="5">
                  <c:v>1.055634701715254E-2</c:v>
                </c:pt>
                <c:pt idx="6">
                  <c:v>2.3894263133837777E-3</c:v>
                </c:pt>
                <c:pt idx="7">
                  <c:v>-8.3036163366558355E-5</c:v>
                </c:pt>
                <c:pt idx="8">
                  <c:v>-2.0166382847957277E-3</c:v>
                </c:pt>
                <c:pt idx="9">
                  <c:v>5.3363272192084024E-3</c:v>
                </c:pt>
                <c:pt idx="10">
                  <c:v>3.0166789613212004E-4</c:v>
                </c:pt>
              </c:numCache>
            </c:numRef>
          </c:val>
        </c:ser>
        <c:marker val="1"/>
        <c:axId val="101745408"/>
        <c:axId val="101747328"/>
      </c:lineChart>
      <c:catAx>
        <c:axId val="101745408"/>
        <c:scaling>
          <c:orientation val="minMax"/>
        </c:scaling>
        <c:axPos val="b"/>
        <c:title>
          <c:tx>
            <c:rich>
              <a:bodyPr/>
              <a:lstStyle/>
              <a:p>
                <a:pPr>
                  <a:defRPr/>
                </a:pPr>
                <a:r>
                  <a:rPr lang="nl-NL"/>
                  <a:t>Handelsdag</a:t>
                </a:r>
              </a:p>
            </c:rich>
          </c:tx>
        </c:title>
        <c:tickLblPos val="nextTo"/>
        <c:crossAx val="101747328"/>
        <c:crosses val="autoZero"/>
        <c:auto val="1"/>
        <c:lblAlgn val="ctr"/>
        <c:lblOffset val="100"/>
      </c:catAx>
      <c:valAx>
        <c:axId val="101747328"/>
        <c:scaling>
          <c:orientation val="minMax"/>
        </c:scaling>
        <c:axPos val="l"/>
        <c:majorGridlines/>
        <c:title>
          <c:tx>
            <c:rich>
              <a:bodyPr rot="-5400000" vert="horz"/>
              <a:lstStyle/>
              <a:p>
                <a:pPr>
                  <a:defRPr/>
                </a:pPr>
                <a:r>
                  <a:rPr lang="nl-NL"/>
                  <a:t>Abnormaal</a:t>
                </a:r>
                <a:r>
                  <a:rPr lang="nl-NL" baseline="0"/>
                  <a:t> Rendement</a:t>
                </a:r>
                <a:endParaRPr lang="nl-NL"/>
              </a:p>
            </c:rich>
          </c:tx>
        </c:title>
        <c:numFmt formatCode="0.00%" sourceLinked="1"/>
        <c:tickLblPos val="nextTo"/>
        <c:crossAx val="101745408"/>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Met belangrijke gebeurtenissen op de dag van aankondiging</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Sheet1!$AD$3:$AD$13</c:f>
              <c:numCache>
                <c:formatCode>0.00%</c:formatCode>
                <c:ptCount val="11"/>
                <c:pt idx="0">
                  <c:v>-4.2605109769487676E-4</c:v>
                </c:pt>
                <c:pt idx="1">
                  <c:v>-4.5622393764342805E-3</c:v>
                </c:pt>
                <c:pt idx="2">
                  <c:v>5.04401163035096E-3</c:v>
                </c:pt>
                <c:pt idx="3">
                  <c:v>-2.572724833190887E-4</c:v>
                </c:pt>
                <c:pt idx="4">
                  <c:v>-7.1219113095342821E-5</c:v>
                </c:pt>
                <c:pt idx="5">
                  <c:v>1.3593338132171786E-2</c:v>
                </c:pt>
                <c:pt idx="6">
                  <c:v>4.9455953072252562E-3</c:v>
                </c:pt>
                <c:pt idx="7">
                  <c:v>2.7046399202393812E-3</c:v>
                </c:pt>
                <c:pt idx="8">
                  <c:v>2.9791876316757654E-3</c:v>
                </c:pt>
                <c:pt idx="9">
                  <c:v>3.7102114241778232E-3</c:v>
                </c:pt>
                <c:pt idx="10">
                  <c:v>-1.0305031458125481E-3</c:v>
                </c:pt>
              </c:numCache>
            </c:numRef>
          </c:val>
        </c:ser>
        <c:ser>
          <c:idx val="1"/>
          <c:order val="1"/>
          <c:tx>
            <c:v>Zonder gebeurtenissen op de dag van aankondiging</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Sheet1!$AE$3:$AE$13</c:f>
              <c:numCache>
                <c:formatCode>0.00%</c:formatCode>
                <c:ptCount val="11"/>
                <c:pt idx="0">
                  <c:v>6.6023582817659413E-3</c:v>
                </c:pt>
                <c:pt idx="1">
                  <c:v>1.5649037848071103E-4</c:v>
                </c:pt>
                <c:pt idx="2">
                  <c:v>-7.4799858576942834E-3</c:v>
                </c:pt>
                <c:pt idx="3">
                  <c:v>-4.2695703006955426E-3</c:v>
                </c:pt>
                <c:pt idx="4">
                  <c:v>2.8435841680030148E-3</c:v>
                </c:pt>
                <c:pt idx="5">
                  <c:v>1.0141627210581016E-2</c:v>
                </c:pt>
                <c:pt idx="6">
                  <c:v>2.3634955665315094E-3</c:v>
                </c:pt>
                <c:pt idx="7">
                  <c:v>-5.6434422598534124E-5</c:v>
                </c:pt>
                <c:pt idx="8">
                  <c:v>-2.1421627667797252E-3</c:v>
                </c:pt>
                <c:pt idx="9">
                  <c:v>4.0089568378982665E-3</c:v>
                </c:pt>
                <c:pt idx="10">
                  <c:v>7.5710539886822013E-4</c:v>
                </c:pt>
              </c:numCache>
            </c:numRef>
          </c:val>
        </c:ser>
        <c:marker val="1"/>
        <c:axId val="101846016"/>
        <c:axId val="101860480"/>
      </c:lineChart>
      <c:catAx>
        <c:axId val="101846016"/>
        <c:scaling>
          <c:orientation val="minMax"/>
        </c:scaling>
        <c:axPos val="b"/>
        <c:title>
          <c:tx>
            <c:rich>
              <a:bodyPr/>
              <a:lstStyle/>
              <a:p>
                <a:pPr>
                  <a:defRPr/>
                </a:pPr>
                <a:r>
                  <a:rPr lang="nl-NL"/>
                  <a:t>Handelsdag</a:t>
                </a:r>
              </a:p>
            </c:rich>
          </c:tx>
        </c:title>
        <c:tickLblPos val="nextTo"/>
        <c:crossAx val="101860480"/>
        <c:crosses val="autoZero"/>
        <c:auto val="1"/>
        <c:lblAlgn val="ctr"/>
        <c:lblOffset val="100"/>
      </c:catAx>
      <c:valAx>
        <c:axId val="101860480"/>
        <c:scaling>
          <c:orientation val="minMax"/>
        </c:scaling>
        <c:axPos val="l"/>
        <c:majorGridlines/>
        <c:title>
          <c:tx>
            <c:rich>
              <a:bodyPr rot="-5400000" vert="horz"/>
              <a:lstStyle/>
              <a:p>
                <a:pPr>
                  <a:defRPr/>
                </a:pPr>
                <a:r>
                  <a:rPr lang="nl-NL"/>
                  <a:t>Abnormaal</a:t>
                </a:r>
                <a:r>
                  <a:rPr lang="nl-NL" baseline="0"/>
                  <a:t> Rendement</a:t>
                </a:r>
                <a:endParaRPr lang="nl-NL"/>
              </a:p>
            </c:rich>
          </c:tx>
        </c:title>
        <c:numFmt formatCode="0.00%" sourceLinked="1"/>
        <c:tickLblPos val="nextTo"/>
        <c:crossAx val="10184601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v>Met gebeurtenissen</c:v>
          </c:tx>
          <c:cat>
            <c:strRef>
              <c:f>Sheet1!$AP$17:$AP$19</c:f>
              <c:strCache>
                <c:ptCount val="3"/>
                <c:pt idx="0">
                  <c:v>gehele dataset</c:v>
                </c:pt>
                <c:pt idx="1">
                  <c:v>leverage</c:v>
                </c:pt>
                <c:pt idx="2">
                  <c:v>0-5% aandelenk.</c:v>
                </c:pt>
              </c:strCache>
            </c:strRef>
          </c:cat>
          <c:val>
            <c:numRef>
              <c:f>Sheet1!$AL$17:$AL$19</c:f>
              <c:numCache>
                <c:formatCode>0.00%</c:formatCode>
                <c:ptCount val="3"/>
                <c:pt idx="0">
                  <c:v>1.352655124489228E-2</c:v>
                </c:pt>
                <c:pt idx="1">
                  <c:v>2.2415300523628442E-2</c:v>
                </c:pt>
                <c:pt idx="2">
                  <c:v>1.0935708509309652E-2</c:v>
                </c:pt>
              </c:numCache>
            </c:numRef>
          </c:val>
        </c:ser>
        <c:ser>
          <c:idx val="1"/>
          <c:order val="1"/>
          <c:tx>
            <c:v>Zonder gebeurtenissen</c:v>
          </c:tx>
          <c:cat>
            <c:strRef>
              <c:f>Sheet1!$AP$17:$AP$19</c:f>
              <c:strCache>
                <c:ptCount val="3"/>
                <c:pt idx="0">
                  <c:v>gehele dataset</c:v>
                </c:pt>
                <c:pt idx="1">
                  <c:v>leverage</c:v>
                </c:pt>
                <c:pt idx="2">
                  <c:v>0-5% aandelenk.</c:v>
                </c:pt>
              </c:strCache>
            </c:strRef>
          </c:cat>
          <c:val>
            <c:numRef>
              <c:f>Sheet1!$AM$17:$AM$19</c:f>
              <c:numCache>
                <c:formatCode>0.00%</c:formatCode>
                <c:ptCount val="3"/>
                <c:pt idx="0">
                  <c:v>1.0872594759013665E-2</c:v>
                </c:pt>
                <c:pt idx="1">
                  <c:v>8.793375467667161E-3</c:v>
                </c:pt>
                <c:pt idx="2">
                  <c:v>1.0701340206353221E-2</c:v>
                </c:pt>
              </c:numCache>
            </c:numRef>
          </c:val>
        </c:ser>
        <c:shape val="box"/>
        <c:axId val="101889920"/>
        <c:axId val="101891456"/>
        <c:axId val="0"/>
      </c:bar3DChart>
      <c:catAx>
        <c:axId val="101889920"/>
        <c:scaling>
          <c:orientation val="minMax"/>
        </c:scaling>
        <c:axPos val="b"/>
        <c:tickLblPos val="nextTo"/>
        <c:crossAx val="101891456"/>
        <c:crosses val="autoZero"/>
        <c:auto val="1"/>
        <c:lblAlgn val="ctr"/>
        <c:lblOffset val="100"/>
      </c:catAx>
      <c:valAx>
        <c:axId val="101891456"/>
        <c:scaling>
          <c:orientation val="minMax"/>
        </c:scaling>
        <c:axPos val="l"/>
        <c:majorGridlines/>
        <c:title>
          <c:tx>
            <c:rich>
              <a:bodyPr rot="-5400000" vert="horz"/>
              <a:lstStyle/>
              <a:p>
                <a:pPr>
                  <a:defRPr/>
                </a:pPr>
                <a:r>
                  <a:rPr lang="en-US"/>
                  <a:t>Abnormaal Rendement</a:t>
                </a:r>
              </a:p>
            </c:rich>
          </c:tx>
        </c:title>
        <c:numFmt formatCode="0.00%" sourceLinked="1"/>
        <c:tickLblPos val="nextTo"/>
        <c:crossAx val="10188992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0-5% uitstaande aandelenkapitaal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Sheet1!$Z$3:$Z$13</c:f>
              <c:numCache>
                <c:formatCode>0.00%</c:formatCode>
                <c:ptCount val="11"/>
                <c:pt idx="0">
                  <c:v>-1.0301175363870404E-4</c:v>
                </c:pt>
                <c:pt idx="1">
                  <c:v>-1.1517014520560506E-3</c:v>
                </c:pt>
                <c:pt idx="2">
                  <c:v>-1.5569802385560288E-3</c:v>
                </c:pt>
                <c:pt idx="3">
                  <c:v>1.5864745221431881E-3</c:v>
                </c:pt>
                <c:pt idx="4">
                  <c:v>6.781486472503378E-4</c:v>
                </c:pt>
                <c:pt idx="5">
                  <c:v>1.151852511307315E-2</c:v>
                </c:pt>
                <c:pt idx="6">
                  <c:v>2.0234286335153251E-3</c:v>
                </c:pt>
                <c:pt idx="7">
                  <c:v>1.2472661844522741E-3</c:v>
                </c:pt>
                <c:pt idx="8">
                  <c:v>-4.9213895561743938E-4</c:v>
                </c:pt>
                <c:pt idx="9">
                  <c:v>2.6273381825610048E-3</c:v>
                </c:pt>
                <c:pt idx="10">
                  <c:v>-2.5306104174400951E-3</c:v>
                </c:pt>
              </c:numCache>
            </c:numRef>
          </c:val>
        </c:ser>
        <c:ser>
          <c:idx val="1"/>
          <c:order val="1"/>
          <c:tx>
            <c:v>5-10% uitstaande aandelenkapitaal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Sheet1!$AA$3:$AA$13</c:f>
              <c:numCache>
                <c:formatCode>0.00%</c:formatCode>
                <c:ptCount val="11"/>
                <c:pt idx="0">
                  <c:v>3.9267439993446035E-3</c:v>
                </c:pt>
                <c:pt idx="1">
                  <c:v>-6.8332868856441874E-3</c:v>
                </c:pt>
                <c:pt idx="2">
                  <c:v>8.9391331662201957E-3</c:v>
                </c:pt>
                <c:pt idx="3">
                  <c:v>-3.8010227428073068E-3</c:v>
                </c:pt>
                <c:pt idx="4">
                  <c:v>4.8858365747125063E-4</c:v>
                </c:pt>
                <c:pt idx="5">
                  <c:v>9.2185193362702526E-3</c:v>
                </c:pt>
                <c:pt idx="6">
                  <c:v>7.2429949483271538E-3</c:v>
                </c:pt>
                <c:pt idx="7">
                  <c:v>6.7003271184629147E-3</c:v>
                </c:pt>
                <c:pt idx="8">
                  <c:v>5.6203568974623917E-3</c:v>
                </c:pt>
                <c:pt idx="9">
                  <c:v>5.3298615064797704E-3</c:v>
                </c:pt>
                <c:pt idx="10">
                  <c:v>6.6297690542782596E-3</c:v>
                </c:pt>
              </c:numCache>
            </c:numRef>
          </c:val>
        </c:ser>
        <c:ser>
          <c:idx val="2"/>
          <c:order val="2"/>
          <c:tx>
            <c:v>&gt;10% uitstaande aandelenkapitaal</c:v>
          </c:tx>
          <c:cat>
            <c:strRef>
              <c:f>Sheet1!$A$16:$A$26</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Sheet1!$AB$3:$AB$13</c:f>
              <c:numCache>
                <c:formatCode>0.00%</c:formatCode>
                <c:ptCount val="11"/>
                <c:pt idx="0">
                  <c:v>7.0772789172306441E-3</c:v>
                </c:pt>
                <c:pt idx="1">
                  <c:v>-3.3691967546888892E-3</c:v>
                </c:pt>
                <c:pt idx="2">
                  <c:v>3.0760412283870652E-3</c:v>
                </c:pt>
                <c:pt idx="3">
                  <c:v>-6.8529008559423737E-3</c:v>
                </c:pt>
                <c:pt idx="4">
                  <c:v>6.7756967438832427E-3</c:v>
                </c:pt>
                <c:pt idx="5">
                  <c:v>3.4602626787692874E-2</c:v>
                </c:pt>
                <c:pt idx="6">
                  <c:v>1.2718961774237859E-2</c:v>
                </c:pt>
                <c:pt idx="7">
                  <c:v>-2.4949990554205478E-4</c:v>
                </c:pt>
                <c:pt idx="8">
                  <c:v>2.7007960474752925E-3</c:v>
                </c:pt>
                <c:pt idx="9">
                  <c:v>7.0990287441054937E-3</c:v>
                </c:pt>
                <c:pt idx="10">
                  <c:v>-7.834203575385907E-3</c:v>
                </c:pt>
              </c:numCache>
            </c:numRef>
          </c:val>
        </c:ser>
        <c:marker val="1"/>
        <c:axId val="104684160"/>
        <c:axId val="101835520"/>
      </c:lineChart>
      <c:catAx>
        <c:axId val="104684160"/>
        <c:scaling>
          <c:orientation val="minMax"/>
        </c:scaling>
        <c:axPos val="b"/>
        <c:title>
          <c:tx>
            <c:rich>
              <a:bodyPr/>
              <a:lstStyle/>
              <a:p>
                <a:pPr>
                  <a:defRPr/>
                </a:pPr>
                <a:r>
                  <a:rPr lang="nl-NL"/>
                  <a:t>Handelsdag</a:t>
                </a:r>
              </a:p>
            </c:rich>
          </c:tx>
        </c:title>
        <c:tickLblPos val="nextTo"/>
        <c:crossAx val="101835520"/>
        <c:crosses val="autoZero"/>
        <c:auto val="1"/>
        <c:lblAlgn val="ctr"/>
        <c:lblOffset val="100"/>
      </c:catAx>
      <c:valAx>
        <c:axId val="101835520"/>
        <c:scaling>
          <c:orientation val="minMax"/>
        </c:scaling>
        <c:axPos val="l"/>
        <c:majorGridlines/>
        <c:title>
          <c:tx>
            <c:rich>
              <a:bodyPr rot="-5400000" vert="horz"/>
              <a:lstStyle/>
              <a:p>
                <a:pPr>
                  <a:defRPr/>
                </a:pPr>
                <a:r>
                  <a:rPr lang="nl-NL"/>
                  <a:t>Abnormaal</a:t>
                </a:r>
                <a:r>
                  <a:rPr lang="nl-NL" baseline="0"/>
                  <a:t> Rendement</a:t>
                </a:r>
                <a:endParaRPr lang="nl-NL"/>
              </a:p>
            </c:rich>
          </c:tx>
        </c:title>
        <c:numFmt formatCode="0.00%" sourceLinked="1"/>
        <c:tickLblPos val="nextTo"/>
        <c:crossAx val="104684160"/>
        <c:crosses val="autoZero"/>
        <c:crossBetween val="between"/>
      </c:valAx>
    </c:plotArea>
    <c:legend>
      <c:legendPos val="r"/>
    </c:legend>
    <c:plotVisOnly val="1"/>
  </c:chart>
  <c:externalData r:id="rId1"/>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31847-FB6F-47A8-9A71-F2825DD0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16061</Words>
  <Characters>91553</Characters>
  <Application>Microsoft Office Word</Application>
  <DocSecurity>4</DocSecurity>
  <Lines>762</Lines>
  <Paragraphs>214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Inkoop van eigen aandelen op de AEX</vt:lpstr>
      <vt:lpstr>Waardering Fokker</vt:lpstr>
    </vt:vector>
  </TitlesOfParts>
  <Company>Erasmus Universiteit Rotterdam</Company>
  <LinksUpToDate>false</LinksUpToDate>
  <CharactersWithSpaces>107400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Inkoop van eigen aandelen op de AEX</dc:title>
  <dc:subject>Bachelorscriptie Economie &amp; Bedrijfseconomie</dc:subject>
  <dc:creator>kevin</dc:creator>
  <cp:lastModifiedBy>Helene L. Molenaar</cp:lastModifiedBy>
  <cp:revision>2</cp:revision>
  <cp:lastPrinted>2013-07-15T23:12:00Z</cp:lastPrinted>
  <dcterms:created xsi:type="dcterms:W3CDTF">2013-07-18T09:22:00Z</dcterms:created>
  <dcterms:modified xsi:type="dcterms:W3CDTF">2013-07-18T09:22:00Z</dcterms:modified>
</cp:coreProperties>
</file>