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Y="3764"/>
        <w:tblW w:w="5000" w:type="pct"/>
        <w:tblLook w:val="04A0"/>
      </w:tblPr>
      <w:tblGrid>
        <w:gridCol w:w="9286"/>
      </w:tblGrid>
      <w:tr w:rsidR="005D7DD1" w:rsidRPr="005635D8" w:rsidTr="002F7CF3">
        <w:trPr>
          <w:trHeight w:val="1440"/>
        </w:trPr>
        <w:sdt>
          <w:sdtPr>
            <w:rPr>
              <w:rFonts w:asciiTheme="majorHAnsi" w:eastAsiaTheme="majorEastAsia" w:hAnsiTheme="majorHAnsi" w:cstheme="majorBidi"/>
              <w:sz w:val="80"/>
              <w:szCs w:val="80"/>
              <w:lang w:val="en-GB"/>
            </w:rPr>
            <w:alias w:val="Title"/>
            <w:id w:val="15524250"/>
            <w:placeholder>
              <w:docPart w:val="EE0989BB4851428A89200D86DC66DAEC"/>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5D7DD1" w:rsidRPr="005635D8" w:rsidRDefault="00C6680B" w:rsidP="005D7DD1">
                <w:pPr>
                  <w:pStyle w:val="NoSpacing"/>
                  <w:jc w:val="center"/>
                  <w:rPr>
                    <w:rFonts w:asciiTheme="majorHAnsi" w:eastAsiaTheme="majorEastAsia" w:hAnsiTheme="majorHAnsi" w:cstheme="majorBidi"/>
                    <w:sz w:val="80"/>
                    <w:szCs w:val="80"/>
                    <w:lang w:val="en-GB"/>
                  </w:rPr>
                </w:pPr>
                <w:r>
                  <w:rPr>
                    <w:rFonts w:asciiTheme="majorHAnsi" w:eastAsiaTheme="majorEastAsia" w:hAnsiTheme="majorHAnsi" w:cstheme="majorBidi"/>
                    <w:sz w:val="80"/>
                    <w:szCs w:val="80"/>
                    <w:lang w:val="nl-NL"/>
                  </w:rPr>
                  <w:t>Master thesis</w:t>
                </w:r>
              </w:p>
            </w:tc>
          </w:sdtContent>
        </w:sdt>
      </w:tr>
      <w:tr w:rsidR="005D7DD1" w:rsidRPr="00247E29" w:rsidTr="002F7CF3">
        <w:trPr>
          <w:trHeight w:val="720"/>
        </w:trPr>
        <w:sdt>
          <w:sdtPr>
            <w:rPr>
              <w:rFonts w:asciiTheme="majorHAnsi" w:eastAsiaTheme="majorEastAsia" w:hAnsiTheme="majorHAnsi" w:cstheme="majorBidi"/>
              <w:sz w:val="44"/>
              <w:szCs w:val="44"/>
              <w:lang w:val="en-GB"/>
            </w:rPr>
            <w:alias w:val="Subtitle"/>
            <w:id w:val="15524255"/>
            <w:placeholder>
              <w:docPart w:val="648CC24DDAFD4EA29FBAB7A3FA06F98E"/>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5D7DD1" w:rsidRPr="005635D8" w:rsidRDefault="00C6680B" w:rsidP="005F47BF">
                <w:pPr>
                  <w:pStyle w:val="NoSpacing"/>
                  <w:jc w:val="center"/>
                  <w:rPr>
                    <w:rFonts w:asciiTheme="majorHAnsi" w:eastAsiaTheme="majorEastAsia" w:hAnsiTheme="majorHAnsi" w:cstheme="majorBidi"/>
                    <w:sz w:val="44"/>
                    <w:szCs w:val="44"/>
                    <w:lang w:val="en-GB"/>
                  </w:rPr>
                </w:pPr>
                <w:r w:rsidRPr="00B32D82">
                  <w:rPr>
                    <w:rFonts w:asciiTheme="majorHAnsi" w:eastAsiaTheme="majorEastAsia" w:hAnsiTheme="majorHAnsi" w:cstheme="majorBidi"/>
                    <w:sz w:val="44"/>
                    <w:szCs w:val="44"/>
                    <w:lang w:val="en-GB"/>
                  </w:rPr>
                  <w:t>Does the use of Earnings Management decline after the introduction of IFRS?</w:t>
                </w:r>
              </w:p>
            </w:tc>
          </w:sdtContent>
        </w:sdt>
      </w:tr>
      <w:tr w:rsidR="005D7DD1" w:rsidRPr="00247E29" w:rsidTr="002F7CF3">
        <w:trPr>
          <w:trHeight w:val="360"/>
        </w:trPr>
        <w:tc>
          <w:tcPr>
            <w:tcW w:w="5000" w:type="pct"/>
            <w:vAlign w:val="center"/>
          </w:tcPr>
          <w:p w:rsidR="005D7DD1" w:rsidRPr="005635D8" w:rsidRDefault="005D7DD1" w:rsidP="005D7DD1">
            <w:pPr>
              <w:pStyle w:val="NoSpacing"/>
              <w:rPr>
                <w:lang w:val="en-GB"/>
              </w:rPr>
            </w:pPr>
          </w:p>
          <w:p w:rsidR="005D7DD1" w:rsidRPr="005635D8" w:rsidRDefault="005D7DD1" w:rsidP="005D7DD1">
            <w:pPr>
              <w:pStyle w:val="NoSpacing"/>
              <w:rPr>
                <w:lang w:val="en-GB"/>
              </w:rPr>
            </w:pPr>
          </w:p>
          <w:p w:rsidR="005D7DD1" w:rsidRPr="005635D8" w:rsidRDefault="005D7DD1" w:rsidP="005D7DD1">
            <w:pPr>
              <w:pStyle w:val="NoSpacing"/>
              <w:rPr>
                <w:lang w:val="en-GB"/>
              </w:rPr>
            </w:pPr>
          </w:p>
          <w:p w:rsidR="005D7DD1" w:rsidRPr="005635D8" w:rsidRDefault="005D7DD1" w:rsidP="005D7DD1">
            <w:pPr>
              <w:pStyle w:val="NoSpacing"/>
              <w:rPr>
                <w:lang w:val="en-GB"/>
              </w:rPr>
            </w:pPr>
          </w:p>
          <w:p w:rsidR="005D7DD1" w:rsidRPr="005635D8" w:rsidRDefault="005D7DD1" w:rsidP="005D7DD1">
            <w:pPr>
              <w:pStyle w:val="NoSpacing"/>
              <w:rPr>
                <w:lang w:val="en-GB"/>
              </w:rPr>
            </w:pPr>
          </w:p>
          <w:p w:rsidR="005D7DD1" w:rsidRPr="005635D8" w:rsidRDefault="005D7DD1" w:rsidP="005D7DD1">
            <w:pPr>
              <w:pStyle w:val="NoSpacing"/>
              <w:rPr>
                <w:lang w:val="en-GB"/>
              </w:rPr>
            </w:pPr>
          </w:p>
          <w:p w:rsidR="005D7DD1" w:rsidRPr="005635D8" w:rsidRDefault="005D7DD1" w:rsidP="005D7DD1">
            <w:pPr>
              <w:pStyle w:val="NoSpacing"/>
              <w:rPr>
                <w:lang w:val="en-GB"/>
              </w:rPr>
            </w:pPr>
          </w:p>
          <w:p w:rsidR="005D7DD1" w:rsidRPr="005635D8" w:rsidRDefault="005D7DD1" w:rsidP="005D7DD1">
            <w:pPr>
              <w:pStyle w:val="NoSpacing"/>
              <w:rPr>
                <w:lang w:val="en-GB"/>
              </w:rPr>
            </w:pPr>
          </w:p>
          <w:p w:rsidR="005D7DD1" w:rsidRPr="005635D8" w:rsidRDefault="005D7DD1" w:rsidP="005D7DD1">
            <w:pPr>
              <w:pStyle w:val="NoSpacing"/>
              <w:rPr>
                <w:lang w:val="en-GB"/>
              </w:rPr>
            </w:pPr>
          </w:p>
          <w:p w:rsidR="005D7DD1" w:rsidRPr="005635D8" w:rsidRDefault="005D7DD1" w:rsidP="005D7DD1">
            <w:pPr>
              <w:pStyle w:val="NoSpacing"/>
              <w:rPr>
                <w:lang w:val="en-GB"/>
              </w:rPr>
            </w:pPr>
          </w:p>
          <w:p w:rsidR="005D7DD1" w:rsidRPr="005635D8" w:rsidRDefault="005D7DD1" w:rsidP="005D7DD1">
            <w:pPr>
              <w:pStyle w:val="NoSpacing"/>
              <w:rPr>
                <w:lang w:val="en-GB"/>
              </w:rPr>
            </w:pPr>
          </w:p>
          <w:p w:rsidR="005D7DD1" w:rsidRPr="005635D8" w:rsidRDefault="005D7DD1" w:rsidP="005D7DD1">
            <w:pPr>
              <w:pStyle w:val="NoSpacing"/>
              <w:rPr>
                <w:lang w:val="en-GB"/>
              </w:rPr>
            </w:pPr>
          </w:p>
          <w:p w:rsidR="005D7DD1" w:rsidRPr="005635D8" w:rsidRDefault="005D7DD1" w:rsidP="005D7DD1">
            <w:pPr>
              <w:pStyle w:val="NoSpacing"/>
              <w:rPr>
                <w:lang w:val="en-GB"/>
              </w:rPr>
            </w:pPr>
          </w:p>
          <w:p w:rsidR="005D7DD1" w:rsidRPr="005635D8" w:rsidRDefault="005D7DD1" w:rsidP="005D7DD1">
            <w:pPr>
              <w:pStyle w:val="NoSpacing"/>
              <w:rPr>
                <w:lang w:val="en-GB"/>
              </w:rPr>
            </w:pPr>
          </w:p>
          <w:p w:rsidR="005D7DD1" w:rsidRPr="005635D8" w:rsidRDefault="005D7DD1" w:rsidP="005D7DD1">
            <w:pPr>
              <w:pStyle w:val="NoSpacing"/>
              <w:rPr>
                <w:lang w:val="en-GB"/>
              </w:rPr>
            </w:pPr>
          </w:p>
          <w:p w:rsidR="005D7DD1" w:rsidRPr="005635D8" w:rsidRDefault="005D7DD1" w:rsidP="005D7DD1">
            <w:pPr>
              <w:pStyle w:val="NoSpacing"/>
              <w:rPr>
                <w:lang w:val="en-GB"/>
              </w:rPr>
            </w:pPr>
          </w:p>
          <w:p w:rsidR="005D7DD1" w:rsidRPr="005635D8" w:rsidRDefault="005D7DD1" w:rsidP="005D7DD1">
            <w:pPr>
              <w:pStyle w:val="NoSpacing"/>
              <w:rPr>
                <w:lang w:val="en-GB"/>
              </w:rPr>
            </w:pPr>
          </w:p>
          <w:p w:rsidR="005D7DD1" w:rsidRPr="005635D8" w:rsidRDefault="005D7DD1" w:rsidP="005D7DD1">
            <w:pPr>
              <w:pStyle w:val="NoSpacing"/>
              <w:rPr>
                <w:lang w:val="en-GB"/>
              </w:rPr>
            </w:pPr>
          </w:p>
          <w:p w:rsidR="005D7DD1" w:rsidRPr="005635D8" w:rsidRDefault="005D7DD1" w:rsidP="005D7DD1">
            <w:pPr>
              <w:pStyle w:val="NoSpacing"/>
              <w:rPr>
                <w:lang w:val="en-GB"/>
              </w:rPr>
            </w:pPr>
          </w:p>
          <w:p w:rsidR="005D7DD1" w:rsidRPr="005635D8" w:rsidRDefault="005D7DD1" w:rsidP="005D7DD1">
            <w:pPr>
              <w:pStyle w:val="NoSpacing"/>
              <w:rPr>
                <w:lang w:val="en-GB"/>
              </w:rPr>
            </w:pPr>
          </w:p>
          <w:p w:rsidR="005D7DD1" w:rsidRPr="005635D8" w:rsidRDefault="005D7DD1" w:rsidP="005D7DD1">
            <w:pPr>
              <w:pStyle w:val="NoSpacing"/>
              <w:rPr>
                <w:lang w:val="en-GB"/>
              </w:rPr>
            </w:pPr>
          </w:p>
          <w:p w:rsidR="00B37EE0" w:rsidRPr="005635D8" w:rsidRDefault="00A07B44" w:rsidP="00B37EE0">
            <w:pPr>
              <w:pStyle w:val="NoSpacing"/>
              <w:rPr>
                <w:lang w:val="en-GB"/>
              </w:rPr>
            </w:pPr>
            <w:r w:rsidRPr="005635D8">
              <w:rPr>
                <w:lang w:val="en-GB"/>
              </w:rPr>
              <w:t xml:space="preserve">Date                    : </w:t>
            </w:r>
            <w:r w:rsidR="00182CC2">
              <w:rPr>
                <w:lang w:val="en-GB"/>
              </w:rPr>
              <w:t>22</w:t>
            </w:r>
            <w:r w:rsidR="00B37EE0" w:rsidRPr="005635D8">
              <w:rPr>
                <w:lang w:val="en-GB"/>
              </w:rPr>
              <w:t xml:space="preserve"> July 2012</w:t>
            </w:r>
          </w:p>
          <w:p w:rsidR="00B37EE0" w:rsidRPr="005635D8" w:rsidRDefault="00B37EE0" w:rsidP="00B37EE0">
            <w:pPr>
              <w:pStyle w:val="NoSpacing"/>
              <w:rPr>
                <w:lang w:val="en-GB"/>
              </w:rPr>
            </w:pPr>
            <w:r w:rsidRPr="005635D8">
              <w:rPr>
                <w:lang w:val="en-GB"/>
              </w:rPr>
              <w:t>Author                : Tarik EL Azzouzi</w:t>
            </w:r>
          </w:p>
          <w:p w:rsidR="00B37EE0" w:rsidRPr="005635D8" w:rsidRDefault="00B37EE0" w:rsidP="00B37EE0">
            <w:pPr>
              <w:pStyle w:val="NoSpacing"/>
              <w:rPr>
                <w:bCs/>
                <w:lang w:val="en-GB"/>
              </w:rPr>
            </w:pPr>
            <w:r w:rsidRPr="005635D8">
              <w:rPr>
                <w:bCs/>
                <w:lang w:val="en-GB"/>
              </w:rPr>
              <w:t>Student number: 317355</w:t>
            </w:r>
          </w:p>
          <w:p w:rsidR="00B37EE0" w:rsidRPr="005635D8" w:rsidRDefault="00B37EE0" w:rsidP="00B37EE0">
            <w:pPr>
              <w:pStyle w:val="NoSpacing"/>
              <w:rPr>
                <w:lang w:val="en-GB"/>
              </w:rPr>
            </w:pPr>
          </w:p>
          <w:p w:rsidR="005D7DD1" w:rsidRPr="005635D8" w:rsidRDefault="00B37EE0" w:rsidP="00B37EE0">
            <w:pPr>
              <w:pStyle w:val="NoSpacing"/>
              <w:rPr>
                <w:lang w:val="en-GB"/>
              </w:rPr>
            </w:pPr>
            <w:r w:rsidRPr="005635D8">
              <w:rPr>
                <w:lang w:val="en-GB"/>
              </w:rPr>
              <w:t>Supervisor           :E.A. de Knecht, RA</w:t>
            </w:r>
          </w:p>
          <w:p w:rsidR="00B37EE0" w:rsidRPr="005635D8" w:rsidRDefault="00B37EE0" w:rsidP="00B37EE0">
            <w:pPr>
              <w:pStyle w:val="NoSpacing"/>
              <w:rPr>
                <w:lang w:val="en-GB"/>
              </w:rPr>
            </w:pPr>
            <w:r w:rsidRPr="005635D8">
              <w:rPr>
                <w:lang w:val="en-GB"/>
              </w:rPr>
              <w:t>C</w:t>
            </w:r>
            <w:r w:rsidR="00BB1EE0" w:rsidRPr="005635D8">
              <w:rPr>
                <w:lang w:val="en-GB"/>
              </w:rPr>
              <w:t>o-reader            :Drs R.</w:t>
            </w:r>
            <w:r w:rsidR="005635D8" w:rsidRPr="005635D8">
              <w:rPr>
                <w:lang w:val="en-GB"/>
              </w:rPr>
              <w:t xml:space="preserve"> </w:t>
            </w:r>
            <w:r w:rsidR="00BB1EE0" w:rsidRPr="005635D8">
              <w:rPr>
                <w:lang w:val="en-GB"/>
              </w:rPr>
              <w:t>v.</w:t>
            </w:r>
            <w:r w:rsidR="005635D8" w:rsidRPr="005635D8">
              <w:rPr>
                <w:lang w:val="en-GB"/>
              </w:rPr>
              <w:t xml:space="preserve"> </w:t>
            </w:r>
            <w:r w:rsidR="00BB1EE0" w:rsidRPr="005635D8">
              <w:rPr>
                <w:lang w:val="en-GB"/>
              </w:rPr>
              <w:t xml:space="preserve">d. </w:t>
            </w:r>
            <w:r w:rsidRPr="005635D8">
              <w:rPr>
                <w:lang w:val="en-GB"/>
              </w:rPr>
              <w:t>Wal, RA</w:t>
            </w:r>
          </w:p>
        </w:tc>
      </w:tr>
      <w:tr w:rsidR="00182CC2" w:rsidRPr="00247E29" w:rsidTr="002F7CF3">
        <w:trPr>
          <w:trHeight w:val="360"/>
        </w:trPr>
        <w:tc>
          <w:tcPr>
            <w:tcW w:w="5000" w:type="pct"/>
            <w:vAlign w:val="center"/>
          </w:tcPr>
          <w:p w:rsidR="00182CC2" w:rsidRPr="005635D8" w:rsidRDefault="00182CC2" w:rsidP="005D7DD1">
            <w:pPr>
              <w:pStyle w:val="NoSpacing"/>
              <w:rPr>
                <w:lang w:val="en-GB"/>
              </w:rPr>
            </w:pPr>
          </w:p>
        </w:tc>
      </w:tr>
    </w:tbl>
    <w:sdt>
      <w:sdtPr>
        <w:rPr>
          <w:rFonts w:asciiTheme="majorHAnsi" w:eastAsiaTheme="majorEastAsia" w:hAnsiTheme="majorHAnsi" w:cstheme="majorBidi"/>
          <w:sz w:val="80"/>
          <w:szCs w:val="80"/>
          <w:lang w:val="en-GB"/>
        </w:rPr>
        <w:id w:val="668860"/>
        <w:docPartObj>
          <w:docPartGallery w:val="Cover Pages"/>
          <w:docPartUnique/>
        </w:docPartObj>
      </w:sdtPr>
      <w:sdtEndPr>
        <w:rPr>
          <w:rFonts w:asciiTheme="minorHAnsi" w:eastAsia="PMingLiU" w:hAnsiTheme="minorHAnsi" w:cstheme="minorBidi"/>
          <w:sz w:val="22"/>
          <w:szCs w:val="22"/>
        </w:rPr>
      </w:sdtEndPr>
      <w:sdtContent>
        <w:p w:rsidR="00B37EE0" w:rsidRPr="005635D8" w:rsidRDefault="00B37EE0" w:rsidP="00B37EE0">
          <w:pPr>
            <w:spacing w:after="0" w:line="240" w:lineRule="auto"/>
            <w:rPr>
              <w:lang w:val="en-GB"/>
            </w:rPr>
          </w:pPr>
          <w:r w:rsidRPr="005635D8">
            <w:rPr>
              <w:lang w:val="en-GB"/>
            </w:rPr>
            <w:t>ERASMUS UNIVERSITY ROTTERDAM</w:t>
          </w:r>
          <w:r w:rsidR="00BB1EE0" w:rsidRPr="005635D8">
            <w:rPr>
              <w:lang w:val="en-GB"/>
            </w:rPr>
            <w:t xml:space="preserve"> </w:t>
          </w:r>
        </w:p>
        <w:p w:rsidR="00B37EE0" w:rsidRPr="005635D8" w:rsidRDefault="00B37EE0" w:rsidP="00BB1EE0">
          <w:pPr>
            <w:spacing w:after="0" w:line="240" w:lineRule="auto"/>
            <w:rPr>
              <w:lang w:val="en-GB"/>
            </w:rPr>
          </w:pPr>
          <w:r w:rsidRPr="005635D8">
            <w:rPr>
              <w:lang w:val="en-GB"/>
            </w:rPr>
            <w:t>SCHOOL OF ECONOMICS</w:t>
          </w:r>
          <w:r w:rsidR="00BB1EE0" w:rsidRPr="005635D8">
            <w:rPr>
              <w:noProof/>
              <w:lang w:val="en-GB" w:eastAsia="en-GB"/>
            </w:rPr>
            <w:t xml:space="preserve"> </w:t>
          </w:r>
        </w:p>
        <w:p w:rsidR="00B37EE0" w:rsidRPr="005635D8" w:rsidRDefault="00B37EE0" w:rsidP="00B37EE0">
          <w:pPr>
            <w:spacing w:after="0" w:line="240" w:lineRule="auto"/>
            <w:rPr>
              <w:lang w:val="en-GB"/>
            </w:rPr>
          </w:pPr>
          <w:r w:rsidRPr="005635D8">
            <w:rPr>
              <w:lang w:val="en-GB"/>
            </w:rPr>
            <w:t>SECTION ACCOUNTING, AUDITING AND CONTROL</w:t>
          </w:r>
        </w:p>
        <w:tbl>
          <w:tblPr>
            <w:tblpPr w:leftFromText="187" w:rightFromText="187" w:bottomFromText="200" w:horzAnchor="margin" w:tblpXSpec="center" w:tblpYSpec="bottom"/>
            <w:tblW w:w="5000" w:type="pct"/>
            <w:tblLook w:val="04A0"/>
          </w:tblPr>
          <w:tblGrid>
            <w:gridCol w:w="9286"/>
          </w:tblGrid>
          <w:tr w:rsidR="00B37EE0" w:rsidRPr="00247E29" w:rsidTr="00B37EE0">
            <w:tc>
              <w:tcPr>
                <w:tcW w:w="5000" w:type="pct"/>
              </w:tcPr>
              <w:p w:rsidR="00B37EE0" w:rsidRPr="005635D8" w:rsidRDefault="00B37EE0">
                <w:pPr>
                  <w:pStyle w:val="NoSpacing"/>
                  <w:spacing w:line="276" w:lineRule="auto"/>
                  <w:rPr>
                    <w:lang w:val="en-GB"/>
                  </w:rPr>
                </w:pPr>
              </w:p>
            </w:tc>
          </w:tr>
        </w:tbl>
        <w:p w:rsidR="005D7DD1" w:rsidRPr="005635D8" w:rsidRDefault="005D7DD1" w:rsidP="005D7DD1">
          <w:pPr>
            <w:spacing w:after="0" w:line="240" w:lineRule="auto"/>
            <w:rPr>
              <w:lang w:val="en-GB"/>
            </w:rPr>
          </w:pPr>
        </w:p>
        <w:tbl>
          <w:tblPr>
            <w:tblpPr w:leftFromText="187" w:rightFromText="187" w:horzAnchor="margin" w:tblpXSpec="center" w:tblpYSpec="bottom"/>
            <w:tblW w:w="5000" w:type="pct"/>
            <w:tblLook w:val="04A0"/>
          </w:tblPr>
          <w:tblGrid>
            <w:gridCol w:w="9286"/>
          </w:tblGrid>
          <w:tr w:rsidR="005D7DD1" w:rsidRPr="00247E29" w:rsidTr="005D7DD1">
            <w:tc>
              <w:tcPr>
                <w:tcW w:w="5000" w:type="pct"/>
              </w:tcPr>
              <w:p w:rsidR="005D7DD1" w:rsidRPr="005635D8" w:rsidRDefault="005D7DD1" w:rsidP="005D7DD1">
                <w:pPr>
                  <w:pStyle w:val="NoSpacing"/>
                  <w:rPr>
                    <w:lang w:val="en-GB"/>
                  </w:rPr>
                </w:pPr>
              </w:p>
            </w:tc>
          </w:tr>
        </w:tbl>
        <w:p w:rsidR="002F7CF3" w:rsidRPr="005635D8" w:rsidRDefault="002F7CF3" w:rsidP="002F7CF3">
          <w:pPr>
            <w:rPr>
              <w:lang w:val="en-GB"/>
            </w:rPr>
          </w:pPr>
        </w:p>
        <w:p w:rsidR="002F7CF3" w:rsidRPr="005635D8" w:rsidRDefault="002F7CF3" w:rsidP="002F7CF3">
          <w:pPr>
            <w:rPr>
              <w:lang w:val="en-GB"/>
            </w:rPr>
          </w:pPr>
          <w:r w:rsidRPr="005635D8">
            <w:rPr>
              <w:lang w:val="en-GB"/>
            </w:rPr>
            <w:br w:type="page"/>
          </w:r>
        </w:p>
      </w:sdtContent>
    </w:sdt>
    <w:p w:rsidR="002F7CF3" w:rsidRPr="005635D8" w:rsidRDefault="002F7CF3" w:rsidP="002F7CF3">
      <w:pPr>
        <w:spacing w:after="0" w:line="240" w:lineRule="auto"/>
        <w:rPr>
          <w:lang w:val="en-GB"/>
        </w:rPr>
      </w:pPr>
      <w:r w:rsidRPr="005635D8">
        <w:rPr>
          <w:lang w:val="en-GB"/>
        </w:rPr>
        <w:lastRenderedPageBreak/>
        <w:t xml:space="preserve"> </w:t>
      </w:r>
    </w:p>
    <w:p w:rsidR="00FE758E" w:rsidRPr="005635D8" w:rsidRDefault="00E75C83" w:rsidP="00621ABD">
      <w:pPr>
        <w:pStyle w:val="Heading1"/>
        <w:rPr>
          <w:rFonts w:ascii="Times New Roman" w:eastAsia="Times New Roman" w:hAnsi="Times New Roman" w:cs="Times New Roman"/>
          <w:iCs/>
          <w:lang w:eastAsia="nl-NL"/>
        </w:rPr>
      </w:pPr>
      <w:bookmarkStart w:id="0" w:name="_Toc200538601"/>
      <w:bookmarkStart w:id="1" w:name="_Toc361917029"/>
      <w:bookmarkStart w:id="2" w:name="_Toc362095010"/>
      <w:bookmarkStart w:id="3" w:name="_Toc362267250"/>
      <w:r w:rsidRPr="005635D8">
        <w:t>TABLE OF CONTENTS</w:t>
      </w:r>
      <w:bookmarkEnd w:id="0"/>
      <w:bookmarkEnd w:id="1"/>
      <w:bookmarkEnd w:id="2"/>
      <w:bookmarkEnd w:id="3"/>
    </w:p>
    <w:sdt>
      <w:sdtPr>
        <w:rPr>
          <w:lang w:val="en-GB"/>
        </w:rPr>
        <w:id w:val="-1591230677"/>
        <w:docPartObj>
          <w:docPartGallery w:val="Table of Contents"/>
          <w:docPartUnique/>
        </w:docPartObj>
      </w:sdtPr>
      <w:sdtEndPr>
        <w:rPr>
          <w:b/>
          <w:bCs/>
          <w:noProof/>
        </w:rPr>
      </w:sdtEndPr>
      <w:sdtContent>
        <w:p w:rsidR="009B7A20" w:rsidRPr="005635D8" w:rsidRDefault="009B7A20" w:rsidP="00D15EB8">
          <w:pPr>
            <w:spacing w:after="0"/>
            <w:rPr>
              <w:lang w:val="en-GB"/>
            </w:rPr>
          </w:pPr>
        </w:p>
        <w:p w:rsidR="00227B46" w:rsidRDefault="004A2AB3">
          <w:pPr>
            <w:pStyle w:val="TOC1"/>
            <w:tabs>
              <w:tab w:val="right" w:leader="underscore" w:pos="9060"/>
            </w:tabs>
            <w:rPr>
              <w:rFonts w:eastAsiaTheme="minorEastAsia"/>
              <w:b w:val="0"/>
              <w:noProof/>
              <w:lang w:val="en-GB" w:eastAsia="en-GB"/>
            </w:rPr>
          </w:pPr>
          <w:r w:rsidRPr="004A2AB3">
            <w:rPr>
              <w:lang w:val="en-GB"/>
            </w:rPr>
            <w:fldChar w:fldCharType="begin"/>
          </w:r>
          <w:r w:rsidR="00A97BEA" w:rsidRPr="005635D8">
            <w:rPr>
              <w:lang w:val="en-GB"/>
            </w:rPr>
            <w:instrText xml:space="preserve"> TOC \o "1-3" \h \z \u </w:instrText>
          </w:r>
          <w:r w:rsidRPr="004A2AB3">
            <w:rPr>
              <w:lang w:val="en-GB"/>
            </w:rPr>
            <w:fldChar w:fldCharType="separate"/>
          </w:r>
          <w:hyperlink w:anchor="_Toc362267251" w:history="1">
            <w:r w:rsidR="00227B46" w:rsidRPr="00F972AF">
              <w:rPr>
                <w:rStyle w:val="Hyperlink"/>
                <w:noProof/>
              </w:rPr>
              <w:t>1 Introduction</w:t>
            </w:r>
            <w:bookmarkStart w:id="4" w:name="_GoBack"/>
            <w:bookmarkEnd w:id="4"/>
            <w:r w:rsidR="00227B46">
              <w:rPr>
                <w:noProof/>
                <w:webHidden/>
              </w:rPr>
              <w:tab/>
            </w:r>
            <w:r>
              <w:rPr>
                <w:noProof/>
                <w:webHidden/>
              </w:rPr>
              <w:fldChar w:fldCharType="begin"/>
            </w:r>
            <w:r w:rsidR="00227B46">
              <w:rPr>
                <w:noProof/>
                <w:webHidden/>
              </w:rPr>
              <w:instrText xml:space="preserve"> PAGEREF _Toc362267251 \h </w:instrText>
            </w:r>
            <w:r>
              <w:rPr>
                <w:noProof/>
                <w:webHidden/>
              </w:rPr>
            </w:r>
            <w:r>
              <w:rPr>
                <w:noProof/>
                <w:webHidden/>
              </w:rPr>
              <w:fldChar w:fldCharType="separate"/>
            </w:r>
            <w:r w:rsidR="00227B46">
              <w:rPr>
                <w:noProof/>
                <w:webHidden/>
              </w:rPr>
              <w:t>5</w:t>
            </w:r>
            <w:r>
              <w:rPr>
                <w:noProof/>
                <w:webHidden/>
              </w:rPr>
              <w:fldChar w:fldCharType="end"/>
            </w:r>
          </w:hyperlink>
        </w:p>
        <w:p w:rsidR="00227B46" w:rsidRDefault="004A2AB3">
          <w:pPr>
            <w:pStyle w:val="TOC3"/>
            <w:tabs>
              <w:tab w:val="right" w:leader="underscore" w:pos="9060"/>
            </w:tabs>
            <w:rPr>
              <w:rFonts w:eastAsiaTheme="minorEastAsia"/>
              <w:i w:val="0"/>
              <w:noProof/>
              <w:lang w:val="en-GB" w:eastAsia="en-GB"/>
            </w:rPr>
          </w:pPr>
          <w:hyperlink w:anchor="_Toc362267252" w:history="1">
            <w:r w:rsidR="00227B46" w:rsidRPr="00F972AF">
              <w:rPr>
                <w:rStyle w:val="Hyperlink"/>
                <w:noProof/>
                <w:lang w:val="en-GB"/>
              </w:rPr>
              <w:t>1.1 Background</w:t>
            </w:r>
            <w:r w:rsidR="00227B46">
              <w:rPr>
                <w:noProof/>
                <w:webHidden/>
              </w:rPr>
              <w:tab/>
            </w:r>
            <w:r>
              <w:rPr>
                <w:noProof/>
                <w:webHidden/>
              </w:rPr>
              <w:fldChar w:fldCharType="begin"/>
            </w:r>
            <w:r w:rsidR="00227B46">
              <w:rPr>
                <w:noProof/>
                <w:webHidden/>
              </w:rPr>
              <w:instrText xml:space="preserve"> PAGEREF _Toc362267252 \h </w:instrText>
            </w:r>
            <w:r>
              <w:rPr>
                <w:noProof/>
                <w:webHidden/>
              </w:rPr>
            </w:r>
            <w:r>
              <w:rPr>
                <w:noProof/>
                <w:webHidden/>
              </w:rPr>
              <w:fldChar w:fldCharType="separate"/>
            </w:r>
            <w:r w:rsidR="00227B46">
              <w:rPr>
                <w:noProof/>
                <w:webHidden/>
              </w:rPr>
              <w:t>5</w:t>
            </w:r>
            <w:r>
              <w:rPr>
                <w:noProof/>
                <w:webHidden/>
              </w:rPr>
              <w:fldChar w:fldCharType="end"/>
            </w:r>
          </w:hyperlink>
        </w:p>
        <w:p w:rsidR="00227B46" w:rsidRDefault="004A2AB3">
          <w:pPr>
            <w:pStyle w:val="TOC3"/>
            <w:tabs>
              <w:tab w:val="right" w:leader="underscore" w:pos="9060"/>
            </w:tabs>
            <w:rPr>
              <w:rFonts w:eastAsiaTheme="minorEastAsia"/>
              <w:i w:val="0"/>
              <w:noProof/>
              <w:lang w:val="en-GB" w:eastAsia="en-GB"/>
            </w:rPr>
          </w:pPr>
          <w:hyperlink w:anchor="_Toc362267253" w:history="1">
            <w:r w:rsidR="00227B46" w:rsidRPr="00F972AF">
              <w:rPr>
                <w:rStyle w:val="Hyperlink"/>
                <w:noProof/>
                <w:lang w:val="en-GB"/>
              </w:rPr>
              <w:t>1.2 Problem Definition</w:t>
            </w:r>
            <w:r w:rsidR="00227B46">
              <w:rPr>
                <w:noProof/>
                <w:webHidden/>
              </w:rPr>
              <w:tab/>
            </w:r>
            <w:r>
              <w:rPr>
                <w:noProof/>
                <w:webHidden/>
              </w:rPr>
              <w:fldChar w:fldCharType="begin"/>
            </w:r>
            <w:r w:rsidR="00227B46">
              <w:rPr>
                <w:noProof/>
                <w:webHidden/>
              </w:rPr>
              <w:instrText xml:space="preserve"> PAGEREF _Toc362267253 \h </w:instrText>
            </w:r>
            <w:r>
              <w:rPr>
                <w:noProof/>
                <w:webHidden/>
              </w:rPr>
            </w:r>
            <w:r>
              <w:rPr>
                <w:noProof/>
                <w:webHidden/>
              </w:rPr>
              <w:fldChar w:fldCharType="separate"/>
            </w:r>
            <w:r w:rsidR="00227B46">
              <w:rPr>
                <w:noProof/>
                <w:webHidden/>
              </w:rPr>
              <w:t>6</w:t>
            </w:r>
            <w:r>
              <w:rPr>
                <w:noProof/>
                <w:webHidden/>
              </w:rPr>
              <w:fldChar w:fldCharType="end"/>
            </w:r>
          </w:hyperlink>
        </w:p>
        <w:p w:rsidR="00227B46" w:rsidRDefault="004A2AB3">
          <w:pPr>
            <w:pStyle w:val="TOC3"/>
            <w:tabs>
              <w:tab w:val="right" w:leader="underscore" w:pos="9060"/>
            </w:tabs>
            <w:rPr>
              <w:rFonts w:eastAsiaTheme="minorEastAsia"/>
              <w:i w:val="0"/>
              <w:noProof/>
              <w:lang w:val="en-GB" w:eastAsia="en-GB"/>
            </w:rPr>
          </w:pPr>
          <w:hyperlink w:anchor="_Toc362267254" w:history="1">
            <w:r w:rsidR="00227B46" w:rsidRPr="00F972AF">
              <w:rPr>
                <w:rStyle w:val="Hyperlink"/>
                <w:noProof/>
                <w:lang w:val="en-GB"/>
              </w:rPr>
              <w:t>1.3 Objectives</w:t>
            </w:r>
            <w:r w:rsidR="00227B46">
              <w:rPr>
                <w:noProof/>
                <w:webHidden/>
              </w:rPr>
              <w:tab/>
            </w:r>
            <w:r>
              <w:rPr>
                <w:noProof/>
                <w:webHidden/>
              </w:rPr>
              <w:fldChar w:fldCharType="begin"/>
            </w:r>
            <w:r w:rsidR="00227B46">
              <w:rPr>
                <w:noProof/>
                <w:webHidden/>
              </w:rPr>
              <w:instrText xml:space="preserve"> PAGEREF _Toc362267254 \h </w:instrText>
            </w:r>
            <w:r>
              <w:rPr>
                <w:noProof/>
                <w:webHidden/>
              </w:rPr>
            </w:r>
            <w:r>
              <w:rPr>
                <w:noProof/>
                <w:webHidden/>
              </w:rPr>
              <w:fldChar w:fldCharType="separate"/>
            </w:r>
            <w:r w:rsidR="00227B46">
              <w:rPr>
                <w:noProof/>
                <w:webHidden/>
              </w:rPr>
              <w:t>8</w:t>
            </w:r>
            <w:r>
              <w:rPr>
                <w:noProof/>
                <w:webHidden/>
              </w:rPr>
              <w:fldChar w:fldCharType="end"/>
            </w:r>
          </w:hyperlink>
        </w:p>
        <w:p w:rsidR="00227B46" w:rsidRDefault="004A2AB3">
          <w:pPr>
            <w:pStyle w:val="TOC3"/>
            <w:tabs>
              <w:tab w:val="right" w:leader="underscore" w:pos="9060"/>
            </w:tabs>
            <w:rPr>
              <w:rFonts w:eastAsiaTheme="minorEastAsia"/>
              <w:i w:val="0"/>
              <w:noProof/>
              <w:lang w:val="en-GB" w:eastAsia="en-GB"/>
            </w:rPr>
          </w:pPr>
          <w:hyperlink w:anchor="_Toc362267255" w:history="1">
            <w:r w:rsidR="00227B46" w:rsidRPr="00F972AF">
              <w:rPr>
                <w:rStyle w:val="Hyperlink"/>
                <w:noProof/>
                <w:lang w:val="en-GB"/>
              </w:rPr>
              <w:t>1.4 Methodology</w:t>
            </w:r>
            <w:r w:rsidR="00227B46">
              <w:rPr>
                <w:noProof/>
                <w:webHidden/>
              </w:rPr>
              <w:tab/>
            </w:r>
            <w:r>
              <w:rPr>
                <w:noProof/>
                <w:webHidden/>
              </w:rPr>
              <w:fldChar w:fldCharType="begin"/>
            </w:r>
            <w:r w:rsidR="00227B46">
              <w:rPr>
                <w:noProof/>
                <w:webHidden/>
              </w:rPr>
              <w:instrText xml:space="preserve"> PAGEREF _Toc362267255 \h </w:instrText>
            </w:r>
            <w:r>
              <w:rPr>
                <w:noProof/>
                <w:webHidden/>
              </w:rPr>
            </w:r>
            <w:r>
              <w:rPr>
                <w:noProof/>
                <w:webHidden/>
              </w:rPr>
              <w:fldChar w:fldCharType="separate"/>
            </w:r>
            <w:r w:rsidR="00227B46">
              <w:rPr>
                <w:noProof/>
                <w:webHidden/>
              </w:rPr>
              <w:t>8</w:t>
            </w:r>
            <w:r>
              <w:rPr>
                <w:noProof/>
                <w:webHidden/>
              </w:rPr>
              <w:fldChar w:fldCharType="end"/>
            </w:r>
          </w:hyperlink>
        </w:p>
        <w:p w:rsidR="00227B46" w:rsidRDefault="004A2AB3">
          <w:pPr>
            <w:pStyle w:val="TOC3"/>
            <w:tabs>
              <w:tab w:val="right" w:leader="underscore" w:pos="9060"/>
            </w:tabs>
            <w:rPr>
              <w:rFonts w:eastAsiaTheme="minorEastAsia"/>
              <w:i w:val="0"/>
              <w:noProof/>
              <w:lang w:val="en-GB" w:eastAsia="en-GB"/>
            </w:rPr>
          </w:pPr>
          <w:hyperlink w:anchor="_Toc362267256" w:history="1">
            <w:r w:rsidR="00227B46" w:rsidRPr="00F972AF">
              <w:rPr>
                <w:rStyle w:val="Hyperlink"/>
                <w:noProof/>
                <w:lang w:val="en-GB"/>
              </w:rPr>
              <w:t>1.5 Demarcation and limitations</w:t>
            </w:r>
            <w:r w:rsidR="00227B46">
              <w:rPr>
                <w:noProof/>
                <w:webHidden/>
              </w:rPr>
              <w:tab/>
            </w:r>
            <w:r>
              <w:rPr>
                <w:noProof/>
                <w:webHidden/>
              </w:rPr>
              <w:fldChar w:fldCharType="begin"/>
            </w:r>
            <w:r w:rsidR="00227B46">
              <w:rPr>
                <w:noProof/>
                <w:webHidden/>
              </w:rPr>
              <w:instrText xml:space="preserve"> PAGEREF _Toc362267256 \h </w:instrText>
            </w:r>
            <w:r>
              <w:rPr>
                <w:noProof/>
                <w:webHidden/>
              </w:rPr>
            </w:r>
            <w:r>
              <w:rPr>
                <w:noProof/>
                <w:webHidden/>
              </w:rPr>
              <w:fldChar w:fldCharType="separate"/>
            </w:r>
            <w:r w:rsidR="00227B46">
              <w:rPr>
                <w:noProof/>
                <w:webHidden/>
              </w:rPr>
              <w:t>8</w:t>
            </w:r>
            <w:r>
              <w:rPr>
                <w:noProof/>
                <w:webHidden/>
              </w:rPr>
              <w:fldChar w:fldCharType="end"/>
            </w:r>
          </w:hyperlink>
        </w:p>
        <w:p w:rsidR="00227B46" w:rsidRDefault="004A2AB3">
          <w:pPr>
            <w:pStyle w:val="TOC3"/>
            <w:tabs>
              <w:tab w:val="right" w:leader="underscore" w:pos="9060"/>
            </w:tabs>
            <w:rPr>
              <w:rFonts w:eastAsiaTheme="minorEastAsia"/>
              <w:i w:val="0"/>
              <w:noProof/>
              <w:lang w:val="en-GB" w:eastAsia="en-GB"/>
            </w:rPr>
          </w:pPr>
          <w:hyperlink w:anchor="_Toc362267257" w:history="1">
            <w:r w:rsidR="00227B46" w:rsidRPr="00F972AF">
              <w:rPr>
                <w:rStyle w:val="Hyperlink"/>
                <w:noProof/>
                <w:lang w:val="en-GB"/>
              </w:rPr>
              <w:t>1.6 Structure of the research</w:t>
            </w:r>
            <w:r w:rsidR="00227B46">
              <w:rPr>
                <w:noProof/>
                <w:webHidden/>
              </w:rPr>
              <w:tab/>
            </w:r>
            <w:r>
              <w:rPr>
                <w:noProof/>
                <w:webHidden/>
              </w:rPr>
              <w:fldChar w:fldCharType="begin"/>
            </w:r>
            <w:r w:rsidR="00227B46">
              <w:rPr>
                <w:noProof/>
                <w:webHidden/>
              </w:rPr>
              <w:instrText xml:space="preserve"> PAGEREF _Toc362267257 \h </w:instrText>
            </w:r>
            <w:r>
              <w:rPr>
                <w:noProof/>
                <w:webHidden/>
              </w:rPr>
            </w:r>
            <w:r>
              <w:rPr>
                <w:noProof/>
                <w:webHidden/>
              </w:rPr>
              <w:fldChar w:fldCharType="separate"/>
            </w:r>
            <w:r w:rsidR="00227B46">
              <w:rPr>
                <w:noProof/>
                <w:webHidden/>
              </w:rPr>
              <w:t>9</w:t>
            </w:r>
            <w:r>
              <w:rPr>
                <w:noProof/>
                <w:webHidden/>
              </w:rPr>
              <w:fldChar w:fldCharType="end"/>
            </w:r>
          </w:hyperlink>
        </w:p>
        <w:p w:rsidR="00227B46" w:rsidRDefault="004A2AB3">
          <w:pPr>
            <w:pStyle w:val="TOC1"/>
            <w:tabs>
              <w:tab w:val="right" w:leader="underscore" w:pos="9060"/>
            </w:tabs>
            <w:rPr>
              <w:rFonts w:eastAsiaTheme="minorEastAsia"/>
              <w:b w:val="0"/>
              <w:noProof/>
              <w:lang w:val="en-GB" w:eastAsia="en-GB"/>
            </w:rPr>
          </w:pPr>
          <w:hyperlink w:anchor="_Toc362267258" w:history="1">
            <w:r w:rsidR="00227B46" w:rsidRPr="00F972AF">
              <w:rPr>
                <w:rStyle w:val="Hyperlink"/>
                <w:noProof/>
              </w:rPr>
              <w:t>2 Background Theory</w:t>
            </w:r>
            <w:r w:rsidR="00227B46">
              <w:rPr>
                <w:noProof/>
                <w:webHidden/>
              </w:rPr>
              <w:tab/>
            </w:r>
            <w:r>
              <w:rPr>
                <w:noProof/>
                <w:webHidden/>
              </w:rPr>
              <w:fldChar w:fldCharType="begin"/>
            </w:r>
            <w:r w:rsidR="00227B46">
              <w:rPr>
                <w:noProof/>
                <w:webHidden/>
              </w:rPr>
              <w:instrText xml:space="preserve"> PAGEREF _Toc362267258 \h </w:instrText>
            </w:r>
            <w:r>
              <w:rPr>
                <w:noProof/>
                <w:webHidden/>
              </w:rPr>
            </w:r>
            <w:r>
              <w:rPr>
                <w:noProof/>
                <w:webHidden/>
              </w:rPr>
              <w:fldChar w:fldCharType="separate"/>
            </w:r>
            <w:r w:rsidR="00227B46">
              <w:rPr>
                <w:noProof/>
                <w:webHidden/>
              </w:rPr>
              <w:t>10</w:t>
            </w:r>
            <w:r>
              <w:rPr>
                <w:noProof/>
                <w:webHidden/>
              </w:rPr>
              <w:fldChar w:fldCharType="end"/>
            </w:r>
          </w:hyperlink>
        </w:p>
        <w:p w:rsidR="00227B46" w:rsidRDefault="004A2AB3">
          <w:pPr>
            <w:pStyle w:val="TOC3"/>
            <w:tabs>
              <w:tab w:val="right" w:leader="underscore" w:pos="9060"/>
            </w:tabs>
            <w:rPr>
              <w:rFonts w:eastAsiaTheme="minorEastAsia"/>
              <w:i w:val="0"/>
              <w:noProof/>
              <w:lang w:val="en-GB" w:eastAsia="en-GB"/>
            </w:rPr>
          </w:pPr>
          <w:hyperlink w:anchor="_Toc362267259" w:history="1">
            <w:r w:rsidR="00227B46" w:rsidRPr="00F972AF">
              <w:rPr>
                <w:rStyle w:val="Hyperlink"/>
                <w:noProof/>
                <w:lang w:val="en-GB"/>
              </w:rPr>
              <w:t>2.1 The Agency Theory</w:t>
            </w:r>
            <w:r w:rsidR="00227B46">
              <w:rPr>
                <w:noProof/>
                <w:webHidden/>
              </w:rPr>
              <w:tab/>
            </w:r>
            <w:r>
              <w:rPr>
                <w:noProof/>
                <w:webHidden/>
              </w:rPr>
              <w:fldChar w:fldCharType="begin"/>
            </w:r>
            <w:r w:rsidR="00227B46">
              <w:rPr>
                <w:noProof/>
                <w:webHidden/>
              </w:rPr>
              <w:instrText xml:space="preserve"> PAGEREF _Toc362267259 \h </w:instrText>
            </w:r>
            <w:r>
              <w:rPr>
                <w:noProof/>
                <w:webHidden/>
              </w:rPr>
            </w:r>
            <w:r>
              <w:rPr>
                <w:noProof/>
                <w:webHidden/>
              </w:rPr>
              <w:fldChar w:fldCharType="separate"/>
            </w:r>
            <w:r w:rsidR="00227B46">
              <w:rPr>
                <w:noProof/>
                <w:webHidden/>
              </w:rPr>
              <w:t>10</w:t>
            </w:r>
            <w:r>
              <w:rPr>
                <w:noProof/>
                <w:webHidden/>
              </w:rPr>
              <w:fldChar w:fldCharType="end"/>
            </w:r>
          </w:hyperlink>
        </w:p>
        <w:p w:rsidR="00227B46" w:rsidRDefault="004A2AB3">
          <w:pPr>
            <w:pStyle w:val="TOC3"/>
            <w:tabs>
              <w:tab w:val="right" w:leader="underscore" w:pos="9060"/>
            </w:tabs>
            <w:rPr>
              <w:rFonts w:eastAsiaTheme="minorEastAsia"/>
              <w:i w:val="0"/>
              <w:noProof/>
              <w:lang w:val="en-GB" w:eastAsia="en-GB"/>
            </w:rPr>
          </w:pPr>
          <w:hyperlink w:anchor="_Toc362267260" w:history="1">
            <w:r w:rsidR="00227B46" w:rsidRPr="00F972AF">
              <w:rPr>
                <w:rStyle w:val="Hyperlink"/>
                <w:noProof/>
                <w:lang w:val="en-GB"/>
              </w:rPr>
              <w:t>2.2 Positive accounting theory</w:t>
            </w:r>
            <w:r w:rsidR="00227B46">
              <w:rPr>
                <w:noProof/>
                <w:webHidden/>
              </w:rPr>
              <w:tab/>
            </w:r>
            <w:r>
              <w:rPr>
                <w:noProof/>
                <w:webHidden/>
              </w:rPr>
              <w:fldChar w:fldCharType="begin"/>
            </w:r>
            <w:r w:rsidR="00227B46">
              <w:rPr>
                <w:noProof/>
                <w:webHidden/>
              </w:rPr>
              <w:instrText xml:space="preserve"> PAGEREF _Toc362267260 \h </w:instrText>
            </w:r>
            <w:r>
              <w:rPr>
                <w:noProof/>
                <w:webHidden/>
              </w:rPr>
            </w:r>
            <w:r>
              <w:rPr>
                <w:noProof/>
                <w:webHidden/>
              </w:rPr>
              <w:fldChar w:fldCharType="separate"/>
            </w:r>
            <w:r w:rsidR="00227B46">
              <w:rPr>
                <w:noProof/>
                <w:webHidden/>
              </w:rPr>
              <w:t>12</w:t>
            </w:r>
            <w:r>
              <w:rPr>
                <w:noProof/>
                <w:webHidden/>
              </w:rPr>
              <w:fldChar w:fldCharType="end"/>
            </w:r>
          </w:hyperlink>
        </w:p>
        <w:p w:rsidR="00227B46" w:rsidRDefault="004A2AB3">
          <w:pPr>
            <w:pStyle w:val="TOC3"/>
            <w:tabs>
              <w:tab w:val="right" w:leader="underscore" w:pos="9060"/>
            </w:tabs>
            <w:rPr>
              <w:rFonts w:eastAsiaTheme="minorEastAsia"/>
              <w:i w:val="0"/>
              <w:noProof/>
              <w:lang w:val="en-GB" w:eastAsia="en-GB"/>
            </w:rPr>
          </w:pPr>
          <w:hyperlink w:anchor="_Toc362267261" w:history="1">
            <w:r w:rsidR="00227B46" w:rsidRPr="00F972AF">
              <w:rPr>
                <w:rStyle w:val="Hyperlink"/>
                <w:noProof/>
                <w:lang w:val="en-GB"/>
              </w:rPr>
              <w:t>2.2.1 The bonus plan hypothesis;</w:t>
            </w:r>
            <w:r w:rsidR="00227B46">
              <w:rPr>
                <w:noProof/>
                <w:webHidden/>
              </w:rPr>
              <w:tab/>
            </w:r>
            <w:r>
              <w:rPr>
                <w:noProof/>
                <w:webHidden/>
              </w:rPr>
              <w:fldChar w:fldCharType="begin"/>
            </w:r>
            <w:r w:rsidR="00227B46">
              <w:rPr>
                <w:noProof/>
                <w:webHidden/>
              </w:rPr>
              <w:instrText xml:space="preserve"> PAGEREF _Toc362267261 \h </w:instrText>
            </w:r>
            <w:r>
              <w:rPr>
                <w:noProof/>
                <w:webHidden/>
              </w:rPr>
            </w:r>
            <w:r>
              <w:rPr>
                <w:noProof/>
                <w:webHidden/>
              </w:rPr>
              <w:fldChar w:fldCharType="separate"/>
            </w:r>
            <w:r w:rsidR="00227B46">
              <w:rPr>
                <w:noProof/>
                <w:webHidden/>
              </w:rPr>
              <w:t>13</w:t>
            </w:r>
            <w:r>
              <w:rPr>
                <w:noProof/>
                <w:webHidden/>
              </w:rPr>
              <w:fldChar w:fldCharType="end"/>
            </w:r>
          </w:hyperlink>
        </w:p>
        <w:p w:rsidR="00227B46" w:rsidRDefault="004A2AB3">
          <w:pPr>
            <w:pStyle w:val="TOC3"/>
            <w:tabs>
              <w:tab w:val="right" w:leader="underscore" w:pos="9060"/>
            </w:tabs>
            <w:rPr>
              <w:rFonts w:eastAsiaTheme="minorEastAsia"/>
              <w:i w:val="0"/>
              <w:noProof/>
              <w:lang w:val="en-GB" w:eastAsia="en-GB"/>
            </w:rPr>
          </w:pPr>
          <w:hyperlink w:anchor="_Toc362267262" w:history="1">
            <w:r w:rsidR="00227B46" w:rsidRPr="00F972AF">
              <w:rPr>
                <w:rStyle w:val="Hyperlink"/>
                <w:noProof/>
                <w:lang w:val="en-GB"/>
              </w:rPr>
              <w:t>2.2.2 Debt / equity hypothesis;</w:t>
            </w:r>
            <w:r w:rsidR="00227B46">
              <w:rPr>
                <w:noProof/>
                <w:webHidden/>
              </w:rPr>
              <w:tab/>
            </w:r>
            <w:r>
              <w:rPr>
                <w:noProof/>
                <w:webHidden/>
              </w:rPr>
              <w:fldChar w:fldCharType="begin"/>
            </w:r>
            <w:r w:rsidR="00227B46">
              <w:rPr>
                <w:noProof/>
                <w:webHidden/>
              </w:rPr>
              <w:instrText xml:space="preserve"> PAGEREF _Toc362267262 \h </w:instrText>
            </w:r>
            <w:r>
              <w:rPr>
                <w:noProof/>
                <w:webHidden/>
              </w:rPr>
            </w:r>
            <w:r>
              <w:rPr>
                <w:noProof/>
                <w:webHidden/>
              </w:rPr>
              <w:fldChar w:fldCharType="separate"/>
            </w:r>
            <w:r w:rsidR="00227B46">
              <w:rPr>
                <w:noProof/>
                <w:webHidden/>
              </w:rPr>
              <w:t>13</w:t>
            </w:r>
            <w:r>
              <w:rPr>
                <w:noProof/>
                <w:webHidden/>
              </w:rPr>
              <w:fldChar w:fldCharType="end"/>
            </w:r>
          </w:hyperlink>
        </w:p>
        <w:p w:rsidR="00227B46" w:rsidRDefault="004A2AB3">
          <w:pPr>
            <w:pStyle w:val="TOC3"/>
            <w:tabs>
              <w:tab w:val="right" w:leader="underscore" w:pos="9060"/>
            </w:tabs>
            <w:rPr>
              <w:rFonts w:eastAsiaTheme="minorEastAsia"/>
              <w:i w:val="0"/>
              <w:noProof/>
              <w:lang w:val="en-GB" w:eastAsia="en-GB"/>
            </w:rPr>
          </w:pPr>
          <w:hyperlink w:anchor="_Toc362267263" w:history="1">
            <w:r w:rsidR="00227B46" w:rsidRPr="00F972AF">
              <w:rPr>
                <w:rStyle w:val="Hyperlink"/>
                <w:noProof/>
                <w:lang w:val="en-GB"/>
              </w:rPr>
              <w:t>2.2.3 Political cost hypothesis;</w:t>
            </w:r>
            <w:r w:rsidR="00227B46">
              <w:rPr>
                <w:noProof/>
                <w:webHidden/>
              </w:rPr>
              <w:tab/>
            </w:r>
            <w:r>
              <w:rPr>
                <w:noProof/>
                <w:webHidden/>
              </w:rPr>
              <w:fldChar w:fldCharType="begin"/>
            </w:r>
            <w:r w:rsidR="00227B46">
              <w:rPr>
                <w:noProof/>
                <w:webHidden/>
              </w:rPr>
              <w:instrText xml:space="preserve"> PAGEREF _Toc362267263 \h </w:instrText>
            </w:r>
            <w:r>
              <w:rPr>
                <w:noProof/>
                <w:webHidden/>
              </w:rPr>
            </w:r>
            <w:r>
              <w:rPr>
                <w:noProof/>
                <w:webHidden/>
              </w:rPr>
              <w:fldChar w:fldCharType="separate"/>
            </w:r>
            <w:r w:rsidR="00227B46">
              <w:rPr>
                <w:noProof/>
                <w:webHidden/>
              </w:rPr>
              <w:t>13</w:t>
            </w:r>
            <w:r>
              <w:rPr>
                <w:noProof/>
                <w:webHidden/>
              </w:rPr>
              <w:fldChar w:fldCharType="end"/>
            </w:r>
          </w:hyperlink>
        </w:p>
        <w:p w:rsidR="00227B46" w:rsidRDefault="004A2AB3">
          <w:pPr>
            <w:pStyle w:val="TOC3"/>
            <w:tabs>
              <w:tab w:val="right" w:leader="underscore" w:pos="9060"/>
            </w:tabs>
            <w:rPr>
              <w:rFonts w:eastAsiaTheme="minorEastAsia"/>
              <w:i w:val="0"/>
              <w:noProof/>
              <w:lang w:val="en-GB" w:eastAsia="en-GB"/>
            </w:rPr>
          </w:pPr>
          <w:hyperlink w:anchor="_Toc362267264" w:history="1">
            <w:r w:rsidR="00227B46" w:rsidRPr="00F972AF">
              <w:rPr>
                <w:rStyle w:val="Hyperlink"/>
                <w:noProof/>
                <w:lang w:val="en-GB"/>
              </w:rPr>
              <w:t>2.3 Stewardship theory</w:t>
            </w:r>
            <w:r w:rsidR="00227B46">
              <w:rPr>
                <w:noProof/>
                <w:webHidden/>
              </w:rPr>
              <w:tab/>
            </w:r>
            <w:r>
              <w:rPr>
                <w:noProof/>
                <w:webHidden/>
              </w:rPr>
              <w:fldChar w:fldCharType="begin"/>
            </w:r>
            <w:r w:rsidR="00227B46">
              <w:rPr>
                <w:noProof/>
                <w:webHidden/>
              </w:rPr>
              <w:instrText xml:space="preserve"> PAGEREF _Toc362267264 \h </w:instrText>
            </w:r>
            <w:r>
              <w:rPr>
                <w:noProof/>
                <w:webHidden/>
              </w:rPr>
            </w:r>
            <w:r>
              <w:rPr>
                <w:noProof/>
                <w:webHidden/>
              </w:rPr>
              <w:fldChar w:fldCharType="separate"/>
            </w:r>
            <w:r w:rsidR="00227B46">
              <w:rPr>
                <w:noProof/>
                <w:webHidden/>
              </w:rPr>
              <w:t>14</w:t>
            </w:r>
            <w:r>
              <w:rPr>
                <w:noProof/>
                <w:webHidden/>
              </w:rPr>
              <w:fldChar w:fldCharType="end"/>
            </w:r>
          </w:hyperlink>
        </w:p>
        <w:p w:rsidR="00227B46" w:rsidRDefault="004A2AB3">
          <w:pPr>
            <w:pStyle w:val="TOC1"/>
            <w:tabs>
              <w:tab w:val="right" w:leader="underscore" w:pos="9060"/>
            </w:tabs>
            <w:rPr>
              <w:rFonts w:eastAsiaTheme="minorEastAsia"/>
              <w:b w:val="0"/>
              <w:noProof/>
              <w:lang w:val="en-GB" w:eastAsia="en-GB"/>
            </w:rPr>
          </w:pPr>
          <w:hyperlink w:anchor="_Toc362267265" w:history="1">
            <w:r w:rsidR="00227B46" w:rsidRPr="00F972AF">
              <w:rPr>
                <w:rStyle w:val="Hyperlink"/>
                <w:noProof/>
              </w:rPr>
              <w:t>3 Implementation of IFRS</w:t>
            </w:r>
            <w:r w:rsidR="00227B46">
              <w:rPr>
                <w:noProof/>
                <w:webHidden/>
              </w:rPr>
              <w:tab/>
            </w:r>
            <w:r>
              <w:rPr>
                <w:noProof/>
                <w:webHidden/>
              </w:rPr>
              <w:fldChar w:fldCharType="begin"/>
            </w:r>
            <w:r w:rsidR="00227B46">
              <w:rPr>
                <w:noProof/>
                <w:webHidden/>
              </w:rPr>
              <w:instrText xml:space="preserve"> PAGEREF _Toc362267265 \h </w:instrText>
            </w:r>
            <w:r>
              <w:rPr>
                <w:noProof/>
                <w:webHidden/>
              </w:rPr>
            </w:r>
            <w:r>
              <w:rPr>
                <w:noProof/>
                <w:webHidden/>
              </w:rPr>
              <w:fldChar w:fldCharType="separate"/>
            </w:r>
            <w:r w:rsidR="00227B46">
              <w:rPr>
                <w:noProof/>
                <w:webHidden/>
              </w:rPr>
              <w:t>16</w:t>
            </w:r>
            <w:r>
              <w:rPr>
                <w:noProof/>
                <w:webHidden/>
              </w:rPr>
              <w:fldChar w:fldCharType="end"/>
            </w:r>
          </w:hyperlink>
        </w:p>
        <w:p w:rsidR="00227B46" w:rsidRDefault="004A2AB3">
          <w:pPr>
            <w:pStyle w:val="TOC3"/>
            <w:tabs>
              <w:tab w:val="right" w:leader="underscore" w:pos="9060"/>
            </w:tabs>
            <w:rPr>
              <w:rFonts w:eastAsiaTheme="minorEastAsia"/>
              <w:i w:val="0"/>
              <w:noProof/>
              <w:lang w:val="en-GB" w:eastAsia="en-GB"/>
            </w:rPr>
          </w:pPr>
          <w:hyperlink w:anchor="_Toc362267266" w:history="1">
            <w:r w:rsidR="00227B46" w:rsidRPr="00F972AF">
              <w:rPr>
                <w:rStyle w:val="Hyperlink"/>
                <w:noProof/>
                <w:lang w:val="en-GB"/>
              </w:rPr>
              <w:t>3.1 Reasons for implementing IFRS</w:t>
            </w:r>
            <w:r w:rsidR="00227B46">
              <w:rPr>
                <w:noProof/>
                <w:webHidden/>
              </w:rPr>
              <w:tab/>
            </w:r>
            <w:r>
              <w:rPr>
                <w:noProof/>
                <w:webHidden/>
              </w:rPr>
              <w:fldChar w:fldCharType="begin"/>
            </w:r>
            <w:r w:rsidR="00227B46">
              <w:rPr>
                <w:noProof/>
                <w:webHidden/>
              </w:rPr>
              <w:instrText xml:space="preserve"> PAGEREF _Toc362267266 \h </w:instrText>
            </w:r>
            <w:r>
              <w:rPr>
                <w:noProof/>
                <w:webHidden/>
              </w:rPr>
            </w:r>
            <w:r>
              <w:rPr>
                <w:noProof/>
                <w:webHidden/>
              </w:rPr>
              <w:fldChar w:fldCharType="separate"/>
            </w:r>
            <w:r w:rsidR="00227B46">
              <w:rPr>
                <w:noProof/>
                <w:webHidden/>
              </w:rPr>
              <w:t>16</w:t>
            </w:r>
            <w:r>
              <w:rPr>
                <w:noProof/>
                <w:webHidden/>
              </w:rPr>
              <w:fldChar w:fldCharType="end"/>
            </w:r>
          </w:hyperlink>
        </w:p>
        <w:p w:rsidR="00227B46" w:rsidRDefault="004A2AB3">
          <w:pPr>
            <w:pStyle w:val="TOC3"/>
            <w:tabs>
              <w:tab w:val="right" w:leader="underscore" w:pos="9060"/>
            </w:tabs>
            <w:rPr>
              <w:rFonts w:eastAsiaTheme="minorEastAsia"/>
              <w:i w:val="0"/>
              <w:noProof/>
              <w:lang w:val="en-GB" w:eastAsia="en-GB"/>
            </w:rPr>
          </w:pPr>
          <w:hyperlink w:anchor="_Toc362267267" w:history="1">
            <w:r w:rsidR="00227B46" w:rsidRPr="00F972AF">
              <w:rPr>
                <w:rStyle w:val="Hyperlink"/>
                <w:noProof/>
                <w:lang w:val="en-GB"/>
              </w:rPr>
              <w:t>3.2 Advantages and disadvantages of IFRS</w:t>
            </w:r>
            <w:r w:rsidR="00227B46">
              <w:rPr>
                <w:noProof/>
                <w:webHidden/>
              </w:rPr>
              <w:tab/>
            </w:r>
            <w:r>
              <w:rPr>
                <w:noProof/>
                <w:webHidden/>
              </w:rPr>
              <w:fldChar w:fldCharType="begin"/>
            </w:r>
            <w:r w:rsidR="00227B46">
              <w:rPr>
                <w:noProof/>
                <w:webHidden/>
              </w:rPr>
              <w:instrText xml:space="preserve"> PAGEREF _Toc362267267 \h </w:instrText>
            </w:r>
            <w:r>
              <w:rPr>
                <w:noProof/>
                <w:webHidden/>
              </w:rPr>
            </w:r>
            <w:r>
              <w:rPr>
                <w:noProof/>
                <w:webHidden/>
              </w:rPr>
              <w:fldChar w:fldCharType="separate"/>
            </w:r>
            <w:r w:rsidR="00227B46">
              <w:rPr>
                <w:noProof/>
                <w:webHidden/>
              </w:rPr>
              <w:t>16</w:t>
            </w:r>
            <w:r>
              <w:rPr>
                <w:noProof/>
                <w:webHidden/>
              </w:rPr>
              <w:fldChar w:fldCharType="end"/>
            </w:r>
          </w:hyperlink>
        </w:p>
        <w:p w:rsidR="00227B46" w:rsidRDefault="004A2AB3">
          <w:pPr>
            <w:pStyle w:val="TOC3"/>
            <w:tabs>
              <w:tab w:val="right" w:leader="underscore" w:pos="9060"/>
            </w:tabs>
            <w:rPr>
              <w:rFonts w:eastAsiaTheme="minorEastAsia"/>
              <w:i w:val="0"/>
              <w:noProof/>
              <w:lang w:val="en-GB" w:eastAsia="en-GB"/>
            </w:rPr>
          </w:pPr>
          <w:hyperlink w:anchor="_Toc362267268" w:history="1">
            <w:r w:rsidR="00227B46" w:rsidRPr="00F972AF">
              <w:rPr>
                <w:rStyle w:val="Hyperlink"/>
                <w:noProof/>
                <w:lang w:val="en-GB"/>
              </w:rPr>
              <w:t>3.3 Similarities and differences between Dutch GAAP and IFRS</w:t>
            </w:r>
            <w:r w:rsidR="00227B46">
              <w:rPr>
                <w:noProof/>
                <w:webHidden/>
              </w:rPr>
              <w:tab/>
            </w:r>
            <w:r>
              <w:rPr>
                <w:noProof/>
                <w:webHidden/>
              </w:rPr>
              <w:fldChar w:fldCharType="begin"/>
            </w:r>
            <w:r w:rsidR="00227B46">
              <w:rPr>
                <w:noProof/>
                <w:webHidden/>
              </w:rPr>
              <w:instrText xml:space="preserve"> PAGEREF _Toc362267268 \h </w:instrText>
            </w:r>
            <w:r>
              <w:rPr>
                <w:noProof/>
                <w:webHidden/>
              </w:rPr>
            </w:r>
            <w:r>
              <w:rPr>
                <w:noProof/>
                <w:webHidden/>
              </w:rPr>
              <w:fldChar w:fldCharType="separate"/>
            </w:r>
            <w:r w:rsidR="00227B46">
              <w:rPr>
                <w:noProof/>
                <w:webHidden/>
              </w:rPr>
              <w:t>18</w:t>
            </w:r>
            <w:r>
              <w:rPr>
                <w:noProof/>
                <w:webHidden/>
              </w:rPr>
              <w:fldChar w:fldCharType="end"/>
            </w:r>
          </w:hyperlink>
        </w:p>
        <w:p w:rsidR="00227B46" w:rsidRDefault="004A2AB3">
          <w:pPr>
            <w:pStyle w:val="TOC3"/>
            <w:tabs>
              <w:tab w:val="right" w:leader="underscore" w:pos="9060"/>
            </w:tabs>
            <w:rPr>
              <w:rFonts w:eastAsiaTheme="minorEastAsia"/>
              <w:i w:val="0"/>
              <w:noProof/>
              <w:lang w:val="en-GB" w:eastAsia="en-GB"/>
            </w:rPr>
          </w:pPr>
          <w:hyperlink w:anchor="_Toc362267269" w:history="1">
            <w:r w:rsidR="00227B46" w:rsidRPr="00F972AF">
              <w:rPr>
                <w:rStyle w:val="Hyperlink"/>
                <w:noProof/>
                <w:lang w:val="en-GB"/>
              </w:rPr>
              <w:t>3.4 Summary</w:t>
            </w:r>
            <w:r w:rsidR="00227B46">
              <w:rPr>
                <w:noProof/>
                <w:webHidden/>
              </w:rPr>
              <w:tab/>
            </w:r>
            <w:r>
              <w:rPr>
                <w:noProof/>
                <w:webHidden/>
              </w:rPr>
              <w:fldChar w:fldCharType="begin"/>
            </w:r>
            <w:r w:rsidR="00227B46">
              <w:rPr>
                <w:noProof/>
                <w:webHidden/>
              </w:rPr>
              <w:instrText xml:space="preserve"> PAGEREF _Toc362267269 \h </w:instrText>
            </w:r>
            <w:r>
              <w:rPr>
                <w:noProof/>
                <w:webHidden/>
              </w:rPr>
            </w:r>
            <w:r>
              <w:rPr>
                <w:noProof/>
                <w:webHidden/>
              </w:rPr>
              <w:fldChar w:fldCharType="separate"/>
            </w:r>
            <w:r w:rsidR="00227B46">
              <w:rPr>
                <w:noProof/>
                <w:webHidden/>
              </w:rPr>
              <w:t>18</w:t>
            </w:r>
            <w:r>
              <w:rPr>
                <w:noProof/>
                <w:webHidden/>
              </w:rPr>
              <w:fldChar w:fldCharType="end"/>
            </w:r>
          </w:hyperlink>
        </w:p>
        <w:p w:rsidR="00227B46" w:rsidRDefault="004A2AB3">
          <w:pPr>
            <w:pStyle w:val="TOC1"/>
            <w:tabs>
              <w:tab w:val="right" w:leader="underscore" w:pos="9060"/>
            </w:tabs>
            <w:rPr>
              <w:rFonts w:eastAsiaTheme="minorEastAsia"/>
              <w:b w:val="0"/>
              <w:noProof/>
              <w:lang w:val="en-GB" w:eastAsia="en-GB"/>
            </w:rPr>
          </w:pPr>
          <w:hyperlink w:anchor="_Toc362267270" w:history="1">
            <w:r w:rsidR="00227B46" w:rsidRPr="00F972AF">
              <w:rPr>
                <w:rStyle w:val="Hyperlink"/>
                <w:noProof/>
              </w:rPr>
              <w:t>4 Earnings management</w:t>
            </w:r>
            <w:r w:rsidR="00227B46">
              <w:rPr>
                <w:noProof/>
                <w:webHidden/>
              </w:rPr>
              <w:tab/>
            </w:r>
            <w:r>
              <w:rPr>
                <w:noProof/>
                <w:webHidden/>
              </w:rPr>
              <w:fldChar w:fldCharType="begin"/>
            </w:r>
            <w:r w:rsidR="00227B46">
              <w:rPr>
                <w:noProof/>
                <w:webHidden/>
              </w:rPr>
              <w:instrText xml:space="preserve"> PAGEREF _Toc362267270 \h </w:instrText>
            </w:r>
            <w:r>
              <w:rPr>
                <w:noProof/>
                <w:webHidden/>
              </w:rPr>
            </w:r>
            <w:r>
              <w:rPr>
                <w:noProof/>
                <w:webHidden/>
              </w:rPr>
              <w:fldChar w:fldCharType="separate"/>
            </w:r>
            <w:r w:rsidR="00227B46">
              <w:rPr>
                <w:noProof/>
                <w:webHidden/>
              </w:rPr>
              <w:t>19</w:t>
            </w:r>
            <w:r>
              <w:rPr>
                <w:noProof/>
                <w:webHidden/>
              </w:rPr>
              <w:fldChar w:fldCharType="end"/>
            </w:r>
          </w:hyperlink>
        </w:p>
        <w:p w:rsidR="00227B46" w:rsidRDefault="004A2AB3">
          <w:pPr>
            <w:pStyle w:val="TOC3"/>
            <w:tabs>
              <w:tab w:val="right" w:leader="underscore" w:pos="9060"/>
            </w:tabs>
            <w:rPr>
              <w:rFonts w:eastAsiaTheme="minorEastAsia"/>
              <w:i w:val="0"/>
              <w:noProof/>
              <w:lang w:val="en-GB" w:eastAsia="en-GB"/>
            </w:rPr>
          </w:pPr>
          <w:hyperlink w:anchor="_Toc362267271" w:history="1">
            <w:r w:rsidR="00227B46" w:rsidRPr="00F972AF">
              <w:rPr>
                <w:rStyle w:val="Hyperlink"/>
                <w:noProof/>
                <w:lang w:val="en-GB"/>
              </w:rPr>
              <w:t>4.1 Defining Earnings Management</w:t>
            </w:r>
            <w:r w:rsidR="00227B46">
              <w:rPr>
                <w:noProof/>
                <w:webHidden/>
              </w:rPr>
              <w:tab/>
            </w:r>
            <w:r>
              <w:rPr>
                <w:noProof/>
                <w:webHidden/>
              </w:rPr>
              <w:fldChar w:fldCharType="begin"/>
            </w:r>
            <w:r w:rsidR="00227B46">
              <w:rPr>
                <w:noProof/>
                <w:webHidden/>
              </w:rPr>
              <w:instrText xml:space="preserve"> PAGEREF _Toc362267271 \h </w:instrText>
            </w:r>
            <w:r>
              <w:rPr>
                <w:noProof/>
                <w:webHidden/>
              </w:rPr>
            </w:r>
            <w:r>
              <w:rPr>
                <w:noProof/>
                <w:webHidden/>
              </w:rPr>
              <w:fldChar w:fldCharType="separate"/>
            </w:r>
            <w:r w:rsidR="00227B46">
              <w:rPr>
                <w:noProof/>
                <w:webHidden/>
              </w:rPr>
              <w:t>19</w:t>
            </w:r>
            <w:r>
              <w:rPr>
                <w:noProof/>
                <w:webHidden/>
              </w:rPr>
              <w:fldChar w:fldCharType="end"/>
            </w:r>
          </w:hyperlink>
        </w:p>
        <w:p w:rsidR="00227B46" w:rsidRDefault="004A2AB3">
          <w:pPr>
            <w:pStyle w:val="TOC3"/>
            <w:tabs>
              <w:tab w:val="right" w:leader="underscore" w:pos="9060"/>
            </w:tabs>
            <w:rPr>
              <w:rFonts w:eastAsiaTheme="minorEastAsia"/>
              <w:i w:val="0"/>
              <w:noProof/>
              <w:lang w:val="en-GB" w:eastAsia="en-GB"/>
            </w:rPr>
          </w:pPr>
          <w:hyperlink w:anchor="_Toc362267272" w:history="1">
            <w:r w:rsidR="00227B46" w:rsidRPr="00F972AF">
              <w:rPr>
                <w:rStyle w:val="Hyperlink"/>
                <w:noProof/>
                <w:lang w:val="en-GB"/>
              </w:rPr>
              <w:t>4.2 Types of earnings management</w:t>
            </w:r>
            <w:r w:rsidR="00227B46">
              <w:rPr>
                <w:noProof/>
                <w:webHidden/>
              </w:rPr>
              <w:tab/>
            </w:r>
            <w:r>
              <w:rPr>
                <w:noProof/>
                <w:webHidden/>
              </w:rPr>
              <w:fldChar w:fldCharType="begin"/>
            </w:r>
            <w:r w:rsidR="00227B46">
              <w:rPr>
                <w:noProof/>
                <w:webHidden/>
              </w:rPr>
              <w:instrText xml:space="preserve"> PAGEREF _Toc362267272 \h </w:instrText>
            </w:r>
            <w:r>
              <w:rPr>
                <w:noProof/>
                <w:webHidden/>
              </w:rPr>
            </w:r>
            <w:r>
              <w:rPr>
                <w:noProof/>
                <w:webHidden/>
              </w:rPr>
              <w:fldChar w:fldCharType="separate"/>
            </w:r>
            <w:r w:rsidR="00227B46">
              <w:rPr>
                <w:noProof/>
                <w:webHidden/>
              </w:rPr>
              <w:t>20</w:t>
            </w:r>
            <w:r>
              <w:rPr>
                <w:noProof/>
                <w:webHidden/>
              </w:rPr>
              <w:fldChar w:fldCharType="end"/>
            </w:r>
          </w:hyperlink>
        </w:p>
        <w:p w:rsidR="00227B46" w:rsidRDefault="004A2AB3">
          <w:pPr>
            <w:pStyle w:val="TOC3"/>
            <w:tabs>
              <w:tab w:val="right" w:leader="underscore" w:pos="9060"/>
            </w:tabs>
            <w:rPr>
              <w:rFonts w:eastAsiaTheme="minorEastAsia"/>
              <w:i w:val="0"/>
              <w:noProof/>
              <w:lang w:val="en-GB" w:eastAsia="en-GB"/>
            </w:rPr>
          </w:pPr>
          <w:hyperlink w:anchor="_Toc362267273" w:history="1">
            <w:r w:rsidR="00227B46" w:rsidRPr="00F972AF">
              <w:rPr>
                <w:rStyle w:val="Hyperlink"/>
                <w:noProof/>
                <w:lang w:val="en-GB"/>
              </w:rPr>
              <w:t>4.3 Incentives for earnings management</w:t>
            </w:r>
            <w:r w:rsidR="00227B46">
              <w:rPr>
                <w:noProof/>
                <w:webHidden/>
              </w:rPr>
              <w:tab/>
            </w:r>
            <w:r>
              <w:rPr>
                <w:noProof/>
                <w:webHidden/>
              </w:rPr>
              <w:fldChar w:fldCharType="begin"/>
            </w:r>
            <w:r w:rsidR="00227B46">
              <w:rPr>
                <w:noProof/>
                <w:webHidden/>
              </w:rPr>
              <w:instrText xml:space="preserve"> PAGEREF _Toc362267273 \h </w:instrText>
            </w:r>
            <w:r>
              <w:rPr>
                <w:noProof/>
                <w:webHidden/>
              </w:rPr>
            </w:r>
            <w:r>
              <w:rPr>
                <w:noProof/>
                <w:webHidden/>
              </w:rPr>
              <w:fldChar w:fldCharType="separate"/>
            </w:r>
            <w:r w:rsidR="00227B46">
              <w:rPr>
                <w:noProof/>
                <w:webHidden/>
              </w:rPr>
              <w:t>21</w:t>
            </w:r>
            <w:r>
              <w:rPr>
                <w:noProof/>
                <w:webHidden/>
              </w:rPr>
              <w:fldChar w:fldCharType="end"/>
            </w:r>
          </w:hyperlink>
        </w:p>
        <w:p w:rsidR="00227B46" w:rsidRDefault="004A2AB3">
          <w:pPr>
            <w:pStyle w:val="TOC3"/>
            <w:tabs>
              <w:tab w:val="right" w:leader="underscore" w:pos="9060"/>
            </w:tabs>
            <w:rPr>
              <w:rFonts w:eastAsiaTheme="minorEastAsia"/>
              <w:i w:val="0"/>
              <w:noProof/>
              <w:lang w:val="en-GB" w:eastAsia="en-GB"/>
            </w:rPr>
          </w:pPr>
          <w:hyperlink w:anchor="_Toc362267274" w:history="1">
            <w:r w:rsidR="00227B46" w:rsidRPr="00F972AF">
              <w:rPr>
                <w:rStyle w:val="Hyperlink"/>
                <w:noProof/>
                <w:lang w:val="en-GB"/>
              </w:rPr>
              <w:t>4.3.1 Capital market incentives</w:t>
            </w:r>
            <w:r w:rsidR="00227B46">
              <w:rPr>
                <w:noProof/>
                <w:webHidden/>
              </w:rPr>
              <w:tab/>
            </w:r>
            <w:r>
              <w:rPr>
                <w:noProof/>
                <w:webHidden/>
              </w:rPr>
              <w:fldChar w:fldCharType="begin"/>
            </w:r>
            <w:r w:rsidR="00227B46">
              <w:rPr>
                <w:noProof/>
                <w:webHidden/>
              </w:rPr>
              <w:instrText xml:space="preserve"> PAGEREF _Toc362267274 \h </w:instrText>
            </w:r>
            <w:r>
              <w:rPr>
                <w:noProof/>
                <w:webHidden/>
              </w:rPr>
            </w:r>
            <w:r>
              <w:rPr>
                <w:noProof/>
                <w:webHidden/>
              </w:rPr>
              <w:fldChar w:fldCharType="separate"/>
            </w:r>
            <w:r w:rsidR="00227B46">
              <w:rPr>
                <w:noProof/>
                <w:webHidden/>
              </w:rPr>
              <w:t>21</w:t>
            </w:r>
            <w:r>
              <w:rPr>
                <w:noProof/>
                <w:webHidden/>
              </w:rPr>
              <w:fldChar w:fldCharType="end"/>
            </w:r>
          </w:hyperlink>
        </w:p>
        <w:p w:rsidR="00227B46" w:rsidRDefault="004A2AB3">
          <w:pPr>
            <w:pStyle w:val="TOC3"/>
            <w:tabs>
              <w:tab w:val="right" w:leader="underscore" w:pos="9060"/>
            </w:tabs>
            <w:rPr>
              <w:rFonts w:eastAsiaTheme="minorEastAsia"/>
              <w:i w:val="0"/>
              <w:noProof/>
              <w:lang w:val="en-GB" w:eastAsia="en-GB"/>
            </w:rPr>
          </w:pPr>
          <w:hyperlink w:anchor="_Toc362267275" w:history="1">
            <w:r w:rsidR="00227B46" w:rsidRPr="00F972AF">
              <w:rPr>
                <w:rStyle w:val="Hyperlink"/>
                <w:noProof/>
                <w:lang w:val="en-GB"/>
              </w:rPr>
              <w:t>4.4 Background theories and Earnings Management</w:t>
            </w:r>
            <w:r w:rsidR="00227B46">
              <w:rPr>
                <w:noProof/>
                <w:webHidden/>
              </w:rPr>
              <w:tab/>
            </w:r>
            <w:r>
              <w:rPr>
                <w:noProof/>
                <w:webHidden/>
              </w:rPr>
              <w:fldChar w:fldCharType="begin"/>
            </w:r>
            <w:r w:rsidR="00227B46">
              <w:rPr>
                <w:noProof/>
                <w:webHidden/>
              </w:rPr>
              <w:instrText xml:space="preserve"> PAGEREF _Toc362267275 \h </w:instrText>
            </w:r>
            <w:r>
              <w:rPr>
                <w:noProof/>
                <w:webHidden/>
              </w:rPr>
            </w:r>
            <w:r>
              <w:rPr>
                <w:noProof/>
                <w:webHidden/>
              </w:rPr>
              <w:fldChar w:fldCharType="separate"/>
            </w:r>
            <w:r w:rsidR="00227B46">
              <w:rPr>
                <w:noProof/>
                <w:webHidden/>
              </w:rPr>
              <w:t>22</w:t>
            </w:r>
            <w:r>
              <w:rPr>
                <w:noProof/>
                <w:webHidden/>
              </w:rPr>
              <w:fldChar w:fldCharType="end"/>
            </w:r>
          </w:hyperlink>
        </w:p>
        <w:p w:rsidR="00227B46" w:rsidRDefault="004A2AB3">
          <w:pPr>
            <w:pStyle w:val="TOC3"/>
            <w:tabs>
              <w:tab w:val="right" w:leader="underscore" w:pos="9060"/>
            </w:tabs>
            <w:rPr>
              <w:rFonts w:eastAsiaTheme="minorEastAsia"/>
              <w:i w:val="0"/>
              <w:noProof/>
              <w:lang w:val="en-GB" w:eastAsia="en-GB"/>
            </w:rPr>
          </w:pPr>
          <w:hyperlink w:anchor="_Toc362267276" w:history="1">
            <w:r w:rsidR="00227B46" w:rsidRPr="00F972AF">
              <w:rPr>
                <w:rStyle w:val="Hyperlink"/>
                <w:noProof/>
                <w:lang w:val="en-GB"/>
              </w:rPr>
              <w:t>4.5 Summary</w:t>
            </w:r>
            <w:r w:rsidR="00227B46">
              <w:rPr>
                <w:noProof/>
                <w:webHidden/>
              </w:rPr>
              <w:tab/>
            </w:r>
            <w:r>
              <w:rPr>
                <w:noProof/>
                <w:webHidden/>
              </w:rPr>
              <w:fldChar w:fldCharType="begin"/>
            </w:r>
            <w:r w:rsidR="00227B46">
              <w:rPr>
                <w:noProof/>
                <w:webHidden/>
              </w:rPr>
              <w:instrText xml:space="preserve"> PAGEREF _Toc362267276 \h </w:instrText>
            </w:r>
            <w:r>
              <w:rPr>
                <w:noProof/>
                <w:webHidden/>
              </w:rPr>
            </w:r>
            <w:r>
              <w:rPr>
                <w:noProof/>
                <w:webHidden/>
              </w:rPr>
              <w:fldChar w:fldCharType="separate"/>
            </w:r>
            <w:r w:rsidR="00227B46">
              <w:rPr>
                <w:noProof/>
                <w:webHidden/>
              </w:rPr>
              <w:t>23</w:t>
            </w:r>
            <w:r>
              <w:rPr>
                <w:noProof/>
                <w:webHidden/>
              </w:rPr>
              <w:fldChar w:fldCharType="end"/>
            </w:r>
          </w:hyperlink>
        </w:p>
        <w:p w:rsidR="00227B46" w:rsidRDefault="004A2AB3">
          <w:pPr>
            <w:pStyle w:val="TOC1"/>
            <w:tabs>
              <w:tab w:val="right" w:leader="underscore" w:pos="9060"/>
            </w:tabs>
            <w:rPr>
              <w:rFonts w:eastAsiaTheme="minorEastAsia"/>
              <w:b w:val="0"/>
              <w:noProof/>
              <w:lang w:val="en-GB" w:eastAsia="en-GB"/>
            </w:rPr>
          </w:pPr>
          <w:hyperlink w:anchor="_Toc362267277" w:history="1">
            <w:r w:rsidR="00227B46" w:rsidRPr="00F972AF">
              <w:rPr>
                <w:rStyle w:val="Hyperlink"/>
                <w:noProof/>
              </w:rPr>
              <w:t>5 Measuring earnings management</w:t>
            </w:r>
            <w:r w:rsidR="00227B46">
              <w:rPr>
                <w:noProof/>
                <w:webHidden/>
              </w:rPr>
              <w:tab/>
            </w:r>
            <w:r>
              <w:rPr>
                <w:noProof/>
                <w:webHidden/>
              </w:rPr>
              <w:fldChar w:fldCharType="begin"/>
            </w:r>
            <w:r w:rsidR="00227B46">
              <w:rPr>
                <w:noProof/>
                <w:webHidden/>
              </w:rPr>
              <w:instrText xml:space="preserve"> PAGEREF _Toc362267277 \h </w:instrText>
            </w:r>
            <w:r>
              <w:rPr>
                <w:noProof/>
                <w:webHidden/>
              </w:rPr>
            </w:r>
            <w:r>
              <w:rPr>
                <w:noProof/>
                <w:webHidden/>
              </w:rPr>
              <w:fldChar w:fldCharType="separate"/>
            </w:r>
            <w:r w:rsidR="00227B46">
              <w:rPr>
                <w:noProof/>
                <w:webHidden/>
              </w:rPr>
              <w:t>24</w:t>
            </w:r>
            <w:r>
              <w:rPr>
                <w:noProof/>
                <w:webHidden/>
              </w:rPr>
              <w:fldChar w:fldCharType="end"/>
            </w:r>
          </w:hyperlink>
        </w:p>
        <w:p w:rsidR="00227B46" w:rsidRDefault="004A2AB3">
          <w:pPr>
            <w:pStyle w:val="TOC3"/>
            <w:tabs>
              <w:tab w:val="right" w:leader="underscore" w:pos="9060"/>
            </w:tabs>
            <w:rPr>
              <w:rFonts w:eastAsiaTheme="minorEastAsia"/>
              <w:i w:val="0"/>
              <w:noProof/>
              <w:lang w:val="en-GB" w:eastAsia="en-GB"/>
            </w:rPr>
          </w:pPr>
          <w:hyperlink w:anchor="_Toc362267278" w:history="1">
            <w:r w:rsidR="00227B46" w:rsidRPr="00F972AF">
              <w:rPr>
                <w:rStyle w:val="Hyperlink"/>
                <w:noProof/>
                <w:lang w:val="en-GB"/>
              </w:rPr>
              <w:t>5.1 Accruals</w:t>
            </w:r>
            <w:r w:rsidR="00227B46">
              <w:rPr>
                <w:noProof/>
                <w:webHidden/>
              </w:rPr>
              <w:tab/>
            </w:r>
            <w:r>
              <w:rPr>
                <w:noProof/>
                <w:webHidden/>
              </w:rPr>
              <w:fldChar w:fldCharType="begin"/>
            </w:r>
            <w:r w:rsidR="00227B46">
              <w:rPr>
                <w:noProof/>
                <w:webHidden/>
              </w:rPr>
              <w:instrText xml:space="preserve"> PAGEREF _Toc362267278 \h </w:instrText>
            </w:r>
            <w:r>
              <w:rPr>
                <w:noProof/>
                <w:webHidden/>
              </w:rPr>
            </w:r>
            <w:r>
              <w:rPr>
                <w:noProof/>
                <w:webHidden/>
              </w:rPr>
              <w:fldChar w:fldCharType="separate"/>
            </w:r>
            <w:r w:rsidR="00227B46">
              <w:rPr>
                <w:noProof/>
                <w:webHidden/>
              </w:rPr>
              <w:t>24</w:t>
            </w:r>
            <w:r>
              <w:rPr>
                <w:noProof/>
                <w:webHidden/>
              </w:rPr>
              <w:fldChar w:fldCharType="end"/>
            </w:r>
          </w:hyperlink>
        </w:p>
        <w:p w:rsidR="00227B46" w:rsidRDefault="004A2AB3">
          <w:pPr>
            <w:pStyle w:val="TOC3"/>
            <w:tabs>
              <w:tab w:val="right" w:leader="underscore" w:pos="9060"/>
            </w:tabs>
            <w:rPr>
              <w:rFonts w:eastAsiaTheme="minorEastAsia"/>
              <w:i w:val="0"/>
              <w:noProof/>
              <w:lang w:val="en-GB" w:eastAsia="en-GB"/>
            </w:rPr>
          </w:pPr>
          <w:hyperlink w:anchor="_Toc362267279" w:history="1">
            <w:r w:rsidR="00227B46" w:rsidRPr="00F972AF">
              <w:rPr>
                <w:rStyle w:val="Hyperlink"/>
                <w:noProof/>
                <w:lang w:val="en-GB"/>
              </w:rPr>
              <w:t>5.2 Discretionary and nondiscretionary accruals</w:t>
            </w:r>
            <w:r w:rsidR="00227B46">
              <w:rPr>
                <w:noProof/>
                <w:webHidden/>
              </w:rPr>
              <w:tab/>
            </w:r>
            <w:r>
              <w:rPr>
                <w:noProof/>
                <w:webHidden/>
              </w:rPr>
              <w:fldChar w:fldCharType="begin"/>
            </w:r>
            <w:r w:rsidR="00227B46">
              <w:rPr>
                <w:noProof/>
                <w:webHidden/>
              </w:rPr>
              <w:instrText xml:space="preserve"> PAGEREF _Toc362267279 \h </w:instrText>
            </w:r>
            <w:r>
              <w:rPr>
                <w:noProof/>
                <w:webHidden/>
              </w:rPr>
            </w:r>
            <w:r>
              <w:rPr>
                <w:noProof/>
                <w:webHidden/>
              </w:rPr>
              <w:fldChar w:fldCharType="separate"/>
            </w:r>
            <w:r w:rsidR="00227B46">
              <w:rPr>
                <w:noProof/>
                <w:webHidden/>
              </w:rPr>
              <w:t>25</w:t>
            </w:r>
            <w:r>
              <w:rPr>
                <w:noProof/>
                <w:webHidden/>
              </w:rPr>
              <w:fldChar w:fldCharType="end"/>
            </w:r>
          </w:hyperlink>
        </w:p>
        <w:p w:rsidR="00227B46" w:rsidRDefault="004A2AB3">
          <w:pPr>
            <w:pStyle w:val="TOC3"/>
            <w:tabs>
              <w:tab w:val="right" w:leader="underscore" w:pos="9060"/>
            </w:tabs>
            <w:rPr>
              <w:rFonts w:eastAsiaTheme="minorEastAsia"/>
              <w:i w:val="0"/>
              <w:noProof/>
              <w:lang w:val="en-GB" w:eastAsia="en-GB"/>
            </w:rPr>
          </w:pPr>
          <w:hyperlink w:anchor="_Toc362267280" w:history="1">
            <w:r w:rsidR="00227B46" w:rsidRPr="00F972AF">
              <w:rPr>
                <w:rStyle w:val="Hyperlink"/>
                <w:noProof/>
                <w:lang w:val="en-GB"/>
              </w:rPr>
              <w:t>5.3 Models to detect the use of earnings management</w:t>
            </w:r>
            <w:r w:rsidR="00227B46">
              <w:rPr>
                <w:noProof/>
                <w:webHidden/>
              </w:rPr>
              <w:tab/>
            </w:r>
            <w:r>
              <w:rPr>
                <w:noProof/>
                <w:webHidden/>
              </w:rPr>
              <w:fldChar w:fldCharType="begin"/>
            </w:r>
            <w:r w:rsidR="00227B46">
              <w:rPr>
                <w:noProof/>
                <w:webHidden/>
              </w:rPr>
              <w:instrText xml:space="preserve"> PAGEREF _Toc362267280 \h </w:instrText>
            </w:r>
            <w:r>
              <w:rPr>
                <w:noProof/>
                <w:webHidden/>
              </w:rPr>
            </w:r>
            <w:r>
              <w:rPr>
                <w:noProof/>
                <w:webHidden/>
              </w:rPr>
              <w:fldChar w:fldCharType="separate"/>
            </w:r>
            <w:r w:rsidR="00227B46">
              <w:rPr>
                <w:noProof/>
                <w:webHidden/>
              </w:rPr>
              <w:t>26</w:t>
            </w:r>
            <w:r>
              <w:rPr>
                <w:noProof/>
                <w:webHidden/>
              </w:rPr>
              <w:fldChar w:fldCharType="end"/>
            </w:r>
          </w:hyperlink>
        </w:p>
        <w:p w:rsidR="00227B46" w:rsidRDefault="004A2AB3">
          <w:pPr>
            <w:pStyle w:val="TOC3"/>
            <w:tabs>
              <w:tab w:val="right" w:leader="underscore" w:pos="9060"/>
            </w:tabs>
            <w:rPr>
              <w:rFonts w:eastAsiaTheme="minorEastAsia"/>
              <w:i w:val="0"/>
              <w:noProof/>
              <w:lang w:val="en-GB" w:eastAsia="en-GB"/>
            </w:rPr>
          </w:pPr>
          <w:hyperlink w:anchor="_Toc362267281" w:history="1">
            <w:r w:rsidR="00227B46" w:rsidRPr="00F972AF">
              <w:rPr>
                <w:rStyle w:val="Hyperlink"/>
                <w:noProof/>
                <w:lang w:val="en-GB"/>
              </w:rPr>
              <w:t>5.4 The Healy model</w:t>
            </w:r>
            <w:r w:rsidR="00227B46">
              <w:rPr>
                <w:noProof/>
                <w:webHidden/>
              </w:rPr>
              <w:tab/>
            </w:r>
            <w:r>
              <w:rPr>
                <w:noProof/>
                <w:webHidden/>
              </w:rPr>
              <w:fldChar w:fldCharType="begin"/>
            </w:r>
            <w:r w:rsidR="00227B46">
              <w:rPr>
                <w:noProof/>
                <w:webHidden/>
              </w:rPr>
              <w:instrText xml:space="preserve"> PAGEREF _Toc362267281 \h </w:instrText>
            </w:r>
            <w:r>
              <w:rPr>
                <w:noProof/>
                <w:webHidden/>
              </w:rPr>
            </w:r>
            <w:r>
              <w:rPr>
                <w:noProof/>
                <w:webHidden/>
              </w:rPr>
              <w:fldChar w:fldCharType="separate"/>
            </w:r>
            <w:r w:rsidR="00227B46">
              <w:rPr>
                <w:noProof/>
                <w:webHidden/>
              </w:rPr>
              <w:t>27</w:t>
            </w:r>
            <w:r>
              <w:rPr>
                <w:noProof/>
                <w:webHidden/>
              </w:rPr>
              <w:fldChar w:fldCharType="end"/>
            </w:r>
          </w:hyperlink>
        </w:p>
        <w:p w:rsidR="00227B46" w:rsidRDefault="004A2AB3">
          <w:pPr>
            <w:pStyle w:val="TOC3"/>
            <w:tabs>
              <w:tab w:val="right" w:leader="underscore" w:pos="9060"/>
            </w:tabs>
            <w:rPr>
              <w:rFonts w:eastAsiaTheme="minorEastAsia"/>
              <w:i w:val="0"/>
              <w:noProof/>
              <w:lang w:val="en-GB" w:eastAsia="en-GB"/>
            </w:rPr>
          </w:pPr>
          <w:hyperlink w:anchor="_Toc362267282" w:history="1">
            <w:r w:rsidR="00227B46" w:rsidRPr="00F972AF">
              <w:rPr>
                <w:rStyle w:val="Hyperlink"/>
                <w:noProof/>
                <w:lang w:val="en-GB"/>
              </w:rPr>
              <w:t>5.5 DeAngelo model</w:t>
            </w:r>
            <w:r w:rsidR="00227B46">
              <w:rPr>
                <w:noProof/>
                <w:webHidden/>
              </w:rPr>
              <w:tab/>
            </w:r>
            <w:r>
              <w:rPr>
                <w:noProof/>
                <w:webHidden/>
              </w:rPr>
              <w:fldChar w:fldCharType="begin"/>
            </w:r>
            <w:r w:rsidR="00227B46">
              <w:rPr>
                <w:noProof/>
                <w:webHidden/>
              </w:rPr>
              <w:instrText xml:space="preserve"> PAGEREF _Toc362267282 \h </w:instrText>
            </w:r>
            <w:r>
              <w:rPr>
                <w:noProof/>
                <w:webHidden/>
              </w:rPr>
            </w:r>
            <w:r>
              <w:rPr>
                <w:noProof/>
                <w:webHidden/>
              </w:rPr>
              <w:fldChar w:fldCharType="separate"/>
            </w:r>
            <w:r w:rsidR="00227B46">
              <w:rPr>
                <w:noProof/>
                <w:webHidden/>
              </w:rPr>
              <w:t>28</w:t>
            </w:r>
            <w:r>
              <w:rPr>
                <w:noProof/>
                <w:webHidden/>
              </w:rPr>
              <w:fldChar w:fldCharType="end"/>
            </w:r>
          </w:hyperlink>
        </w:p>
        <w:p w:rsidR="00227B46" w:rsidRDefault="004A2AB3">
          <w:pPr>
            <w:pStyle w:val="TOC3"/>
            <w:tabs>
              <w:tab w:val="right" w:leader="underscore" w:pos="9060"/>
            </w:tabs>
            <w:rPr>
              <w:rFonts w:eastAsiaTheme="minorEastAsia"/>
              <w:i w:val="0"/>
              <w:noProof/>
              <w:lang w:val="en-GB" w:eastAsia="en-GB"/>
            </w:rPr>
          </w:pPr>
          <w:hyperlink w:anchor="_Toc362267283" w:history="1">
            <w:r w:rsidR="00227B46" w:rsidRPr="00F972AF">
              <w:rPr>
                <w:rStyle w:val="Hyperlink"/>
                <w:noProof/>
                <w:lang w:val="en-GB"/>
              </w:rPr>
              <w:t>5.6 Jones-model</w:t>
            </w:r>
            <w:r w:rsidR="00227B46">
              <w:rPr>
                <w:noProof/>
                <w:webHidden/>
              </w:rPr>
              <w:tab/>
            </w:r>
            <w:r>
              <w:rPr>
                <w:noProof/>
                <w:webHidden/>
              </w:rPr>
              <w:fldChar w:fldCharType="begin"/>
            </w:r>
            <w:r w:rsidR="00227B46">
              <w:rPr>
                <w:noProof/>
                <w:webHidden/>
              </w:rPr>
              <w:instrText xml:space="preserve"> PAGEREF _Toc362267283 \h </w:instrText>
            </w:r>
            <w:r>
              <w:rPr>
                <w:noProof/>
                <w:webHidden/>
              </w:rPr>
            </w:r>
            <w:r>
              <w:rPr>
                <w:noProof/>
                <w:webHidden/>
              </w:rPr>
              <w:fldChar w:fldCharType="separate"/>
            </w:r>
            <w:r w:rsidR="00227B46">
              <w:rPr>
                <w:noProof/>
                <w:webHidden/>
              </w:rPr>
              <w:t>29</w:t>
            </w:r>
            <w:r>
              <w:rPr>
                <w:noProof/>
                <w:webHidden/>
              </w:rPr>
              <w:fldChar w:fldCharType="end"/>
            </w:r>
          </w:hyperlink>
        </w:p>
        <w:p w:rsidR="00227B46" w:rsidRDefault="004A2AB3">
          <w:pPr>
            <w:pStyle w:val="TOC3"/>
            <w:tabs>
              <w:tab w:val="right" w:leader="underscore" w:pos="9060"/>
            </w:tabs>
            <w:rPr>
              <w:rFonts w:eastAsiaTheme="minorEastAsia"/>
              <w:i w:val="0"/>
              <w:noProof/>
              <w:lang w:val="en-GB" w:eastAsia="en-GB"/>
            </w:rPr>
          </w:pPr>
          <w:hyperlink w:anchor="_Toc362267284" w:history="1">
            <w:r w:rsidR="00227B46" w:rsidRPr="00F972AF">
              <w:rPr>
                <w:rStyle w:val="Hyperlink"/>
                <w:noProof/>
                <w:lang w:val="en-GB"/>
              </w:rPr>
              <w:t>5.7 Modified Jones model</w:t>
            </w:r>
            <w:r w:rsidR="00227B46">
              <w:rPr>
                <w:noProof/>
                <w:webHidden/>
              </w:rPr>
              <w:tab/>
            </w:r>
            <w:r>
              <w:rPr>
                <w:noProof/>
                <w:webHidden/>
              </w:rPr>
              <w:fldChar w:fldCharType="begin"/>
            </w:r>
            <w:r w:rsidR="00227B46">
              <w:rPr>
                <w:noProof/>
                <w:webHidden/>
              </w:rPr>
              <w:instrText xml:space="preserve"> PAGEREF _Toc362267284 \h </w:instrText>
            </w:r>
            <w:r>
              <w:rPr>
                <w:noProof/>
                <w:webHidden/>
              </w:rPr>
            </w:r>
            <w:r>
              <w:rPr>
                <w:noProof/>
                <w:webHidden/>
              </w:rPr>
              <w:fldChar w:fldCharType="separate"/>
            </w:r>
            <w:r w:rsidR="00227B46">
              <w:rPr>
                <w:noProof/>
                <w:webHidden/>
              </w:rPr>
              <w:t>30</w:t>
            </w:r>
            <w:r>
              <w:rPr>
                <w:noProof/>
                <w:webHidden/>
              </w:rPr>
              <w:fldChar w:fldCharType="end"/>
            </w:r>
          </w:hyperlink>
        </w:p>
        <w:p w:rsidR="00227B46" w:rsidRDefault="004A2AB3">
          <w:pPr>
            <w:pStyle w:val="TOC3"/>
            <w:tabs>
              <w:tab w:val="right" w:leader="underscore" w:pos="9060"/>
            </w:tabs>
            <w:rPr>
              <w:rFonts w:eastAsiaTheme="minorEastAsia"/>
              <w:i w:val="0"/>
              <w:noProof/>
              <w:lang w:val="en-GB" w:eastAsia="en-GB"/>
            </w:rPr>
          </w:pPr>
          <w:hyperlink w:anchor="_Toc362267285" w:history="1">
            <w:r w:rsidR="00227B46" w:rsidRPr="00F972AF">
              <w:rPr>
                <w:rStyle w:val="Hyperlink"/>
                <w:noProof/>
                <w:lang w:val="en-GB"/>
              </w:rPr>
              <w:t>5.8 Cross sectional and time series analysis</w:t>
            </w:r>
            <w:r w:rsidR="00227B46">
              <w:rPr>
                <w:noProof/>
                <w:webHidden/>
              </w:rPr>
              <w:tab/>
            </w:r>
            <w:r>
              <w:rPr>
                <w:noProof/>
                <w:webHidden/>
              </w:rPr>
              <w:fldChar w:fldCharType="begin"/>
            </w:r>
            <w:r w:rsidR="00227B46">
              <w:rPr>
                <w:noProof/>
                <w:webHidden/>
              </w:rPr>
              <w:instrText xml:space="preserve"> PAGEREF _Toc362267285 \h </w:instrText>
            </w:r>
            <w:r>
              <w:rPr>
                <w:noProof/>
                <w:webHidden/>
              </w:rPr>
            </w:r>
            <w:r>
              <w:rPr>
                <w:noProof/>
                <w:webHidden/>
              </w:rPr>
              <w:fldChar w:fldCharType="separate"/>
            </w:r>
            <w:r w:rsidR="00227B46">
              <w:rPr>
                <w:noProof/>
                <w:webHidden/>
              </w:rPr>
              <w:t>32</w:t>
            </w:r>
            <w:r>
              <w:rPr>
                <w:noProof/>
                <w:webHidden/>
              </w:rPr>
              <w:fldChar w:fldCharType="end"/>
            </w:r>
          </w:hyperlink>
        </w:p>
        <w:p w:rsidR="00227B46" w:rsidRDefault="004A2AB3">
          <w:pPr>
            <w:pStyle w:val="TOC3"/>
            <w:tabs>
              <w:tab w:val="right" w:leader="underscore" w:pos="9060"/>
            </w:tabs>
            <w:rPr>
              <w:rFonts w:eastAsiaTheme="minorEastAsia"/>
              <w:i w:val="0"/>
              <w:noProof/>
              <w:lang w:val="en-GB" w:eastAsia="en-GB"/>
            </w:rPr>
          </w:pPr>
          <w:hyperlink w:anchor="_Toc362267286" w:history="1">
            <w:r w:rsidR="00227B46" w:rsidRPr="00F972AF">
              <w:rPr>
                <w:rStyle w:val="Hyperlink"/>
                <w:noProof/>
                <w:lang w:val="en-GB"/>
              </w:rPr>
              <w:t>5.9 Explanatory power of the models</w:t>
            </w:r>
            <w:r w:rsidR="00227B46">
              <w:rPr>
                <w:noProof/>
                <w:webHidden/>
              </w:rPr>
              <w:tab/>
            </w:r>
            <w:r>
              <w:rPr>
                <w:noProof/>
                <w:webHidden/>
              </w:rPr>
              <w:fldChar w:fldCharType="begin"/>
            </w:r>
            <w:r w:rsidR="00227B46">
              <w:rPr>
                <w:noProof/>
                <w:webHidden/>
              </w:rPr>
              <w:instrText xml:space="preserve"> PAGEREF _Toc362267286 \h </w:instrText>
            </w:r>
            <w:r>
              <w:rPr>
                <w:noProof/>
                <w:webHidden/>
              </w:rPr>
            </w:r>
            <w:r>
              <w:rPr>
                <w:noProof/>
                <w:webHidden/>
              </w:rPr>
              <w:fldChar w:fldCharType="separate"/>
            </w:r>
            <w:r w:rsidR="00227B46">
              <w:rPr>
                <w:noProof/>
                <w:webHidden/>
              </w:rPr>
              <w:t>32</w:t>
            </w:r>
            <w:r>
              <w:rPr>
                <w:noProof/>
                <w:webHidden/>
              </w:rPr>
              <w:fldChar w:fldCharType="end"/>
            </w:r>
          </w:hyperlink>
        </w:p>
        <w:p w:rsidR="00227B46" w:rsidRDefault="004A2AB3">
          <w:pPr>
            <w:pStyle w:val="TOC3"/>
            <w:tabs>
              <w:tab w:val="right" w:leader="underscore" w:pos="9060"/>
            </w:tabs>
            <w:rPr>
              <w:rFonts w:eastAsiaTheme="minorEastAsia"/>
              <w:i w:val="0"/>
              <w:noProof/>
              <w:lang w:val="en-GB" w:eastAsia="en-GB"/>
            </w:rPr>
          </w:pPr>
          <w:hyperlink w:anchor="_Toc362267287" w:history="1">
            <w:r w:rsidR="00227B46" w:rsidRPr="00F972AF">
              <w:rPr>
                <w:rStyle w:val="Hyperlink"/>
                <w:noProof/>
                <w:lang w:val="en-GB"/>
              </w:rPr>
              <w:t>5.10 Summary</w:t>
            </w:r>
            <w:r w:rsidR="00227B46">
              <w:rPr>
                <w:noProof/>
                <w:webHidden/>
              </w:rPr>
              <w:tab/>
            </w:r>
            <w:r>
              <w:rPr>
                <w:noProof/>
                <w:webHidden/>
              </w:rPr>
              <w:fldChar w:fldCharType="begin"/>
            </w:r>
            <w:r w:rsidR="00227B46">
              <w:rPr>
                <w:noProof/>
                <w:webHidden/>
              </w:rPr>
              <w:instrText xml:space="preserve"> PAGEREF _Toc362267287 \h </w:instrText>
            </w:r>
            <w:r>
              <w:rPr>
                <w:noProof/>
                <w:webHidden/>
              </w:rPr>
            </w:r>
            <w:r>
              <w:rPr>
                <w:noProof/>
                <w:webHidden/>
              </w:rPr>
              <w:fldChar w:fldCharType="separate"/>
            </w:r>
            <w:r w:rsidR="00227B46">
              <w:rPr>
                <w:noProof/>
                <w:webHidden/>
              </w:rPr>
              <w:t>33</w:t>
            </w:r>
            <w:r>
              <w:rPr>
                <w:noProof/>
                <w:webHidden/>
              </w:rPr>
              <w:fldChar w:fldCharType="end"/>
            </w:r>
          </w:hyperlink>
        </w:p>
        <w:p w:rsidR="00227B46" w:rsidRDefault="004A2AB3">
          <w:pPr>
            <w:pStyle w:val="TOC1"/>
            <w:tabs>
              <w:tab w:val="right" w:leader="underscore" w:pos="9060"/>
            </w:tabs>
            <w:rPr>
              <w:rFonts w:eastAsiaTheme="minorEastAsia"/>
              <w:b w:val="0"/>
              <w:noProof/>
              <w:lang w:val="en-GB" w:eastAsia="en-GB"/>
            </w:rPr>
          </w:pPr>
          <w:hyperlink w:anchor="_Toc362267288" w:history="1">
            <w:r w:rsidR="00227B46" w:rsidRPr="00F972AF">
              <w:rPr>
                <w:rStyle w:val="Hyperlink"/>
                <w:noProof/>
              </w:rPr>
              <w:t>6 Prior research</w:t>
            </w:r>
            <w:r w:rsidR="00227B46">
              <w:rPr>
                <w:noProof/>
                <w:webHidden/>
              </w:rPr>
              <w:tab/>
            </w:r>
            <w:r>
              <w:rPr>
                <w:noProof/>
                <w:webHidden/>
              </w:rPr>
              <w:fldChar w:fldCharType="begin"/>
            </w:r>
            <w:r w:rsidR="00227B46">
              <w:rPr>
                <w:noProof/>
                <w:webHidden/>
              </w:rPr>
              <w:instrText xml:space="preserve"> PAGEREF _Toc362267288 \h </w:instrText>
            </w:r>
            <w:r>
              <w:rPr>
                <w:noProof/>
                <w:webHidden/>
              </w:rPr>
            </w:r>
            <w:r>
              <w:rPr>
                <w:noProof/>
                <w:webHidden/>
              </w:rPr>
              <w:fldChar w:fldCharType="separate"/>
            </w:r>
            <w:r w:rsidR="00227B46">
              <w:rPr>
                <w:noProof/>
                <w:webHidden/>
              </w:rPr>
              <w:t>34</w:t>
            </w:r>
            <w:r>
              <w:rPr>
                <w:noProof/>
                <w:webHidden/>
              </w:rPr>
              <w:fldChar w:fldCharType="end"/>
            </w:r>
          </w:hyperlink>
        </w:p>
        <w:p w:rsidR="00227B46" w:rsidRDefault="004A2AB3">
          <w:pPr>
            <w:pStyle w:val="TOC3"/>
            <w:tabs>
              <w:tab w:val="right" w:leader="underscore" w:pos="9060"/>
            </w:tabs>
            <w:rPr>
              <w:rFonts w:eastAsiaTheme="minorEastAsia"/>
              <w:i w:val="0"/>
              <w:noProof/>
              <w:lang w:val="en-GB" w:eastAsia="en-GB"/>
            </w:rPr>
          </w:pPr>
          <w:hyperlink w:anchor="_Toc362267289" w:history="1">
            <w:r w:rsidR="00227B46" w:rsidRPr="00F972AF">
              <w:rPr>
                <w:rStyle w:val="Hyperlink"/>
                <w:noProof/>
                <w:lang w:val="en-GB"/>
              </w:rPr>
              <w:t>6.1 Decrease in earnings management</w:t>
            </w:r>
            <w:r w:rsidR="00227B46">
              <w:rPr>
                <w:noProof/>
                <w:webHidden/>
              </w:rPr>
              <w:tab/>
            </w:r>
            <w:r>
              <w:rPr>
                <w:noProof/>
                <w:webHidden/>
              </w:rPr>
              <w:fldChar w:fldCharType="begin"/>
            </w:r>
            <w:r w:rsidR="00227B46">
              <w:rPr>
                <w:noProof/>
                <w:webHidden/>
              </w:rPr>
              <w:instrText xml:space="preserve"> PAGEREF _Toc362267289 \h </w:instrText>
            </w:r>
            <w:r>
              <w:rPr>
                <w:noProof/>
                <w:webHidden/>
              </w:rPr>
            </w:r>
            <w:r>
              <w:rPr>
                <w:noProof/>
                <w:webHidden/>
              </w:rPr>
              <w:fldChar w:fldCharType="separate"/>
            </w:r>
            <w:r w:rsidR="00227B46">
              <w:rPr>
                <w:noProof/>
                <w:webHidden/>
              </w:rPr>
              <w:t>34</w:t>
            </w:r>
            <w:r>
              <w:rPr>
                <w:noProof/>
                <w:webHidden/>
              </w:rPr>
              <w:fldChar w:fldCharType="end"/>
            </w:r>
          </w:hyperlink>
        </w:p>
        <w:p w:rsidR="00227B46" w:rsidRDefault="004A2AB3">
          <w:pPr>
            <w:pStyle w:val="TOC3"/>
            <w:tabs>
              <w:tab w:val="right" w:leader="underscore" w:pos="9060"/>
            </w:tabs>
            <w:rPr>
              <w:rFonts w:eastAsiaTheme="minorEastAsia"/>
              <w:i w:val="0"/>
              <w:noProof/>
              <w:lang w:val="en-GB" w:eastAsia="en-GB"/>
            </w:rPr>
          </w:pPr>
          <w:hyperlink w:anchor="_Toc362267290" w:history="1">
            <w:r w:rsidR="00227B46" w:rsidRPr="00F972AF">
              <w:rPr>
                <w:rStyle w:val="Hyperlink"/>
                <w:noProof/>
                <w:lang w:val="en-GB"/>
              </w:rPr>
              <w:t>6.2 No decrease in earnings management</w:t>
            </w:r>
            <w:r w:rsidR="00227B46">
              <w:rPr>
                <w:noProof/>
                <w:webHidden/>
              </w:rPr>
              <w:tab/>
            </w:r>
            <w:r>
              <w:rPr>
                <w:noProof/>
                <w:webHidden/>
              </w:rPr>
              <w:fldChar w:fldCharType="begin"/>
            </w:r>
            <w:r w:rsidR="00227B46">
              <w:rPr>
                <w:noProof/>
                <w:webHidden/>
              </w:rPr>
              <w:instrText xml:space="preserve"> PAGEREF _Toc362267290 \h </w:instrText>
            </w:r>
            <w:r>
              <w:rPr>
                <w:noProof/>
                <w:webHidden/>
              </w:rPr>
            </w:r>
            <w:r>
              <w:rPr>
                <w:noProof/>
                <w:webHidden/>
              </w:rPr>
              <w:fldChar w:fldCharType="separate"/>
            </w:r>
            <w:r w:rsidR="00227B46">
              <w:rPr>
                <w:noProof/>
                <w:webHidden/>
              </w:rPr>
              <w:t>37</w:t>
            </w:r>
            <w:r>
              <w:rPr>
                <w:noProof/>
                <w:webHidden/>
              </w:rPr>
              <w:fldChar w:fldCharType="end"/>
            </w:r>
          </w:hyperlink>
        </w:p>
        <w:p w:rsidR="00227B46" w:rsidRDefault="004A2AB3">
          <w:pPr>
            <w:pStyle w:val="TOC3"/>
            <w:tabs>
              <w:tab w:val="right" w:leader="underscore" w:pos="9060"/>
            </w:tabs>
            <w:rPr>
              <w:rFonts w:eastAsiaTheme="minorEastAsia"/>
              <w:i w:val="0"/>
              <w:noProof/>
              <w:lang w:val="en-GB" w:eastAsia="en-GB"/>
            </w:rPr>
          </w:pPr>
          <w:hyperlink w:anchor="_Toc362267291" w:history="1">
            <w:r w:rsidR="00227B46" w:rsidRPr="00F972AF">
              <w:rPr>
                <w:rStyle w:val="Hyperlink"/>
                <w:noProof/>
                <w:lang w:val="en-GB"/>
              </w:rPr>
              <w:t>6.2.1 Tendeloo and Vanstraelen</w:t>
            </w:r>
            <w:r w:rsidR="00227B46">
              <w:rPr>
                <w:noProof/>
                <w:webHidden/>
              </w:rPr>
              <w:tab/>
            </w:r>
            <w:r>
              <w:rPr>
                <w:noProof/>
                <w:webHidden/>
              </w:rPr>
              <w:fldChar w:fldCharType="begin"/>
            </w:r>
            <w:r w:rsidR="00227B46">
              <w:rPr>
                <w:noProof/>
                <w:webHidden/>
              </w:rPr>
              <w:instrText xml:space="preserve"> PAGEREF _Toc362267291 \h </w:instrText>
            </w:r>
            <w:r>
              <w:rPr>
                <w:noProof/>
                <w:webHidden/>
              </w:rPr>
            </w:r>
            <w:r>
              <w:rPr>
                <w:noProof/>
                <w:webHidden/>
              </w:rPr>
              <w:fldChar w:fldCharType="separate"/>
            </w:r>
            <w:r w:rsidR="00227B46">
              <w:rPr>
                <w:noProof/>
                <w:webHidden/>
              </w:rPr>
              <w:t>37</w:t>
            </w:r>
            <w:r>
              <w:rPr>
                <w:noProof/>
                <w:webHidden/>
              </w:rPr>
              <w:fldChar w:fldCharType="end"/>
            </w:r>
          </w:hyperlink>
        </w:p>
        <w:p w:rsidR="00227B46" w:rsidRDefault="004A2AB3">
          <w:pPr>
            <w:pStyle w:val="TOC3"/>
            <w:tabs>
              <w:tab w:val="right" w:leader="underscore" w:pos="9060"/>
            </w:tabs>
            <w:rPr>
              <w:rFonts w:eastAsiaTheme="minorEastAsia"/>
              <w:i w:val="0"/>
              <w:noProof/>
              <w:lang w:val="en-GB" w:eastAsia="en-GB"/>
            </w:rPr>
          </w:pPr>
          <w:hyperlink w:anchor="_Toc362267292" w:history="1">
            <w:r w:rsidR="00227B46" w:rsidRPr="00F972AF">
              <w:rPr>
                <w:rStyle w:val="Hyperlink"/>
                <w:noProof/>
                <w:lang w:val="en-GB"/>
              </w:rPr>
              <w:t>6.2.2 Christensen, Lee and Walker (2008)</w:t>
            </w:r>
            <w:r w:rsidR="00227B46">
              <w:rPr>
                <w:noProof/>
                <w:webHidden/>
              </w:rPr>
              <w:tab/>
            </w:r>
            <w:r>
              <w:rPr>
                <w:noProof/>
                <w:webHidden/>
              </w:rPr>
              <w:fldChar w:fldCharType="begin"/>
            </w:r>
            <w:r w:rsidR="00227B46">
              <w:rPr>
                <w:noProof/>
                <w:webHidden/>
              </w:rPr>
              <w:instrText xml:space="preserve"> PAGEREF _Toc362267292 \h </w:instrText>
            </w:r>
            <w:r>
              <w:rPr>
                <w:noProof/>
                <w:webHidden/>
              </w:rPr>
            </w:r>
            <w:r>
              <w:rPr>
                <w:noProof/>
                <w:webHidden/>
              </w:rPr>
              <w:fldChar w:fldCharType="separate"/>
            </w:r>
            <w:r w:rsidR="00227B46">
              <w:rPr>
                <w:noProof/>
                <w:webHidden/>
              </w:rPr>
              <w:t>37</w:t>
            </w:r>
            <w:r>
              <w:rPr>
                <w:noProof/>
                <w:webHidden/>
              </w:rPr>
              <w:fldChar w:fldCharType="end"/>
            </w:r>
          </w:hyperlink>
        </w:p>
        <w:p w:rsidR="00227B46" w:rsidRDefault="004A2AB3">
          <w:pPr>
            <w:pStyle w:val="TOC3"/>
            <w:tabs>
              <w:tab w:val="right" w:leader="underscore" w:pos="9060"/>
            </w:tabs>
            <w:rPr>
              <w:rFonts w:eastAsiaTheme="minorEastAsia"/>
              <w:i w:val="0"/>
              <w:noProof/>
              <w:lang w:val="en-GB" w:eastAsia="en-GB"/>
            </w:rPr>
          </w:pPr>
          <w:hyperlink w:anchor="_Toc362267293" w:history="1">
            <w:r w:rsidR="00227B46" w:rsidRPr="00F972AF">
              <w:rPr>
                <w:rStyle w:val="Hyperlink"/>
                <w:noProof/>
                <w:lang w:val="en-GB"/>
              </w:rPr>
              <w:t>6.2.3 Paananen and Lin</w:t>
            </w:r>
            <w:r w:rsidR="00227B46">
              <w:rPr>
                <w:noProof/>
                <w:webHidden/>
              </w:rPr>
              <w:tab/>
            </w:r>
            <w:r>
              <w:rPr>
                <w:noProof/>
                <w:webHidden/>
              </w:rPr>
              <w:fldChar w:fldCharType="begin"/>
            </w:r>
            <w:r w:rsidR="00227B46">
              <w:rPr>
                <w:noProof/>
                <w:webHidden/>
              </w:rPr>
              <w:instrText xml:space="preserve"> PAGEREF _Toc362267293 \h </w:instrText>
            </w:r>
            <w:r>
              <w:rPr>
                <w:noProof/>
                <w:webHidden/>
              </w:rPr>
            </w:r>
            <w:r>
              <w:rPr>
                <w:noProof/>
                <w:webHidden/>
              </w:rPr>
              <w:fldChar w:fldCharType="separate"/>
            </w:r>
            <w:r w:rsidR="00227B46">
              <w:rPr>
                <w:noProof/>
                <w:webHidden/>
              </w:rPr>
              <w:t>38</w:t>
            </w:r>
            <w:r>
              <w:rPr>
                <w:noProof/>
                <w:webHidden/>
              </w:rPr>
              <w:fldChar w:fldCharType="end"/>
            </w:r>
          </w:hyperlink>
        </w:p>
        <w:p w:rsidR="00227B46" w:rsidRDefault="004A2AB3">
          <w:pPr>
            <w:pStyle w:val="TOC3"/>
            <w:tabs>
              <w:tab w:val="right" w:leader="underscore" w:pos="9060"/>
            </w:tabs>
            <w:rPr>
              <w:rFonts w:eastAsiaTheme="minorEastAsia"/>
              <w:i w:val="0"/>
              <w:noProof/>
              <w:lang w:val="en-GB" w:eastAsia="en-GB"/>
            </w:rPr>
          </w:pPr>
          <w:hyperlink w:anchor="_Toc362267294" w:history="1">
            <w:r w:rsidR="00227B46" w:rsidRPr="00F972AF">
              <w:rPr>
                <w:rStyle w:val="Hyperlink"/>
                <w:noProof/>
                <w:lang w:val="en-GB"/>
              </w:rPr>
              <w:t>6.2.4 Lippens</w:t>
            </w:r>
            <w:r w:rsidR="00227B46">
              <w:rPr>
                <w:noProof/>
                <w:webHidden/>
              </w:rPr>
              <w:tab/>
            </w:r>
            <w:r>
              <w:rPr>
                <w:noProof/>
                <w:webHidden/>
              </w:rPr>
              <w:fldChar w:fldCharType="begin"/>
            </w:r>
            <w:r w:rsidR="00227B46">
              <w:rPr>
                <w:noProof/>
                <w:webHidden/>
              </w:rPr>
              <w:instrText xml:space="preserve"> PAGEREF _Toc362267294 \h </w:instrText>
            </w:r>
            <w:r>
              <w:rPr>
                <w:noProof/>
                <w:webHidden/>
              </w:rPr>
            </w:r>
            <w:r>
              <w:rPr>
                <w:noProof/>
                <w:webHidden/>
              </w:rPr>
              <w:fldChar w:fldCharType="separate"/>
            </w:r>
            <w:r w:rsidR="00227B46">
              <w:rPr>
                <w:noProof/>
                <w:webHidden/>
              </w:rPr>
              <w:t>38</w:t>
            </w:r>
            <w:r>
              <w:rPr>
                <w:noProof/>
                <w:webHidden/>
              </w:rPr>
              <w:fldChar w:fldCharType="end"/>
            </w:r>
          </w:hyperlink>
        </w:p>
        <w:p w:rsidR="00227B46" w:rsidRDefault="004A2AB3">
          <w:pPr>
            <w:pStyle w:val="TOC3"/>
            <w:tabs>
              <w:tab w:val="right" w:leader="underscore" w:pos="9060"/>
            </w:tabs>
            <w:rPr>
              <w:rFonts w:eastAsiaTheme="minorEastAsia"/>
              <w:i w:val="0"/>
              <w:noProof/>
              <w:lang w:val="en-GB" w:eastAsia="en-GB"/>
            </w:rPr>
          </w:pPr>
          <w:hyperlink w:anchor="_Toc362267295" w:history="1">
            <w:r w:rsidR="00227B46" w:rsidRPr="00F972AF">
              <w:rPr>
                <w:rStyle w:val="Hyperlink"/>
                <w:noProof/>
                <w:lang w:val="en-GB"/>
              </w:rPr>
              <w:t>6.3 Suggestions and support for a Dutch study</w:t>
            </w:r>
            <w:r w:rsidR="00227B46">
              <w:rPr>
                <w:noProof/>
                <w:webHidden/>
              </w:rPr>
              <w:tab/>
            </w:r>
            <w:r>
              <w:rPr>
                <w:noProof/>
                <w:webHidden/>
              </w:rPr>
              <w:fldChar w:fldCharType="begin"/>
            </w:r>
            <w:r w:rsidR="00227B46">
              <w:rPr>
                <w:noProof/>
                <w:webHidden/>
              </w:rPr>
              <w:instrText xml:space="preserve"> PAGEREF _Toc362267295 \h </w:instrText>
            </w:r>
            <w:r>
              <w:rPr>
                <w:noProof/>
                <w:webHidden/>
              </w:rPr>
            </w:r>
            <w:r>
              <w:rPr>
                <w:noProof/>
                <w:webHidden/>
              </w:rPr>
              <w:fldChar w:fldCharType="separate"/>
            </w:r>
            <w:r w:rsidR="00227B46">
              <w:rPr>
                <w:noProof/>
                <w:webHidden/>
              </w:rPr>
              <w:t>39</w:t>
            </w:r>
            <w:r>
              <w:rPr>
                <w:noProof/>
                <w:webHidden/>
              </w:rPr>
              <w:fldChar w:fldCharType="end"/>
            </w:r>
          </w:hyperlink>
        </w:p>
        <w:p w:rsidR="00227B46" w:rsidRDefault="004A2AB3">
          <w:pPr>
            <w:pStyle w:val="TOC3"/>
            <w:tabs>
              <w:tab w:val="right" w:leader="underscore" w:pos="9060"/>
            </w:tabs>
            <w:rPr>
              <w:rFonts w:eastAsiaTheme="minorEastAsia"/>
              <w:i w:val="0"/>
              <w:noProof/>
              <w:lang w:val="en-GB" w:eastAsia="en-GB"/>
            </w:rPr>
          </w:pPr>
          <w:hyperlink w:anchor="_Toc362267296" w:history="1">
            <w:r w:rsidR="00227B46" w:rsidRPr="00F972AF">
              <w:rPr>
                <w:rStyle w:val="Hyperlink"/>
                <w:noProof/>
                <w:lang w:val="en-GB"/>
              </w:rPr>
              <w:t>6.4 Summary</w:t>
            </w:r>
            <w:r w:rsidR="00227B46">
              <w:rPr>
                <w:noProof/>
                <w:webHidden/>
              </w:rPr>
              <w:tab/>
            </w:r>
            <w:r>
              <w:rPr>
                <w:noProof/>
                <w:webHidden/>
              </w:rPr>
              <w:fldChar w:fldCharType="begin"/>
            </w:r>
            <w:r w:rsidR="00227B46">
              <w:rPr>
                <w:noProof/>
                <w:webHidden/>
              </w:rPr>
              <w:instrText xml:space="preserve"> PAGEREF _Toc362267296 \h </w:instrText>
            </w:r>
            <w:r>
              <w:rPr>
                <w:noProof/>
                <w:webHidden/>
              </w:rPr>
            </w:r>
            <w:r>
              <w:rPr>
                <w:noProof/>
                <w:webHidden/>
              </w:rPr>
              <w:fldChar w:fldCharType="separate"/>
            </w:r>
            <w:r w:rsidR="00227B46">
              <w:rPr>
                <w:noProof/>
                <w:webHidden/>
              </w:rPr>
              <w:t>40</w:t>
            </w:r>
            <w:r>
              <w:rPr>
                <w:noProof/>
                <w:webHidden/>
              </w:rPr>
              <w:fldChar w:fldCharType="end"/>
            </w:r>
          </w:hyperlink>
        </w:p>
        <w:p w:rsidR="00227B46" w:rsidRDefault="004A2AB3">
          <w:pPr>
            <w:pStyle w:val="TOC1"/>
            <w:tabs>
              <w:tab w:val="right" w:leader="underscore" w:pos="9060"/>
            </w:tabs>
            <w:rPr>
              <w:rFonts w:eastAsiaTheme="minorEastAsia"/>
              <w:b w:val="0"/>
              <w:noProof/>
              <w:lang w:val="en-GB" w:eastAsia="en-GB"/>
            </w:rPr>
          </w:pPr>
          <w:hyperlink w:anchor="_Toc362267297" w:history="1">
            <w:r w:rsidR="00227B46" w:rsidRPr="00F972AF">
              <w:rPr>
                <w:rStyle w:val="Hyperlink"/>
                <w:noProof/>
              </w:rPr>
              <w:t>7 Hypotheses</w:t>
            </w:r>
            <w:r w:rsidR="00227B46">
              <w:rPr>
                <w:noProof/>
                <w:webHidden/>
              </w:rPr>
              <w:tab/>
            </w:r>
            <w:r>
              <w:rPr>
                <w:noProof/>
                <w:webHidden/>
              </w:rPr>
              <w:fldChar w:fldCharType="begin"/>
            </w:r>
            <w:r w:rsidR="00227B46">
              <w:rPr>
                <w:noProof/>
                <w:webHidden/>
              </w:rPr>
              <w:instrText xml:space="preserve"> PAGEREF _Toc362267297 \h </w:instrText>
            </w:r>
            <w:r>
              <w:rPr>
                <w:noProof/>
                <w:webHidden/>
              </w:rPr>
            </w:r>
            <w:r>
              <w:rPr>
                <w:noProof/>
                <w:webHidden/>
              </w:rPr>
              <w:fldChar w:fldCharType="separate"/>
            </w:r>
            <w:r w:rsidR="00227B46">
              <w:rPr>
                <w:noProof/>
                <w:webHidden/>
              </w:rPr>
              <w:t>42</w:t>
            </w:r>
            <w:r>
              <w:rPr>
                <w:noProof/>
                <w:webHidden/>
              </w:rPr>
              <w:fldChar w:fldCharType="end"/>
            </w:r>
          </w:hyperlink>
        </w:p>
        <w:p w:rsidR="00227B46" w:rsidRDefault="004A2AB3">
          <w:pPr>
            <w:pStyle w:val="TOC1"/>
            <w:tabs>
              <w:tab w:val="left" w:pos="440"/>
              <w:tab w:val="right" w:leader="underscore" w:pos="9060"/>
            </w:tabs>
            <w:rPr>
              <w:rFonts w:eastAsiaTheme="minorEastAsia"/>
              <w:b w:val="0"/>
              <w:noProof/>
              <w:lang w:val="en-GB" w:eastAsia="en-GB"/>
            </w:rPr>
          </w:pPr>
          <w:hyperlink w:anchor="_Toc362267298" w:history="1">
            <w:r w:rsidR="00227B46" w:rsidRPr="00F972AF">
              <w:rPr>
                <w:rStyle w:val="Hyperlink"/>
                <w:noProof/>
              </w:rPr>
              <w:t>8</w:t>
            </w:r>
            <w:r w:rsidR="00227B46">
              <w:rPr>
                <w:rFonts w:eastAsiaTheme="minorEastAsia"/>
                <w:b w:val="0"/>
                <w:noProof/>
                <w:lang w:val="en-GB" w:eastAsia="en-GB"/>
              </w:rPr>
              <w:tab/>
            </w:r>
            <w:r w:rsidR="00227B46" w:rsidRPr="00F972AF">
              <w:rPr>
                <w:rStyle w:val="Hyperlink"/>
                <w:noProof/>
              </w:rPr>
              <w:t>Research design</w:t>
            </w:r>
            <w:r w:rsidR="00227B46">
              <w:rPr>
                <w:noProof/>
                <w:webHidden/>
              </w:rPr>
              <w:tab/>
            </w:r>
            <w:r>
              <w:rPr>
                <w:noProof/>
                <w:webHidden/>
              </w:rPr>
              <w:fldChar w:fldCharType="begin"/>
            </w:r>
            <w:r w:rsidR="00227B46">
              <w:rPr>
                <w:noProof/>
                <w:webHidden/>
              </w:rPr>
              <w:instrText xml:space="preserve"> PAGEREF _Toc362267298 \h </w:instrText>
            </w:r>
            <w:r>
              <w:rPr>
                <w:noProof/>
                <w:webHidden/>
              </w:rPr>
            </w:r>
            <w:r>
              <w:rPr>
                <w:noProof/>
                <w:webHidden/>
              </w:rPr>
              <w:fldChar w:fldCharType="separate"/>
            </w:r>
            <w:r w:rsidR="00227B46">
              <w:rPr>
                <w:noProof/>
                <w:webHidden/>
              </w:rPr>
              <w:t>43</w:t>
            </w:r>
            <w:r>
              <w:rPr>
                <w:noProof/>
                <w:webHidden/>
              </w:rPr>
              <w:fldChar w:fldCharType="end"/>
            </w:r>
          </w:hyperlink>
        </w:p>
        <w:p w:rsidR="00227B46" w:rsidRDefault="004A2AB3">
          <w:pPr>
            <w:pStyle w:val="TOC3"/>
            <w:tabs>
              <w:tab w:val="right" w:leader="underscore" w:pos="9060"/>
            </w:tabs>
            <w:rPr>
              <w:rFonts w:eastAsiaTheme="minorEastAsia"/>
              <w:i w:val="0"/>
              <w:noProof/>
              <w:lang w:val="en-GB" w:eastAsia="en-GB"/>
            </w:rPr>
          </w:pPr>
          <w:hyperlink w:anchor="_Toc362267299" w:history="1">
            <w:r w:rsidR="00227B46" w:rsidRPr="00F972AF">
              <w:rPr>
                <w:rStyle w:val="Hyperlink"/>
                <w:noProof/>
                <w:lang w:val="en-GB"/>
              </w:rPr>
              <w:t>8.1 Research approach</w:t>
            </w:r>
            <w:r w:rsidR="00227B46">
              <w:rPr>
                <w:noProof/>
                <w:webHidden/>
              </w:rPr>
              <w:tab/>
            </w:r>
            <w:r>
              <w:rPr>
                <w:noProof/>
                <w:webHidden/>
              </w:rPr>
              <w:fldChar w:fldCharType="begin"/>
            </w:r>
            <w:r w:rsidR="00227B46">
              <w:rPr>
                <w:noProof/>
                <w:webHidden/>
              </w:rPr>
              <w:instrText xml:space="preserve"> PAGEREF _Toc362267299 \h </w:instrText>
            </w:r>
            <w:r>
              <w:rPr>
                <w:noProof/>
                <w:webHidden/>
              </w:rPr>
            </w:r>
            <w:r>
              <w:rPr>
                <w:noProof/>
                <w:webHidden/>
              </w:rPr>
              <w:fldChar w:fldCharType="separate"/>
            </w:r>
            <w:r w:rsidR="00227B46">
              <w:rPr>
                <w:noProof/>
                <w:webHidden/>
              </w:rPr>
              <w:t>43</w:t>
            </w:r>
            <w:r>
              <w:rPr>
                <w:noProof/>
                <w:webHidden/>
              </w:rPr>
              <w:fldChar w:fldCharType="end"/>
            </w:r>
          </w:hyperlink>
        </w:p>
        <w:p w:rsidR="00227B46" w:rsidRDefault="004A2AB3">
          <w:pPr>
            <w:pStyle w:val="TOC3"/>
            <w:tabs>
              <w:tab w:val="right" w:leader="underscore" w:pos="9060"/>
            </w:tabs>
            <w:rPr>
              <w:rFonts w:eastAsiaTheme="minorEastAsia"/>
              <w:i w:val="0"/>
              <w:noProof/>
              <w:lang w:val="en-GB" w:eastAsia="en-GB"/>
            </w:rPr>
          </w:pPr>
          <w:hyperlink w:anchor="_Toc362267300" w:history="1">
            <w:r w:rsidR="00227B46" w:rsidRPr="00F972AF">
              <w:rPr>
                <w:rStyle w:val="Hyperlink"/>
                <w:noProof/>
                <w:lang w:val="en-GB"/>
              </w:rPr>
              <w:t>8.2 Research methodology</w:t>
            </w:r>
            <w:r w:rsidR="00227B46">
              <w:rPr>
                <w:noProof/>
                <w:webHidden/>
              </w:rPr>
              <w:tab/>
            </w:r>
            <w:r>
              <w:rPr>
                <w:noProof/>
                <w:webHidden/>
              </w:rPr>
              <w:fldChar w:fldCharType="begin"/>
            </w:r>
            <w:r w:rsidR="00227B46">
              <w:rPr>
                <w:noProof/>
                <w:webHidden/>
              </w:rPr>
              <w:instrText xml:space="preserve"> PAGEREF _Toc362267300 \h </w:instrText>
            </w:r>
            <w:r>
              <w:rPr>
                <w:noProof/>
                <w:webHidden/>
              </w:rPr>
            </w:r>
            <w:r>
              <w:rPr>
                <w:noProof/>
                <w:webHidden/>
              </w:rPr>
              <w:fldChar w:fldCharType="separate"/>
            </w:r>
            <w:r w:rsidR="00227B46">
              <w:rPr>
                <w:noProof/>
                <w:webHidden/>
              </w:rPr>
              <w:t>44</w:t>
            </w:r>
            <w:r>
              <w:rPr>
                <w:noProof/>
                <w:webHidden/>
              </w:rPr>
              <w:fldChar w:fldCharType="end"/>
            </w:r>
          </w:hyperlink>
        </w:p>
        <w:p w:rsidR="00227B46" w:rsidRDefault="004A2AB3">
          <w:pPr>
            <w:pStyle w:val="TOC3"/>
            <w:tabs>
              <w:tab w:val="right" w:leader="underscore" w:pos="9060"/>
            </w:tabs>
            <w:rPr>
              <w:rFonts w:eastAsiaTheme="minorEastAsia"/>
              <w:i w:val="0"/>
              <w:noProof/>
              <w:lang w:val="en-GB" w:eastAsia="en-GB"/>
            </w:rPr>
          </w:pPr>
          <w:hyperlink w:anchor="_Toc362267301" w:history="1">
            <w:r w:rsidR="00227B46" w:rsidRPr="00F972AF">
              <w:rPr>
                <w:rStyle w:val="Hyperlink"/>
                <w:noProof/>
                <w:lang w:val="en-GB"/>
              </w:rPr>
              <w:t>8.3 Measuring earnings management</w:t>
            </w:r>
            <w:r w:rsidR="00227B46">
              <w:rPr>
                <w:noProof/>
                <w:webHidden/>
              </w:rPr>
              <w:tab/>
            </w:r>
            <w:r>
              <w:rPr>
                <w:noProof/>
                <w:webHidden/>
              </w:rPr>
              <w:fldChar w:fldCharType="begin"/>
            </w:r>
            <w:r w:rsidR="00227B46">
              <w:rPr>
                <w:noProof/>
                <w:webHidden/>
              </w:rPr>
              <w:instrText xml:space="preserve"> PAGEREF _Toc362267301 \h </w:instrText>
            </w:r>
            <w:r>
              <w:rPr>
                <w:noProof/>
                <w:webHidden/>
              </w:rPr>
            </w:r>
            <w:r>
              <w:rPr>
                <w:noProof/>
                <w:webHidden/>
              </w:rPr>
              <w:fldChar w:fldCharType="separate"/>
            </w:r>
            <w:r w:rsidR="00227B46">
              <w:rPr>
                <w:noProof/>
                <w:webHidden/>
              </w:rPr>
              <w:t>45</w:t>
            </w:r>
            <w:r>
              <w:rPr>
                <w:noProof/>
                <w:webHidden/>
              </w:rPr>
              <w:fldChar w:fldCharType="end"/>
            </w:r>
          </w:hyperlink>
        </w:p>
        <w:p w:rsidR="00227B46" w:rsidRDefault="004A2AB3">
          <w:pPr>
            <w:pStyle w:val="TOC3"/>
            <w:tabs>
              <w:tab w:val="right" w:leader="underscore" w:pos="9060"/>
            </w:tabs>
            <w:rPr>
              <w:rFonts w:eastAsiaTheme="minorEastAsia"/>
              <w:i w:val="0"/>
              <w:noProof/>
              <w:lang w:val="en-GB" w:eastAsia="en-GB"/>
            </w:rPr>
          </w:pPr>
          <w:hyperlink w:anchor="_Toc362267302" w:history="1">
            <w:r w:rsidR="00227B46" w:rsidRPr="00F972AF">
              <w:rPr>
                <w:rStyle w:val="Hyperlink"/>
                <w:noProof/>
                <w:lang w:val="en-GB"/>
              </w:rPr>
              <w:t>8.4 Independent variables</w:t>
            </w:r>
            <w:r w:rsidR="00227B46">
              <w:rPr>
                <w:noProof/>
                <w:webHidden/>
              </w:rPr>
              <w:tab/>
            </w:r>
            <w:r>
              <w:rPr>
                <w:noProof/>
                <w:webHidden/>
              </w:rPr>
              <w:fldChar w:fldCharType="begin"/>
            </w:r>
            <w:r w:rsidR="00227B46">
              <w:rPr>
                <w:noProof/>
                <w:webHidden/>
              </w:rPr>
              <w:instrText xml:space="preserve"> PAGEREF _Toc362267302 \h </w:instrText>
            </w:r>
            <w:r>
              <w:rPr>
                <w:noProof/>
                <w:webHidden/>
              </w:rPr>
            </w:r>
            <w:r>
              <w:rPr>
                <w:noProof/>
                <w:webHidden/>
              </w:rPr>
              <w:fldChar w:fldCharType="separate"/>
            </w:r>
            <w:r w:rsidR="00227B46">
              <w:rPr>
                <w:noProof/>
                <w:webHidden/>
              </w:rPr>
              <w:t>47</w:t>
            </w:r>
            <w:r>
              <w:rPr>
                <w:noProof/>
                <w:webHidden/>
              </w:rPr>
              <w:fldChar w:fldCharType="end"/>
            </w:r>
          </w:hyperlink>
        </w:p>
        <w:p w:rsidR="00227B46" w:rsidRDefault="004A2AB3">
          <w:pPr>
            <w:pStyle w:val="TOC3"/>
            <w:tabs>
              <w:tab w:val="right" w:leader="underscore" w:pos="9060"/>
            </w:tabs>
            <w:rPr>
              <w:rFonts w:eastAsiaTheme="minorEastAsia"/>
              <w:i w:val="0"/>
              <w:noProof/>
              <w:lang w:val="en-GB" w:eastAsia="en-GB"/>
            </w:rPr>
          </w:pPr>
          <w:hyperlink w:anchor="_Toc362267303" w:history="1">
            <w:r w:rsidR="00227B46" w:rsidRPr="00F972AF">
              <w:rPr>
                <w:rStyle w:val="Hyperlink"/>
                <w:noProof/>
                <w:lang w:val="en-GB"/>
              </w:rPr>
              <w:t>Final Regression Model</w:t>
            </w:r>
            <w:r w:rsidR="00227B46">
              <w:rPr>
                <w:noProof/>
                <w:webHidden/>
              </w:rPr>
              <w:tab/>
            </w:r>
            <w:r>
              <w:rPr>
                <w:noProof/>
                <w:webHidden/>
              </w:rPr>
              <w:fldChar w:fldCharType="begin"/>
            </w:r>
            <w:r w:rsidR="00227B46">
              <w:rPr>
                <w:noProof/>
                <w:webHidden/>
              </w:rPr>
              <w:instrText xml:space="preserve"> PAGEREF _Toc362267303 \h </w:instrText>
            </w:r>
            <w:r>
              <w:rPr>
                <w:noProof/>
                <w:webHidden/>
              </w:rPr>
            </w:r>
            <w:r>
              <w:rPr>
                <w:noProof/>
                <w:webHidden/>
              </w:rPr>
              <w:fldChar w:fldCharType="separate"/>
            </w:r>
            <w:r w:rsidR="00227B46">
              <w:rPr>
                <w:noProof/>
                <w:webHidden/>
              </w:rPr>
              <w:t>48</w:t>
            </w:r>
            <w:r>
              <w:rPr>
                <w:noProof/>
                <w:webHidden/>
              </w:rPr>
              <w:fldChar w:fldCharType="end"/>
            </w:r>
          </w:hyperlink>
        </w:p>
        <w:p w:rsidR="00227B46" w:rsidRDefault="004A2AB3">
          <w:pPr>
            <w:pStyle w:val="TOC3"/>
            <w:tabs>
              <w:tab w:val="right" w:leader="underscore" w:pos="9060"/>
            </w:tabs>
            <w:rPr>
              <w:rFonts w:eastAsiaTheme="minorEastAsia"/>
              <w:i w:val="0"/>
              <w:noProof/>
              <w:lang w:val="en-GB" w:eastAsia="en-GB"/>
            </w:rPr>
          </w:pPr>
          <w:hyperlink w:anchor="_Toc362267304" w:history="1">
            <w:r w:rsidR="00227B46" w:rsidRPr="00F972AF">
              <w:rPr>
                <w:rStyle w:val="Hyperlink"/>
                <w:noProof/>
                <w:lang w:val="en-GB"/>
              </w:rPr>
              <w:t>8.5 Time interval of the research</w:t>
            </w:r>
            <w:r w:rsidR="00227B46">
              <w:rPr>
                <w:noProof/>
                <w:webHidden/>
              </w:rPr>
              <w:tab/>
            </w:r>
            <w:r>
              <w:rPr>
                <w:noProof/>
                <w:webHidden/>
              </w:rPr>
              <w:fldChar w:fldCharType="begin"/>
            </w:r>
            <w:r w:rsidR="00227B46">
              <w:rPr>
                <w:noProof/>
                <w:webHidden/>
              </w:rPr>
              <w:instrText xml:space="preserve"> PAGEREF _Toc362267304 \h </w:instrText>
            </w:r>
            <w:r>
              <w:rPr>
                <w:noProof/>
                <w:webHidden/>
              </w:rPr>
            </w:r>
            <w:r>
              <w:rPr>
                <w:noProof/>
                <w:webHidden/>
              </w:rPr>
              <w:fldChar w:fldCharType="separate"/>
            </w:r>
            <w:r w:rsidR="00227B46">
              <w:rPr>
                <w:noProof/>
                <w:webHidden/>
              </w:rPr>
              <w:t>48</w:t>
            </w:r>
            <w:r>
              <w:rPr>
                <w:noProof/>
                <w:webHidden/>
              </w:rPr>
              <w:fldChar w:fldCharType="end"/>
            </w:r>
          </w:hyperlink>
        </w:p>
        <w:p w:rsidR="00227B46" w:rsidRDefault="004A2AB3">
          <w:pPr>
            <w:pStyle w:val="TOC3"/>
            <w:tabs>
              <w:tab w:val="right" w:leader="underscore" w:pos="9060"/>
            </w:tabs>
            <w:rPr>
              <w:rFonts w:eastAsiaTheme="minorEastAsia"/>
              <w:i w:val="0"/>
              <w:noProof/>
              <w:lang w:val="en-GB" w:eastAsia="en-GB"/>
            </w:rPr>
          </w:pPr>
          <w:hyperlink w:anchor="_Toc362267305" w:history="1">
            <w:r w:rsidR="00227B46" w:rsidRPr="00F972AF">
              <w:rPr>
                <w:rStyle w:val="Hyperlink"/>
                <w:noProof/>
                <w:lang w:val="en-GB"/>
              </w:rPr>
              <w:t>8.6 Data collection and data sample</w:t>
            </w:r>
            <w:r w:rsidR="00227B46">
              <w:rPr>
                <w:noProof/>
                <w:webHidden/>
              </w:rPr>
              <w:tab/>
            </w:r>
            <w:r>
              <w:rPr>
                <w:noProof/>
                <w:webHidden/>
              </w:rPr>
              <w:fldChar w:fldCharType="begin"/>
            </w:r>
            <w:r w:rsidR="00227B46">
              <w:rPr>
                <w:noProof/>
                <w:webHidden/>
              </w:rPr>
              <w:instrText xml:space="preserve"> PAGEREF _Toc362267305 \h </w:instrText>
            </w:r>
            <w:r>
              <w:rPr>
                <w:noProof/>
                <w:webHidden/>
              </w:rPr>
            </w:r>
            <w:r>
              <w:rPr>
                <w:noProof/>
                <w:webHidden/>
              </w:rPr>
              <w:fldChar w:fldCharType="separate"/>
            </w:r>
            <w:r w:rsidR="00227B46">
              <w:rPr>
                <w:noProof/>
                <w:webHidden/>
              </w:rPr>
              <w:t>49</w:t>
            </w:r>
            <w:r>
              <w:rPr>
                <w:noProof/>
                <w:webHidden/>
              </w:rPr>
              <w:fldChar w:fldCharType="end"/>
            </w:r>
          </w:hyperlink>
        </w:p>
        <w:p w:rsidR="00227B46" w:rsidRDefault="004A2AB3">
          <w:pPr>
            <w:pStyle w:val="TOC1"/>
            <w:tabs>
              <w:tab w:val="right" w:leader="underscore" w:pos="9060"/>
            </w:tabs>
            <w:rPr>
              <w:rFonts w:eastAsiaTheme="minorEastAsia"/>
              <w:b w:val="0"/>
              <w:noProof/>
              <w:lang w:val="en-GB" w:eastAsia="en-GB"/>
            </w:rPr>
          </w:pPr>
          <w:hyperlink w:anchor="_Toc362267306" w:history="1">
            <w:r w:rsidR="00227B46" w:rsidRPr="00F972AF">
              <w:rPr>
                <w:rStyle w:val="Hyperlink"/>
                <w:noProof/>
              </w:rPr>
              <w:t>9 Results</w:t>
            </w:r>
            <w:r w:rsidR="00227B46">
              <w:rPr>
                <w:noProof/>
                <w:webHidden/>
              </w:rPr>
              <w:tab/>
            </w:r>
            <w:r>
              <w:rPr>
                <w:noProof/>
                <w:webHidden/>
              </w:rPr>
              <w:fldChar w:fldCharType="begin"/>
            </w:r>
            <w:r w:rsidR="00227B46">
              <w:rPr>
                <w:noProof/>
                <w:webHidden/>
              </w:rPr>
              <w:instrText xml:space="preserve"> PAGEREF _Toc362267306 \h </w:instrText>
            </w:r>
            <w:r>
              <w:rPr>
                <w:noProof/>
                <w:webHidden/>
              </w:rPr>
            </w:r>
            <w:r>
              <w:rPr>
                <w:noProof/>
                <w:webHidden/>
              </w:rPr>
              <w:fldChar w:fldCharType="separate"/>
            </w:r>
            <w:r w:rsidR="00227B46">
              <w:rPr>
                <w:noProof/>
                <w:webHidden/>
              </w:rPr>
              <w:t>51</w:t>
            </w:r>
            <w:r>
              <w:rPr>
                <w:noProof/>
                <w:webHidden/>
              </w:rPr>
              <w:fldChar w:fldCharType="end"/>
            </w:r>
          </w:hyperlink>
        </w:p>
        <w:p w:rsidR="00227B46" w:rsidRDefault="004A2AB3">
          <w:pPr>
            <w:pStyle w:val="TOC3"/>
            <w:tabs>
              <w:tab w:val="right" w:leader="underscore" w:pos="9060"/>
            </w:tabs>
            <w:rPr>
              <w:rFonts w:eastAsiaTheme="minorEastAsia"/>
              <w:i w:val="0"/>
              <w:noProof/>
              <w:lang w:val="en-GB" w:eastAsia="en-GB"/>
            </w:rPr>
          </w:pPr>
          <w:hyperlink w:anchor="_Toc362267307" w:history="1">
            <w:r w:rsidR="00227B46" w:rsidRPr="00F972AF">
              <w:rPr>
                <w:rStyle w:val="Hyperlink"/>
                <w:noProof/>
                <w:lang w:val="en-GB"/>
              </w:rPr>
              <w:t>9.1 Calculating the discretionary accruals</w:t>
            </w:r>
            <w:r w:rsidR="00227B46">
              <w:rPr>
                <w:noProof/>
                <w:webHidden/>
              </w:rPr>
              <w:tab/>
            </w:r>
            <w:r>
              <w:rPr>
                <w:noProof/>
                <w:webHidden/>
              </w:rPr>
              <w:fldChar w:fldCharType="begin"/>
            </w:r>
            <w:r w:rsidR="00227B46">
              <w:rPr>
                <w:noProof/>
                <w:webHidden/>
              </w:rPr>
              <w:instrText xml:space="preserve"> PAGEREF _Toc362267307 \h </w:instrText>
            </w:r>
            <w:r>
              <w:rPr>
                <w:noProof/>
                <w:webHidden/>
              </w:rPr>
            </w:r>
            <w:r>
              <w:rPr>
                <w:noProof/>
                <w:webHidden/>
              </w:rPr>
              <w:fldChar w:fldCharType="separate"/>
            </w:r>
            <w:r w:rsidR="00227B46">
              <w:rPr>
                <w:noProof/>
                <w:webHidden/>
              </w:rPr>
              <w:t>51</w:t>
            </w:r>
            <w:r>
              <w:rPr>
                <w:noProof/>
                <w:webHidden/>
              </w:rPr>
              <w:fldChar w:fldCharType="end"/>
            </w:r>
          </w:hyperlink>
        </w:p>
        <w:p w:rsidR="00227B46" w:rsidRDefault="004A2AB3">
          <w:pPr>
            <w:pStyle w:val="TOC3"/>
            <w:tabs>
              <w:tab w:val="right" w:leader="underscore" w:pos="9060"/>
            </w:tabs>
            <w:rPr>
              <w:rFonts w:eastAsiaTheme="minorEastAsia"/>
              <w:i w:val="0"/>
              <w:noProof/>
              <w:lang w:val="en-GB" w:eastAsia="en-GB"/>
            </w:rPr>
          </w:pPr>
          <w:hyperlink w:anchor="_Toc362267308" w:history="1">
            <w:r w:rsidR="00227B46" w:rsidRPr="00F972AF">
              <w:rPr>
                <w:rStyle w:val="Hyperlink"/>
                <w:noProof/>
                <w:lang w:val="en-GB"/>
              </w:rPr>
              <w:t>9.2 Testing the impact of the independent variables on the level of discretionary accruals</w:t>
            </w:r>
            <w:r w:rsidR="00227B46">
              <w:rPr>
                <w:noProof/>
                <w:webHidden/>
              </w:rPr>
              <w:tab/>
            </w:r>
            <w:r>
              <w:rPr>
                <w:noProof/>
                <w:webHidden/>
              </w:rPr>
              <w:fldChar w:fldCharType="begin"/>
            </w:r>
            <w:r w:rsidR="00227B46">
              <w:rPr>
                <w:noProof/>
                <w:webHidden/>
              </w:rPr>
              <w:instrText xml:space="preserve"> PAGEREF _Toc362267308 \h </w:instrText>
            </w:r>
            <w:r>
              <w:rPr>
                <w:noProof/>
                <w:webHidden/>
              </w:rPr>
            </w:r>
            <w:r>
              <w:rPr>
                <w:noProof/>
                <w:webHidden/>
              </w:rPr>
              <w:fldChar w:fldCharType="separate"/>
            </w:r>
            <w:r w:rsidR="00227B46">
              <w:rPr>
                <w:noProof/>
                <w:webHidden/>
              </w:rPr>
              <w:t>54</w:t>
            </w:r>
            <w:r>
              <w:rPr>
                <w:noProof/>
                <w:webHidden/>
              </w:rPr>
              <w:fldChar w:fldCharType="end"/>
            </w:r>
          </w:hyperlink>
        </w:p>
        <w:p w:rsidR="00227B46" w:rsidRDefault="004A2AB3">
          <w:pPr>
            <w:pStyle w:val="TOC3"/>
            <w:tabs>
              <w:tab w:val="right" w:leader="underscore" w:pos="9060"/>
            </w:tabs>
            <w:rPr>
              <w:rFonts w:eastAsiaTheme="minorEastAsia"/>
              <w:i w:val="0"/>
              <w:noProof/>
              <w:lang w:val="en-GB" w:eastAsia="en-GB"/>
            </w:rPr>
          </w:pPr>
          <w:hyperlink w:anchor="_Toc362267309" w:history="1">
            <w:r w:rsidR="00227B46" w:rsidRPr="00F972AF">
              <w:rPr>
                <w:rStyle w:val="Hyperlink"/>
                <w:noProof/>
                <w:lang w:val="en-GB"/>
              </w:rPr>
              <w:t>9.2.1 The dependent variable</w:t>
            </w:r>
            <w:r w:rsidR="00227B46">
              <w:rPr>
                <w:noProof/>
                <w:webHidden/>
              </w:rPr>
              <w:tab/>
            </w:r>
            <w:r>
              <w:rPr>
                <w:noProof/>
                <w:webHidden/>
              </w:rPr>
              <w:fldChar w:fldCharType="begin"/>
            </w:r>
            <w:r w:rsidR="00227B46">
              <w:rPr>
                <w:noProof/>
                <w:webHidden/>
              </w:rPr>
              <w:instrText xml:space="preserve"> PAGEREF _Toc362267309 \h </w:instrText>
            </w:r>
            <w:r>
              <w:rPr>
                <w:noProof/>
                <w:webHidden/>
              </w:rPr>
            </w:r>
            <w:r>
              <w:rPr>
                <w:noProof/>
                <w:webHidden/>
              </w:rPr>
              <w:fldChar w:fldCharType="separate"/>
            </w:r>
            <w:r w:rsidR="00227B46">
              <w:rPr>
                <w:noProof/>
                <w:webHidden/>
              </w:rPr>
              <w:t>54</w:t>
            </w:r>
            <w:r>
              <w:rPr>
                <w:noProof/>
                <w:webHidden/>
              </w:rPr>
              <w:fldChar w:fldCharType="end"/>
            </w:r>
          </w:hyperlink>
        </w:p>
        <w:p w:rsidR="00227B46" w:rsidRDefault="004A2AB3">
          <w:pPr>
            <w:pStyle w:val="TOC3"/>
            <w:tabs>
              <w:tab w:val="right" w:leader="underscore" w:pos="9060"/>
            </w:tabs>
            <w:rPr>
              <w:rFonts w:eastAsiaTheme="minorEastAsia"/>
              <w:i w:val="0"/>
              <w:noProof/>
              <w:lang w:val="en-GB" w:eastAsia="en-GB"/>
            </w:rPr>
          </w:pPr>
          <w:hyperlink w:anchor="_Toc362267310" w:history="1">
            <w:r w:rsidR="00227B46" w:rsidRPr="00F972AF">
              <w:rPr>
                <w:rStyle w:val="Hyperlink"/>
                <w:noProof/>
                <w:lang w:val="en-GB"/>
              </w:rPr>
              <w:t>9.2.2 The independent variables: IFRS, Industry and Size</w:t>
            </w:r>
            <w:r w:rsidR="00227B46">
              <w:rPr>
                <w:noProof/>
                <w:webHidden/>
              </w:rPr>
              <w:tab/>
            </w:r>
            <w:r>
              <w:rPr>
                <w:noProof/>
                <w:webHidden/>
              </w:rPr>
              <w:fldChar w:fldCharType="begin"/>
            </w:r>
            <w:r w:rsidR="00227B46">
              <w:rPr>
                <w:noProof/>
                <w:webHidden/>
              </w:rPr>
              <w:instrText xml:space="preserve"> PAGEREF _Toc362267310 \h </w:instrText>
            </w:r>
            <w:r>
              <w:rPr>
                <w:noProof/>
                <w:webHidden/>
              </w:rPr>
            </w:r>
            <w:r>
              <w:rPr>
                <w:noProof/>
                <w:webHidden/>
              </w:rPr>
              <w:fldChar w:fldCharType="separate"/>
            </w:r>
            <w:r w:rsidR="00227B46">
              <w:rPr>
                <w:noProof/>
                <w:webHidden/>
              </w:rPr>
              <w:t>56</w:t>
            </w:r>
            <w:r>
              <w:rPr>
                <w:noProof/>
                <w:webHidden/>
              </w:rPr>
              <w:fldChar w:fldCharType="end"/>
            </w:r>
          </w:hyperlink>
        </w:p>
        <w:p w:rsidR="00227B46" w:rsidRDefault="004A2AB3">
          <w:pPr>
            <w:pStyle w:val="TOC3"/>
            <w:tabs>
              <w:tab w:val="right" w:leader="underscore" w:pos="9060"/>
            </w:tabs>
            <w:rPr>
              <w:rFonts w:eastAsiaTheme="minorEastAsia"/>
              <w:i w:val="0"/>
              <w:noProof/>
              <w:lang w:val="en-GB" w:eastAsia="en-GB"/>
            </w:rPr>
          </w:pPr>
          <w:hyperlink w:anchor="_Toc362267311" w:history="1">
            <w:r w:rsidR="00227B46" w:rsidRPr="00F972AF">
              <w:rPr>
                <w:rStyle w:val="Hyperlink"/>
                <w:noProof/>
                <w:lang w:val="en-GB"/>
              </w:rPr>
              <w:t>9.2.3 The regression model</w:t>
            </w:r>
            <w:r w:rsidR="00227B46">
              <w:rPr>
                <w:noProof/>
                <w:webHidden/>
              </w:rPr>
              <w:tab/>
            </w:r>
            <w:r>
              <w:rPr>
                <w:noProof/>
                <w:webHidden/>
              </w:rPr>
              <w:fldChar w:fldCharType="begin"/>
            </w:r>
            <w:r w:rsidR="00227B46">
              <w:rPr>
                <w:noProof/>
                <w:webHidden/>
              </w:rPr>
              <w:instrText xml:space="preserve"> PAGEREF _Toc362267311 \h </w:instrText>
            </w:r>
            <w:r>
              <w:rPr>
                <w:noProof/>
                <w:webHidden/>
              </w:rPr>
            </w:r>
            <w:r>
              <w:rPr>
                <w:noProof/>
                <w:webHidden/>
              </w:rPr>
              <w:fldChar w:fldCharType="separate"/>
            </w:r>
            <w:r w:rsidR="00227B46">
              <w:rPr>
                <w:noProof/>
                <w:webHidden/>
              </w:rPr>
              <w:t>57</w:t>
            </w:r>
            <w:r>
              <w:rPr>
                <w:noProof/>
                <w:webHidden/>
              </w:rPr>
              <w:fldChar w:fldCharType="end"/>
            </w:r>
          </w:hyperlink>
        </w:p>
        <w:p w:rsidR="00227B46" w:rsidRDefault="004A2AB3">
          <w:pPr>
            <w:pStyle w:val="TOC3"/>
            <w:tabs>
              <w:tab w:val="right" w:leader="underscore" w:pos="9060"/>
            </w:tabs>
            <w:rPr>
              <w:rFonts w:eastAsiaTheme="minorEastAsia"/>
              <w:i w:val="0"/>
              <w:noProof/>
              <w:lang w:val="en-GB" w:eastAsia="en-GB"/>
            </w:rPr>
          </w:pPr>
          <w:hyperlink w:anchor="_Toc362267312" w:history="1">
            <w:r w:rsidR="00227B46" w:rsidRPr="00F972AF">
              <w:rPr>
                <w:rStyle w:val="Hyperlink"/>
                <w:noProof/>
                <w:lang w:val="en-GB"/>
              </w:rPr>
              <w:t>9.3 Answering the hypotheses</w:t>
            </w:r>
            <w:r w:rsidR="00227B46">
              <w:rPr>
                <w:noProof/>
                <w:webHidden/>
              </w:rPr>
              <w:tab/>
            </w:r>
            <w:r>
              <w:rPr>
                <w:noProof/>
                <w:webHidden/>
              </w:rPr>
              <w:fldChar w:fldCharType="begin"/>
            </w:r>
            <w:r w:rsidR="00227B46">
              <w:rPr>
                <w:noProof/>
                <w:webHidden/>
              </w:rPr>
              <w:instrText xml:space="preserve"> PAGEREF _Toc362267312 \h </w:instrText>
            </w:r>
            <w:r>
              <w:rPr>
                <w:noProof/>
                <w:webHidden/>
              </w:rPr>
            </w:r>
            <w:r>
              <w:rPr>
                <w:noProof/>
                <w:webHidden/>
              </w:rPr>
              <w:fldChar w:fldCharType="separate"/>
            </w:r>
            <w:r w:rsidR="00227B46">
              <w:rPr>
                <w:noProof/>
                <w:webHidden/>
              </w:rPr>
              <w:t>59</w:t>
            </w:r>
            <w:r>
              <w:rPr>
                <w:noProof/>
                <w:webHidden/>
              </w:rPr>
              <w:fldChar w:fldCharType="end"/>
            </w:r>
          </w:hyperlink>
        </w:p>
        <w:p w:rsidR="00227B46" w:rsidRDefault="004A2AB3">
          <w:pPr>
            <w:pStyle w:val="TOC1"/>
            <w:tabs>
              <w:tab w:val="right" w:leader="underscore" w:pos="9060"/>
            </w:tabs>
            <w:rPr>
              <w:rFonts w:eastAsiaTheme="minorEastAsia"/>
              <w:b w:val="0"/>
              <w:noProof/>
              <w:lang w:val="en-GB" w:eastAsia="en-GB"/>
            </w:rPr>
          </w:pPr>
          <w:hyperlink w:anchor="_Toc362267313" w:history="1">
            <w:r w:rsidR="00227B46" w:rsidRPr="00F972AF">
              <w:rPr>
                <w:rStyle w:val="Hyperlink"/>
                <w:noProof/>
              </w:rPr>
              <w:t>10 Conclusion</w:t>
            </w:r>
            <w:r w:rsidR="00227B46">
              <w:rPr>
                <w:noProof/>
                <w:webHidden/>
              </w:rPr>
              <w:tab/>
            </w:r>
            <w:r>
              <w:rPr>
                <w:noProof/>
                <w:webHidden/>
              </w:rPr>
              <w:fldChar w:fldCharType="begin"/>
            </w:r>
            <w:r w:rsidR="00227B46">
              <w:rPr>
                <w:noProof/>
                <w:webHidden/>
              </w:rPr>
              <w:instrText xml:space="preserve"> PAGEREF _Toc362267313 \h </w:instrText>
            </w:r>
            <w:r>
              <w:rPr>
                <w:noProof/>
                <w:webHidden/>
              </w:rPr>
            </w:r>
            <w:r>
              <w:rPr>
                <w:noProof/>
                <w:webHidden/>
              </w:rPr>
              <w:fldChar w:fldCharType="separate"/>
            </w:r>
            <w:r w:rsidR="00227B46">
              <w:rPr>
                <w:noProof/>
                <w:webHidden/>
              </w:rPr>
              <w:t>62</w:t>
            </w:r>
            <w:r>
              <w:rPr>
                <w:noProof/>
                <w:webHidden/>
              </w:rPr>
              <w:fldChar w:fldCharType="end"/>
            </w:r>
          </w:hyperlink>
        </w:p>
        <w:p w:rsidR="00227B46" w:rsidRDefault="004A2AB3">
          <w:pPr>
            <w:pStyle w:val="TOC3"/>
            <w:tabs>
              <w:tab w:val="right" w:leader="underscore" w:pos="9060"/>
            </w:tabs>
            <w:rPr>
              <w:rFonts w:eastAsiaTheme="minorEastAsia"/>
              <w:i w:val="0"/>
              <w:noProof/>
              <w:lang w:val="en-GB" w:eastAsia="en-GB"/>
            </w:rPr>
          </w:pPr>
          <w:hyperlink w:anchor="_Toc362267314" w:history="1">
            <w:r w:rsidR="00227B46" w:rsidRPr="00F972AF">
              <w:rPr>
                <w:rStyle w:val="Hyperlink"/>
                <w:noProof/>
                <w:lang w:val="en-GB"/>
              </w:rPr>
              <w:t>10 .1 Summary of the research</w:t>
            </w:r>
            <w:r w:rsidR="00227B46">
              <w:rPr>
                <w:noProof/>
                <w:webHidden/>
              </w:rPr>
              <w:tab/>
            </w:r>
            <w:r>
              <w:rPr>
                <w:noProof/>
                <w:webHidden/>
              </w:rPr>
              <w:fldChar w:fldCharType="begin"/>
            </w:r>
            <w:r w:rsidR="00227B46">
              <w:rPr>
                <w:noProof/>
                <w:webHidden/>
              </w:rPr>
              <w:instrText xml:space="preserve"> PAGEREF _Toc362267314 \h </w:instrText>
            </w:r>
            <w:r>
              <w:rPr>
                <w:noProof/>
                <w:webHidden/>
              </w:rPr>
            </w:r>
            <w:r>
              <w:rPr>
                <w:noProof/>
                <w:webHidden/>
              </w:rPr>
              <w:fldChar w:fldCharType="separate"/>
            </w:r>
            <w:r w:rsidR="00227B46">
              <w:rPr>
                <w:noProof/>
                <w:webHidden/>
              </w:rPr>
              <w:t>62</w:t>
            </w:r>
            <w:r>
              <w:rPr>
                <w:noProof/>
                <w:webHidden/>
              </w:rPr>
              <w:fldChar w:fldCharType="end"/>
            </w:r>
          </w:hyperlink>
        </w:p>
        <w:p w:rsidR="00227B46" w:rsidRDefault="004A2AB3">
          <w:pPr>
            <w:pStyle w:val="TOC3"/>
            <w:tabs>
              <w:tab w:val="right" w:leader="underscore" w:pos="9060"/>
            </w:tabs>
            <w:rPr>
              <w:rFonts w:eastAsiaTheme="minorEastAsia"/>
              <w:i w:val="0"/>
              <w:noProof/>
              <w:lang w:val="en-GB" w:eastAsia="en-GB"/>
            </w:rPr>
          </w:pPr>
          <w:hyperlink w:anchor="_Toc362267315" w:history="1">
            <w:r w:rsidR="00227B46" w:rsidRPr="00F972AF">
              <w:rPr>
                <w:rStyle w:val="Hyperlink"/>
                <w:noProof/>
                <w:lang w:val="en-GB"/>
              </w:rPr>
              <w:t>10.2 Conclusion</w:t>
            </w:r>
            <w:r w:rsidR="00227B46">
              <w:rPr>
                <w:noProof/>
                <w:webHidden/>
              </w:rPr>
              <w:tab/>
            </w:r>
            <w:r>
              <w:rPr>
                <w:noProof/>
                <w:webHidden/>
              </w:rPr>
              <w:fldChar w:fldCharType="begin"/>
            </w:r>
            <w:r w:rsidR="00227B46">
              <w:rPr>
                <w:noProof/>
                <w:webHidden/>
              </w:rPr>
              <w:instrText xml:space="preserve"> PAGEREF _Toc362267315 \h </w:instrText>
            </w:r>
            <w:r>
              <w:rPr>
                <w:noProof/>
                <w:webHidden/>
              </w:rPr>
            </w:r>
            <w:r>
              <w:rPr>
                <w:noProof/>
                <w:webHidden/>
              </w:rPr>
              <w:fldChar w:fldCharType="separate"/>
            </w:r>
            <w:r w:rsidR="00227B46">
              <w:rPr>
                <w:noProof/>
                <w:webHidden/>
              </w:rPr>
              <w:t>63</w:t>
            </w:r>
            <w:r>
              <w:rPr>
                <w:noProof/>
                <w:webHidden/>
              </w:rPr>
              <w:fldChar w:fldCharType="end"/>
            </w:r>
          </w:hyperlink>
        </w:p>
        <w:p w:rsidR="00227B46" w:rsidRDefault="004A2AB3">
          <w:pPr>
            <w:pStyle w:val="TOC3"/>
            <w:tabs>
              <w:tab w:val="right" w:leader="underscore" w:pos="9060"/>
            </w:tabs>
            <w:rPr>
              <w:rFonts w:eastAsiaTheme="minorEastAsia"/>
              <w:i w:val="0"/>
              <w:noProof/>
              <w:lang w:val="en-GB" w:eastAsia="en-GB"/>
            </w:rPr>
          </w:pPr>
          <w:hyperlink w:anchor="_Toc362267316" w:history="1">
            <w:r w:rsidR="00227B46" w:rsidRPr="00F972AF">
              <w:rPr>
                <w:rStyle w:val="Hyperlink"/>
                <w:noProof/>
                <w:lang w:val="en-GB"/>
              </w:rPr>
              <w:t>10.3 Limitations</w:t>
            </w:r>
            <w:r w:rsidR="00227B46">
              <w:rPr>
                <w:noProof/>
                <w:webHidden/>
              </w:rPr>
              <w:tab/>
            </w:r>
            <w:r>
              <w:rPr>
                <w:noProof/>
                <w:webHidden/>
              </w:rPr>
              <w:fldChar w:fldCharType="begin"/>
            </w:r>
            <w:r w:rsidR="00227B46">
              <w:rPr>
                <w:noProof/>
                <w:webHidden/>
              </w:rPr>
              <w:instrText xml:space="preserve"> PAGEREF _Toc362267316 \h </w:instrText>
            </w:r>
            <w:r>
              <w:rPr>
                <w:noProof/>
                <w:webHidden/>
              </w:rPr>
            </w:r>
            <w:r>
              <w:rPr>
                <w:noProof/>
                <w:webHidden/>
              </w:rPr>
              <w:fldChar w:fldCharType="separate"/>
            </w:r>
            <w:r w:rsidR="00227B46">
              <w:rPr>
                <w:noProof/>
                <w:webHidden/>
              </w:rPr>
              <w:t>64</w:t>
            </w:r>
            <w:r>
              <w:rPr>
                <w:noProof/>
                <w:webHidden/>
              </w:rPr>
              <w:fldChar w:fldCharType="end"/>
            </w:r>
          </w:hyperlink>
        </w:p>
        <w:p w:rsidR="00227B46" w:rsidRDefault="004A2AB3">
          <w:pPr>
            <w:pStyle w:val="TOC3"/>
            <w:tabs>
              <w:tab w:val="right" w:leader="underscore" w:pos="9060"/>
            </w:tabs>
            <w:rPr>
              <w:rFonts w:eastAsiaTheme="minorEastAsia"/>
              <w:i w:val="0"/>
              <w:noProof/>
              <w:lang w:val="en-GB" w:eastAsia="en-GB"/>
            </w:rPr>
          </w:pPr>
          <w:hyperlink w:anchor="_Toc362267317" w:history="1">
            <w:r w:rsidR="00227B46" w:rsidRPr="00F972AF">
              <w:rPr>
                <w:rStyle w:val="Hyperlink"/>
                <w:noProof/>
                <w:lang w:val="en-GB"/>
              </w:rPr>
              <w:t>10.4 Recommendations for further research</w:t>
            </w:r>
            <w:r w:rsidR="00227B46">
              <w:rPr>
                <w:noProof/>
                <w:webHidden/>
              </w:rPr>
              <w:tab/>
            </w:r>
            <w:r>
              <w:rPr>
                <w:noProof/>
                <w:webHidden/>
              </w:rPr>
              <w:fldChar w:fldCharType="begin"/>
            </w:r>
            <w:r w:rsidR="00227B46">
              <w:rPr>
                <w:noProof/>
                <w:webHidden/>
              </w:rPr>
              <w:instrText xml:space="preserve"> PAGEREF _Toc362267317 \h </w:instrText>
            </w:r>
            <w:r>
              <w:rPr>
                <w:noProof/>
                <w:webHidden/>
              </w:rPr>
            </w:r>
            <w:r>
              <w:rPr>
                <w:noProof/>
                <w:webHidden/>
              </w:rPr>
              <w:fldChar w:fldCharType="separate"/>
            </w:r>
            <w:r w:rsidR="00227B46">
              <w:rPr>
                <w:noProof/>
                <w:webHidden/>
              </w:rPr>
              <w:t>65</w:t>
            </w:r>
            <w:r>
              <w:rPr>
                <w:noProof/>
                <w:webHidden/>
              </w:rPr>
              <w:fldChar w:fldCharType="end"/>
            </w:r>
          </w:hyperlink>
        </w:p>
        <w:p w:rsidR="00227B46" w:rsidRDefault="004A2AB3">
          <w:pPr>
            <w:pStyle w:val="TOC1"/>
            <w:tabs>
              <w:tab w:val="right" w:leader="underscore" w:pos="9060"/>
            </w:tabs>
            <w:rPr>
              <w:rFonts w:eastAsiaTheme="minorEastAsia"/>
              <w:b w:val="0"/>
              <w:noProof/>
              <w:lang w:val="en-GB" w:eastAsia="en-GB"/>
            </w:rPr>
          </w:pPr>
          <w:hyperlink w:anchor="_Toc362267318" w:history="1">
            <w:r w:rsidR="00227B46" w:rsidRPr="00F972AF">
              <w:rPr>
                <w:rStyle w:val="Hyperlink"/>
                <w:noProof/>
              </w:rPr>
              <w:t>References:</w:t>
            </w:r>
            <w:r w:rsidR="00227B46">
              <w:rPr>
                <w:noProof/>
                <w:webHidden/>
              </w:rPr>
              <w:tab/>
            </w:r>
            <w:r>
              <w:rPr>
                <w:noProof/>
                <w:webHidden/>
              </w:rPr>
              <w:fldChar w:fldCharType="begin"/>
            </w:r>
            <w:r w:rsidR="00227B46">
              <w:rPr>
                <w:noProof/>
                <w:webHidden/>
              </w:rPr>
              <w:instrText xml:space="preserve"> PAGEREF _Toc362267318 \h </w:instrText>
            </w:r>
            <w:r>
              <w:rPr>
                <w:noProof/>
                <w:webHidden/>
              </w:rPr>
            </w:r>
            <w:r>
              <w:rPr>
                <w:noProof/>
                <w:webHidden/>
              </w:rPr>
              <w:fldChar w:fldCharType="separate"/>
            </w:r>
            <w:r w:rsidR="00227B46">
              <w:rPr>
                <w:noProof/>
                <w:webHidden/>
              </w:rPr>
              <w:t>66</w:t>
            </w:r>
            <w:r>
              <w:rPr>
                <w:noProof/>
                <w:webHidden/>
              </w:rPr>
              <w:fldChar w:fldCharType="end"/>
            </w:r>
          </w:hyperlink>
        </w:p>
        <w:p w:rsidR="00227B46" w:rsidRDefault="004A2AB3">
          <w:pPr>
            <w:pStyle w:val="TOC3"/>
            <w:tabs>
              <w:tab w:val="right" w:leader="underscore" w:pos="9060"/>
            </w:tabs>
            <w:rPr>
              <w:rFonts w:eastAsiaTheme="minorEastAsia"/>
              <w:i w:val="0"/>
              <w:noProof/>
              <w:lang w:val="en-GB" w:eastAsia="en-GB"/>
            </w:rPr>
          </w:pPr>
          <w:hyperlink w:anchor="_Toc362267319" w:history="1">
            <w:r w:rsidR="00227B46" w:rsidRPr="00F972AF">
              <w:rPr>
                <w:rStyle w:val="Hyperlink"/>
                <w:noProof/>
                <w:lang w:val="en-GB"/>
              </w:rPr>
              <w:t>Appendix 1 - Literature review of prior research</w:t>
            </w:r>
            <w:r w:rsidR="00227B46">
              <w:rPr>
                <w:noProof/>
                <w:webHidden/>
              </w:rPr>
              <w:tab/>
            </w:r>
            <w:r>
              <w:rPr>
                <w:noProof/>
                <w:webHidden/>
              </w:rPr>
              <w:fldChar w:fldCharType="begin"/>
            </w:r>
            <w:r w:rsidR="00227B46">
              <w:rPr>
                <w:noProof/>
                <w:webHidden/>
              </w:rPr>
              <w:instrText xml:space="preserve"> PAGEREF _Toc362267319 \h </w:instrText>
            </w:r>
            <w:r>
              <w:rPr>
                <w:noProof/>
                <w:webHidden/>
              </w:rPr>
            </w:r>
            <w:r>
              <w:rPr>
                <w:noProof/>
                <w:webHidden/>
              </w:rPr>
              <w:fldChar w:fldCharType="separate"/>
            </w:r>
            <w:r w:rsidR="00227B46">
              <w:rPr>
                <w:noProof/>
                <w:webHidden/>
              </w:rPr>
              <w:t>71</w:t>
            </w:r>
            <w:r>
              <w:rPr>
                <w:noProof/>
                <w:webHidden/>
              </w:rPr>
              <w:fldChar w:fldCharType="end"/>
            </w:r>
          </w:hyperlink>
        </w:p>
        <w:p w:rsidR="00227B46" w:rsidRDefault="004A2AB3">
          <w:pPr>
            <w:pStyle w:val="TOC3"/>
            <w:tabs>
              <w:tab w:val="right" w:leader="underscore" w:pos="9060"/>
            </w:tabs>
            <w:rPr>
              <w:rFonts w:eastAsiaTheme="minorEastAsia"/>
              <w:i w:val="0"/>
              <w:noProof/>
              <w:lang w:val="en-GB" w:eastAsia="en-GB"/>
            </w:rPr>
          </w:pPr>
          <w:hyperlink w:anchor="_Toc362267320" w:history="1">
            <w:r w:rsidR="00227B46" w:rsidRPr="00F972AF">
              <w:rPr>
                <w:rStyle w:val="Hyperlink"/>
                <w:noProof/>
                <w:lang w:val="en-GB"/>
              </w:rPr>
              <w:t>Appendix 2: List of 24 companies included in the sample</w:t>
            </w:r>
            <w:r w:rsidR="00227B46">
              <w:rPr>
                <w:noProof/>
                <w:webHidden/>
              </w:rPr>
              <w:tab/>
            </w:r>
            <w:r>
              <w:rPr>
                <w:noProof/>
                <w:webHidden/>
              </w:rPr>
              <w:fldChar w:fldCharType="begin"/>
            </w:r>
            <w:r w:rsidR="00227B46">
              <w:rPr>
                <w:noProof/>
                <w:webHidden/>
              </w:rPr>
              <w:instrText xml:space="preserve"> PAGEREF _Toc362267320 \h </w:instrText>
            </w:r>
            <w:r>
              <w:rPr>
                <w:noProof/>
                <w:webHidden/>
              </w:rPr>
            </w:r>
            <w:r>
              <w:rPr>
                <w:noProof/>
                <w:webHidden/>
              </w:rPr>
              <w:fldChar w:fldCharType="separate"/>
            </w:r>
            <w:r w:rsidR="00227B46">
              <w:rPr>
                <w:noProof/>
                <w:webHidden/>
              </w:rPr>
              <w:t>74</w:t>
            </w:r>
            <w:r>
              <w:rPr>
                <w:noProof/>
                <w:webHidden/>
              </w:rPr>
              <w:fldChar w:fldCharType="end"/>
            </w:r>
          </w:hyperlink>
        </w:p>
        <w:p w:rsidR="00227B46" w:rsidRDefault="004A2AB3">
          <w:pPr>
            <w:pStyle w:val="TOC3"/>
            <w:tabs>
              <w:tab w:val="right" w:leader="underscore" w:pos="9060"/>
            </w:tabs>
            <w:rPr>
              <w:rFonts w:eastAsiaTheme="minorEastAsia"/>
              <w:i w:val="0"/>
              <w:noProof/>
              <w:lang w:val="en-GB" w:eastAsia="en-GB"/>
            </w:rPr>
          </w:pPr>
          <w:hyperlink w:anchor="_Toc362267321" w:history="1">
            <w:r w:rsidR="00227B46" w:rsidRPr="00F972AF">
              <w:rPr>
                <w:rStyle w:val="Hyperlink"/>
                <w:noProof/>
                <w:lang w:val="en-GB"/>
              </w:rPr>
              <w:t>Appendix 3: Boxplots and Q-Q plots</w:t>
            </w:r>
            <w:r w:rsidR="00227B46">
              <w:rPr>
                <w:noProof/>
                <w:webHidden/>
              </w:rPr>
              <w:tab/>
            </w:r>
            <w:r>
              <w:rPr>
                <w:noProof/>
                <w:webHidden/>
              </w:rPr>
              <w:fldChar w:fldCharType="begin"/>
            </w:r>
            <w:r w:rsidR="00227B46">
              <w:rPr>
                <w:noProof/>
                <w:webHidden/>
              </w:rPr>
              <w:instrText xml:space="preserve"> PAGEREF _Toc362267321 \h </w:instrText>
            </w:r>
            <w:r>
              <w:rPr>
                <w:noProof/>
                <w:webHidden/>
              </w:rPr>
            </w:r>
            <w:r>
              <w:rPr>
                <w:noProof/>
                <w:webHidden/>
              </w:rPr>
              <w:fldChar w:fldCharType="separate"/>
            </w:r>
            <w:r w:rsidR="00227B46">
              <w:rPr>
                <w:noProof/>
                <w:webHidden/>
              </w:rPr>
              <w:t>75</w:t>
            </w:r>
            <w:r>
              <w:rPr>
                <w:noProof/>
                <w:webHidden/>
              </w:rPr>
              <w:fldChar w:fldCharType="end"/>
            </w:r>
          </w:hyperlink>
        </w:p>
        <w:p w:rsidR="00227B46" w:rsidRDefault="004A2AB3">
          <w:pPr>
            <w:pStyle w:val="TOC3"/>
            <w:tabs>
              <w:tab w:val="right" w:leader="underscore" w:pos="9060"/>
            </w:tabs>
            <w:rPr>
              <w:rFonts w:eastAsiaTheme="minorEastAsia"/>
              <w:i w:val="0"/>
              <w:noProof/>
              <w:lang w:val="en-GB" w:eastAsia="en-GB"/>
            </w:rPr>
          </w:pPr>
          <w:hyperlink w:anchor="_Toc362267322" w:history="1">
            <w:r w:rsidR="00227B46" w:rsidRPr="00F972AF">
              <w:rPr>
                <w:rStyle w:val="Hyperlink"/>
                <w:noProof/>
                <w:lang w:val="en-GB"/>
              </w:rPr>
              <w:t>Appendix 4: data sample</w:t>
            </w:r>
            <w:r w:rsidR="00227B46">
              <w:rPr>
                <w:noProof/>
                <w:webHidden/>
              </w:rPr>
              <w:tab/>
            </w:r>
            <w:r>
              <w:rPr>
                <w:noProof/>
                <w:webHidden/>
              </w:rPr>
              <w:fldChar w:fldCharType="begin"/>
            </w:r>
            <w:r w:rsidR="00227B46">
              <w:rPr>
                <w:noProof/>
                <w:webHidden/>
              </w:rPr>
              <w:instrText xml:space="preserve"> PAGEREF _Toc362267322 \h </w:instrText>
            </w:r>
            <w:r>
              <w:rPr>
                <w:noProof/>
                <w:webHidden/>
              </w:rPr>
            </w:r>
            <w:r>
              <w:rPr>
                <w:noProof/>
                <w:webHidden/>
              </w:rPr>
              <w:fldChar w:fldCharType="separate"/>
            </w:r>
            <w:r w:rsidR="00227B46">
              <w:rPr>
                <w:noProof/>
                <w:webHidden/>
              </w:rPr>
              <w:t>76</w:t>
            </w:r>
            <w:r>
              <w:rPr>
                <w:noProof/>
                <w:webHidden/>
              </w:rPr>
              <w:fldChar w:fldCharType="end"/>
            </w:r>
          </w:hyperlink>
        </w:p>
        <w:p w:rsidR="0058239C" w:rsidRPr="005635D8" w:rsidRDefault="004A2AB3" w:rsidP="00D15EB8">
          <w:pPr>
            <w:rPr>
              <w:lang w:val="en-GB"/>
            </w:rPr>
          </w:pPr>
          <w:r w:rsidRPr="005635D8">
            <w:rPr>
              <w:lang w:val="en-GB"/>
            </w:rPr>
            <w:fldChar w:fldCharType="end"/>
          </w:r>
        </w:p>
      </w:sdtContent>
    </w:sdt>
    <w:p w:rsidR="00E75C83" w:rsidRPr="005635D8" w:rsidRDefault="00E75C83" w:rsidP="00D15EB8">
      <w:pPr>
        <w:rPr>
          <w:lang w:val="en-GB"/>
        </w:rPr>
      </w:pPr>
    </w:p>
    <w:p w:rsidR="0053273C" w:rsidRPr="005635D8" w:rsidRDefault="00E75C83" w:rsidP="00986C15">
      <w:pPr>
        <w:pStyle w:val="Heading1"/>
      </w:pPr>
      <w:r w:rsidRPr="005635D8">
        <w:br w:type="page"/>
      </w:r>
      <w:bookmarkStart w:id="5" w:name="_Toc362267251"/>
      <w:r w:rsidR="005C4D3D" w:rsidRPr="005635D8">
        <w:t xml:space="preserve">1 </w:t>
      </w:r>
      <w:r w:rsidR="00390BFA" w:rsidRPr="005635D8">
        <w:t>Introduction</w:t>
      </w:r>
      <w:bookmarkEnd w:id="5"/>
      <w:r w:rsidR="005C4D3D" w:rsidRPr="005635D8">
        <w:t xml:space="preserve"> </w:t>
      </w:r>
    </w:p>
    <w:p w:rsidR="00986C15" w:rsidRPr="005635D8" w:rsidRDefault="00986C15" w:rsidP="00621ABD">
      <w:pPr>
        <w:pStyle w:val="BodyTextIndent"/>
        <w:ind w:left="0"/>
        <w:jc w:val="both"/>
        <w:rPr>
          <w:rFonts w:ascii="Calibri" w:hAnsi="Calibri"/>
          <w:color w:val="000000"/>
          <w:lang w:val="en-GB"/>
        </w:rPr>
      </w:pPr>
    </w:p>
    <w:p w:rsidR="005C4D3D" w:rsidRPr="005635D8" w:rsidRDefault="005C4D3D" w:rsidP="001E4C5D">
      <w:pPr>
        <w:autoSpaceDE w:val="0"/>
        <w:autoSpaceDN w:val="0"/>
        <w:adjustRightInd w:val="0"/>
        <w:spacing w:after="0"/>
        <w:jc w:val="both"/>
        <w:rPr>
          <w:rFonts w:ascii="Calibri" w:hAnsi="Calibri"/>
          <w:lang w:val="en-GB"/>
        </w:rPr>
      </w:pPr>
      <w:r w:rsidRPr="005635D8">
        <w:rPr>
          <w:rFonts w:ascii="Calibri" w:hAnsi="Calibri"/>
          <w:lang w:val="en-GB"/>
        </w:rPr>
        <w:t xml:space="preserve">In this introduction the topic of </w:t>
      </w:r>
      <w:r w:rsidR="002B0FA1" w:rsidRPr="005635D8">
        <w:rPr>
          <w:rFonts w:ascii="Calibri" w:hAnsi="Calibri"/>
          <w:lang w:val="en-GB"/>
        </w:rPr>
        <w:t xml:space="preserve">the use of </w:t>
      </w:r>
      <w:r w:rsidRPr="005635D8">
        <w:rPr>
          <w:rFonts w:ascii="Calibri" w:hAnsi="Calibri"/>
          <w:lang w:val="en-GB"/>
        </w:rPr>
        <w:t>earnings management is introduced and linked to the background conditions of ongoing financial scandals and the need for stricter regulations for accounting practices. With the introduction of International Financial Reporting Standards</w:t>
      </w:r>
      <w:r w:rsidR="002B0FA1" w:rsidRPr="005635D8">
        <w:rPr>
          <w:rFonts w:ascii="Calibri" w:hAnsi="Calibri"/>
          <w:lang w:val="en-GB"/>
        </w:rPr>
        <w:t xml:space="preserve"> (IFRS)</w:t>
      </w:r>
      <w:r w:rsidRPr="005635D8">
        <w:rPr>
          <w:rFonts w:ascii="Calibri" w:hAnsi="Calibri"/>
          <w:lang w:val="en-GB"/>
        </w:rPr>
        <w:t xml:space="preserve"> it was assumed that the quality and </w:t>
      </w:r>
      <w:r w:rsidR="002B0FA1" w:rsidRPr="005635D8">
        <w:rPr>
          <w:rFonts w:ascii="Calibri" w:hAnsi="Calibri"/>
          <w:lang w:val="en-GB"/>
        </w:rPr>
        <w:t xml:space="preserve">the </w:t>
      </w:r>
      <w:r w:rsidRPr="005635D8">
        <w:rPr>
          <w:rFonts w:ascii="Calibri" w:hAnsi="Calibri"/>
          <w:lang w:val="en-GB"/>
        </w:rPr>
        <w:t xml:space="preserve">reliability of financial reporting would increase and </w:t>
      </w:r>
      <w:r w:rsidR="002B0FA1" w:rsidRPr="005635D8">
        <w:rPr>
          <w:rFonts w:ascii="Calibri" w:hAnsi="Calibri"/>
          <w:lang w:val="en-GB"/>
        </w:rPr>
        <w:t xml:space="preserve">the use of </w:t>
      </w:r>
      <w:r w:rsidRPr="005635D8">
        <w:rPr>
          <w:rFonts w:ascii="Calibri" w:hAnsi="Calibri"/>
          <w:lang w:val="en-GB"/>
        </w:rPr>
        <w:t xml:space="preserve">earnings management was expected to be repulsed. However, as the problem definition will expose several </w:t>
      </w:r>
      <w:r w:rsidR="00DC66D2" w:rsidRPr="005635D8">
        <w:rPr>
          <w:rFonts w:ascii="Calibri" w:hAnsi="Calibri"/>
          <w:lang w:val="en-GB"/>
        </w:rPr>
        <w:t>theorists</w:t>
      </w:r>
      <w:r w:rsidRPr="005635D8">
        <w:rPr>
          <w:rFonts w:ascii="Calibri" w:hAnsi="Calibri"/>
          <w:lang w:val="en-GB"/>
        </w:rPr>
        <w:t xml:space="preserve"> provide reasoning contrary to this assumption and existing research is not clear about the effect of the introduction of IFRS on </w:t>
      </w:r>
      <w:r w:rsidR="002B0FA1" w:rsidRPr="005635D8">
        <w:rPr>
          <w:rFonts w:ascii="Calibri" w:hAnsi="Calibri"/>
          <w:lang w:val="en-GB"/>
        </w:rPr>
        <w:t xml:space="preserve">the use of </w:t>
      </w:r>
      <w:r w:rsidRPr="005635D8">
        <w:rPr>
          <w:rFonts w:ascii="Calibri" w:hAnsi="Calibri"/>
          <w:lang w:val="en-GB"/>
        </w:rPr>
        <w:t xml:space="preserve">earnings management. </w:t>
      </w:r>
      <w:r w:rsidR="002B0FA1" w:rsidRPr="005635D8">
        <w:rPr>
          <w:rFonts w:ascii="Calibri" w:hAnsi="Calibri"/>
          <w:lang w:val="en-GB"/>
        </w:rPr>
        <w:t>Consequently</w:t>
      </w:r>
      <w:r w:rsidR="00384929" w:rsidRPr="005635D8">
        <w:rPr>
          <w:rFonts w:ascii="Calibri" w:hAnsi="Calibri"/>
          <w:lang w:val="en-GB"/>
        </w:rPr>
        <w:t>,</w:t>
      </w:r>
      <w:r w:rsidRPr="005635D8">
        <w:rPr>
          <w:rFonts w:ascii="Calibri" w:hAnsi="Calibri"/>
          <w:lang w:val="en-GB"/>
        </w:rPr>
        <w:t xml:space="preserve"> this study will further investigate this topic by </w:t>
      </w:r>
      <w:r w:rsidR="002B0FA1" w:rsidRPr="005635D8">
        <w:rPr>
          <w:rFonts w:ascii="Calibri" w:hAnsi="Calibri"/>
          <w:lang w:val="en-GB"/>
        </w:rPr>
        <w:t xml:space="preserve">investigating </w:t>
      </w:r>
      <w:r w:rsidRPr="005635D8">
        <w:rPr>
          <w:rFonts w:ascii="Calibri" w:hAnsi="Calibri"/>
          <w:lang w:val="en-GB"/>
        </w:rPr>
        <w:t>the case of t</w:t>
      </w:r>
      <w:r w:rsidR="00384929" w:rsidRPr="005635D8">
        <w:rPr>
          <w:rFonts w:ascii="Calibri" w:hAnsi="Calibri"/>
          <w:lang w:val="en-GB"/>
        </w:rPr>
        <w:t>he Netherlands. In the last paragraphs</w:t>
      </w:r>
      <w:r w:rsidRPr="005635D8">
        <w:rPr>
          <w:rFonts w:ascii="Calibri" w:hAnsi="Calibri"/>
          <w:lang w:val="en-GB"/>
        </w:rPr>
        <w:t xml:space="preserve"> of the introduction the research objectives and the methodology will shortly be </w:t>
      </w:r>
      <w:r w:rsidR="002B0FA1" w:rsidRPr="005635D8">
        <w:rPr>
          <w:rFonts w:ascii="Calibri" w:hAnsi="Calibri"/>
          <w:lang w:val="en-GB"/>
        </w:rPr>
        <w:t>commented</w:t>
      </w:r>
      <w:r w:rsidRPr="005635D8">
        <w:rPr>
          <w:rFonts w:ascii="Calibri" w:hAnsi="Calibri"/>
          <w:lang w:val="en-GB"/>
        </w:rPr>
        <w:t>.</w:t>
      </w:r>
    </w:p>
    <w:p w:rsidR="005C4D3D" w:rsidRPr="005635D8" w:rsidRDefault="005C4D3D" w:rsidP="00621ABD">
      <w:pPr>
        <w:pStyle w:val="Heading1"/>
      </w:pPr>
    </w:p>
    <w:p w:rsidR="00FC19C5" w:rsidRPr="005635D8" w:rsidRDefault="005C4D3D" w:rsidP="001E4C5D">
      <w:pPr>
        <w:pStyle w:val="Heading3"/>
        <w:rPr>
          <w:lang w:val="en-GB"/>
        </w:rPr>
      </w:pPr>
      <w:bookmarkStart w:id="6" w:name="_Toc362267252"/>
      <w:r w:rsidRPr="005635D8">
        <w:rPr>
          <w:lang w:val="en-GB"/>
        </w:rPr>
        <w:t xml:space="preserve">1.1 </w:t>
      </w:r>
      <w:r w:rsidR="00030951" w:rsidRPr="005635D8">
        <w:rPr>
          <w:lang w:val="en-GB"/>
        </w:rPr>
        <w:t>Background</w:t>
      </w:r>
      <w:bookmarkEnd w:id="6"/>
    </w:p>
    <w:p w:rsidR="00A57032" w:rsidRDefault="00384929" w:rsidP="00986C15">
      <w:pPr>
        <w:autoSpaceDE w:val="0"/>
        <w:autoSpaceDN w:val="0"/>
        <w:adjustRightInd w:val="0"/>
        <w:spacing w:after="0"/>
        <w:jc w:val="both"/>
        <w:rPr>
          <w:rFonts w:ascii="Calibri" w:hAnsi="Calibri"/>
          <w:lang w:val="en-GB"/>
        </w:rPr>
      </w:pPr>
      <w:r w:rsidRPr="005635D8">
        <w:rPr>
          <w:rFonts w:ascii="Calibri" w:hAnsi="Calibri"/>
          <w:lang w:val="en-GB"/>
        </w:rPr>
        <w:t>During</w:t>
      </w:r>
      <w:r w:rsidR="00F41FA7" w:rsidRPr="005635D8">
        <w:rPr>
          <w:rFonts w:ascii="Calibri" w:hAnsi="Calibri"/>
          <w:lang w:val="en-GB"/>
        </w:rPr>
        <w:t xml:space="preserve"> the last decade many financial scandals have occurred all over the world involving certain types of accounting fraud or manipulation of financial reports</w:t>
      </w:r>
      <w:r w:rsidR="008108C4" w:rsidRPr="005635D8">
        <w:rPr>
          <w:rFonts w:ascii="Calibri" w:hAnsi="Calibri"/>
          <w:lang w:val="en-GB"/>
        </w:rPr>
        <w:t xml:space="preserve"> by managements of companies</w:t>
      </w:r>
      <w:r w:rsidR="00F41FA7" w:rsidRPr="005635D8">
        <w:rPr>
          <w:rFonts w:ascii="Calibri" w:hAnsi="Calibri"/>
          <w:lang w:val="en-GB"/>
        </w:rPr>
        <w:t xml:space="preserve">. </w:t>
      </w:r>
      <w:r w:rsidR="008108C4" w:rsidRPr="005635D8">
        <w:rPr>
          <w:rFonts w:ascii="Calibri" w:hAnsi="Calibri"/>
          <w:lang w:val="en-GB"/>
        </w:rPr>
        <w:t>These scandals cause</w:t>
      </w:r>
      <w:r w:rsidR="00F84E96" w:rsidRPr="005635D8">
        <w:rPr>
          <w:rFonts w:ascii="Calibri" w:hAnsi="Calibri"/>
          <w:lang w:val="en-GB"/>
        </w:rPr>
        <w:t>d</w:t>
      </w:r>
      <w:r w:rsidR="008108C4" w:rsidRPr="005635D8">
        <w:rPr>
          <w:rFonts w:ascii="Calibri" w:hAnsi="Calibri"/>
          <w:lang w:val="en-GB"/>
        </w:rPr>
        <w:t xml:space="preserve"> much damage to the financial system and the interests of creditors and shareholders of the companies involv</w:t>
      </w:r>
      <w:r w:rsidRPr="005635D8">
        <w:rPr>
          <w:rFonts w:ascii="Calibri" w:hAnsi="Calibri"/>
          <w:lang w:val="en-GB"/>
        </w:rPr>
        <w:t>ed were</w:t>
      </w:r>
      <w:r w:rsidR="0069214F" w:rsidRPr="005635D8">
        <w:rPr>
          <w:rFonts w:ascii="Calibri" w:hAnsi="Calibri"/>
          <w:lang w:val="en-GB"/>
        </w:rPr>
        <w:t xml:space="preserve"> damaged by those activities. Shareholders assume to receive returns on their investment in a corporation whereas managers are concerned about their benefit, promotion, and reputation. </w:t>
      </w:r>
      <w:r w:rsidR="00F84E96" w:rsidRPr="005635D8">
        <w:rPr>
          <w:rFonts w:ascii="Calibri" w:hAnsi="Calibri"/>
          <w:lang w:val="en-GB"/>
        </w:rPr>
        <w:t xml:space="preserve">Immoral activities of executives, accountants and auditors can be considered at the </w:t>
      </w:r>
      <w:r w:rsidR="005635D8" w:rsidRPr="005635D8">
        <w:rPr>
          <w:rFonts w:ascii="Calibri" w:hAnsi="Calibri"/>
          <w:lang w:val="en-GB"/>
        </w:rPr>
        <w:t>centre</w:t>
      </w:r>
      <w:r w:rsidR="00F84E96" w:rsidRPr="005635D8">
        <w:rPr>
          <w:rFonts w:ascii="Calibri" w:hAnsi="Calibri"/>
          <w:lang w:val="en-GB"/>
        </w:rPr>
        <w:t xml:space="preserve"> of the scandals. Changing market attitudes and deficiencies in </w:t>
      </w:r>
      <w:r w:rsidR="002B0FA1" w:rsidRPr="005635D8">
        <w:rPr>
          <w:rFonts w:ascii="Calibri" w:hAnsi="Calibri"/>
          <w:lang w:val="en-GB"/>
        </w:rPr>
        <w:t xml:space="preserve">the </w:t>
      </w:r>
      <w:r w:rsidR="00F84E96" w:rsidRPr="005635D8">
        <w:rPr>
          <w:rFonts w:ascii="Calibri" w:hAnsi="Calibri"/>
          <w:lang w:val="en-GB"/>
        </w:rPr>
        <w:t xml:space="preserve">controlling mechanisms </w:t>
      </w:r>
      <w:r w:rsidR="002B0FA1" w:rsidRPr="005635D8">
        <w:rPr>
          <w:rFonts w:ascii="Calibri" w:hAnsi="Calibri"/>
          <w:lang w:val="en-GB"/>
        </w:rPr>
        <w:t xml:space="preserve">create </w:t>
      </w:r>
      <w:r w:rsidR="00F84E96" w:rsidRPr="005635D8">
        <w:rPr>
          <w:rFonts w:ascii="Calibri" w:hAnsi="Calibri"/>
          <w:lang w:val="en-GB"/>
        </w:rPr>
        <w:t>incentives to over</w:t>
      </w:r>
      <w:r w:rsidR="00CC33F3" w:rsidRPr="005635D8">
        <w:rPr>
          <w:rFonts w:ascii="Calibri" w:hAnsi="Calibri"/>
          <w:lang w:val="en-GB"/>
        </w:rPr>
        <w:t>r</w:t>
      </w:r>
      <w:r w:rsidR="00F84E96" w:rsidRPr="005635D8">
        <w:rPr>
          <w:rFonts w:ascii="Calibri" w:hAnsi="Calibri"/>
          <w:lang w:val="en-GB"/>
        </w:rPr>
        <w:t>ate prices and values of</w:t>
      </w:r>
      <w:r w:rsidR="00F41FA7" w:rsidRPr="005635D8">
        <w:rPr>
          <w:rFonts w:ascii="Calibri" w:hAnsi="Calibri"/>
          <w:lang w:val="en-GB"/>
        </w:rPr>
        <w:t xml:space="preserve"> </w:t>
      </w:r>
      <w:r w:rsidR="00F84E96" w:rsidRPr="005635D8">
        <w:rPr>
          <w:rFonts w:ascii="Calibri" w:hAnsi="Calibri"/>
          <w:lang w:val="en-GB"/>
        </w:rPr>
        <w:t>firms which created bubbles and finally a global financial crisis (Yilmaz et al. 2009, 142</w:t>
      </w:r>
      <w:r w:rsidR="007E773F" w:rsidRPr="005635D8">
        <w:rPr>
          <w:rFonts w:ascii="Calibri" w:hAnsi="Calibri"/>
          <w:lang w:val="en-GB"/>
        </w:rPr>
        <w:t>). In many of those scandals a</w:t>
      </w:r>
      <w:r w:rsidR="00F84E96" w:rsidRPr="005635D8">
        <w:rPr>
          <w:rFonts w:ascii="Calibri" w:hAnsi="Calibri"/>
          <w:lang w:val="en-GB"/>
        </w:rPr>
        <w:t xml:space="preserve"> specific type of</w:t>
      </w:r>
      <w:r w:rsidR="007E773F" w:rsidRPr="005635D8">
        <w:rPr>
          <w:rFonts w:ascii="Calibri" w:hAnsi="Calibri"/>
          <w:lang w:val="en-GB"/>
        </w:rPr>
        <w:t xml:space="preserve"> reporting manipulation called ‘earnings management’ was involved. Earnings</w:t>
      </w:r>
      <w:r w:rsidR="007E773F" w:rsidRPr="005635D8">
        <w:rPr>
          <w:rFonts w:ascii="Calibri" w:hAnsi="Calibri"/>
          <w:color w:val="000000"/>
          <w:lang w:val="en-GB"/>
        </w:rPr>
        <w:t xml:space="preserve"> </w:t>
      </w:r>
      <w:r w:rsidR="007E773F" w:rsidRPr="005635D8">
        <w:rPr>
          <w:rFonts w:ascii="Calibri" w:hAnsi="Calibri"/>
          <w:lang w:val="en-GB"/>
        </w:rPr>
        <w:t>management can be described as a strategy of generating accounting earnings, which is accomplished through managerial discretion over accounting choices and operating cash flows (Philips et al. 2003) as well as production and investment decisions that reduc</w:t>
      </w:r>
      <w:r w:rsidR="008C5DFC" w:rsidRPr="005635D8">
        <w:rPr>
          <w:rFonts w:ascii="Calibri" w:hAnsi="Calibri"/>
          <w:lang w:val="en-GB"/>
        </w:rPr>
        <w:t xml:space="preserve">e the variability of </w:t>
      </w:r>
      <w:r w:rsidR="002B0FA1" w:rsidRPr="005635D8">
        <w:rPr>
          <w:rFonts w:ascii="Calibri" w:hAnsi="Calibri"/>
          <w:lang w:val="en-GB"/>
        </w:rPr>
        <w:t xml:space="preserve">the published </w:t>
      </w:r>
      <w:r w:rsidR="008C5DFC" w:rsidRPr="005635D8">
        <w:rPr>
          <w:rFonts w:ascii="Calibri" w:hAnsi="Calibri"/>
          <w:lang w:val="en-GB"/>
        </w:rPr>
        <w:t>earnings (f</w:t>
      </w:r>
      <w:r w:rsidR="007E773F" w:rsidRPr="005635D8">
        <w:rPr>
          <w:rFonts w:ascii="Calibri" w:hAnsi="Calibri"/>
          <w:lang w:val="en-GB"/>
        </w:rPr>
        <w:t>urther defined in chapter 3).</w:t>
      </w:r>
      <w:r w:rsidR="00EF6AC4" w:rsidRPr="005635D8">
        <w:rPr>
          <w:rFonts w:ascii="Calibri" w:hAnsi="Calibri"/>
          <w:lang w:val="en-GB"/>
        </w:rPr>
        <w:t xml:space="preserve"> Under normal circumstances accurately provided reports about earnings and other financial facts provide shareholders with the opportunity to </w:t>
      </w:r>
      <w:r w:rsidR="002B0FA1" w:rsidRPr="005635D8">
        <w:rPr>
          <w:rFonts w:ascii="Calibri" w:hAnsi="Calibri"/>
          <w:lang w:val="en-GB"/>
        </w:rPr>
        <w:t xml:space="preserve">decide </w:t>
      </w:r>
      <w:r w:rsidR="00EF6AC4" w:rsidRPr="005635D8">
        <w:rPr>
          <w:rFonts w:ascii="Calibri" w:hAnsi="Calibri"/>
          <w:lang w:val="en-GB"/>
        </w:rPr>
        <w:t xml:space="preserve">based on correct information. In addition, </w:t>
      </w:r>
      <w:r w:rsidR="002B0FA1" w:rsidRPr="005635D8">
        <w:rPr>
          <w:rFonts w:ascii="Calibri" w:hAnsi="Calibri"/>
          <w:lang w:val="en-GB"/>
        </w:rPr>
        <w:t xml:space="preserve">in order to create effective contracts, taking into account that within contracts not all future contingencies are specified, </w:t>
      </w:r>
      <w:r w:rsidR="00EF6AC4" w:rsidRPr="005635D8">
        <w:rPr>
          <w:rFonts w:ascii="Calibri" w:hAnsi="Calibri"/>
          <w:lang w:val="en-GB"/>
        </w:rPr>
        <w:t xml:space="preserve">earning statistics are needed. This leaves room for managers to manage their expected earnings especially under changing economic circumstances. Companies attempted to present financial statements that </w:t>
      </w:r>
      <w:r w:rsidR="002B0FA1" w:rsidRPr="005635D8">
        <w:rPr>
          <w:rFonts w:ascii="Calibri" w:hAnsi="Calibri"/>
          <w:lang w:val="en-GB"/>
        </w:rPr>
        <w:t xml:space="preserve">with regard to the future </w:t>
      </w:r>
      <w:r w:rsidR="00EF6AC4" w:rsidRPr="005635D8">
        <w:rPr>
          <w:rFonts w:ascii="Calibri" w:hAnsi="Calibri"/>
          <w:lang w:val="en-GB"/>
        </w:rPr>
        <w:t xml:space="preserve">show an overly optimistic view of the company’s financial situation. </w:t>
      </w:r>
      <w:r w:rsidR="0049557A" w:rsidRPr="005635D8">
        <w:rPr>
          <w:rFonts w:ascii="Calibri" w:hAnsi="Calibri"/>
          <w:lang w:val="en-GB"/>
        </w:rPr>
        <w:t>Consequently</w:t>
      </w:r>
      <w:r w:rsidR="00A57032" w:rsidRPr="005635D8">
        <w:rPr>
          <w:rFonts w:ascii="Calibri" w:hAnsi="Calibri"/>
          <w:lang w:val="en-GB"/>
        </w:rPr>
        <w:t>, a fundamental</w:t>
      </w:r>
      <w:r w:rsidR="00A57032" w:rsidRPr="005635D8">
        <w:rPr>
          <w:rFonts w:ascii="Calibri" w:hAnsi="Calibri"/>
          <w:color w:val="000000"/>
          <w:lang w:val="en-GB"/>
        </w:rPr>
        <w:t xml:space="preserve"> </w:t>
      </w:r>
      <w:r w:rsidR="00A57032" w:rsidRPr="005635D8">
        <w:rPr>
          <w:rFonts w:ascii="Calibri" w:hAnsi="Calibri"/>
          <w:lang w:val="en-GB"/>
        </w:rPr>
        <w:t xml:space="preserve">uncertainty about the value of the assets of firms </w:t>
      </w:r>
      <w:r w:rsidR="0049557A" w:rsidRPr="005635D8">
        <w:rPr>
          <w:rFonts w:ascii="Calibri" w:hAnsi="Calibri"/>
          <w:lang w:val="en-GB"/>
        </w:rPr>
        <w:t xml:space="preserve">arose that </w:t>
      </w:r>
      <w:r w:rsidR="00A57032" w:rsidRPr="005635D8">
        <w:rPr>
          <w:rFonts w:ascii="Calibri" w:hAnsi="Calibri"/>
          <w:lang w:val="en-GB"/>
        </w:rPr>
        <w:t>partly caused the financial crisis (Heemskerk 2009, 64).</w:t>
      </w:r>
    </w:p>
    <w:p w:rsidR="00A16D76" w:rsidRPr="005635D8" w:rsidRDefault="00A16D76" w:rsidP="00986C15">
      <w:pPr>
        <w:autoSpaceDE w:val="0"/>
        <w:autoSpaceDN w:val="0"/>
        <w:adjustRightInd w:val="0"/>
        <w:spacing w:after="0"/>
        <w:jc w:val="both"/>
        <w:rPr>
          <w:rFonts w:ascii="Calibri" w:hAnsi="Calibri"/>
          <w:lang w:val="en-GB"/>
        </w:rPr>
      </w:pPr>
    </w:p>
    <w:p w:rsidR="005921BE" w:rsidRPr="005635D8" w:rsidRDefault="00F41FA7" w:rsidP="00986C15">
      <w:pPr>
        <w:autoSpaceDE w:val="0"/>
        <w:autoSpaceDN w:val="0"/>
        <w:adjustRightInd w:val="0"/>
        <w:spacing w:after="0"/>
        <w:jc w:val="both"/>
        <w:rPr>
          <w:rFonts w:ascii="Calibri" w:hAnsi="Calibri"/>
          <w:lang w:val="en-GB"/>
        </w:rPr>
      </w:pPr>
      <w:r w:rsidRPr="005635D8">
        <w:rPr>
          <w:rFonts w:ascii="Calibri" w:hAnsi="Calibri"/>
          <w:lang w:val="en-GB"/>
        </w:rPr>
        <w:t>Parmalat and Enron are particular</w:t>
      </w:r>
      <w:r w:rsidR="00E36C3D" w:rsidRPr="005635D8">
        <w:rPr>
          <w:rFonts w:ascii="Calibri" w:hAnsi="Calibri"/>
          <w:lang w:val="en-GB"/>
        </w:rPr>
        <w:t xml:space="preserve"> international</w:t>
      </w:r>
      <w:r w:rsidRPr="005635D8">
        <w:rPr>
          <w:rFonts w:ascii="Calibri" w:hAnsi="Calibri"/>
          <w:lang w:val="en-GB"/>
        </w:rPr>
        <w:t xml:space="preserve"> illus</w:t>
      </w:r>
      <w:r w:rsidR="00E36C3D" w:rsidRPr="005635D8">
        <w:rPr>
          <w:rFonts w:ascii="Calibri" w:hAnsi="Calibri"/>
          <w:lang w:val="en-GB"/>
        </w:rPr>
        <w:t xml:space="preserve">trations of the use of earnings </w:t>
      </w:r>
      <w:r w:rsidRPr="005635D8">
        <w:rPr>
          <w:rFonts w:ascii="Calibri" w:hAnsi="Calibri"/>
          <w:lang w:val="en-GB"/>
        </w:rPr>
        <w:t>management. Parmalat is an Italian company manufacturing dairy products and fruit-based beverages</w:t>
      </w:r>
      <w:r w:rsidR="00E36C3D" w:rsidRPr="005635D8">
        <w:rPr>
          <w:rFonts w:ascii="Calibri" w:hAnsi="Calibri"/>
          <w:lang w:val="en-GB"/>
        </w:rPr>
        <w:t>. This company</w:t>
      </w:r>
      <w:r w:rsidRPr="005635D8">
        <w:rPr>
          <w:rFonts w:ascii="Calibri" w:hAnsi="Calibri"/>
          <w:lang w:val="en-GB"/>
        </w:rPr>
        <w:t xml:space="preserve"> reported bank </w:t>
      </w:r>
      <w:r w:rsidR="006C64FE" w:rsidRPr="005635D8">
        <w:rPr>
          <w:rFonts w:ascii="Calibri" w:hAnsi="Calibri"/>
          <w:lang w:val="en-GB"/>
        </w:rPr>
        <w:t>possessions</w:t>
      </w:r>
      <w:r w:rsidR="0049557A" w:rsidRPr="005635D8">
        <w:rPr>
          <w:rFonts w:ascii="Calibri" w:hAnsi="Calibri"/>
          <w:lang w:val="en-GB"/>
        </w:rPr>
        <w:t xml:space="preserve"> </w:t>
      </w:r>
      <w:r w:rsidRPr="005635D8">
        <w:rPr>
          <w:rFonts w:ascii="Calibri" w:hAnsi="Calibri"/>
          <w:lang w:val="en-GB"/>
        </w:rPr>
        <w:t>that in reality did not exist. On the other hand, Enron, which was an American energy company, lied about its revenues and did not place debts in the firm’s accounts that create</w:t>
      </w:r>
      <w:r w:rsidR="00E36C3D" w:rsidRPr="005635D8">
        <w:rPr>
          <w:rFonts w:ascii="Calibri" w:hAnsi="Calibri"/>
          <w:lang w:val="en-GB"/>
        </w:rPr>
        <w:t>d</w:t>
      </w:r>
      <w:r w:rsidRPr="005635D8">
        <w:rPr>
          <w:rFonts w:ascii="Calibri" w:hAnsi="Calibri"/>
          <w:lang w:val="en-GB"/>
        </w:rPr>
        <w:t xml:space="preserve"> a bankruptcy. </w:t>
      </w:r>
      <w:r w:rsidR="00E36C3D" w:rsidRPr="005635D8">
        <w:rPr>
          <w:rFonts w:ascii="Calibri" w:hAnsi="Calibri"/>
          <w:lang w:val="en-GB"/>
        </w:rPr>
        <w:t>Many other companies among which Freddie Mac, Halliburton, Worldcom, Norel, Madoff Investment Securities, Anglo Irish Bank and Lehman Brothers were involved in earnings management scandals (Forbes 2013)</w:t>
      </w:r>
      <w:r w:rsidR="005921BE" w:rsidRPr="005635D8">
        <w:rPr>
          <w:rFonts w:ascii="Calibri" w:hAnsi="Calibri"/>
          <w:lang w:val="en-GB"/>
        </w:rPr>
        <w:t xml:space="preserve">. </w:t>
      </w:r>
      <w:r w:rsidR="0049557A" w:rsidRPr="005635D8">
        <w:rPr>
          <w:rFonts w:ascii="Calibri" w:hAnsi="Calibri"/>
          <w:lang w:val="en-GB"/>
        </w:rPr>
        <w:t>In addition i</w:t>
      </w:r>
      <w:r w:rsidR="0069214F" w:rsidRPr="005635D8">
        <w:rPr>
          <w:rFonts w:ascii="Calibri" w:hAnsi="Calibri"/>
          <w:lang w:val="en-GB"/>
        </w:rPr>
        <w:t xml:space="preserve">n the Netherlands several companies were involved in accounting scandals. </w:t>
      </w:r>
      <w:r w:rsidR="002F3A30" w:rsidRPr="005635D8">
        <w:rPr>
          <w:rFonts w:ascii="Calibri" w:hAnsi="Calibri"/>
          <w:lang w:val="en-GB"/>
        </w:rPr>
        <w:t xml:space="preserve">The biggest scandal occurred with the Dutch/US based company Ahold. </w:t>
      </w:r>
      <w:r w:rsidR="00A57032" w:rsidRPr="005635D8">
        <w:rPr>
          <w:rFonts w:ascii="Calibri" w:hAnsi="Calibri"/>
          <w:lang w:val="en-GB"/>
        </w:rPr>
        <w:t xml:space="preserve">The scary thing is that Ahold seemed to meet all the criteria of corporate governance. But this could not prevent a major accountancy scandal in which </w:t>
      </w:r>
      <w:r w:rsidR="0049557A" w:rsidRPr="005635D8">
        <w:rPr>
          <w:rFonts w:ascii="Calibri" w:hAnsi="Calibri"/>
          <w:lang w:val="en-GB"/>
        </w:rPr>
        <w:t xml:space="preserve">the Chief </w:t>
      </w:r>
      <w:r w:rsidR="00CC33F3" w:rsidRPr="005635D8">
        <w:rPr>
          <w:rFonts w:ascii="Calibri" w:hAnsi="Calibri"/>
          <w:lang w:val="en-GB"/>
        </w:rPr>
        <w:t>Executive</w:t>
      </w:r>
      <w:r w:rsidR="0049557A" w:rsidRPr="005635D8">
        <w:rPr>
          <w:rFonts w:ascii="Calibri" w:hAnsi="Calibri"/>
          <w:lang w:val="en-GB"/>
        </w:rPr>
        <w:t xml:space="preserve"> Officer (</w:t>
      </w:r>
      <w:r w:rsidR="00A57032" w:rsidRPr="005635D8">
        <w:rPr>
          <w:rFonts w:ascii="Calibri" w:hAnsi="Calibri"/>
          <w:lang w:val="en-GB"/>
        </w:rPr>
        <w:t>CEO</w:t>
      </w:r>
      <w:r w:rsidR="0049557A" w:rsidRPr="005635D8">
        <w:rPr>
          <w:rFonts w:ascii="Calibri" w:hAnsi="Calibri"/>
          <w:lang w:val="en-GB"/>
        </w:rPr>
        <w:t>)</w:t>
      </w:r>
      <w:r w:rsidR="00A57032" w:rsidRPr="005635D8">
        <w:rPr>
          <w:rFonts w:ascii="Calibri" w:hAnsi="Calibri"/>
          <w:lang w:val="en-GB"/>
        </w:rPr>
        <w:t xml:space="preserve"> van der Hoeven and C</w:t>
      </w:r>
      <w:r w:rsidR="0049557A" w:rsidRPr="005635D8">
        <w:rPr>
          <w:rFonts w:ascii="Calibri" w:hAnsi="Calibri"/>
          <w:lang w:val="en-GB"/>
        </w:rPr>
        <w:t>hief Financial Officer (C</w:t>
      </w:r>
      <w:r w:rsidR="00A57032" w:rsidRPr="005635D8">
        <w:rPr>
          <w:rFonts w:ascii="Calibri" w:hAnsi="Calibri"/>
          <w:lang w:val="en-GB"/>
        </w:rPr>
        <w:t>FO</w:t>
      </w:r>
      <w:r w:rsidR="0049557A" w:rsidRPr="005635D8">
        <w:rPr>
          <w:rFonts w:ascii="Calibri" w:hAnsi="Calibri"/>
          <w:lang w:val="en-GB"/>
        </w:rPr>
        <w:t>)</w:t>
      </w:r>
      <w:r w:rsidR="00A57032" w:rsidRPr="005635D8">
        <w:rPr>
          <w:rFonts w:ascii="Calibri" w:hAnsi="Calibri"/>
          <w:lang w:val="en-GB"/>
        </w:rPr>
        <w:t xml:space="preserve"> Meurs were convicted (Heemskerk </w:t>
      </w:r>
      <w:r w:rsidR="005921BE" w:rsidRPr="005635D8">
        <w:rPr>
          <w:rFonts w:ascii="Calibri" w:hAnsi="Calibri"/>
          <w:lang w:val="en-GB"/>
        </w:rPr>
        <w:t>2009, 6</w:t>
      </w:r>
      <w:r w:rsidR="0068000E" w:rsidRPr="005635D8">
        <w:rPr>
          <w:rFonts w:ascii="Calibri" w:hAnsi="Calibri"/>
          <w:lang w:val="en-GB"/>
        </w:rPr>
        <w:t>7</w:t>
      </w:r>
      <w:r w:rsidR="005921BE" w:rsidRPr="005635D8">
        <w:rPr>
          <w:rFonts w:ascii="Calibri" w:hAnsi="Calibri"/>
          <w:lang w:val="en-GB"/>
        </w:rPr>
        <w:t>)</w:t>
      </w:r>
      <w:r w:rsidR="00A57032" w:rsidRPr="005635D8">
        <w:rPr>
          <w:rFonts w:ascii="Calibri" w:hAnsi="Calibri"/>
          <w:lang w:val="en-GB"/>
        </w:rPr>
        <w:t>.</w:t>
      </w:r>
      <w:r w:rsidR="005921BE" w:rsidRPr="005635D8">
        <w:rPr>
          <w:rFonts w:ascii="Calibri" w:hAnsi="Calibri"/>
          <w:lang w:val="en-GB"/>
        </w:rPr>
        <w:t xml:space="preserve"> </w:t>
      </w:r>
      <w:r w:rsidR="0049557A" w:rsidRPr="005635D8">
        <w:rPr>
          <w:rFonts w:ascii="Calibri" w:hAnsi="Calibri"/>
          <w:lang w:val="en-GB"/>
        </w:rPr>
        <w:t xml:space="preserve">In addition, due to financial mismanagement </w:t>
      </w:r>
      <w:r w:rsidR="005921BE" w:rsidRPr="005635D8">
        <w:rPr>
          <w:rFonts w:ascii="Calibri" w:hAnsi="Calibri"/>
          <w:lang w:val="en-GB"/>
        </w:rPr>
        <w:t>the taking over of Dutch bank</w:t>
      </w:r>
      <w:r w:rsidR="008C5DFC" w:rsidRPr="005635D8">
        <w:rPr>
          <w:rFonts w:ascii="Calibri" w:hAnsi="Calibri"/>
          <w:lang w:val="en-GB"/>
        </w:rPr>
        <w:t>s</w:t>
      </w:r>
      <w:r w:rsidR="005921BE" w:rsidRPr="005635D8">
        <w:rPr>
          <w:rFonts w:ascii="Calibri" w:hAnsi="Calibri"/>
          <w:lang w:val="en-GB"/>
        </w:rPr>
        <w:t xml:space="preserve"> like ABN-AMRO and Fortis caused major problems. </w:t>
      </w:r>
      <w:r w:rsidR="0069214F" w:rsidRPr="005635D8">
        <w:rPr>
          <w:rFonts w:ascii="Calibri" w:hAnsi="Calibri"/>
          <w:lang w:val="en-GB"/>
        </w:rPr>
        <w:t xml:space="preserve">Furthermore, the public resentment against officials of financial institutions and managers of big companies </w:t>
      </w:r>
      <w:r w:rsidR="005921BE" w:rsidRPr="005635D8">
        <w:rPr>
          <w:rFonts w:ascii="Calibri" w:hAnsi="Calibri"/>
          <w:lang w:val="en-GB"/>
        </w:rPr>
        <w:t>in the Netherlands</w:t>
      </w:r>
      <w:r w:rsidR="0049557A" w:rsidRPr="005635D8">
        <w:rPr>
          <w:rFonts w:ascii="Calibri" w:hAnsi="Calibri"/>
          <w:lang w:val="en-GB"/>
        </w:rPr>
        <w:t xml:space="preserve"> is high</w:t>
      </w:r>
      <w:r w:rsidR="0069214F" w:rsidRPr="005635D8">
        <w:rPr>
          <w:rFonts w:ascii="Calibri" w:hAnsi="Calibri"/>
          <w:lang w:val="en-GB"/>
        </w:rPr>
        <w:t xml:space="preserve">. </w:t>
      </w:r>
      <w:r w:rsidR="0049557A" w:rsidRPr="005635D8">
        <w:rPr>
          <w:rFonts w:ascii="Calibri" w:hAnsi="Calibri"/>
          <w:lang w:val="en-GB"/>
        </w:rPr>
        <w:t>In spite of several measures that should have brought the increasing rise of incomes of top managers to a hold, t</w:t>
      </w:r>
      <w:r w:rsidR="002F3A30" w:rsidRPr="005635D8">
        <w:rPr>
          <w:rFonts w:ascii="Calibri" w:hAnsi="Calibri"/>
          <w:lang w:val="en-GB"/>
        </w:rPr>
        <w:t>he income differences between the managers of big companies and the normal employees are increasingly growing</w:t>
      </w:r>
      <w:r w:rsidR="0049557A" w:rsidRPr="005635D8">
        <w:rPr>
          <w:rFonts w:ascii="Calibri" w:hAnsi="Calibri"/>
          <w:lang w:val="en-GB"/>
        </w:rPr>
        <w:t>.</w:t>
      </w:r>
      <w:r w:rsidR="008C5DFC" w:rsidRPr="005635D8">
        <w:rPr>
          <w:rFonts w:ascii="Calibri" w:hAnsi="Calibri"/>
          <w:lang w:val="en-GB"/>
        </w:rPr>
        <w:t xml:space="preserve"> </w:t>
      </w:r>
      <w:r w:rsidR="005921BE" w:rsidRPr="005635D8">
        <w:rPr>
          <w:rFonts w:ascii="Calibri" w:hAnsi="Calibri"/>
          <w:lang w:val="en-GB"/>
        </w:rPr>
        <w:t xml:space="preserve">Attention to good governance seems not to help. </w:t>
      </w:r>
      <w:r w:rsidR="00EB6432" w:rsidRPr="005635D8">
        <w:rPr>
          <w:rFonts w:ascii="Calibri" w:hAnsi="Calibri"/>
          <w:lang w:val="en-GB"/>
        </w:rPr>
        <w:t>Due to these scandals the reliability</w:t>
      </w:r>
      <w:r w:rsidR="007E773F" w:rsidRPr="005635D8">
        <w:rPr>
          <w:rFonts w:ascii="Calibri" w:hAnsi="Calibri"/>
          <w:lang w:val="en-GB"/>
        </w:rPr>
        <w:t xml:space="preserve"> and the quality</w:t>
      </w:r>
      <w:r w:rsidR="00EB6432" w:rsidRPr="005635D8">
        <w:rPr>
          <w:rFonts w:ascii="Calibri" w:hAnsi="Calibri"/>
          <w:lang w:val="en-GB"/>
        </w:rPr>
        <w:t xml:space="preserve"> of </w:t>
      </w:r>
      <w:r w:rsidR="008C5DFC" w:rsidRPr="005635D8">
        <w:rPr>
          <w:rFonts w:ascii="Calibri" w:hAnsi="Calibri"/>
          <w:lang w:val="en-GB"/>
        </w:rPr>
        <w:t xml:space="preserve">accounting </w:t>
      </w:r>
      <w:r w:rsidR="00EB6432" w:rsidRPr="005635D8">
        <w:rPr>
          <w:rFonts w:ascii="Calibri" w:hAnsi="Calibri"/>
          <w:lang w:val="en-GB"/>
        </w:rPr>
        <w:t>information is being questioned (Van</w:t>
      </w:r>
      <w:r w:rsidR="003173B3" w:rsidRPr="005635D8">
        <w:rPr>
          <w:rFonts w:ascii="Calibri" w:hAnsi="Calibri"/>
          <w:lang w:val="en-GB"/>
        </w:rPr>
        <w:t xml:space="preserve"> </w:t>
      </w:r>
      <w:r w:rsidR="005921BE" w:rsidRPr="005635D8">
        <w:rPr>
          <w:rFonts w:ascii="Calibri" w:hAnsi="Calibri"/>
          <w:lang w:val="en-GB"/>
        </w:rPr>
        <w:t>der Bauwhede 2003).</w:t>
      </w:r>
    </w:p>
    <w:p w:rsidR="005921BE" w:rsidRPr="005635D8" w:rsidRDefault="005921BE" w:rsidP="001025B4">
      <w:pPr>
        <w:pStyle w:val="BodyTextIndent"/>
        <w:ind w:left="0"/>
        <w:jc w:val="both"/>
        <w:rPr>
          <w:rFonts w:ascii="Calibri" w:hAnsi="Calibri"/>
          <w:color w:val="000000"/>
          <w:lang w:val="en-GB"/>
        </w:rPr>
      </w:pPr>
    </w:p>
    <w:p w:rsidR="00EB6432" w:rsidRDefault="0049557A" w:rsidP="00986C15">
      <w:pPr>
        <w:autoSpaceDE w:val="0"/>
        <w:autoSpaceDN w:val="0"/>
        <w:adjustRightInd w:val="0"/>
        <w:spacing w:after="0"/>
        <w:jc w:val="both"/>
        <w:rPr>
          <w:rFonts w:ascii="Calibri" w:hAnsi="Calibri"/>
          <w:lang w:val="en-GB"/>
        </w:rPr>
      </w:pPr>
      <w:r w:rsidRPr="005635D8">
        <w:rPr>
          <w:rFonts w:ascii="Calibri" w:hAnsi="Calibri"/>
          <w:lang w:val="en-GB"/>
        </w:rPr>
        <w:t>In order to create that the published financial information is more reliable o</w:t>
      </w:r>
      <w:r w:rsidR="00762C7E" w:rsidRPr="005635D8">
        <w:rPr>
          <w:rFonts w:ascii="Calibri" w:hAnsi="Calibri"/>
          <w:lang w:val="en-GB"/>
        </w:rPr>
        <w:t xml:space="preserve">ne of the reactions of the financial markets and governments to accountings scandal was the call for higher quality standards in </w:t>
      </w:r>
      <w:r w:rsidRPr="005635D8">
        <w:rPr>
          <w:rFonts w:ascii="Calibri" w:hAnsi="Calibri"/>
          <w:lang w:val="en-GB"/>
        </w:rPr>
        <w:t xml:space="preserve">financial </w:t>
      </w:r>
      <w:r w:rsidR="00762C7E" w:rsidRPr="005635D8">
        <w:rPr>
          <w:rFonts w:ascii="Calibri" w:hAnsi="Calibri"/>
          <w:lang w:val="en-GB"/>
        </w:rPr>
        <w:t xml:space="preserve">accounting. </w:t>
      </w:r>
      <w:r w:rsidR="00EB6432" w:rsidRPr="005635D8">
        <w:rPr>
          <w:rFonts w:ascii="Calibri" w:hAnsi="Calibri"/>
          <w:lang w:val="en-GB"/>
        </w:rPr>
        <w:t xml:space="preserve">Adopting high quality standards might </w:t>
      </w:r>
      <w:r w:rsidRPr="005635D8">
        <w:rPr>
          <w:rFonts w:ascii="Calibri" w:hAnsi="Calibri"/>
          <w:lang w:val="en-GB"/>
        </w:rPr>
        <w:t xml:space="preserve">create </w:t>
      </w:r>
      <w:r w:rsidR="00EB6432" w:rsidRPr="005635D8">
        <w:rPr>
          <w:rFonts w:ascii="Calibri" w:hAnsi="Calibri"/>
          <w:lang w:val="en-GB"/>
        </w:rPr>
        <w:t xml:space="preserve">high quality financial information (Ball et al. 2003). To increase the quality of </w:t>
      </w:r>
      <w:r w:rsidRPr="005635D8">
        <w:rPr>
          <w:rFonts w:ascii="Calibri" w:hAnsi="Calibri"/>
          <w:lang w:val="en-GB"/>
        </w:rPr>
        <w:t xml:space="preserve">the </w:t>
      </w:r>
      <w:r w:rsidR="00CC33F3" w:rsidRPr="005635D8">
        <w:rPr>
          <w:rFonts w:ascii="Calibri" w:hAnsi="Calibri"/>
          <w:lang w:val="en-GB"/>
        </w:rPr>
        <w:t>f</w:t>
      </w:r>
      <w:r w:rsidR="00EB6432" w:rsidRPr="005635D8">
        <w:rPr>
          <w:rFonts w:ascii="Calibri" w:hAnsi="Calibri"/>
          <w:lang w:val="en-GB"/>
        </w:rPr>
        <w:t xml:space="preserve">inancial statements and </w:t>
      </w:r>
      <w:r w:rsidRPr="005635D8">
        <w:rPr>
          <w:rFonts w:ascii="Calibri" w:hAnsi="Calibri"/>
          <w:lang w:val="en-GB"/>
        </w:rPr>
        <w:t xml:space="preserve">the </w:t>
      </w:r>
      <w:r w:rsidR="00EB6432" w:rsidRPr="005635D8">
        <w:rPr>
          <w:rFonts w:ascii="Calibri" w:hAnsi="Calibri"/>
          <w:lang w:val="en-GB"/>
        </w:rPr>
        <w:t>corporate governance the regulators enacted for instance in the US the Sarbanes-Oxley Act (SOX) and in the Netherlands the ‘Tabaksblat</w:t>
      </w:r>
      <w:r w:rsidRPr="005635D8">
        <w:rPr>
          <w:rFonts w:ascii="Calibri" w:hAnsi="Calibri"/>
          <w:lang w:val="en-GB"/>
        </w:rPr>
        <w:t xml:space="preserve"> Code</w:t>
      </w:r>
      <w:r w:rsidR="00EB6432" w:rsidRPr="005635D8">
        <w:rPr>
          <w:rFonts w:ascii="Calibri" w:hAnsi="Calibri"/>
          <w:lang w:val="en-GB"/>
        </w:rPr>
        <w:t xml:space="preserve">’. </w:t>
      </w:r>
      <w:r w:rsidR="00762C7E" w:rsidRPr="005635D8">
        <w:rPr>
          <w:rFonts w:ascii="Calibri" w:hAnsi="Calibri"/>
          <w:lang w:val="en-GB"/>
        </w:rPr>
        <w:t>However, even more important was</w:t>
      </w:r>
      <w:r w:rsidR="00EB6432" w:rsidRPr="005635D8">
        <w:rPr>
          <w:rFonts w:ascii="Calibri" w:hAnsi="Calibri"/>
          <w:lang w:val="en-GB"/>
        </w:rPr>
        <w:t xml:space="preserve"> the introduction of the International Financial Re</w:t>
      </w:r>
      <w:r w:rsidR="00762C7E" w:rsidRPr="005635D8">
        <w:rPr>
          <w:rFonts w:ascii="Calibri" w:hAnsi="Calibri"/>
          <w:lang w:val="en-GB"/>
        </w:rPr>
        <w:t>porting Standards (IFRS) from 2001 onwards which</w:t>
      </w:r>
      <w:r w:rsidR="00EB6432" w:rsidRPr="005635D8">
        <w:rPr>
          <w:rFonts w:ascii="Calibri" w:hAnsi="Calibri"/>
          <w:lang w:val="en-GB"/>
        </w:rPr>
        <w:t xml:space="preserve"> should provide</w:t>
      </w:r>
      <w:r w:rsidR="00762C7E" w:rsidRPr="005635D8">
        <w:rPr>
          <w:rFonts w:ascii="Calibri" w:hAnsi="Calibri"/>
          <w:lang w:val="en-GB"/>
        </w:rPr>
        <w:t xml:space="preserve"> for</w:t>
      </w:r>
      <w:r w:rsidR="00EB6432" w:rsidRPr="005635D8">
        <w:rPr>
          <w:rFonts w:ascii="Calibri" w:hAnsi="Calibri"/>
          <w:lang w:val="en-GB"/>
        </w:rPr>
        <w:t xml:space="preserve"> more reliable</w:t>
      </w:r>
      <w:r w:rsidR="00762C7E" w:rsidRPr="005635D8">
        <w:rPr>
          <w:rFonts w:ascii="Calibri" w:hAnsi="Calibri"/>
          <w:lang w:val="en-GB"/>
        </w:rPr>
        <w:t xml:space="preserve"> and better comparable</w:t>
      </w:r>
      <w:r w:rsidR="00EB6432" w:rsidRPr="005635D8">
        <w:rPr>
          <w:rFonts w:ascii="Calibri" w:hAnsi="Calibri"/>
          <w:lang w:val="en-GB"/>
        </w:rPr>
        <w:t xml:space="preserve"> </w:t>
      </w:r>
      <w:r w:rsidRPr="005635D8">
        <w:rPr>
          <w:rFonts w:ascii="Calibri" w:hAnsi="Calibri"/>
          <w:lang w:val="en-GB"/>
        </w:rPr>
        <w:t xml:space="preserve">financial </w:t>
      </w:r>
      <w:r w:rsidR="00EB6432" w:rsidRPr="005635D8">
        <w:rPr>
          <w:rFonts w:ascii="Calibri" w:hAnsi="Calibri"/>
          <w:lang w:val="en-GB"/>
        </w:rPr>
        <w:t xml:space="preserve">information for </w:t>
      </w:r>
      <w:r w:rsidRPr="005635D8">
        <w:rPr>
          <w:rFonts w:ascii="Calibri" w:hAnsi="Calibri"/>
          <w:lang w:val="en-GB"/>
        </w:rPr>
        <w:t xml:space="preserve">the </w:t>
      </w:r>
      <w:r w:rsidR="00EB6432" w:rsidRPr="005635D8">
        <w:rPr>
          <w:rFonts w:ascii="Calibri" w:hAnsi="Calibri"/>
          <w:lang w:val="en-GB"/>
        </w:rPr>
        <w:t xml:space="preserve">stakeholders. </w:t>
      </w:r>
      <w:r w:rsidR="001025B4" w:rsidRPr="005635D8">
        <w:rPr>
          <w:rFonts w:ascii="Calibri" w:hAnsi="Calibri"/>
          <w:lang w:val="en-GB"/>
        </w:rPr>
        <w:t>The IFRS are standards created by the International Accounting Standards Board (IASB)</w:t>
      </w:r>
      <w:r w:rsidR="005921BE" w:rsidRPr="005635D8">
        <w:rPr>
          <w:rFonts w:ascii="Calibri" w:hAnsi="Calibri"/>
          <w:lang w:val="en-GB"/>
        </w:rPr>
        <w:t xml:space="preserve">. </w:t>
      </w:r>
      <w:r w:rsidR="00EB6432" w:rsidRPr="005635D8">
        <w:rPr>
          <w:rFonts w:ascii="Calibri" w:hAnsi="Calibri"/>
          <w:lang w:val="en-GB"/>
        </w:rPr>
        <w:t xml:space="preserve">The main goals of IFRS </w:t>
      </w:r>
      <w:r w:rsidRPr="005635D8">
        <w:rPr>
          <w:rFonts w:ascii="Calibri" w:hAnsi="Calibri"/>
          <w:lang w:val="en-GB"/>
        </w:rPr>
        <w:t>are</w:t>
      </w:r>
      <w:r w:rsidR="00EB6432" w:rsidRPr="005635D8">
        <w:rPr>
          <w:rFonts w:ascii="Calibri" w:hAnsi="Calibri"/>
          <w:lang w:val="en-GB"/>
        </w:rPr>
        <w:t>:</w:t>
      </w:r>
    </w:p>
    <w:p w:rsidR="00A16D76" w:rsidRPr="005635D8" w:rsidRDefault="00A16D76" w:rsidP="00986C15">
      <w:pPr>
        <w:autoSpaceDE w:val="0"/>
        <w:autoSpaceDN w:val="0"/>
        <w:adjustRightInd w:val="0"/>
        <w:spacing w:after="0"/>
        <w:jc w:val="both"/>
        <w:rPr>
          <w:rFonts w:ascii="Calibri" w:hAnsi="Calibri"/>
          <w:lang w:val="en-GB"/>
        </w:rPr>
      </w:pPr>
    </w:p>
    <w:p w:rsidR="00EB6432" w:rsidRPr="005635D8" w:rsidRDefault="006C64FE" w:rsidP="00EB6432">
      <w:pPr>
        <w:pStyle w:val="BodyText2"/>
        <w:numPr>
          <w:ilvl w:val="0"/>
          <w:numId w:val="2"/>
        </w:numPr>
        <w:tabs>
          <w:tab w:val="clear" w:pos="360"/>
          <w:tab w:val="num" w:pos="420"/>
        </w:tabs>
        <w:spacing w:after="0" w:line="276" w:lineRule="auto"/>
        <w:ind w:left="420"/>
        <w:rPr>
          <w:rFonts w:ascii="Calibri" w:hAnsi="Calibri"/>
          <w:lang w:val="en-GB"/>
        </w:rPr>
      </w:pPr>
      <w:r w:rsidRPr="005635D8">
        <w:rPr>
          <w:rFonts w:ascii="Calibri" w:hAnsi="Calibri"/>
          <w:lang w:val="en-GB"/>
        </w:rPr>
        <w:t>To harmonize the international accounting standards</w:t>
      </w:r>
    </w:p>
    <w:p w:rsidR="00EB6432" w:rsidRPr="005635D8" w:rsidRDefault="00EB6432" w:rsidP="00EB6432">
      <w:pPr>
        <w:pStyle w:val="BodyText2"/>
        <w:numPr>
          <w:ilvl w:val="0"/>
          <w:numId w:val="2"/>
        </w:numPr>
        <w:tabs>
          <w:tab w:val="clear" w:pos="360"/>
          <w:tab w:val="num" w:pos="420"/>
        </w:tabs>
        <w:spacing w:after="0" w:line="276" w:lineRule="auto"/>
        <w:ind w:left="420"/>
        <w:rPr>
          <w:rFonts w:ascii="Calibri" w:hAnsi="Calibri"/>
          <w:lang w:val="en-GB"/>
        </w:rPr>
      </w:pPr>
      <w:r w:rsidRPr="005635D8">
        <w:rPr>
          <w:rFonts w:ascii="Calibri" w:hAnsi="Calibri"/>
          <w:lang w:val="en-GB"/>
        </w:rPr>
        <w:t xml:space="preserve">To improve </w:t>
      </w:r>
      <w:r w:rsidR="0049557A" w:rsidRPr="005635D8">
        <w:rPr>
          <w:rFonts w:ascii="Calibri" w:hAnsi="Calibri"/>
          <w:lang w:val="en-GB"/>
        </w:rPr>
        <w:t xml:space="preserve">the </w:t>
      </w:r>
      <w:r w:rsidRPr="005635D8">
        <w:rPr>
          <w:rFonts w:ascii="Calibri" w:hAnsi="Calibri"/>
          <w:lang w:val="en-GB"/>
        </w:rPr>
        <w:t xml:space="preserve">comparability of </w:t>
      </w:r>
      <w:r w:rsidR="0049557A" w:rsidRPr="005635D8">
        <w:rPr>
          <w:rFonts w:ascii="Calibri" w:hAnsi="Calibri"/>
          <w:lang w:val="en-GB"/>
        </w:rPr>
        <w:t xml:space="preserve">the </w:t>
      </w:r>
      <w:r w:rsidRPr="005635D8">
        <w:rPr>
          <w:rFonts w:ascii="Calibri" w:hAnsi="Calibri"/>
          <w:lang w:val="en-GB"/>
        </w:rPr>
        <w:t>financial statements</w:t>
      </w:r>
    </w:p>
    <w:p w:rsidR="00EB6432" w:rsidRPr="005635D8" w:rsidRDefault="00EB6432" w:rsidP="00EB6432">
      <w:pPr>
        <w:pStyle w:val="BodyText2"/>
        <w:numPr>
          <w:ilvl w:val="0"/>
          <w:numId w:val="2"/>
        </w:numPr>
        <w:tabs>
          <w:tab w:val="clear" w:pos="360"/>
          <w:tab w:val="num" w:pos="420"/>
        </w:tabs>
        <w:spacing w:after="0" w:line="276" w:lineRule="auto"/>
        <w:ind w:left="420"/>
        <w:rPr>
          <w:rFonts w:ascii="Calibri" w:hAnsi="Calibri"/>
          <w:lang w:val="en-GB"/>
        </w:rPr>
      </w:pPr>
      <w:r w:rsidRPr="005635D8">
        <w:rPr>
          <w:rFonts w:ascii="Calibri" w:hAnsi="Calibri"/>
          <w:lang w:val="en-GB"/>
        </w:rPr>
        <w:t xml:space="preserve">To increase the reliability and </w:t>
      </w:r>
      <w:r w:rsidR="0049557A" w:rsidRPr="005635D8">
        <w:rPr>
          <w:rFonts w:ascii="Calibri" w:hAnsi="Calibri"/>
          <w:lang w:val="en-GB"/>
        </w:rPr>
        <w:t xml:space="preserve">the </w:t>
      </w:r>
      <w:r w:rsidRPr="005635D8">
        <w:rPr>
          <w:rFonts w:ascii="Calibri" w:hAnsi="Calibri"/>
          <w:lang w:val="en-GB"/>
        </w:rPr>
        <w:t xml:space="preserve">transparency of </w:t>
      </w:r>
      <w:r w:rsidR="0049557A" w:rsidRPr="005635D8">
        <w:rPr>
          <w:rFonts w:ascii="Calibri" w:hAnsi="Calibri"/>
          <w:lang w:val="en-GB"/>
        </w:rPr>
        <w:t xml:space="preserve">the published </w:t>
      </w:r>
      <w:r w:rsidRPr="005635D8">
        <w:rPr>
          <w:rFonts w:ascii="Calibri" w:hAnsi="Calibri"/>
          <w:lang w:val="en-GB"/>
        </w:rPr>
        <w:t xml:space="preserve">financial information. </w:t>
      </w:r>
    </w:p>
    <w:p w:rsidR="00EB6432" w:rsidRPr="005635D8" w:rsidRDefault="00EB6432" w:rsidP="00EB6432">
      <w:pPr>
        <w:pStyle w:val="NoSpacing"/>
        <w:spacing w:line="276" w:lineRule="auto"/>
        <w:rPr>
          <w:rFonts w:ascii="Calibri" w:hAnsi="Calibri"/>
          <w:highlight w:val="cyan"/>
          <w:lang w:val="en-GB"/>
        </w:rPr>
      </w:pPr>
    </w:p>
    <w:p w:rsidR="00EB6432" w:rsidRPr="005635D8" w:rsidRDefault="00F41FA7" w:rsidP="00986C15">
      <w:pPr>
        <w:autoSpaceDE w:val="0"/>
        <w:autoSpaceDN w:val="0"/>
        <w:adjustRightInd w:val="0"/>
        <w:spacing w:after="0"/>
        <w:jc w:val="both"/>
        <w:rPr>
          <w:rFonts w:ascii="Calibri" w:hAnsi="Calibri"/>
          <w:lang w:val="en-GB"/>
        </w:rPr>
      </w:pPr>
      <w:r w:rsidRPr="005635D8">
        <w:rPr>
          <w:rFonts w:ascii="Calibri" w:hAnsi="Calibri"/>
          <w:lang w:val="en-GB"/>
        </w:rPr>
        <w:t>Since January 1, 2005, all stock exchange quoted firms in the European Union have to</w:t>
      </w:r>
      <w:r w:rsidR="00762C7E" w:rsidRPr="005635D8">
        <w:rPr>
          <w:rFonts w:ascii="Calibri" w:hAnsi="Calibri"/>
          <w:lang w:val="en-GB"/>
        </w:rPr>
        <w:t xml:space="preserve"> mandatorily</w:t>
      </w:r>
      <w:r w:rsidRPr="005635D8">
        <w:rPr>
          <w:rFonts w:ascii="Calibri" w:hAnsi="Calibri"/>
          <w:lang w:val="en-GB"/>
        </w:rPr>
        <w:t xml:space="preserve"> arrange their annual consolidated financial reports conferring to the</w:t>
      </w:r>
      <w:r w:rsidR="00762C7E" w:rsidRPr="005635D8">
        <w:rPr>
          <w:rFonts w:ascii="Calibri" w:hAnsi="Calibri"/>
          <w:lang w:val="en-GB"/>
        </w:rPr>
        <w:t xml:space="preserve"> IFRS</w:t>
      </w:r>
      <w:r w:rsidR="001025B4" w:rsidRPr="005635D8">
        <w:rPr>
          <w:rFonts w:ascii="Calibri" w:hAnsi="Calibri"/>
          <w:lang w:val="en-GB"/>
        </w:rPr>
        <w:t xml:space="preserve">. </w:t>
      </w:r>
      <w:r w:rsidR="00EB6432" w:rsidRPr="005635D8">
        <w:rPr>
          <w:rFonts w:ascii="Calibri" w:hAnsi="Calibri"/>
          <w:lang w:val="en-GB"/>
        </w:rPr>
        <w:t>The expectation was that</w:t>
      </w:r>
      <w:r w:rsidR="0049557A" w:rsidRPr="005635D8">
        <w:rPr>
          <w:rFonts w:ascii="Calibri" w:hAnsi="Calibri"/>
          <w:lang w:val="en-GB"/>
        </w:rPr>
        <w:t xml:space="preserve"> after the introduction of IFRS</w:t>
      </w:r>
      <w:r w:rsidR="00EB6432" w:rsidRPr="005635D8">
        <w:rPr>
          <w:rFonts w:ascii="Calibri" w:hAnsi="Calibri"/>
          <w:lang w:val="en-GB"/>
        </w:rPr>
        <w:t xml:space="preserve"> the use of earning</w:t>
      </w:r>
      <w:r w:rsidR="001025B4" w:rsidRPr="005635D8">
        <w:rPr>
          <w:rFonts w:ascii="Calibri" w:hAnsi="Calibri"/>
          <w:lang w:val="en-GB"/>
        </w:rPr>
        <w:t>s management would decrease</w:t>
      </w:r>
      <w:r w:rsidR="00EB6432" w:rsidRPr="005635D8">
        <w:rPr>
          <w:rFonts w:ascii="Calibri" w:hAnsi="Calibri"/>
          <w:lang w:val="en-GB"/>
        </w:rPr>
        <w:t xml:space="preserve">. </w:t>
      </w:r>
      <w:bookmarkStart w:id="7" w:name="_Toc359925002"/>
      <w:r w:rsidR="00EB6432" w:rsidRPr="005635D8">
        <w:rPr>
          <w:rFonts w:ascii="Calibri" w:hAnsi="Calibri"/>
          <w:lang w:val="en-GB"/>
        </w:rPr>
        <w:t>Taking the fundamentals of IFRS into accou</w:t>
      </w:r>
      <w:r w:rsidR="009E4667" w:rsidRPr="005635D8">
        <w:rPr>
          <w:rFonts w:ascii="Calibri" w:hAnsi="Calibri"/>
          <w:lang w:val="en-GB"/>
        </w:rPr>
        <w:t>nt the expectation seems to be</w:t>
      </w:r>
      <w:r w:rsidR="00EB6432" w:rsidRPr="005635D8">
        <w:rPr>
          <w:rFonts w:ascii="Calibri" w:hAnsi="Calibri"/>
          <w:lang w:val="en-GB"/>
        </w:rPr>
        <w:t xml:space="preserve"> reliable that </w:t>
      </w:r>
      <w:r w:rsidR="0049557A" w:rsidRPr="005635D8">
        <w:rPr>
          <w:rFonts w:ascii="Calibri" w:hAnsi="Calibri"/>
          <w:lang w:val="en-GB"/>
        </w:rPr>
        <w:t xml:space="preserve">the use </w:t>
      </w:r>
      <w:r w:rsidR="00EB6432" w:rsidRPr="005635D8">
        <w:rPr>
          <w:rFonts w:ascii="Calibri" w:hAnsi="Calibri"/>
          <w:lang w:val="en-GB"/>
        </w:rPr>
        <w:t xml:space="preserve">earnings management would decrease, because of the comparability of </w:t>
      </w:r>
      <w:r w:rsidR="0049557A" w:rsidRPr="005635D8">
        <w:rPr>
          <w:rFonts w:ascii="Calibri" w:hAnsi="Calibri"/>
          <w:lang w:val="en-GB"/>
        </w:rPr>
        <w:t xml:space="preserve">the </w:t>
      </w:r>
      <w:r w:rsidR="00EB6432" w:rsidRPr="005635D8">
        <w:rPr>
          <w:rFonts w:ascii="Calibri" w:hAnsi="Calibri"/>
          <w:lang w:val="en-GB"/>
        </w:rPr>
        <w:t xml:space="preserve">financial statements and the harmonization of </w:t>
      </w:r>
      <w:r w:rsidR="0049557A" w:rsidRPr="005635D8">
        <w:rPr>
          <w:rFonts w:ascii="Calibri" w:hAnsi="Calibri"/>
          <w:lang w:val="en-GB"/>
        </w:rPr>
        <w:t xml:space="preserve">the </w:t>
      </w:r>
      <w:r w:rsidR="00EB6432" w:rsidRPr="005635D8">
        <w:rPr>
          <w:rFonts w:ascii="Calibri" w:hAnsi="Calibri"/>
          <w:lang w:val="en-GB"/>
        </w:rPr>
        <w:t>accounting standards.</w:t>
      </w:r>
      <w:bookmarkEnd w:id="7"/>
    </w:p>
    <w:p w:rsidR="00390BFA" w:rsidRPr="005635D8" w:rsidRDefault="00DF36CD" w:rsidP="001E4C5D">
      <w:pPr>
        <w:pStyle w:val="Heading3"/>
        <w:rPr>
          <w:lang w:val="en-GB"/>
        </w:rPr>
      </w:pPr>
      <w:bookmarkStart w:id="8" w:name="_Toc312603018"/>
      <w:bookmarkStart w:id="9" w:name="_Toc318891607"/>
      <w:bookmarkStart w:id="10" w:name="_Toc362267253"/>
      <w:r w:rsidRPr="005635D8">
        <w:rPr>
          <w:lang w:val="en-GB"/>
        </w:rPr>
        <w:t xml:space="preserve">1.2 </w:t>
      </w:r>
      <w:r w:rsidR="00030951" w:rsidRPr="005635D8">
        <w:rPr>
          <w:lang w:val="en-GB"/>
        </w:rPr>
        <w:t>Problem D</w:t>
      </w:r>
      <w:r w:rsidR="00390BFA" w:rsidRPr="005635D8">
        <w:rPr>
          <w:lang w:val="en-GB"/>
        </w:rPr>
        <w:t>efinition</w:t>
      </w:r>
      <w:bookmarkEnd w:id="8"/>
      <w:bookmarkEnd w:id="9"/>
      <w:bookmarkEnd w:id="10"/>
    </w:p>
    <w:p w:rsidR="008A40C2" w:rsidRPr="005635D8" w:rsidRDefault="0049557A" w:rsidP="00C71550">
      <w:pPr>
        <w:autoSpaceDE w:val="0"/>
        <w:autoSpaceDN w:val="0"/>
        <w:adjustRightInd w:val="0"/>
        <w:spacing w:after="0"/>
        <w:jc w:val="both"/>
        <w:rPr>
          <w:rFonts w:ascii="Calibri" w:hAnsi="Calibri"/>
          <w:lang w:val="en-GB"/>
        </w:rPr>
      </w:pPr>
      <w:r w:rsidRPr="005635D8">
        <w:rPr>
          <w:rFonts w:ascii="Calibri" w:hAnsi="Calibri"/>
          <w:lang w:val="en-GB"/>
        </w:rPr>
        <w:t>B</w:t>
      </w:r>
      <w:r w:rsidR="001025B4" w:rsidRPr="005635D8">
        <w:rPr>
          <w:rFonts w:ascii="Calibri" w:hAnsi="Calibri"/>
          <w:lang w:val="en-GB"/>
        </w:rPr>
        <w:t xml:space="preserve">y the developers of IFRS and </w:t>
      </w:r>
      <w:r w:rsidRPr="005635D8">
        <w:rPr>
          <w:rFonts w:ascii="Calibri" w:hAnsi="Calibri"/>
          <w:lang w:val="en-GB"/>
        </w:rPr>
        <w:t xml:space="preserve">by the </w:t>
      </w:r>
      <w:r w:rsidR="001025B4" w:rsidRPr="005635D8">
        <w:rPr>
          <w:rFonts w:ascii="Calibri" w:hAnsi="Calibri"/>
          <w:lang w:val="en-GB"/>
        </w:rPr>
        <w:t xml:space="preserve">policy makers who </w:t>
      </w:r>
      <w:r w:rsidR="001A02BA" w:rsidRPr="005635D8">
        <w:rPr>
          <w:rFonts w:ascii="Calibri" w:hAnsi="Calibri"/>
          <w:lang w:val="en-GB"/>
        </w:rPr>
        <w:t xml:space="preserve">determine that the adoption of </w:t>
      </w:r>
      <w:r w:rsidR="001025B4" w:rsidRPr="005635D8">
        <w:rPr>
          <w:rFonts w:ascii="Calibri" w:hAnsi="Calibri"/>
          <w:lang w:val="en-GB"/>
        </w:rPr>
        <w:t xml:space="preserve">FRS </w:t>
      </w:r>
      <w:r w:rsidR="001A02BA" w:rsidRPr="005635D8">
        <w:rPr>
          <w:rFonts w:ascii="Calibri" w:hAnsi="Calibri"/>
          <w:lang w:val="en-GB"/>
        </w:rPr>
        <w:t xml:space="preserve">is </w:t>
      </w:r>
      <w:r w:rsidR="001025B4" w:rsidRPr="005635D8">
        <w:rPr>
          <w:rFonts w:ascii="Calibri" w:hAnsi="Calibri"/>
          <w:lang w:val="en-GB"/>
        </w:rPr>
        <w:t xml:space="preserve">mandatory </w:t>
      </w:r>
      <w:r w:rsidR="001A02BA" w:rsidRPr="005635D8">
        <w:rPr>
          <w:rFonts w:ascii="Calibri" w:hAnsi="Calibri"/>
          <w:lang w:val="en-GB"/>
        </w:rPr>
        <w:t xml:space="preserve">is assumed </w:t>
      </w:r>
      <w:r w:rsidR="001025B4" w:rsidRPr="005635D8">
        <w:rPr>
          <w:rFonts w:ascii="Calibri" w:hAnsi="Calibri"/>
          <w:lang w:val="en-GB"/>
        </w:rPr>
        <w:t xml:space="preserve">that the </w:t>
      </w:r>
      <w:r w:rsidR="00CC33F3" w:rsidRPr="005635D8">
        <w:rPr>
          <w:rFonts w:ascii="Calibri" w:hAnsi="Calibri"/>
          <w:lang w:val="en-GB"/>
        </w:rPr>
        <w:t>introduction of IFRS creates</w:t>
      </w:r>
      <w:r w:rsidR="001A02BA" w:rsidRPr="005635D8">
        <w:rPr>
          <w:rFonts w:ascii="Calibri" w:hAnsi="Calibri"/>
          <w:lang w:val="en-GB"/>
        </w:rPr>
        <w:t xml:space="preserve"> </w:t>
      </w:r>
      <w:r w:rsidR="001025B4" w:rsidRPr="005635D8">
        <w:rPr>
          <w:rFonts w:ascii="Calibri" w:hAnsi="Calibri"/>
          <w:lang w:val="en-GB"/>
        </w:rPr>
        <w:t xml:space="preserve">harmonization, comparability, and reliability of the international financial standards and improves the overall quality of the </w:t>
      </w:r>
      <w:r w:rsidR="001A02BA" w:rsidRPr="005635D8">
        <w:rPr>
          <w:rFonts w:ascii="Calibri" w:hAnsi="Calibri"/>
          <w:lang w:val="en-GB"/>
        </w:rPr>
        <w:t xml:space="preserve">financial </w:t>
      </w:r>
      <w:r w:rsidR="001025B4" w:rsidRPr="005635D8">
        <w:rPr>
          <w:rFonts w:ascii="Calibri" w:hAnsi="Calibri"/>
          <w:lang w:val="en-GB"/>
        </w:rPr>
        <w:t xml:space="preserve">accounting process. Subsequently, the introduction of IFRS </w:t>
      </w:r>
      <w:r w:rsidR="0029758D" w:rsidRPr="005635D8">
        <w:rPr>
          <w:rFonts w:ascii="Calibri" w:hAnsi="Calibri"/>
          <w:lang w:val="en-GB"/>
        </w:rPr>
        <w:t xml:space="preserve">is assumed to decrease the levels of </w:t>
      </w:r>
      <w:r w:rsidR="001A02BA" w:rsidRPr="005635D8">
        <w:rPr>
          <w:rFonts w:ascii="Calibri" w:hAnsi="Calibri"/>
          <w:lang w:val="en-GB"/>
        </w:rPr>
        <w:t xml:space="preserve">the use of </w:t>
      </w:r>
      <w:r w:rsidR="0029758D" w:rsidRPr="005635D8">
        <w:rPr>
          <w:rFonts w:ascii="Calibri" w:hAnsi="Calibri"/>
          <w:lang w:val="en-GB"/>
        </w:rPr>
        <w:t xml:space="preserve">earnings management. However, </w:t>
      </w:r>
      <w:r w:rsidR="001A02BA" w:rsidRPr="005635D8">
        <w:rPr>
          <w:rFonts w:ascii="Calibri" w:hAnsi="Calibri"/>
          <w:lang w:val="en-GB"/>
        </w:rPr>
        <w:t xml:space="preserve">it </w:t>
      </w:r>
      <w:r w:rsidR="00F41FA7" w:rsidRPr="005635D8">
        <w:rPr>
          <w:rFonts w:ascii="Calibri" w:hAnsi="Calibri"/>
          <w:lang w:val="en-GB"/>
        </w:rPr>
        <w:t xml:space="preserve">could </w:t>
      </w:r>
      <w:r w:rsidR="001A02BA" w:rsidRPr="005635D8">
        <w:rPr>
          <w:rFonts w:ascii="Calibri" w:hAnsi="Calibri"/>
          <w:lang w:val="en-GB"/>
        </w:rPr>
        <w:t xml:space="preserve">be </w:t>
      </w:r>
      <w:r w:rsidR="00F41FA7" w:rsidRPr="005635D8">
        <w:rPr>
          <w:rFonts w:ascii="Calibri" w:hAnsi="Calibri"/>
          <w:lang w:val="en-GB"/>
        </w:rPr>
        <w:t>q</w:t>
      </w:r>
      <w:r w:rsidR="0029758D" w:rsidRPr="005635D8">
        <w:rPr>
          <w:rFonts w:ascii="Calibri" w:hAnsi="Calibri"/>
          <w:lang w:val="en-GB"/>
        </w:rPr>
        <w:t>uestion whether IFRS actually</w:t>
      </w:r>
      <w:r w:rsidR="00F41FA7" w:rsidRPr="005635D8">
        <w:rPr>
          <w:rFonts w:ascii="Calibri" w:hAnsi="Calibri"/>
          <w:lang w:val="en-GB"/>
        </w:rPr>
        <w:t xml:space="preserve"> supports increasing the reliability and </w:t>
      </w:r>
      <w:r w:rsidR="001A02BA" w:rsidRPr="005635D8">
        <w:rPr>
          <w:rFonts w:ascii="Calibri" w:hAnsi="Calibri"/>
          <w:lang w:val="en-GB"/>
        </w:rPr>
        <w:t xml:space="preserve">the </w:t>
      </w:r>
      <w:r w:rsidR="00F41FA7" w:rsidRPr="005635D8">
        <w:rPr>
          <w:rFonts w:ascii="Calibri" w:hAnsi="Calibri"/>
          <w:lang w:val="en-GB"/>
        </w:rPr>
        <w:t>transparency of</w:t>
      </w:r>
      <w:r w:rsidR="001A02BA" w:rsidRPr="005635D8">
        <w:rPr>
          <w:rFonts w:ascii="Calibri" w:hAnsi="Calibri"/>
          <w:lang w:val="en-GB"/>
        </w:rPr>
        <w:t xml:space="preserve"> the</w:t>
      </w:r>
      <w:r w:rsidR="00CC33F3" w:rsidRPr="005635D8">
        <w:rPr>
          <w:rFonts w:ascii="Calibri" w:hAnsi="Calibri"/>
          <w:lang w:val="en-GB"/>
        </w:rPr>
        <w:t xml:space="preserve"> </w:t>
      </w:r>
      <w:r w:rsidR="001A02BA" w:rsidRPr="005635D8">
        <w:rPr>
          <w:rFonts w:ascii="Calibri" w:hAnsi="Calibri"/>
          <w:lang w:val="en-GB"/>
        </w:rPr>
        <w:t>published</w:t>
      </w:r>
      <w:r w:rsidR="00F41FA7" w:rsidRPr="005635D8">
        <w:rPr>
          <w:rFonts w:ascii="Calibri" w:hAnsi="Calibri"/>
          <w:lang w:val="en-GB"/>
        </w:rPr>
        <w:t xml:space="preserve"> financial data, in particular the trustworthiness of </w:t>
      </w:r>
      <w:r w:rsidR="001A02BA" w:rsidRPr="005635D8">
        <w:rPr>
          <w:rFonts w:ascii="Calibri" w:hAnsi="Calibri"/>
          <w:lang w:val="en-GB"/>
        </w:rPr>
        <w:t xml:space="preserve">the </w:t>
      </w:r>
      <w:r w:rsidR="00F41FA7" w:rsidRPr="005635D8">
        <w:rPr>
          <w:rFonts w:ascii="Calibri" w:hAnsi="Calibri"/>
          <w:lang w:val="en-GB"/>
        </w:rPr>
        <w:t>reported earnings.</w:t>
      </w:r>
      <w:r w:rsidR="0029758D" w:rsidRPr="005635D8">
        <w:rPr>
          <w:rFonts w:ascii="Calibri" w:hAnsi="Calibri"/>
          <w:lang w:val="en-GB"/>
        </w:rPr>
        <w:t xml:space="preserve"> It is argued that </w:t>
      </w:r>
      <w:r w:rsidR="001A02BA" w:rsidRPr="005635D8">
        <w:rPr>
          <w:rFonts w:ascii="Calibri" w:hAnsi="Calibri"/>
          <w:lang w:val="en-GB"/>
        </w:rPr>
        <w:t xml:space="preserve">in addition based on </w:t>
      </w:r>
      <w:r w:rsidR="0029758D" w:rsidRPr="005635D8">
        <w:rPr>
          <w:rFonts w:ascii="Calibri" w:hAnsi="Calibri"/>
          <w:lang w:val="en-GB"/>
        </w:rPr>
        <w:t xml:space="preserve">IFRS, managers of firms are still provided with substantial discretion, which offers opportunities to engage in earnings management. It is doubted whether simply changing the standards is a sufficient condition for improving a firms reporting behaviour. Firms opposing the switch to IFRS and firms that previously engaged in </w:t>
      </w:r>
      <w:r w:rsidR="001A02BA" w:rsidRPr="005635D8">
        <w:rPr>
          <w:rFonts w:ascii="Calibri" w:hAnsi="Calibri"/>
          <w:lang w:val="en-GB"/>
        </w:rPr>
        <w:t xml:space="preserve">the use </w:t>
      </w:r>
      <w:r w:rsidR="0029758D" w:rsidRPr="005635D8">
        <w:rPr>
          <w:rFonts w:ascii="Calibri" w:hAnsi="Calibri"/>
          <w:lang w:val="en-GB"/>
        </w:rPr>
        <w:t xml:space="preserve">earnings management are </w:t>
      </w:r>
      <w:r w:rsidR="001A02BA" w:rsidRPr="005635D8">
        <w:rPr>
          <w:rFonts w:ascii="Calibri" w:hAnsi="Calibri"/>
          <w:lang w:val="en-GB"/>
        </w:rPr>
        <w:t xml:space="preserve">communicate </w:t>
      </w:r>
      <w:r w:rsidR="0029758D" w:rsidRPr="005635D8">
        <w:rPr>
          <w:rFonts w:ascii="Calibri" w:hAnsi="Calibri"/>
          <w:lang w:val="en-GB"/>
        </w:rPr>
        <w:t xml:space="preserve">to be unlikely to </w:t>
      </w:r>
      <w:r w:rsidR="001A02BA" w:rsidRPr="005635D8">
        <w:rPr>
          <w:rFonts w:ascii="Calibri" w:hAnsi="Calibri"/>
          <w:lang w:val="en-GB"/>
        </w:rPr>
        <w:t xml:space="preserve">perform </w:t>
      </w:r>
      <w:r w:rsidR="0029758D" w:rsidRPr="005635D8">
        <w:rPr>
          <w:rFonts w:ascii="Calibri" w:hAnsi="Calibri"/>
          <w:lang w:val="en-GB"/>
        </w:rPr>
        <w:t xml:space="preserve">fundamental changes </w:t>
      </w:r>
      <w:r w:rsidR="001A02BA" w:rsidRPr="005635D8">
        <w:rPr>
          <w:rFonts w:ascii="Calibri" w:hAnsi="Calibri"/>
          <w:lang w:val="en-GB"/>
        </w:rPr>
        <w:t xml:space="preserve">in </w:t>
      </w:r>
      <w:r w:rsidR="0029758D" w:rsidRPr="005635D8">
        <w:rPr>
          <w:rFonts w:ascii="Calibri" w:hAnsi="Calibri"/>
          <w:lang w:val="en-GB"/>
        </w:rPr>
        <w:t>their reporting policies as long as they are not enforced to do that by some controlling mechanism (Ball 200</w:t>
      </w:r>
      <w:r w:rsidR="00C71550" w:rsidRPr="005635D8">
        <w:rPr>
          <w:rFonts w:ascii="Calibri" w:hAnsi="Calibri"/>
          <w:lang w:val="en-GB"/>
        </w:rPr>
        <w:t>6</w:t>
      </w:r>
      <w:r w:rsidR="0029758D" w:rsidRPr="005635D8">
        <w:rPr>
          <w:rFonts w:ascii="Calibri" w:hAnsi="Calibri"/>
          <w:lang w:val="en-GB"/>
        </w:rPr>
        <w:t>, Daske et al.</w:t>
      </w:r>
      <w:r w:rsidR="00C71550" w:rsidRPr="005635D8">
        <w:rPr>
          <w:rFonts w:ascii="Calibri" w:hAnsi="Calibri"/>
          <w:lang w:val="en-GB"/>
        </w:rPr>
        <w:t xml:space="preserve"> 2008). </w:t>
      </w:r>
      <w:r w:rsidR="001A02BA" w:rsidRPr="005635D8">
        <w:rPr>
          <w:rFonts w:ascii="Calibri" w:hAnsi="Calibri"/>
          <w:lang w:val="en-GB"/>
        </w:rPr>
        <w:t xml:space="preserve">In addition based on </w:t>
      </w:r>
      <w:r w:rsidR="00C71550" w:rsidRPr="005635D8">
        <w:rPr>
          <w:rFonts w:ascii="Calibri" w:hAnsi="Calibri"/>
          <w:lang w:val="en-GB"/>
        </w:rPr>
        <w:t>common standards the reporting behavio</w:t>
      </w:r>
      <w:r w:rsidR="005635D8" w:rsidRPr="005635D8">
        <w:rPr>
          <w:rFonts w:ascii="Calibri" w:hAnsi="Calibri"/>
          <w:lang w:val="en-GB"/>
        </w:rPr>
        <w:t>u</w:t>
      </w:r>
      <w:r w:rsidR="00C71550" w:rsidRPr="005635D8">
        <w:rPr>
          <w:rFonts w:ascii="Calibri" w:hAnsi="Calibri"/>
          <w:lang w:val="en-GB"/>
        </w:rPr>
        <w:t xml:space="preserve">r of firms is expected to differ across firms as long as firms have different reporting incentives (Jeanjean and Stolowy 2008, 484). Other factors such as economic and institutional incentives and </w:t>
      </w:r>
      <w:r w:rsidR="005F47BF" w:rsidRPr="005635D8">
        <w:rPr>
          <w:rFonts w:ascii="Calibri" w:hAnsi="Calibri"/>
          <w:lang w:val="en-GB"/>
        </w:rPr>
        <w:t xml:space="preserve">the </w:t>
      </w:r>
      <w:r w:rsidR="00C71550" w:rsidRPr="005635D8">
        <w:rPr>
          <w:rFonts w:ascii="Calibri" w:hAnsi="Calibri"/>
          <w:lang w:val="en-GB"/>
        </w:rPr>
        <w:t xml:space="preserve">countries’ legal institutions are supposed to be more important indicators of </w:t>
      </w:r>
      <w:r w:rsidR="001A02BA" w:rsidRPr="005635D8">
        <w:rPr>
          <w:rFonts w:ascii="Calibri" w:hAnsi="Calibri"/>
          <w:lang w:val="en-GB"/>
        </w:rPr>
        <w:t xml:space="preserve">the use of </w:t>
      </w:r>
      <w:r w:rsidR="00C71550" w:rsidRPr="005635D8">
        <w:rPr>
          <w:rFonts w:ascii="Calibri" w:hAnsi="Calibri"/>
          <w:lang w:val="en-GB"/>
        </w:rPr>
        <w:t xml:space="preserve">earnings management than standardization of </w:t>
      </w:r>
      <w:r w:rsidR="001A02BA" w:rsidRPr="005635D8">
        <w:rPr>
          <w:rFonts w:ascii="Calibri" w:hAnsi="Calibri"/>
          <w:lang w:val="en-GB"/>
        </w:rPr>
        <w:t xml:space="preserve">the </w:t>
      </w:r>
      <w:r w:rsidR="00C71550" w:rsidRPr="005635D8">
        <w:rPr>
          <w:rFonts w:ascii="Calibri" w:hAnsi="Calibri"/>
          <w:lang w:val="en-GB"/>
        </w:rPr>
        <w:t xml:space="preserve">accounting practices by some theorists. Existing empirical research at the effects of the introduction of IFRS on the levels of earnings management shows mixed findings. Several articles find that </w:t>
      </w:r>
      <w:r w:rsidR="001A02BA" w:rsidRPr="005635D8">
        <w:rPr>
          <w:rFonts w:ascii="Calibri" w:hAnsi="Calibri"/>
          <w:lang w:val="en-GB"/>
        </w:rPr>
        <w:t xml:space="preserve">the use of </w:t>
      </w:r>
      <w:r w:rsidR="00C71550" w:rsidRPr="005635D8">
        <w:rPr>
          <w:rFonts w:ascii="Calibri" w:hAnsi="Calibri"/>
          <w:lang w:val="en-GB"/>
        </w:rPr>
        <w:t xml:space="preserve">earnings management </w:t>
      </w:r>
      <w:r w:rsidR="001A02BA" w:rsidRPr="005635D8">
        <w:rPr>
          <w:rFonts w:ascii="Calibri" w:hAnsi="Calibri"/>
          <w:lang w:val="en-GB"/>
        </w:rPr>
        <w:t xml:space="preserve">based on IFRS </w:t>
      </w:r>
      <w:r w:rsidR="00C71550" w:rsidRPr="005635D8">
        <w:rPr>
          <w:rFonts w:ascii="Calibri" w:hAnsi="Calibri"/>
          <w:lang w:val="en-GB"/>
        </w:rPr>
        <w:t>decreases (</w:t>
      </w:r>
      <w:r w:rsidR="008A40C2" w:rsidRPr="005635D8">
        <w:rPr>
          <w:rFonts w:ascii="Calibri" w:hAnsi="Calibri"/>
          <w:lang w:val="en-GB"/>
        </w:rPr>
        <w:t>e.g. Barth et al. 2006;</w:t>
      </w:r>
      <w:r w:rsidR="008C61F6" w:rsidRPr="005635D8">
        <w:rPr>
          <w:rFonts w:ascii="Calibri" w:hAnsi="Calibri"/>
          <w:lang w:val="en-GB"/>
        </w:rPr>
        <w:t xml:space="preserve"> </w:t>
      </w:r>
      <w:r w:rsidR="008A40C2" w:rsidRPr="005635D8">
        <w:rPr>
          <w:rFonts w:ascii="Calibri" w:hAnsi="Calibri"/>
          <w:lang w:val="en-GB"/>
        </w:rPr>
        <w:t>2008, Gassen and Sellhorn 2006, Hung and Subramayan 2007, Cai et al. 2008, Christensen et al. 2008</w:t>
      </w:r>
      <w:r w:rsidR="00C71550" w:rsidRPr="005635D8">
        <w:rPr>
          <w:rFonts w:ascii="Calibri" w:hAnsi="Calibri"/>
          <w:lang w:val="en-GB"/>
        </w:rPr>
        <w:t xml:space="preserve">) while many other publications claim that </w:t>
      </w:r>
      <w:r w:rsidR="008A40C2" w:rsidRPr="005635D8">
        <w:rPr>
          <w:rFonts w:ascii="Calibri" w:hAnsi="Calibri"/>
          <w:lang w:val="en-GB"/>
        </w:rPr>
        <w:t>level</w:t>
      </w:r>
      <w:r w:rsidR="008C5DFC" w:rsidRPr="005635D8">
        <w:rPr>
          <w:rFonts w:ascii="Calibri" w:hAnsi="Calibri"/>
          <w:lang w:val="en-GB"/>
        </w:rPr>
        <w:t>s</w:t>
      </w:r>
      <w:r w:rsidR="008A40C2" w:rsidRPr="005635D8">
        <w:rPr>
          <w:rFonts w:ascii="Calibri" w:hAnsi="Calibri"/>
          <w:lang w:val="en-GB"/>
        </w:rPr>
        <w:t xml:space="preserve"> of </w:t>
      </w:r>
      <w:r w:rsidR="001A02BA" w:rsidRPr="005635D8">
        <w:rPr>
          <w:rFonts w:ascii="Calibri" w:hAnsi="Calibri"/>
          <w:lang w:val="en-GB"/>
        </w:rPr>
        <w:t xml:space="preserve">the use of </w:t>
      </w:r>
      <w:r w:rsidR="008A40C2" w:rsidRPr="005635D8">
        <w:rPr>
          <w:rFonts w:ascii="Calibri" w:hAnsi="Calibri"/>
          <w:lang w:val="en-GB"/>
        </w:rPr>
        <w:t xml:space="preserve">earnings management after the implementation of IFRS </w:t>
      </w:r>
      <w:r w:rsidR="001A02BA" w:rsidRPr="005635D8">
        <w:rPr>
          <w:rFonts w:ascii="Calibri" w:hAnsi="Calibri"/>
          <w:lang w:val="en-GB"/>
        </w:rPr>
        <w:t xml:space="preserve">increase </w:t>
      </w:r>
      <w:r w:rsidR="008A40C2" w:rsidRPr="005635D8">
        <w:rPr>
          <w:rFonts w:ascii="Calibri" w:hAnsi="Calibri"/>
          <w:lang w:val="en-GB"/>
        </w:rPr>
        <w:t>(e.g. Tendeloo and V</w:t>
      </w:r>
      <w:r w:rsidR="00457024" w:rsidRPr="005635D8">
        <w:rPr>
          <w:rFonts w:ascii="Calibri" w:hAnsi="Calibri"/>
          <w:lang w:val="en-GB"/>
        </w:rPr>
        <w:t>anstrae</w:t>
      </w:r>
      <w:r w:rsidR="008A40C2" w:rsidRPr="005635D8">
        <w:rPr>
          <w:rFonts w:ascii="Calibri" w:hAnsi="Calibri"/>
          <w:lang w:val="en-GB"/>
        </w:rPr>
        <w:t>len 2005, Heemskerk and van der Tas 2006, Goncharov and Zimmerman 2006, Christensen et al. 2008, Paananen and Lin 2008, Jeanjean and</w:t>
      </w:r>
      <w:r w:rsidR="00562350" w:rsidRPr="005635D8">
        <w:rPr>
          <w:rFonts w:ascii="Calibri" w:hAnsi="Calibri"/>
          <w:lang w:val="en-GB"/>
        </w:rPr>
        <w:t xml:space="preserve"> Stolowy 2008, Lippens 2010)</w:t>
      </w:r>
      <w:r w:rsidR="008A40C2" w:rsidRPr="005635D8">
        <w:rPr>
          <w:rFonts w:ascii="Calibri" w:hAnsi="Calibri"/>
          <w:lang w:val="en-GB"/>
        </w:rPr>
        <w:t>.</w:t>
      </w:r>
    </w:p>
    <w:p w:rsidR="008A40C2" w:rsidRPr="005635D8" w:rsidRDefault="008A40C2" w:rsidP="00C71550">
      <w:pPr>
        <w:autoSpaceDE w:val="0"/>
        <w:autoSpaceDN w:val="0"/>
        <w:adjustRightInd w:val="0"/>
        <w:spacing w:after="0"/>
        <w:jc w:val="both"/>
        <w:rPr>
          <w:rFonts w:ascii="Calibri" w:hAnsi="Calibri"/>
          <w:lang w:val="en-GB"/>
        </w:rPr>
      </w:pPr>
    </w:p>
    <w:p w:rsidR="0029758D" w:rsidRPr="005635D8" w:rsidRDefault="008A40C2" w:rsidP="008C5DFC">
      <w:pPr>
        <w:autoSpaceDE w:val="0"/>
        <w:autoSpaceDN w:val="0"/>
        <w:adjustRightInd w:val="0"/>
        <w:spacing w:after="0"/>
        <w:jc w:val="both"/>
        <w:rPr>
          <w:rFonts w:ascii="Calibri" w:hAnsi="Calibri"/>
          <w:lang w:val="en-GB"/>
        </w:rPr>
      </w:pPr>
      <w:r w:rsidRPr="005635D8">
        <w:rPr>
          <w:rFonts w:ascii="Calibri" w:hAnsi="Calibri"/>
          <w:lang w:val="en-GB"/>
        </w:rPr>
        <w:t xml:space="preserve">The crux of this is that </w:t>
      </w:r>
      <w:r w:rsidR="00482F89" w:rsidRPr="005635D8">
        <w:rPr>
          <w:rFonts w:ascii="Calibri" w:hAnsi="Calibri"/>
          <w:lang w:val="en-GB"/>
        </w:rPr>
        <w:t xml:space="preserve">overwhelming evidence for or against the assumption that the introduction </w:t>
      </w:r>
      <w:r w:rsidR="008C61F6" w:rsidRPr="005635D8">
        <w:rPr>
          <w:rFonts w:ascii="Calibri" w:hAnsi="Calibri"/>
          <w:lang w:val="en-GB"/>
        </w:rPr>
        <w:t>of IFRS decreases the levels of earnings management</w:t>
      </w:r>
      <w:r w:rsidR="001A02BA" w:rsidRPr="005635D8">
        <w:rPr>
          <w:rFonts w:ascii="Calibri" w:hAnsi="Calibri"/>
          <w:lang w:val="en-GB"/>
        </w:rPr>
        <w:t xml:space="preserve"> until this moment</w:t>
      </w:r>
      <w:r w:rsidR="008C61F6" w:rsidRPr="005635D8">
        <w:rPr>
          <w:rFonts w:ascii="Calibri" w:hAnsi="Calibri"/>
          <w:lang w:val="en-GB"/>
        </w:rPr>
        <w:t xml:space="preserve"> is not found.</w:t>
      </w:r>
      <w:r w:rsidR="00482F89" w:rsidRPr="005635D8">
        <w:rPr>
          <w:rFonts w:ascii="Calibri" w:hAnsi="Calibri"/>
          <w:lang w:val="en-GB"/>
        </w:rPr>
        <w:t xml:space="preserve"> This debate has not yet been concluded.</w:t>
      </w:r>
      <w:r w:rsidR="008C61F6" w:rsidRPr="005635D8">
        <w:rPr>
          <w:rFonts w:ascii="Calibri" w:hAnsi="Calibri"/>
          <w:lang w:val="en-GB"/>
        </w:rPr>
        <w:t xml:space="preserve"> </w:t>
      </w:r>
      <w:r w:rsidR="002B0FA1" w:rsidRPr="005635D8">
        <w:rPr>
          <w:rFonts w:ascii="Calibri" w:hAnsi="Calibri"/>
          <w:lang w:val="en-GB"/>
        </w:rPr>
        <w:t>Consequently</w:t>
      </w:r>
      <w:r w:rsidR="008C61F6" w:rsidRPr="005635D8">
        <w:rPr>
          <w:rFonts w:ascii="Calibri" w:hAnsi="Calibri"/>
          <w:lang w:val="en-GB"/>
        </w:rPr>
        <w:t xml:space="preserve"> this study will investigate the question whether the introduction of IFRS will affect the use of earnings management. As the existing studies differ with regard to the countries that are studied, </w:t>
      </w:r>
      <w:r w:rsidR="008C5DFC" w:rsidRPr="005635D8">
        <w:rPr>
          <w:rFonts w:ascii="Calibri" w:hAnsi="Calibri"/>
          <w:lang w:val="en-GB"/>
        </w:rPr>
        <w:t>with regard to the question whether</w:t>
      </w:r>
      <w:r w:rsidR="008C61F6" w:rsidRPr="005635D8">
        <w:rPr>
          <w:rFonts w:ascii="Calibri" w:hAnsi="Calibri"/>
          <w:lang w:val="en-GB"/>
        </w:rPr>
        <w:t xml:space="preserve"> voluntary adopters of IFRS or</w:t>
      </w:r>
      <w:r w:rsidR="008C5DFC" w:rsidRPr="005635D8">
        <w:rPr>
          <w:rFonts w:ascii="Calibri" w:hAnsi="Calibri"/>
          <w:lang w:val="en-GB"/>
        </w:rPr>
        <w:t xml:space="preserve"> </w:t>
      </w:r>
      <w:r w:rsidR="008C61F6" w:rsidRPr="005635D8">
        <w:rPr>
          <w:rFonts w:ascii="Calibri" w:hAnsi="Calibri"/>
          <w:lang w:val="en-GB"/>
        </w:rPr>
        <w:t>mandatory adopters of IFRS</w:t>
      </w:r>
      <w:r w:rsidR="008C5DFC" w:rsidRPr="005635D8">
        <w:rPr>
          <w:rFonts w:ascii="Calibri" w:hAnsi="Calibri"/>
          <w:lang w:val="en-GB"/>
        </w:rPr>
        <w:t xml:space="preserve"> are compared</w:t>
      </w:r>
      <w:r w:rsidR="008C61F6" w:rsidRPr="005635D8">
        <w:rPr>
          <w:rFonts w:ascii="Calibri" w:hAnsi="Calibri"/>
          <w:lang w:val="en-GB"/>
        </w:rPr>
        <w:t xml:space="preserve">, and </w:t>
      </w:r>
      <w:r w:rsidR="008C5DFC" w:rsidRPr="005635D8">
        <w:rPr>
          <w:rFonts w:ascii="Calibri" w:hAnsi="Calibri"/>
          <w:lang w:val="en-GB"/>
        </w:rPr>
        <w:t>differ with regard to the</w:t>
      </w:r>
      <w:r w:rsidR="008C61F6" w:rsidRPr="005635D8">
        <w:rPr>
          <w:rFonts w:ascii="Calibri" w:hAnsi="Calibri"/>
          <w:lang w:val="en-GB"/>
        </w:rPr>
        <w:t xml:space="preserve"> methodological approach</w:t>
      </w:r>
      <w:r w:rsidR="008C5DFC" w:rsidRPr="005635D8">
        <w:rPr>
          <w:rFonts w:ascii="Calibri" w:hAnsi="Calibri"/>
          <w:lang w:val="en-GB"/>
        </w:rPr>
        <w:t>es</w:t>
      </w:r>
      <w:r w:rsidR="008C61F6" w:rsidRPr="005635D8">
        <w:rPr>
          <w:rFonts w:ascii="Calibri" w:hAnsi="Calibri"/>
          <w:lang w:val="en-GB"/>
        </w:rPr>
        <w:t xml:space="preserve"> used by those studies, studying this question using an original case and the latest data will add new and valuable knowledge to the current</w:t>
      </w:r>
      <w:r w:rsidR="008C5DFC" w:rsidRPr="005635D8">
        <w:rPr>
          <w:rFonts w:ascii="Calibri" w:hAnsi="Calibri"/>
          <w:lang w:val="en-GB"/>
        </w:rPr>
        <w:t xml:space="preserve"> scientific</w:t>
      </w:r>
      <w:r w:rsidR="008C61F6" w:rsidRPr="005635D8">
        <w:rPr>
          <w:rFonts w:ascii="Calibri" w:hAnsi="Calibri"/>
          <w:lang w:val="en-GB"/>
        </w:rPr>
        <w:t xml:space="preserve"> debate. Using the case of the Netherlands</w:t>
      </w:r>
      <w:r w:rsidR="008C5DFC" w:rsidRPr="005635D8">
        <w:rPr>
          <w:rFonts w:ascii="Calibri" w:hAnsi="Calibri"/>
          <w:lang w:val="en-GB"/>
        </w:rPr>
        <w:t>,</w:t>
      </w:r>
      <w:r w:rsidR="008C61F6" w:rsidRPr="005635D8">
        <w:rPr>
          <w:rFonts w:ascii="Calibri" w:hAnsi="Calibri"/>
          <w:lang w:val="en-GB"/>
        </w:rPr>
        <w:t xml:space="preserve"> this research tries to answer the </w:t>
      </w:r>
      <w:r w:rsidR="001A02BA" w:rsidRPr="005635D8">
        <w:rPr>
          <w:rFonts w:ascii="Calibri" w:hAnsi="Calibri"/>
          <w:lang w:val="en-GB"/>
        </w:rPr>
        <w:t xml:space="preserve">next </w:t>
      </w:r>
      <w:r w:rsidR="008C61F6" w:rsidRPr="005635D8">
        <w:rPr>
          <w:rFonts w:ascii="Calibri" w:hAnsi="Calibri"/>
          <w:lang w:val="en-GB"/>
        </w:rPr>
        <w:t>main question:</w:t>
      </w:r>
    </w:p>
    <w:p w:rsidR="00EB6432" w:rsidRPr="005635D8" w:rsidRDefault="00EB6432" w:rsidP="00EB6432">
      <w:pPr>
        <w:pStyle w:val="BodyText2"/>
        <w:spacing w:line="276" w:lineRule="auto"/>
        <w:rPr>
          <w:rFonts w:ascii="Calibri" w:hAnsi="Calibri"/>
          <w:highlight w:val="cyan"/>
          <w:lang w:val="en-GB"/>
        </w:rPr>
      </w:pPr>
    </w:p>
    <w:p w:rsidR="00347C2B" w:rsidRPr="005635D8" w:rsidRDefault="00EB6432" w:rsidP="00347C2B">
      <w:pPr>
        <w:pStyle w:val="BodyText"/>
        <w:spacing w:after="0"/>
        <w:ind w:firstLine="284"/>
        <w:rPr>
          <w:rFonts w:ascii="Calibri" w:hAnsi="Calibri"/>
          <w:bCs/>
          <w:i/>
          <w:sz w:val="22"/>
          <w:szCs w:val="22"/>
          <w:lang w:val="en-GB"/>
        </w:rPr>
      </w:pPr>
      <w:r w:rsidRPr="005635D8">
        <w:rPr>
          <w:rFonts w:ascii="Calibri" w:hAnsi="Calibri"/>
          <w:bCs/>
          <w:i/>
          <w:sz w:val="22"/>
          <w:szCs w:val="22"/>
          <w:lang w:val="en-GB"/>
        </w:rPr>
        <w:t>Does</w:t>
      </w:r>
      <w:r w:rsidR="001A02BA" w:rsidRPr="005635D8">
        <w:rPr>
          <w:rFonts w:ascii="Calibri" w:hAnsi="Calibri"/>
          <w:bCs/>
          <w:i/>
          <w:sz w:val="22"/>
          <w:szCs w:val="22"/>
          <w:lang w:val="en-GB"/>
        </w:rPr>
        <w:t xml:space="preserve"> with the introduction of IFRS</w:t>
      </w:r>
      <w:r w:rsidRPr="005635D8">
        <w:rPr>
          <w:rFonts w:ascii="Calibri" w:hAnsi="Calibri"/>
          <w:bCs/>
          <w:i/>
          <w:sz w:val="22"/>
          <w:szCs w:val="22"/>
          <w:lang w:val="en-GB"/>
        </w:rPr>
        <w:t xml:space="preserve"> </w:t>
      </w:r>
      <w:r w:rsidR="001A02BA" w:rsidRPr="005635D8">
        <w:rPr>
          <w:rFonts w:ascii="Calibri" w:hAnsi="Calibri"/>
          <w:bCs/>
          <w:i/>
          <w:sz w:val="22"/>
          <w:szCs w:val="22"/>
          <w:lang w:val="en-GB"/>
        </w:rPr>
        <w:t xml:space="preserve">the use of </w:t>
      </w:r>
      <w:r w:rsidRPr="005635D8">
        <w:rPr>
          <w:rFonts w:ascii="Calibri" w:hAnsi="Calibri"/>
          <w:bCs/>
          <w:i/>
          <w:sz w:val="22"/>
          <w:szCs w:val="22"/>
          <w:lang w:val="en-GB"/>
        </w:rPr>
        <w:t xml:space="preserve">Earnings Management </w:t>
      </w:r>
      <w:r w:rsidR="00691EC2" w:rsidRPr="005635D8">
        <w:rPr>
          <w:rFonts w:ascii="Calibri" w:hAnsi="Calibri"/>
          <w:bCs/>
          <w:i/>
          <w:sz w:val="22"/>
          <w:szCs w:val="22"/>
          <w:lang w:val="en-GB"/>
        </w:rPr>
        <w:t>among Dutch</w:t>
      </w:r>
      <w:r w:rsidR="00A30413" w:rsidRPr="005635D8">
        <w:rPr>
          <w:rFonts w:ascii="Calibri" w:hAnsi="Calibri"/>
          <w:bCs/>
          <w:i/>
          <w:sz w:val="22"/>
          <w:szCs w:val="22"/>
          <w:lang w:val="en-GB"/>
        </w:rPr>
        <w:t xml:space="preserve"> stock-exchange </w:t>
      </w:r>
      <w:r w:rsidR="001A02BA" w:rsidRPr="005635D8">
        <w:rPr>
          <w:rFonts w:ascii="Calibri" w:hAnsi="Calibri"/>
          <w:bCs/>
          <w:i/>
          <w:sz w:val="22"/>
          <w:szCs w:val="22"/>
          <w:lang w:val="en-GB"/>
        </w:rPr>
        <w:t xml:space="preserve">quoted </w:t>
      </w:r>
      <w:r w:rsidR="00691EC2" w:rsidRPr="005635D8">
        <w:rPr>
          <w:rFonts w:ascii="Calibri" w:hAnsi="Calibri"/>
          <w:bCs/>
          <w:i/>
          <w:sz w:val="22"/>
          <w:szCs w:val="22"/>
          <w:lang w:val="en-GB"/>
        </w:rPr>
        <w:t xml:space="preserve">firms </w:t>
      </w:r>
      <w:r w:rsidRPr="005635D8">
        <w:rPr>
          <w:rFonts w:ascii="Calibri" w:hAnsi="Calibri"/>
          <w:bCs/>
          <w:i/>
          <w:sz w:val="22"/>
          <w:szCs w:val="22"/>
          <w:lang w:val="en-GB"/>
        </w:rPr>
        <w:t>decline?</w:t>
      </w:r>
    </w:p>
    <w:p w:rsidR="00347C2B" w:rsidRPr="005635D8" w:rsidRDefault="00347C2B" w:rsidP="001E4C5D">
      <w:pPr>
        <w:pStyle w:val="Heading3"/>
        <w:rPr>
          <w:lang w:val="en-GB"/>
        </w:rPr>
      </w:pPr>
    </w:p>
    <w:p w:rsidR="00347C2B" w:rsidRPr="005635D8" w:rsidRDefault="00347C2B" w:rsidP="00B903A9">
      <w:pPr>
        <w:pStyle w:val="NoSpacing"/>
        <w:spacing w:line="276" w:lineRule="auto"/>
        <w:rPr>
          <w:rFonts w:eastAsia="PMingLiU"/>
          <w:lang w:val="en-GB"/>
        </w:rPr>
      </w:pPr>
      <w:r w:rsidRPr="005635D8">
        <w:rPr>
          <w:rFonts w:eastAsia="PMingLiU"/>
          <w:lang w:val="en-GB"/>
        </w:rPr>
        <w:t>In order to answer the main question several sub-questi</w:t>
      </w:r>
      <w:r w:rsidR="00B903A9" w:rsidRPr="005635D8">
        <w:rPr>
          <w:rFonts w:eastAsia="PMingLiU"/>
          <w:lang w:val="en-GB"/>
        </w:rPr>
        <w:t xml:space="preserve">ons are developed. The next sub </w:t>
      </w:r>
      <w:r w:rsidRPr="005635D8">
        <w:rPr>
          <w:rFonts w:eastAsia="PMingLiU"/>
          <w:lang w:val="en-GB"/>
        </w:rPr>
        <w:t>questions will be answered throughout the following chapters:</w:t>
      </w:r>
    </w:p>
    <w:p w:rsidR="005D7DD1" w:rsidRPr="005635D8" w:rsidRDefault="005D7DD1" w:rsidP="00B903A9">
      <w:pPr>
        <w:pStyle w:val="NoSpacing"/>
        <w:spacing w:line="276" w:lineRule="auto"/>
        <w:rPr>
          <w:rFonts w:eastAsia="PMingLiU"/>
          <w:lang w:val="en-GB"/>
        </w:rPr>
      </w:pPr>
    </w:p>
    <w:p w:rsidR="006F706E" w:rsidRPr="005635D8" w:rsidRDefault="00347C2B" w:rsidP="00457024">
      <w:pPr>
        <w:pStyle w:val="NoSpacing"/>
        <w:spacing w:line="276" w:lineRule="auto"/>
        <w:ind w:left="568" w:hanging="568"/>
        <w:rPr>
          <w:rFonts w:eastAsia="PMingLiU"/>
          <w:lang w:val="en-GB"/>
        </w:rPr>
      </w:pPr>
      <w:r w:rsidRPr="005635D8">
        <w:rPr>
          <w:rFonts w:eastAsia="PMingLiU"/>
          <w:lang w:val="en-GB"/>
        </w:rPr>
        <w:t xml:space="preserve">1) </w:t>
      </w:r>
      <w:r w:rsidR="006F706E" w:rsidRPr="005635D8">
        <w:rPr>
          <w:rFonts w:eastAsia="PMingLiU"/>
          <w:lang w:val="en-GB"/>
        </w:rPr>
        <w:tab/>
      </w:r>
      <w:r w:rsidR="00457024" w:rsidRPr="005635D8">
        <w:rPr>
          <w:rFonts w:eastAsia="PMingLiU"/>
          <w:lang w:val="en-GB"/>
        </w:rPr>
        <w:t>What is the theoretical background of financial accounting?</w:t>
      </w:r>
    </w:p>
    <w:p w:rsidR="006F706E" w:rsidRPr="005635D8" w:rsidRDefault="00457024" w:rsidP="005D7DD1">
      <w:pPr>
        <w:pStyle w:val="NoSpacing"/>
        <w:spacing w:line="276" w:lineRule="auto"/>
        <w:ind w:left="568" w:hanging="568"/>
        <w:rPr>
          <w:rFonts w:eastAsia="PMingLiU"/>
          <w:lang w:val="en-GB"/>
        </w:rPr>
      </w:pPr>
      <w:r w:rsidRPr="005635D8">
        <w:rPr>
          <w:rFonts w:eastAsia="PMingLiU"/>
          <w:lang w:val="en-GB"/>
        </w:rPr>
        <w:t xml:space="preserve">2) </w:t>
      </w:r>
      <w:r w:rsidRPr="005635D8">
        <w:rPr>
          <w:rFonts w:eastAsia="PMingLiU"/>
          <w:lang w:val="en-GB"/>
        </w:rPr>
        <w:tab/>
      </w:r>
      <w:r w:rsidR="006F706E" w:rsidRPr="005635D8">
        <w:rPr>
          <w:rFonts w:eastAsia="PMingLiU"/>
          <w:lang w:val="en-GB"/>
        </w:rPr>
        <w:t>What is IFRS and what purpose does it serve?</w:t>
      </w:r>
    </w:p>
    <w:p w:rsidR="006F706E" w:rsidRPr="005635D8" w:rsidRDefault="006F706E" w:rsidP="00457024">
      <w:pPr>
        <w:pStyle w:val="NoSpacing"/>
        <w:spacing w:line="276" w:lineRule="auto"/>
        <w:ind w:left="568" w:hanging="568"/>
        <w:rPr>
          <w:rFonts w:eastAsia="PMingLiU"/>
          <w:lang w:val="en-GB"/>
        </w:rPr>
      </w:pPr>
      <w:r w:rsidRPr="005635D8">
        <w:rPr>
          <w:rFonts w:eastAsia="PMingLiU"/>
          <w:lang w:val="en-GB"/>
        </w:rPr>
        <w:t>3)</w:t>
      </w:r>
      <w:r w:rsidRPr="005635D8">
        <w:rPr>
          <w:rFonts w:eastAsia="PMingLiU"/>
          <w:lang w:val="en-GB"/>
        </w:rPr>
        <w:tab/>
      </w:r>
      <w:r w:rsidR="00A05699" w:rsidRPr="005635D8">
        <w:rPr>
          <w:rFonts w:eastAsia="PMingLiU"/>
          <w:lang w:val="en-GB"/>
        </w:rPr>
        <w:t xml:space="preserve">What is the content of the term </w:t>
      </w:r>
      <w:r w:rsidRPr="005635D8">
        <w:rPr>
          <w:rFonts w:eastAsia="PMingLiU"/>
          <w:lang w:val="en-GB"/>
        </w:rPr>
        <w:t>earnings management, which types of earnings management exist and what are the main incentives for engaging in earnings management</w:t>
      </w:r>
      <w:r w:rsidR="00A05699" w:rsidRPr="005635D8">
        <w:rPr>
          <w:rFonts w:eastAsia="PMingLiU"/>
          <w:lang w:val="en-GB"/>
        </w:rPr>
        <w:t>?</w:t>
      </w:r>
    </w:p>
    <w:p w:rsidR="00626794" w:rsidRPr="005635D8" w:rsidRDefault="006F706E" w:rsidP="006F706E">
      <w:pPr>
        <w:pStyle w:val="NoSpacing"/>
        <w:spacing w:line="276" w:lineRule="auto"/>
        <w:ind w:left="568" w:hanging="568"/>
        <w:rPr>
          <w:rFonts w:eastAsia="PMingLiU"/>
          <w:lang w:val="en-GB"/>
        </w:rPr>
      </w:pPr>
      <w:r w:rsidRPr="005635D8">
        <w:rPr>
          <w:rFonts w:eastAsia="PMingLiU"/>
          <w:lang w:val="en-GB"/>
        </w:rPr>
        <w:t>4)</w:t>
      </w:r>
      <w:r w:rsidRPr="005635D8">
        <w:rPr>
          <w:rFonts w:eastAsia="PMingLiU"/>
          <w:lang w:val="en-GB"/>
        </w:rPr>
        <w:tab/>
      </w:r>
      <w:r w:rsidR="00A05699" w:rsidRPr="005635D8">
        <w:rPr>
          <w:rFonts w:eastAsia="PMingLiU"/>
          <w:lang w:val="en-GB"/>
        </w:rPr>
        <w:t xml:space="preserve">In which way </w:t>
      </w:r>
      <w:r w:rsidRPr="005635D8">
        <w:rPr>
          <w:rFonts w:eastAsia="PMingLiU"/>
          <w:lang w:val="en-GB"/>
        </w:rPr>
        <w:t xml:space="preserve">the use of earnings management </w:t>
      </w:r>
      <w:r w:rsidR="00A05699" w:rsidRPr="005635D8">
        <w:rPr>
          <w:rFonts w:eastAsia="PMingLiU"/>
          <w:lang w:val="en-GB"/>
        </w:rPr>
        <w:t xml:space="preserve">can be </w:t>
      </w:r>
      <w:r w:rsidRPr="005635D8">
        <w:rPr>
          <w:rFonts w:eastAsia="PMingLiU"/>
          <w:lang w:val="en-GB"/>
        </w:rPr>
        <w:t>measured</w:t>
      </w:r>
      <w:r w:rsidR="00457024" w:rsidRPr="005635D8">
        <w:rPr>
          <w:rFonts w:eastAsia="PMingLiU"/>
          <w:lang w:val="en-GB"/>
        </w:rPr>
        <w:t xml:space="preserve"> best</w:t>
      </w:r>
      <w:r w:rsidRPr="005635D8">
        <w:rPr>
          <w:rFonts w:eastAsia="PMingLiU"/>
          <w:lang w:val="en-GB"/>
        </w:rPr>
        <w:t xml:space="preserve"> and </w:t>
      </w:r>
      <w:r w:rsidR="00A05699" w:rsidRPr="005635D8">
        <w:rPr>
          <w:rFonts w:eastAsia="PMingLiU"/>
          <w:lang w:val="en-GB"/>
        </w:rPr>
        <w:t xml:space="preserve">in which way </w:t>
      </w:r>
      <w:r w:rsidR="00626794" w:rsidRPr="005635D8">
        <w:rPr>
          <w:rFonts w:eastAsia="PMingLiU"/>
          <w:lang w:val="en-GB"/>
        </w:rPr>
        <w:t xml:space="preserve">models to detect the use of earnings management </w:t>
      </w:r>
      <w:r w:rsidR="00A05699" w:rsidRPr="005635D8">
        <w:rPr>
          <w:rFonts w:eastAsia="PMingLiU"/>
          <w:lang w:val="en-GB"/>
        </w:rPr>
        <w:t xml:space="preserve">over time have </w:t>
      </w:r>
      <w:r w:rsidR="00626794" w:rsidRPr="005635D8">
        <w:rPr>
          <w:rFonts w:eastAsia="PMingLiU"/>
          <w:lang w:val="en-GB"/>
        </w:rPr>
        <w:t>evolved?</w:t>
      </w:r>
    </w:p>
    <w:p w:rsidR="006F706E" w:rsidRPr="005635D8" w:rsidRDefault="00626794" w:rsidP="006F706E">
      <w:pPr>
        <w:pStyle w:val="NoSpacing"/>
        <w:spacing w:line="276" w:lineRule="auto"/>
        <w:ind w:left="568" w:hanging="568"/>
        <w:rPr>
          <w:rFonts w:eastAsia="PMingLiU"/>
          <w:lang w:val="en-GB"/>
        </w:rPr>
      </w:pPr>
      <w:r w:rsidRPr="005635D8">
        <w:rPr>
          <w:rFonts w:eastAsia="PMingLiU"/>
          <w:lang w:val="en-GB"/>
        </w:rPr>
        <w:t xml:space="preserve">5) </w:t>
      </w:r>
      <w:r w:rsidRPr="005635D8">
        <w:rPr>
          <w:rFonts w:eastAsia="PMingLiU"/>
          <w:lang w:val="en-GB"/>
        </w:rPr>
        <w:tab/>
        <w:t xml:space="preserve">Which effects of the introduction of IFRS upon the use of earnings management </w:t>
      </w:r>
      <w:r w:rsidR="00C24C1D" w:rsidRPr="005635D8">
        <w:rPr>
          <w:rFonts w:eastAsia="PMingLiU"/>
          <w:lang w:val="en-GB"/>
        </w:rPr>
        <w:t>are</w:t>
      </w:r>
      <w:r w:rsidRPr="005635D8">
        <w:rPr>
          <w:rFonts w:eastAsia="PMingLiU"/>
          <w:lang w:val="en-GB"/>
        </w:rPr>
        <w:t xml:space="preserve"> found by previous research?</w:t>
      </w:r>
    </w:p>
    <w:p w:rsidR="006F706E" w:rsidRPr="005635D8" w:rsidRDefault="006F706E" w:rsidP="006F706E">
      <w:pPr>
        <w:pStyle w:val="NoSpacing"/>
        <w:rPr>
          <w:rFonts w:eastAsia="PMingLiU"/>
          <w:lang w:val="en-GB"/>
        </w:rPr>
      </w:pPr>
    </w:p>
    <w:p w:rsidR="00F41FA7" w:rsidRPr="005635D8" w:rsidRDefault="00DF36CD" w:rsidP="001E4C5D">
      <w:pPr>
        <w:pStyle w:val="Heading3"/>
        <w:rPr>
          <w:lang w:val="en-GB"/>
        </w:rPr>
      </w:pPr>
      <w:bookmarkStart w:id="11" w:name="_Toc362267254"/>
      <w:r w:rsidRPr="005635D8">
        <w:rPr>
          <w:lang w:val="en-GB"/>
        </w:rPr>
        <w:t xml:space="preserve">1.3 </w:t>
      </w:r>
      <w:r w:rsidR="00F41FA7" w:rsidRPr="005635D8">
        <w:rPr>
          <w:lang w:val="en-GB"/>
        </w:rPr>
        <w:t>Objective</w:t>
      </w:r>
      <w:r w:rsidR="003F6137" w:rsidRPr="005635D8">
        <w:rPr>
          <w:lang w:val="en-GB"/>
        </w:rPr>
        <w:t>s</w:t>
      </w:r>
      <w:bookmarkEnd w:id="11"/>
      <w:r w:rsidR="00F41FA7" w:rsidRPr="005635D8">
        <w:rPr>
          <w:lang w:val="en-GB"/>
        </w:rPr>
        <w:t xml:space="preserve"> </w:t>
      </w:r>
    </w:p>
    <w:p w:rsidR="00DF36CD" w:rsidRPr="005635D8" w:rsidRDefault="005921BE" w:rsidP="00986C15">
      <w:pPr>
        <w:autoSpaceDE w:val="0"/>
        <w:autoSpaceDN w:val="0"/>
        <w:adjustRightInd w:val="0"/>
        <w:spacing w:after="0"/>
        <w:jc w:val="both"/>
        <w:rPr>
          <w:rFonts w:ascii="Calibri" w:hAnsi="Calibri"/>
          <w:lang w:val="en-GB"/>
        </w:rPr>
      </w:pPr>
      <w:r w:rsidRPr="005635D8">
        <w:rPr>
          <w:rFonts w:ascii="Calibri" w:hAnsi="Calibri"/>
          <w:lang w:val="en-GB"/>
        </w:rPr>
        <w:t xml:space="preserve">The central objective of this study is to provide insight in the specific effect of the introduction of IFRS in the Netherlands. </w:t>
      </w:r>
      <w:r w:rsidR="00994781" w:rsidRPr="005635D8">
        <w:rPr>
          <w:rFonts w:ascii="Calibri" w:hAnsi="Calibri"/>
          <w:lang w:val="en-GB"/>
        </w:rPr>
        <w:t>The p</w:t>
      </w:r>
      <w:r w:rsidR="00F41FA7" w:rsidRPr="005635D8">
        <w:rPr>
          <w:rFonts w:ascii="Calibri" w:hAnsi="Calibri"/>
          <w:lang w:val="en-GB"/>
        </w:rPr>
        <w:t>urpose of the study</w:t>
      </w:r>
      <w:r w:rsidR="00994781" w:rsidRPr="005635D8">
        <w:rPr>
          <w:rFonts w:ascii="Calibri" w:hAnsi="Calibri"/>
          <w:lang w:val="en-GB"/>
        </w:rPr>
        <w:t xml:space="preserve"> is to </w:t>
      </w:r>
      <w:r w:rsidR="001A02BA" w:rsidRPr="005635D8">
        <w:rPr>
          <w:rFonts w:ascii="Calibri" w:hAnsi="Calibri"/>
          <w:lang w:val="en-GB"/>
        </w:rPr>
        <w:t xml:space="preserve">investigate </w:t>
      </w:r>
      <w:r w:rsidR="00994781" w:rsidRPr="005635D8">
        <w:rPr>
          <w:rFonts w:ascii="Calibri" w:hAnsi="Calibri"/>
          <w:lang w:val="en-GB"/>
        </w:rPr>
        <w:t xml:space="preserve">specifically at firms that had to adopt IFRS in 2005 after the standards became mandatory. </w:t>
      </w:r>
      <w:r w:rsidR="00DF36CD" w:rsidRPr="005635D8">
        <w:rPr>
          <w:rFonts w:ascii="Calibri" w:hAnsi="Calibri"/>
          <w:lang w:val="en-GB"/>
        </w:rPr>
        <w:t xml:space="preserve">Following the most appropriate methodology this study will contribute to the ongoing scientific debate </w:t>
      </w:r>
      <w:r w:rsidR="001A02BA" w:rsidRPr="005635D8">
        <w:rPr>
          <w:rFonts w:ascii="Calibri" w:hAnsi="Calibri"/>
          <w:lang w:val="en-GB"/>
        </w:rPr>
        <w:t xml:space="preserve">in which way </w:t>
      </w:r>
      <w:r w:rsidR="00DF36CD" w:rsidRPr="005635D8">
        <w:rPr>
          <w:rFonts w:ascii="Calibri" w:hAnsi="Calibri"/>
          <w:lang w:val="en-GB"/>
        </w:rPr>
        <w:t xml:space="preserve">earnings management should be measured and </w:t>
      </w:r>
      <w:r w:rsidR="00992B47" w:rsidRPr="005635D8">
        <w:rPr>
          <w:rFonts w:ascii="Calibri" w:hAnsi="Calibri"/>
          <w:lang w:val="en-GB"/>
        </w:rPr>
        <w:t xml:space="preserve">whether </w:t>
      </w:r>
      <w:r w:rsidR="001A02BA" w:rsidRPr="005635D8">
        <w:rPr>
          <w:rFonts w:ascii="Calibri" w:hAnsi="Calibri"/>
          <w:lang w:val="en-GB"/>
        </w:rPr>
        <w:t xml:space="preserve">the </w:t>
      </w:r>
      <w:r w:rsidR="00992B47" w:rsidRPr="005635D8">
        <w:rPr>
          <w:rFonts w:ascii="Calibri" w:hAnsi="Calibri"/>
          <w:lang w:val="en-GB"/>
        </w:rPr>
        <w:t>adop</w:t>
      </w:r>
      <w:r w:rsidR="001A02BA" w:rsidRPr="005635D8">
        <w:rPr>
          <w:rFonts w:ascii="Calibri" w:hAnsi="Calibri"/>
          <w:lang w:val="en-GB"/>
        </w:rPr>
        <w:t xml:space="preserve">tion of </w:t>
      </w:r>
      <w:r w:rsidR="00DF36CD" w:rsidRPr="005635D8">
        <w:rPr>
          <w:rFonts w:ascii="Calibri" w:hAnsi="Calibri"/>
          <w:lang w:val="en-GB"/>
        </w:rPr>
        <w:t xml:space="preserve">IFRS has a positive or </w:t>
      </w:r>
      <w:r w:rsidR="001A02BA" w:rsidRPr="005635D8">
        <w:rPr>
          <w:rFonts w:ascii="Calibri" w:hAnsi="Calibri"/>
          <w:lang w:val="en-GB"/>
        </w:rPr>
        <w:t xml:space="preserve">a </w:t>
      </w:r>
      <w:r w:rsidR="00DF36CD" w:rsidRPr="005635D8">
        <w:rPr>
          <w:rFonts w:ascii="Calibri" w:hAnsi="Calibri"/>
          <w:lang w:val="en-GB"/>
        </w:rPr>
        <w:t xml:space="preserve">negative effect on </w:t>
      </w:r>
      <w:r w:rsidR="001A02BA" w:rsidRPr="005635D8">
        <w:rPr>
          <w:rFonts w:ascii="Calibri" w:hAnsi="Calibri"/>
          <w:lang w:val="en-GB"/>
        </w:rPr>
        <w:t xml:space="preserve">the use of </w:t>
      </w:r>
      <w:r w:rsidR="00DF36CD" w:rsidRPr="005635D8">
        <w:rPr>
          <w:rFonts w:ascii="Calibri" w:hAnsi="Calibri"/>
          <w:lang w:val="en-GB"/>
        </w:rPr>
        <w:t>earnings management.</w:t>
      </w:r>
    </w:p>
    <w:p w:rsidR="00DF36CD" w:rsidRPr="005635D8" w:rsidRDefault="00994781" w:rsidP="00986C15">
      <w:pPr>
        <w:autoSpaceDE w:val="0"/>
        <w:autoSpaceDN w:val="0"/>
        <w:adjustRightInd w:val="0"/>
        <w:spacing w:after="0"/>
        <w:jc w:val="both"/>
        <w:rPr>
          <w:rFonts w:ascii="Calibri" w:hAnsi="Calibri"/>
          <w:lang w:val="en-GB"/>
        </w:rPr>
      </w:pPr>
      <w:r w:rsidRPr="005635D8">
        <w:rPr>
          <w:rFonts w:ascii="Calibri" w:hAnsi="Calibri"/>
          <w:lang w:val="en-GB"/>
        </w:rPr>
        <w:t xml:space="preserve">Providing insight in the effectiveness of IFRS in reducing the level of </w:t>
      </w:r>
      <w:r w:rsidR="001A02BA" w:rsidRPr="005635D8">
        <w:rPr>
          <w:rFonts w:ascii="Calibri" w:hAnsi="Calibri"/>
          <w:lang w:val="en-GB"/>
        </w:rPr>
        <w:t xml:space="preserve">the use of </w:t>
      </w:r>
      <w:r w:rsidRPr="005635D8">
        <w:rPr>
          <w:rFonts w:ascii="Calibri" w:hAnsi="Calibri"/>
          <w:lang w:val="en-GB"/>
        </w:rPr>
        <w:t xml:space="preserve">earnings management </w:t>
      </w:r>
      <w:r w:rsidR="001A02BA" w:rsidRPr="005635D8">
        <w:rPr>
          <w:rFonts w:ascii="Calibri" w:hAnsi="Calibri"/>
          <w:lang w:val="en-GB"/>
        </w:rPr>
        <w:t xml:space="preserve">in addition </w:t>
      </w:r>
      <w:r w:rsidRPr="005635D8">
        <w:rPr>
          <w:rFonts w:ascii="Calibri" w:hAnsi="Calibri"/>
          <w:lang w:val="en-GB"/>
        </w:rPr>
        <w:t xml:space="preserve">should contribute to the common social </w:t>
      </w:r>
      <w:r w:rsidR="00992B47" w:rsidRPr="005635D8">
        <w:rPr>
          <w:rFonts w:ascii="Calibri" w:hAnsi="Calibri"/>
          <w:lang w:val="en-GB"/>
        </w:rPr>
        <w:t>interests of</w:t>
      </w:r>
      <w:r w:rsidRPr="005635D8">
        <w:rPr>
          <w:rFonts w:ascii="Calibri" w:hAnsi="Calibri"/>
          <w:lang w:val="en-GB"/>
        </w:rPr>
        <w:t xml:space="preserve"> the Dutch citizens. As many individuals as well as the Dutch state are financially damaged through financial mismanagement, further insight whether additional policies to enforce qualitatively good </w:t>
      </w:r>
      <w:r w:rsidR="001A02BA" w:rsidRPr="005635D8">
        <w:rPr>
          <w:rFonts w:ascii="Calibri" w:hAnsi="Calibri"/>
          <w:lang w:val="en-GB"/>
        </w:rPr>
        <w:t xml:space="preserve">financial </w:t>
      </w:r>
      <w:r w:rsidRPr="005635D8">
        <w:rPr>
          <w:rFonts w:ascii="Calibri" w:hAnsi="Calibri"/>
          <w:lang w:val="en-GB"/>
        </w:rPr>
        <w:t>account</w:t>
      </w:r>
      <w:r w:rsidR="001A02BA" w:rsidRPr="005635D8">
        <w:rPr>
          <w:rFonts w:ascii="Calibri" w:hAnsi="Calibri"/>
          <w:lang w:val="en-GB"/>
        </w:rPr>
        <w:t xml:space="preserve">ing </w:t>
      </w:r>
      <w:r w:rsidRPr="005635D8">
        <w:rPr>
          <w:rFonts w:ascii="Calibri" w:hAnsi="Calibri"/>
          <w:lang w:val="en-GB"/>
        </w:rPr>
        <w:t>reports</w:t>
      </w:r>
      <w:r w:rsidR="008C5DFC" w:rsidRPr="005635D8">
        <w:rPr>
          <w:rFonts w:ascii="Calibri" w:hAnsi="Calibri"/>
          <w:lang w:val="en-GB"/>
        </w:rPr>
        <w:t xml:space="preserve"> are needed</w:t>
      </w:r>
      <w:r w:rsidR="00992B47" w:rsidRPr="005635D8">
        <w:rPr>
          <w:rFonts w:ascii="Calibri" w:hAnsi="Calibri"/>
          <w:lang w:val="en-GB"/>
        </w:rPr>
        <w:t xml:space="preserve"> and</w:t>
      </w:r>
      <w:r w:rsidRPr="005635D8">
        <w:rPr>
          <w:rFonts w:ascii="Calibri" w:hAnsi="Calibri"/>
          <w:lang w:val="en-GB"/>
        </w:rPr>
        <w:t xml:space="preserve"> will strongly contribute to the common good and societal interests.</w:t>
      </w:r>
    </w:p>
    <w:p w:rsidR="00621ABD" w:rsidRPr="005635D8" w:rsidRDefault="00621ABD" w:rsidP="00621ABD">
      <w:pPr>
        <w:jc w:val="both"/>
        <w:rPr>
          <w:rFonts w:ascii="Calibri" w:hAnsi="Calibri"/>
          <w:sz w:val="24"/>
          <w:szCs w:val="24"/>
          <w:lang w:val="en-GB" w:eastAsia="nl-NL"/>
        </w:rPr>
      </w:pPr>
    </w:p>
    <w:p w:rsidR="00A33A40" w:rsidRPr="005635D8" w:rsidRDefault="00DF36CD" w:rsidP="001E4C5D">
      <w:pPr>
        <w:pStyle w:val="Heading3"/>
        <w:rPr>
          <w:lang w:val="en-GB"/>
        </w:rPr>
      </w:pPr>
      <w:bookmarkStart w:id="12" w:name="_Toc362267255"/>
      <w:r w:rsidRPr="005635D8">
        <w:rPr>
          <w:lang w:val="en-GB"/>
        </w:rPr>
        <w:t xml:space="preserve">1.4 </w:t>
      </w:r>
      <w:r w:rsidR="00AB101E" w:rsidRPr="005635D8">
        <w:rPr>
          <w:lang w:val="en-GB"/>
        </w:rPr>
        <w:t>Methodology</w:t>
      </w:r>
      <w:bookmarkEnd w:id="12"/>
    </w:p>
    <w:p w:rsidR="00E609C8" w:rsidRPr="005635D8" w:rsidRDefault="0068000E" w:rsidP="00986C15">
      <w:pPr>
        <w:autoSpaceDE w:val="0"/>
        <w:autoSpaceDN w:val="0"/>
        <w:adjustRightInd w:val="0"/>
        <w:spacing w:after="0"/>
        <w:jc w:val="both"/>
        <w:rPr>
          <w:rFonts w:ascii="Calibri" w:hAnsi="Calibri"/>
          <w:lang w:val="en-GB"/>
        </w:rPr>
      </w:pPr>
      <w:r w:rsidRPr="005635D8">
        <w:rPr>
          <w:rFonts w:ascii="Calibri" w:hAnsi="Calibri"/>
          <w:lang w:val="en-GB"/>
        </w:rPr>
        <w:t xml:space="preserve">This research will use a positive empirical approach in which general statements on earnings management among Dutch </w:t>
      </w:r>
      <w:r w:rsidR="00CC33F3" w:rsidRPr="005635D8">
        <w:rPr>
          <w:rFonts w:ascii="Calibri" w:hAnsi="Calibri"/>
          <w:lang w:val="en-GB"/>
        </w:rPr>
        <w:t xml:space="preserve">stock exchange quoted </w:t>
      </w:r>
      <w:r w:rsidRPr="005635D8">
        <w:rPr>
          <w:rFonts w:ascii="Calibri" w:hAnsi="Calibri"/>
          <w:lang w:val="en-GB"/>
        </w:rPr>
        <w:t xml:space="preserve">firms will be deduced </w:t>
      </w:r>
      <w:r w:rsidR="00CC33F3" w:rsidRPr="005635D8">
        <w:rPr>
          <w:rFonts w:ascii="Calibri" w:hAnsi="Calibri"/>
          <w:lang w:val="en-GB"/>
        </w:rPr>
        <w:t xml:space="preserve">based on </w:t>
      </w:r>
      <w:r w:rsidRPr="005635D8">
        <w:rPr>
          <w:rFonts w:ascii="Calibri" w:hAnsi="Calibri"/>
          <w:lang w:val="en-GB"/>
        </w:rPr>
        <w:t>data observations from several firms in the period from 200</w:t>
      </w:r>
      <w:r w:rsidR="00992B47" w:rsidRPr="005635D8">
        <w:rPr>
          <w:rFonts w:ascii="Calibri" w:hAnsi="Calibri"/>
          <w:lang w:val="en-GB"/>
        </w:rPr>
        <w:t>1</w:t>
      </w:r>
      <w:r w:rsidRPr="005635D8">
        <w:rPr>
          <w:rFonts w:ascii="Calibri" w:hAnsi="Calibri"/>
          <w:lang w:val="en-GB"/>
        </w:rPr>
        <w:t xml:space="preserve"> </w:t>
      </w:r>
      <w:r w:rsidR="00CC33F3" w:rsidRPr="005635D8">
        <w:rPr>
          <w:rFonts w:ascii="Calibri" w:hAnsi="Calibri"/>
          <w:lang w:val="en-GB"/>
        </w:rPr>
        <w:t xml:space="preserve">up to and included </w:t>
      </w:r>
      <w:r w:rsidRPr="005635D8">
        <w:rPr>
          <w:rFonts w:ascii="Calibri" w:hAnsi="Calibri"/>
          <w:lang w:val="en-GB"/>
        </w:rPr>
        <w:t>20</w:t>
      </w:r>
      <w:r w:rsidR="00844B7F" w:rsidRPr="005635D8">
        <w:rPr>
          <w:rFonts w:ascii="Calibri" w:hAnsi="Calibri"/>
          <w:lang w:val="en-GB"/>
        </w:rPr>
        <w:t>07</w:t>
      </w:r>
      <w:r w:rsidR="00992B47" w:rsidRPr="005635D8">
        <w:rPr>
          <w:rFonts w:ascii="Calibri" w:hAnsi="Calibri"/>
          <w:lang w:val="en-GB"/>
        </w:rPr>
        <w:t>.</w:t>
      </w:r>
      <w:r w:rsidR="00844B7F" w:rsidRPr="005635D8">
        <w:rPr>
          <w:rFonts w:ascii="Calibri" w:hAnsi="Calibri"/>
          <w:lang w:val="en-GB"/>
        </w:rPr>
        <w:t xml:space="preserve"> This creates two</w:t>
      </w:r>
      <w:r w:rsidR="00CF05B4" w:rsidRPr="005635D8">
        <w:rPr>
          <w:rFonts w:ascii="Calibri" w:hAnsi="Calibri"/>
          <w:lang w:val="en-GB"/>
        </w:rPr>
        <w:t xml:space="preserve"> perio</w:t>
      </w:r>
      <w:r w:rsidR="00844B7F" w:rsidRPr="005635D8">
        <w:rPr>
          <w:rFonts w:ascii="Calibri" w:hAnsi="Calibri"/>
          <w:lang w:val="en-GB"/>
        </w:rPr>
        <w:t>ds of four years before and three</w:t>
      </w:r>
      <w:r w:rsidR="00CF05B4" w:rsidRPr="005635D8">
        <w:rPr>
          <w:rFonts w:ascii="Calibri" w:hAnsi="Calibri"/>
          <w:lang w:val="en-GB"/>
        </w:rPr>
        <w:t xml:space="preserve"> years after the introduction of IFRS in January 2005.</w:t>
      </w:r>
      <w:r w:rsidRPr="005635D8">
        <w:rPr>
          <w:rFonts w:ascii="Calibri" w:hAnsi="Calibri"/>
          <w:lang w:val="en-GB"/>
        </w:rPr>
        <w:t xml:space="preserve"> The type of research involved can be classified as</w:t>
      </w:r>
      <w:r w:rsidR="0008062B" w:rsidRPr="005635D8">
        <w:rPr>
          <w:rFonts w:ascii="Calibri" w:hAnsi="Calibri"/>
          <w:lang w:val="en-GB"/>
        </w:rPr>
        <w:t xml:space="preserve"> a quantitative research approach</w:t>
      </w:r>
      <w:r w:rsidR="00E609C8" w:rsidRPr="005635D8">
        <w:rPr>
          <w:rFonts w:ascii="Calibri" w:hAnsi="Calibri"/>
          <w:lang w:val="en-GB"/>
        </w:rPr>
        <w:t xml:space="preserve">. </w:t>
      </w:r>
      <w:r w:rsidR="00CC33F3" w:rsidRPr="005635D8">
        <w:rPr>
          <w:rFonts w:ascii="Calibri" w:hAnsi="Calibri"/>
          <w:lang w:val="en-GB"/>
        </w:rPr>
        <w:t xml:space="preserve">A </w:t>
      </w:r>
      <w:r w:rsidR="00E609C8" w:rsidRPr="005635D8">
        <w:rPr>
          <w:rFonts w:ascii="Calibri" w:hAnsi="Calibri"/>
          <w:lang w:val="en-GB"/>
        </w:rPr>
        <w:t xml:space="preserve">basis aspect to assess information, quantitative data collection involves the use </w:t>
      </w:r>
      <w:r w:rsidRPr="005635D8">
        <w:rPr>
          <w:rFonts w:ascii="Calibri" w:hAnsi="Calibri"/>
          <w:lang w:val="en-GB"/>
        </w:rPr>
        <w:t xml:space="preserve">of numbers. </w:t>
      </w:r>
      <w:r w:rsidR="00E609C8" w:rsidRPr="005635D8">
        <w:rPr>
          <w:rFonts w:ascii="Calibri" w:hAnsi="Calibri"/>
          <w:lang w:val="en-GB"/>
        </w:rPr>
        <w:t xml:space="preserve">This method fits the current purpose better </w:t>
      </w:r>
      <w:r w:rsidRPr="005635D8">
        <w:rPr>
          <w:rFonts w:ascii="Calibri" w:hAnsi="Calibri"/>
          <w:lang w:val="en-GB"/>
        </w:rPr>
        <w:t xml:space="preserve">than a qualitative approach </w:t>
      </w:r>
      <w:r w:rsidR="00E609C8" w:rsidRPr="005635D8">
        <w:rPr>
          <w:rFonts w:ascii="Calibri" w:hAnsi="Calibri"/>
          <w:lang w:val="en-GB"/>
        </w:rPr>
        <w:t>as a large sample</w:t>
      </w:r>
      <w:r w:rsidRPr="005635D8">
        <w:rPr>
          <w:rFonts w:ascii="Calibri" w:hAnsi="Calibri"/>
          <w:lang w:val="en-GB"/>
        </w:rPr>
        <w:t xml:space="preserve"> of firms</w:t>
      </w:r>
      <w:r w:rsidR="00E609C8" w:rsidRPr="005635D8">
        <w:rPr>
          <w:rFonts w:ascii="Calibri" w:hAnsi="Calibri"/>
          <w:lang w:val="en-GB"/>
        </w:rPr>
        <w:t xml:space="preserve"> </w:t>
      </w:r>
      <w:r w:rsidR="00CC33F3" w:rsidRPr="005635D8">
        <w:rPr>
          <w:rFonts w:ascii="Calibri" w:hAnsi="Calibri"/>
          <w:lang w:val="en-GB"/>
        </w:rPr>
        <w:t xml:space="preserve">will be used </w:t>
      </w:r>
      <w:r w:rsidR="00D21ECA" w:rsidRPr="005635D8">
        <w:rPr>
          <w:rFonts w:ascii="Calibri" w:hAnsi="Calibri"/>
          <w:lang w:val="en-GB"/>
        </w:rPr>
        <w:t>using data collected from several reporting years of those firms.</w:t>
      </w:r>
      <w:r w:rsidR="00E609C8" w:rsidRPr="005635D8">
        <w:rPr>
          <w:rFonts w:ascii="Calibri" w:hAnsi="Calibri"/>
          <w:lang w:val="en-GB"/>
        </w:rPr>
        <w:t xml:space="preserve"> </w:t>
      </w:r>
      <w:r w:rsidR="00D21ECA" w:rsidRPr="005635D8">
        <w:rPr>
          <w:rFonts w:ascii="Calibri" w:hAnsi="Calibri"/>
          <w:lang w:val="en-GB"/>
        </w:rPr>
        <w:t xml:space="preserve">The approach seems to fit in the Positive Accounting Theory that seeks to explain and </w:t>
      </w:r>
      <w:r w:rsidR="00CC33F3" w:rsidRPr="005635D8">
        <w:rPr>
          <w:rFonts w:ascii="Calibri" w:hAnsi="Calibri"/>
          <w:lang w:val="en-GB"/>
        </w:rPr>
        <w:t xml:space="preserve">to </w:t>
      </w:r>
      <w:r w:rsidR="00D21ECA" w:rsidRPr="005635D8">
        <w:rPr>
          <w:rFonts w:ascii="Calibri" w:hAnsi="Calibri"/>
          <w:lang w:val="en-GB"/>
        </w:rPr>
        <w:t xml:space="preserve">predict </w:t>
      </w:r>
      <w:r w:rsidR="00CC33F3" w:rsidRPr="005635D8">
        <w:rPr>
          <w:rFonts w:ascii="Calibri" w:hAnsi="Calibri"/>
          <w:lang w:val="en-GB"/>
        </w:rPr>
        <w:t xml:space="preserve">the </w:t>
      </w:r>
      <w:r w:rsidR="00D21ECA" w:rsidRPr="005635D8">
        <w:rPr>
          <w:rFonts w:ascii="Calibri" w:hAnsi="Calibri"/>
          <w:lang w:val="en-GB"/>
        </w:rPr>
        <w:t>managers</w:t>
      </w:r>
      <w:r w:rsidR="0051013A" w:rsidRPr="005635D8">
        <w:rPr>
          <w:rFonts w:ascii="Calibri" w:hAnsi="Calibri"/>
          <w:lang w:val="en-GB"/>
        </w:rPr>
        <w:t>' choices of accounting methods</w:t>
      </w:r>
      <w:r w:rsidR="00D21ECA" w:rsidRPr="005635D8">
        <w:rPr>
          <w:rFonts w:ascii="Calibri" w:hAnsi="Calibri"/>
          <w:lang w:val="en-GB"/>
        </w:rPr>
        <w:t xml:space="preserve"> (Deegan and Unerman 2006, p. 252)</w:t>
      </w:r>
      <w:r w:rsidR="0051013A" w:rsidRPr="005635D8">
        <w:rPr>
          <w:rFonts w:ascii="Calibri" w:hAnsi="Calibri"/>
          <w:lang w:val="en-GB"/>
        </w:rPr>
        <w:t>.</w:t>
      </w:r>
    </w:p>
    <w:p w:rsidR="0008062B" w:rsidRPr="005635D8" w:rsidRDefault="0008062B" w:rsidP="00986C15">
      <w:pPr>
        <w:autoSpaceDE w:val="0"/>
        <w:autoSpaceDN w:val="0"/>
        <w:adjustRightInd w:val="0"/>
        <w:spacing w:after="0"/>
        <w:jc w:val="both"/>
        <w:rPr>
          <w:rFonts w:ascii="Calibri" w:hAnsi="Calibri"/>
          <w:lang w:val="en-GB"/>
        </w:rPr>
      </w:pPr>
    </w:p>
    <w:p w:rsidR="00CF05B4" w:rsidRPr="005635D8" w:rsidRDefault="001025B4" w:rsidP="00986C15">
      <w:pPr>
        <w:autoSpaceDE w:val="0"/>
        <w:autoSpaceDN w:val="0"/>
        <w:adjustRightInd w:val="0"/>
        <w:spacing w:after="0"/>
        <w:jc w:val="both"/>
        <w:rPr>
          <w:rFonts w:ascii="Calibri" w:hAnsi="Calibri"/>
          <w:lang w:val="en-GB"/>
        </w:rPr>
      </w:pPr>
      <w:r w:rsidRPr="005635D8">
        <w:rPr>
          <w:rFonts w:ascii="Calibri" w:hAnsi="Calibri"/>
          <w:lang w:val="en-GB"/>
        </w:rPr>
        <w:t xml:space="preserve">Several researchers investigated the impact of IFRS on </w:t>
      </w:r>
      <w:r w:rsidR="00CC33F3" w:rsidRPr="005635D8">
        <w:rPr>
          <w:rFonts w:ascii="Calibri" w:hAnsi="Calibri"/>
          <w:lang w:val="en-GB"/>
        </w:rPr>
        <w:t xml:space="preserve">the use of </w:t>
      </w:r>
      <w:r w:rsidRPr="005635D8">
        <w:rPr>
          <w:rFonts w:ascii="Calibri" w:hAnsi="Calibri"/>
          <w:lang w:val="en-GB"/>
        </w:rPr>
        <w:t xml:space="preserve">earnings management. In order to identify </w:t>
      </w:r>
      <w:r w:rsidR="00CC33F3" w:rsidRPr="005635D8">
        <w:rPr>
          <w:rFonts w:ascii="Calibri" w:hAnsi="Calibri"/>
          <w:lang w:val="en-GB"/>
        </w:rPr>
        <w:t xml:space="preserve">the use of </w:t>
      </w:r>
      <w:r w:rsidRPr="005635D8">
        <w:rPr>
          <w:rFonts w:ascii="Calibri" w:hAnsi="Calibri"/>
          <w:lang w:val="en-GB"/>
        </w:rPr>
        <w:t>earnings management most researchers have approached the issue by detecting discretionary accruals</w:t>
      </w:r>
      <w:r w:rsidR="00D21ECA" w:rsidRPr="005635D8">
        <w:rPr>
          <w:rFonts w:ascii="Calibri" w:hAnsi="Calibri"/>
          <w:lang w:val="en-GB"/>
        </w:rPr>
        <w:t xml:space="preserve">. Within those approaches discretionary accruals are estimated </w:t>
      </w:r>
      <w:r w:rsidR="00CC33F3" w:rsidRPr="005635D8">
        <w:rPr>
          <w:rFonts w:ascii="Calibri" w:hAnsi="Calibri"/>
          <w:lang w:val="en-GB"/>
        </w:rPr>
        <w:t xml:space="preserve">based on </w:t>
      </w:r>
      <w:r w:rsidR="00D21ECA" w:rsidRPr="005635D8">
        <w:rPr>
          <w:rFonts w:ascii="Calibri" w:hAnsi="Calibri"/>
          <w:lang w:val="en-GB"/>
        </w:rPr>
        <w:t xml:space="preserve">total accruals and </w:t>
      </w:r>
      <w:r w:rsidR="00CC33F3" w:rsidRPr="005635D8">
        <w:rPr>
          <w:rFonts w:ascii="Calibri" w:hAnsi="Calibri"/>
          <w:lang w:val="en-GB"/>
        </w:rPr>
        <w:t xml:space="preserve">the </w:t>
      </w:r>
      <w:r w:rsidR="00D21ECA" w:rsidRPr="005635D8">
        <w:rPr>
          <w:rFonts w:ascii="Calibri" w:hAnsi="Calibri"/>
          <w:lang w:val="en-GB"/>
        </w:rPr>
        <w:t xml:space="preserve">non-discretionary accruals. </w:t>
      </w:r>
      <w:r w:rsidR="00CF05B4" w:rsidRPr="005635D8">
        <w:rPr>
          <w:rFonts w:ascii="Calibri" w:hAnsi="Calibri"/>
          <w:lang w:val="en-GB"/>
        </w:rPr>
        <w:t xml:space="preserve">The exact model used to estimate discretionary accruals, the sample of companies and the data collection will be further explained in the research design chapter. </w:t>
      </w:r>
    </w:p>
    <w:p w:rsidR="00A33A40" w:rsidRPr="005635D8" w:rsidRDefault="00A33A40" w:rsidP="003F6137">
      <w:pPr>
        <w:pStyle w:val="BodyText"/>
        <w:spacing w:after="0" w:line="276" w:lineRule="auto"/>
        <w:rPr>
          <w:rFonts w:ascii="Calibri" w:hAnsi="Calibri"/>
          <w:lang w:val="en-GB"/>
        </w:rPr>
      </w:pPr>
    </w:p>
    <w:p w:rsidR="00AB101E" w:rsidRPr="005635D8" w:rsidRDefault="00DF36CD" w:rsidP="001E4C5D">
      <w:pPr>
        <w:pStyle w:val="Heading3"/>
        <w:rPr>
          <w:lang w:val="en-GB"/>
        </w:rPr>
      </w:pPr>
      <w:bookmarkStart w:id="13" w:name="_Toc362267256"/>
      <w:r w:rsidRPr="005635D8">
        <w:rPr>
          <w:lang w:val="en-GB"/>
        </w:rPr>
        <w:t xml:space="preserve">1.5 </w:t>
      </w:r>
      <w:r w:rsidR="00AB101E" w:rsidRPr="005635D8">
        <w:rPr>
          <w:lang w:val="en-GB"/>
        </w:rPr>
        <w:t>Demarcation and limitations</w:t>
      </w:r>
      <w:bookmarkEnd w:id="13"/>
      <w:r w:rsidR="00AB101E" w:rsidRPr="005635D8">
        <w:rPr>
          <w:lang w:val="en-GB"/>
        </w:rPr>
        <w:t xml:space="preserve"> </w:t>
      </w:r>
    </w:p>
    <w:p w:rsidR="00FD3808" w:rsidRPr="005635D8" w:rsidRDefault="003F6137" w:rsidP="0051013A">
      <w:pPr>
        <w:autoSpaceDE w:val="0"/>
        <w:autoSpaceDN w:val="0"/>
        <w:adjustRightInd w:val="0"/>
        <w:spacing w:after="0"/>
        <w:jc w:val="both"/>
        <w:rPr>
          <w:rFonts w:ascii="Calibri" w:hAnsi="Calibri"/>
          <w:lang w:val="en-GB"/>
        </w:rPr>
      </w:pPr>
      <w:r w:rsidRPr="005635D8">
        <w:rPr>
          <w:rFonts w:ascii="Calibri" w:hAnsi="Calibri"/>
          <w:lang w:val="en-GB"/>
        </w:rPr>
        <w:t>The focus of this research will be on determining the amount of earnings management in the Net</w:t>
      </w:r>
      <w:r w:rsidR="00621ABD" w:rsidRPr="005635D8">
        <w:rPr>
          <w:rFonts w:ascii="Calibri" w:hAnsi="Calibri"/>
          <w:lang w:val="en-GB"/>
        </w:rPr>
        <w:t>he</w:t>
      </w:r>
      <w:r w:rsidR="00992B47" w:rsidRPr="005635D8">
        <w:rPr>
          <w:rFonts w:ascii="Calibri" w:hAnsi="Calibri"/>
          <w:lang w:val="en-GB"/>
        </w:rPr>
        <w:t>rlands over the peri</w:t>
      </w:r>
      <w:r w:rsidR="00844B7F" w:rsidRPr="005635D8">
        <w:rPr>
          <w:rFonts w:ascii="Calibri" w:hAnsi="Calibri"/>
          <w:lang w:val="en-GB"/>
        </w:rPr>
        <w:t>od from 2001 to 2007</w:t>
      </w:r>
      <w:r w:rsidRPr="005635D8">
        <w:rPr>
          <w:rFonts w:ascii="Calibri" w:hAnsi="Calibri"/>
          <w:lang w:val="en-GB"/>
        </w:rPr>
        <w:t xml:space="preserve"> containing the event of the adoption of IFRS. However, </w:t>
      </w:r>
      <w:r w:rsidR="00FD3808" w:rsidRPr="005635D8">
        <w:rPr>
          <w:rFonts w:ascii="Calibri" w:hAnsi="Calibri"/>
          <w:lang w:val="en-GB"/>
        </w:rPr>
        <w:t xml:space="preserve">the methodology used in this study only measures the levels of accrual-based earnings management. The </w:t>
      </w:r>
      <w:r w:rsidR="00F71079" w:rsidRPr="005635D8">
        <w:rPr>
          <w:rFonts w:ascii="Calibri" w:hAnsi="Calibri"/>
          <w:lang w:val="en-GB"/>
        </w:rPr>
        <w:t>consequently</w:t>
      </w:r>
      <w:r w:rsidR="00FD3808" w:rsidRPr="005635D8">
        <w:rPr>
          <w:rFonts w:ascii="Calibri" w:hAnsi="Calibri"/>
          <w:lang w:val="en-GB"/>
        </w:rPr>
        <w:t xml:space="preserve"> called type of ‘real’ earnings management which can be distinguished from accruals based earnings management is neglected by this approach. </w:t>
      </w:r>
      <w:r w:rsidR="00F71079" w:rsidRPr="005635D8">
        <w:rPr>
          <w:rFonts w:ascii="Calibri" w:hAnsi="Calibri"/>
          <w:lang w:val="en-GB"/>
        </w:rPr>
        <w:t>Consequently</w:t>
      </w:r>
      <w:r w:rsidR="00FD3808" w:rsidRPr="005635D8">
        <w:rPr>
          <w:rFonts w:ascii="Calibri" w:hAnsi="Calibri"/>
          <w:lang w:val="en-GB"/>
        </w:rPr>
        <w:t xml:space="preserve"> the findings are limited to the concept of accrual-based earnings management. </w:t>
      </w:r>
    </w:p>
    <w:p w:rsidR="00FD3808" w:rsidRPr="005635D8" w:rsidRDefault="00FD3808" w:rsidP="0051013A">
      <w:pPr>
        <w:autoSpaceDE w:val="0"/>
        <w:autoSpaceDN w:val="0"/>
        <w:adjustRightInd w:val="0"/>
        <w:spacing w:after="0"/>
        <w:jc w:val="both"/>
        <w:rPr>
          <w:rFonts w:ascii="Calibri" w:hAnsi="Calibri"/>
          <w:lang w:val="en-GB" w:eastAsia="nl-NL"/>
        </w:rPr>
      </w:pPr>
    </w:p>
    <w:p w:rsidR="00FD3808" w:rsidRPr="005635D8" w:rsidRDefault="00FD3808" w:rsidP="0051013A">
      <w:pPr>
        <w:autoSpaceDE w:val="0"/>
        <w:autoSpaceDN w:val="0"/>
        <w:adjustRightInd w:val="0"/>
        <w:spacing w:after="0"/>
        <w:jc w:val="both"/>
        <w:rPr>
          <w:rFonts w:ascii="Calibri" w:hAnsi="Calibri"/>
          <w:lang w:val="en-GB"/>
        </w:rPr>
      </w:pPr>
      <w:r w:rsidRPr="005635D8">
        <w:rPr>
          <w:rFonts w:ascii="Calibri" w:hAnsi="Calibri"/>
          <w:lang w:val="en-GB"/>
        </w:rPr>
        <w:t xml:space="preserve">The findings will </w:t>
      </w:r>
      <w:r w:rsidR="00323D4C" w:rsidRPr="005635D8">
        <w:rPr>
          <w:rFonts w:ascii="Calibri" w:hAnsi="Calibri"/>
          <w:lang w:val="en-GB"/>
        </w:rPr>
        <w:t>in addition</w:t>
      </w:r>
      <w:r w:rsidRPr="005635D8">
        <w:rPr>
          <w:rFonts w:ascii="Calibri" w:hAnsi="Calibri"/>
          <w:lang w:val="en-GB"/>
        </w:rPr>
        <w:t xml:space="preserve"> be limited to the Dutch case only. As the Dutch code law system and the Dutch institutional setting provide a specific background for the use of earnings management it deserves special considerations whether the findings can be compared with findings from other countries. </w:t>
      </w:r>
      <w:r w:rsidR="009B6450" w:rsidRPr="005635D8">
        <w:rPr>
          <w:rFonts w:ascii="Calibri" w:hAnsi="Calibri"/>
          <w:lang w:val="en-GB"/>
        </w:rPr>
        <w:t xml:space="preserve">The Dutch GAAP system of accounting that preceded the IFRS is </w:t>
      </w:r>
      <w:r w:rsidR="00323D4C" w:rsidRPr="005635D8">
        <w:rPr>
          <w:rFonts w:ascii="Calibri" w:hAnsi="Calibri"/>
          <w:lang w:val="en-GB"/>
        </w:rPr>
        <w:t>in addition</w:t>
      </w:r>
      <w:r w:rsidR="009B6450" w:rsidRPr="005635D8">
        <w:rPr>
          <w:rFonts w:ascii="Calibri" w:hAnsi="Calibri"/>
          <w:lang w:val="en-GB"/>
        </w:rPr>
        <w:t xml:space="preserve"> supposed not to</w:t>
      </w:r>
      <w:r w:rsidR="00457024" w:rsidRPr="005635D8">
        <w:rPr>
          <w:rFonts w:ascii="Calibri" w:hAnsi="Calibri"/>
          <w:lang w:val="en-GB"/>
        </w:rPr>
        <w:t xml:space="preserve"> differ</w:t>
      </w:r>
      <w:r w:rsidR="009B6450" w:rsidRPr="005635D8">
        <w:rPr>
          <w:rFonts w:ascii="Calibri" w:hAnsi="Calibri"/>
          <w:lang w:val="en-GB"/>
        </w:rPr>
        <w:t xml:space="preserve"> much from the IFRS as some other predeceasing systems did in other countries. This might </w:t>
      </w:r>
      <w:r w:rsidR="00323D4C" w:rsidRPr="005635D8">
        <w:rPr>
          <w:rFonts w:ascii="Calibri" w:hAnsi="Calibri"/>
          <w:lang w:val="en-GB"/>
        </w:rPr>
        <w:t>in addition</w:t>
      </w:r>
      <w:r w:rsidR="009B6450" w:rsidRPr="005635D8">
        <w:rPr>
          <w:rFonts w:ascii="Calibri" w:hAnsi="Calibri"/>
          <w:lang w:val="en-GB"/>
        </w:rPr>
        <w:t xml:space="preserve"> influence the results.  </w:t>
      </w:r>
    </w:p>
    <w:p w:rsidR="00FD3808" w:rsidRPr="005635D8" w:rsidRDefault="00FD3808" w:rsidP="0051013A">
      <w:pPr>
        <w:autoSpaceDE w:val="0"/>
        <w:autoSpaceDN w:val="0"/>
        <w:adjustRightInd w:val="0"/>
        <w:spacing w:after="0"/>
        <w:jc w:val="both"/>
        <w:rPr>
          <w:rFonts w:ascii="Calibri" w:hAnsi="Calibri"/>
          <w:lang w:val="en-GB"/>
        </w:rPr>
      </w:pPr>
    </w:p>
    <w:p w:rsidR="00864FFE" w:rsidRPr="005635D8" w:rsidRDefault="00FD3808" w:rsidP="0051013A">
      <w:pPr>
        <w:autoSpaceDE w:val="0"/>
        <w:autoSpaceDN w:val="0"/>
        <w:adjustRightInd w:val="0"/>
        <w:spacing w:after="0"/>
        <w:jc w:val="both"/>
        <w:rPr>
          <w:rFonts w:ascii="Calibri" w:hAnsi="Calibri"/>
          <w:lang w:val="en-GB"/>
        </w:rPr>
      </w:pPr>
      <w:r w:rsidRPr="005635D8">
        <w:rPr>
          <w:rFonts w:ascii="Calibri" w:hAnsi="Calibri"/>
          <w:lang w:val="en-GB"/>
        </w:rPr>
        <w:t xml:space="preserve">Consistent with previous research financial institutions and utility companies will be excluded from the sample of firms. Financial institutions are subject to special accounting requirements and utility companies are </w:t>
      </w:r>
      <w:r w:rsidR="005635D8" w:rsidRPr="005635D8">
        <w:rPr>
          <w:rFonts w:ascii="Calibri" w:hAnsi="Calibri"/>
          <w:lang w:val="en-GB"/>
        </w:rPr>
        <w:t>a diverse</w:t>
      </w:r>
      <w:r w:rsidRPr="005635D8">
        <w:rPr>
          <w:rFonts w:ascii="Calibri" w:hAnsi="Calibri"/>
          <w:lang w:val="en-GB"/>
        </w:rPr>
        <w:t xml:space="preserve"> category of firms. For those reasons those types of companies are usually excluded from samples used in these type of analyses</w:t>
      </w:r>
      <w:r w:rsidR="00457024" w:rsidRPr="005635D8">
        <w:rPr>
          <w:rFonts w:ascii="Calibri" w:hAnsi="Calibri"/>
          <w:lang w:val="en-GB"/>
        </w:rPr>
        <w:t xml:space="preserve"> (Tendeloo and Vanstrae</w:t>
      </w:r>
      <w:r w:rsidR="009B6450" w:rsidRPr="005635D8">
        <w:rPr>
          <w:rFonts w:ascii="Calibri" w:hAnsi="Calibri"/>
          <w:lang w:val="en-GB"/>
        </w:rPr>
        <w:t>len 2005)</w:t>
      </w:r>
      <w:r w:rsidRPr="005635D8">
        <w:rPr>
          <w:rFonts w:ascii="Calibri" w:hAnsi="Calibri"/>
          <w:lang w:val="en-GB"/>
        </w:rPr>
        <w:t>.</w:t>
      </w:r>
      <w:r w:rsidR="009B6450" w:rsidRPr="005635D8">
        <w:rPr>
          <w:rFonts w:ascii="Calibri" w:hAnsi="Calibri"/>
          <w:lang w:val="en-GB"/>
        </w:rPr>
        <w:t xml:space="preserve"> </w:t>
      </w:r>
      <w:r w:rsidR="00323D4C" w:rsidRPr="005635D8">
        <w:rPr>
          <w:rFonts w:ascii="Calibri" w:hAnsi="Calibri"/>
          <w:lang w:val="en-GB"/>
        </w:rPr>
        <w:t>In addition</w:t>
      </w:r>
      <w:r w:rsidR="009B6450" w:rsidRPr="005635D8">
        <w:rPr>
          <w:rFonts w:ascii="Calibri" w:hAnsi="Calibri"/>
          <w:lang w:val="en-GB"/>
        </w:rPr>
        <w:t xml:space="preserve"> voluntary adopters of IFRS in the years before 2005 will be exclude</w:t>
      </w:r>
      <w:r w:rsidR="00FA74E3" w:rsidRPr="005635D8">
        <w:rPr>
          <w:rFonts w:ascii="Calibri" w:hAnsi="Calibri"/>
          <w:lang w:val="en-GB"/>
        </w:rPr>
        <w:t>d,</w:t>
      </w:r>
      <w:r w:rsidR="009B6450" w:rsidRPr="005635D8">
        <w:rPr>
          <w:rFonts w:ascii="Calibri" w:hAnsi="Calibri"/>
          <w:lang w:val="en-GB"/>
        </w:rPr>
        <w:t xml:space="preserve"> as including those firms might bias the findings.</w:t>
      </w:r>
    </w:p>
    <w:p w:rsidR="003F6137" w:rsidRPr="005635D8" w:rsidRDefault="003F6137" w:rsidP="00FD3808">
      <w:pPr>
        <w:autoSpaceDE w:val="0"/>
        <w:autoSpaceDN w:val="0"/>
        <w:adjustRightInd w:val="0"/>
        <w:spacing w:after="0" w:line="240" w:lineRule="auto"/>
        <w:jc w:val="both"/>
        <w:rPr>
          <w:rFonts w:ascii="Calibri" w:hAnsi="Calibri"/>
          <w:sz w:val="24"/>
          <w:szCs w:val="24"/>
          <w:lang w:val="en-GB" w:eastAsia="nl-NL"/>
        </w:rPr>
      </w:pPr>
    </w:p>
    <w:p w:rsidR="00691EC2" w:rsidRPr="005635D8" w:rsidRDefault="003F6137" w:rsidP="001E4C5D">
      <w:pPr>
        <w:pStyle w:val="Heading3"/>
        <w:rPr>
          <w:lang w:val="en-GB"/>
        </w:rPr>
      </w:pPr>
      <w:bookmarkStart w:id="14" w:name="_Toc362267257"/>
      <w:r w:rsidRPr="005635D8">
        <w:rPr>
          <w:lang w:val="en-GB"/>
        </w:rPr>
        <w:t xml:space="preserve">1.6 </w:t>
      </w:r>
      <w:r w:rsidR="00AB101E" w:rsidRPr="005635D8">
        <w:rPr>
          <w:lang w:val="en-GB"/>
        </w:rPr>
        <w:t>Structure of the research</w:t>
      </w:r>
      <w:bookmarkEnd w:id="14"/>
      <w:r w:rsidR="00AB101E" w:rsidRPr="005635D8">
        <w:rPr>
          <w:lang w:val="en-GB"/>
        </w:rPr>
        <w:t xml:space="preserve"> </w:t>
      </w:r>
    </w:p>
    <w:p w:rsidR="00C461F0" w:rsidRPr="005635D8" w:rsidRDefault="00691EC2" w:rsidP="00986C15">
      <w:pPr>
        <w:autoSpaceDE w:val="0"/>
        <w:autoSpaceDN w:val="0"/>
        <w:adjustRightInd w:val="0"/>
        <w:spacing w:after="0"/>
        <w:jc w:val="both"/>
        <w:rPr>
          <w:rFonts w:ascii="Calibri" w:hAnsi="Calibri"/>
          <w:lang w:val="en-GB"/>
        </w:rPr>
      </w:pPr>
      <w:r w:rsidRPr="005635D8">
        <w:rPr>
          <w:rFonts w:ascii="Calibri" w:hAnsi="Calibri"/>
          <w:lang w:val="en-GB"/>
        </w:rPr>
        <w:t>This research will proceed using the following structure: The next chapter</w:t>
      </w:r>
      <w:r w:rsidR="00D25860" w:rsidRPr="005635D8">
        <w:rPr>
          <w:rFonts w:ascii="Calibri" w:hAnsi="Calibri"/>
          <w:lang w:val="en-GB"/>
        </w:rPr>
        <w:t xml:space="preserve"> provides a background for understanding earnings management by discussing general accountancy theories such as the ‘positive accounting theory’, ‘the agency theory’, ‘stewardship theory’ and it further introduces the development of IFRS and the reasons for its mandatory introduction in several countries. Chapter 3 further introduces the concept of earnings management. Several definitions will be </w:t>
      </w:r>
      <w:r w:rsidR="00640F0E" w:rsidRPr="005635D8">
        <w:rPr>
          <w:rFonts w:ascii="Calibri" w:hAnsi="Calibri"/>
          <w:lang w:val="en-GB"/>
        </w:rPr>
        <w:t>commented</w:t>
      </w:r>
      <w:r w:rsidR="00D25860" w:rsidRPr="005635D8">
        <w:rPr>
          <w:rFonts w:ascii="Calibri" w:hAnsi="Calibri"/>
          <w:lang w:val="en-GB"/>
        </w:rPr>
        <w:t xml:space="preserve"> and distinctions between different types of earnings management and structural incentives to engage in earnings management are </w:t>
      </w:r>
      <w:r w:rsidR="0060562C" w:rsidRPr="005635D8">
        <w:rPr>
          <w:rFonts w:ascii="Calibri" w:hAnsi="Calibri"/>
          <w:lang w:val="en-GB"/>
        </w:rPr>
        <w:t>presented. Next, chapter 4 further explains IFRS and its characteristics.</w:t>
      </w:r>
      <w:r w:rsidR="00F05BFF" w:rsidRPr="005635D8">
        <w:rPr>
          <w:rFonts w:ascii="Calibri" w:hAnsi="Calibri"/>
          <w:lang w:val="en-GB"/>
        </w:rPr>
        <w:t xml:space="preserve"> Chapter 5 deals </w:t>
      </w:r>
      <w:r w:rsidR="00D25860" w:rsidRPr="005635D8">
        <w:rPr>
          <w:rFonts w:ascii="Calibri" w:hAnsi="Calibri"/>
          <w:lang w:val="en-GB"/>
        </w:rPr>
        <w:t xml:space="preserve">with the question </w:t>
      </w:r>
      <w:r w:rsidR="00F57B55" w:rsidRPr="005635D8">
        <w:rPr>
          <w:rFonts w:ascii="Calibri" w:hAnsi="Calibri"/>
          <w:lang w:val="en-GB"/>
        </w:rPr>
        <w:t>in which way</w:t>
      </w:r>
      <w:r w:rsidR="00D25860" w:rsidRPr="005635D8">
        <w:rPr>
          <w:rFonts w:ascii="Calibri" w:hAnsi="Calibri"/>
          <w:lang w:val="en-GB"/>
        </w:rPr>
        <w:t xml:space="preserve"> earnings management can be measured. Firstly the concept of earnings management as accruals based accountancy is explained. Then, a distinction between non-discretionary accruals and discretionary accruals is presented. </w:t>
      </w:r>
      <w:r w:rsidR="0008062B" w:rsidRPr="005635D8">
        <w:rPr>
          <w:rFonts w:ascii="Calibri" w:hAnsi="Calibri"/>
          <w:lang w:val="en-GB"/>
        </w:rPr>
        <w:t>After that different models measuring earnings measurement by an estimation of discretionary accruals are presented. Finally the distinction between time-series models and cross-sectiona</w:t>
      </w:r>
      <w:r w:rsidR="00F05BFF" w:rsidRPr="005635D8">
        <w:rPr>
          <w:rFonts w:ascii="Calibri" w:hAnsi="Calibri"/>
          <w:lang w:val="en-GB"/>
        </w:rPr>
        <w:t xml:space="preserve">l models is </w:t>
      </w:r>
      <w:r w:rsidR="00640F0E" w:rsidRPr="005635D8">
        <w:rPr>
          <w:rFonts w:ascii="Calibri" w:hAnsi="Calibri"/>
          <w:lang w:val="en-GB"/>
        </w:rPr>
        <w:t>commented</w:t>
      </w:r>
      <w:r w:rsidR="00F05BFF" w:rsidRPr="005635D8">
        <w:rPr>
          <w:rFonts w:ascii="Calibri" w:hAnsi="Calibri"/>
          <w:lang w:val="en-GB"/>
        </w:rPr>
        <w:t>. Chapter 6</w:t>
      </w:r>
      <w:r w:rsidR="0008062B" w:rsidRPr="005635D8">
        <w:rPr>
          <w:rFonts w:ascii="Calibri" w:hAnsi="Calibri"/>
          <w:lang w:val="en-GB"/>
        </w:rPr>
        <w:t xml:space="preserve"> gives a literature overview of previous studies </w:t>
      </w:r>
      <w:r w:rsidR="0098240C" w:rsidRPr="005635D8">
        <w:rPr>
          <w:rFonts w:ascii="Calibri" w:hAnsi="Calibri"/>
          <w:lang w:val="en-GB"/>
        </w:rPr>
        <w:t>based</w:t>
      </w:r>
      <w:r w:rsidR="0008062B" w:rsidRPr="005635D8">
        <w:rPr>
          <w:rFonts w:ascii="Calibri" w:hAnsi="Calibri"/>
          <w:lang w:val="en-GB"/>
        </w:rPr>
        <w:t xml:space="preserve"> at the effects of introducing IFRS on the amount of earnings management used by firms in</w:t>
      </w:r>
      <w:r w:rsidR="00F05BFF" w:rsidRPr="005635D8">
        <w:rPr>
          <w:rFonts w:ascii="Calibri" w:hAnsi="Calibri"/>
          <w:lang w:val="en-GB"/>
        </w:rPr>
        <w:t xml:space="preserve"> several countries. Consequently in the seventh</w:t>
      </w:r>
      <w:r w:rsidR="0008062B" w:rsidRPr="005635D8">
        <w:rPr>
          <w:rFonts w:ascii="Calibri" w:hAnsi="Calibri"/>
          <w:lang w:val="en-GB"/>
        </w:rPr>
        <w:t xml:space="preserve"> chapter several hypothes</w:t>
      </w:r>
      <w:r w:rsidR="00A05699" w:rsidRPr="005635D8">
        <w:rPr>
          <w:rFonts w:ascii="Calibri" w:hAnsi="Calibri"/>
          <w:lang w:val="en-GB"/>
        </w:rPr>
        <w:t>e</w:t>
      </w:r>
      <w:r w:rsidR="0008062B" w:rsidRPr="005635D8">
        <w:rPr>
          <w:rFonts w:ascii="Calibri" w:hAnsi="Calibri"/>
          <w:lang w:val="en-GB"/>
        </w:rPr>
        <w:t xml:space="preserve">s will be presented that will be tested in this study. </w:t>
      </w:r>
      <w:r w:rsidR="00F05BFF" w:rsidRPr="005635D8">
        <w:rPr>
          <w:rFonts w:ascii="Calibri" w:hAnsi="Calibri"/>
          <w:lang w:val="en-GB"/>
        </w:rPr>
        <w:t>Chapter 8 explains the whole research design and the results of the study are presented in chapter 9. Finally chapter 10 provides the conclusion.</w:t>
      </w:r>
      <w:r w:rsidR="0008062B" w:rsidRPr="005635D8">
        <w:rPr>
          <w:rFonts w:ascii="Calibri" w:hAnsi="Calibri"/>
          <w:lang w:val="en-GB"/>
        </w:rPr>
        <w:t xml:space="preserve"> </w:t>
      </w:r>
      <w:r w:rsidRPr="005635D8">
        <w:rPr>
          <w:rFonts w:ascii="Calibri" w:hAnsi="Calibri"/>
          <w:lang w:val="en-GB"/>
        </w:rPr>
        <w:t xml:space="preserve"> </w:t>
      </w:r>
      <w:r w:rsidR="00C461F0" w:rsidRPr="005635D8">
        <w:rPr>
          <w:rFonts w:ascii="Calibri" w:hAnsi="Calibri"/>
          <w:lang w:val="en-GB"/>
        </w:rPr>
        <w:br w:type="page"/>
      </w:r>
    </w:p>
    <w:p w:rsidR="00AB101E" w:rsidRPr="005635D8" w:rsidRDefault="008A3B56" w:rsidP="00621ABD">
      <w:pPr>
        <w:pStyle w:val="Heading1"/>
      </w:pPr>
      <w:bookmarkStart w:id="15" w:name="_Toc362267258"/>
      <w:r w:rsidRPr="005635D8">
        <w:t xml:space="preserve">2 </w:t>
      </w:r>
      <w:r w:rsidR="00AB101E" w:rsidRPr="005635D8">
        <w:t>Background Theory</w:t>
      </w:r>
      <w:bookmarkEnd w:id="15"/>
      <w:r w:rsidR="00AB101E" w:rsidRPr="005635D8">
        <w:t xml:space="preserve"> </w:t>
      </w:r>
    </w:p>
    <w:p w:rsidR="00621ABD" w:rsidRPr="005635D8" w:rsidRDefault="00621ABD" w:rsidP="004573B9">
      <w:pPr>
        <w:jc w:val="both"/>
        <w:rPr>
          <w:rFonts w:ascii="Calibri" w:hAnsi="Calibri"/>
          <w:sz w:val="24"/>
          <w:szCs w:val="24"/>
          <w:lang w:val="en-GB"/>
        </w:rPr>
      </w:pPr>
    </w:p>
    <w:p w:rsidR="00562350" w:rsidRPr="005635D8" w:rsidRDefault="00242BC6" w:rsidP="00537B8C">
      <w:pPr>
        <w:jc w:val="both"/>
        <w:rPr>
          <w:rFonts w:ascii="Calibri" w:hAnsi="Calibri"/>
          <w:lang w:val="en-GB"/>
        </w:rPr>
      </w:pPr>
      <w:r w:rsidRPr="005635D8">
        <w:rPr>
          <w:rFonts w:ascii="Calibri" w:hAnsi="Calibri"/>
          <w:lang w:val="en-GB"/>
        </w:rPr>
        <w:t xml:space="preserve">Earnings management is a specific type of accounting. In order to fully understand all the implications of earnings management this chapter provides </w:t>
      </w:r>
      <w:r w:rsidR="00F57B55" w:rsidRPr="005635D8">
        <w:rPr>
          <w:rFonts w:ascii="Calibri" w:hAnsi="Calibri"/>
          <w:lang w:val="en-GB"/>
        </w:rPr>
        <w:t xml:space="preserve">the </w:t>
      </w:r>
      <w:r w:rsidRPr="005635D8">
        <w:rPr>
          <w:rFonts w:ascii="Calibri" w:hAnsi="Calibri"/>
          <w:lang w:val="en-GB"/>
        </w:rPr>
        <w:t xml:space="preserve">background for understanding </w:t>
      </w:r>
      <w:r w:rsidR="00F57B55" w:rsidRPr="005635D8">
        <w:rPr>
          <w:rFonts w:ascii="Calibri" w:hAnsi="Calibri"/>
          <w:lang w:val="en-GB"/>
        </w:rPr>
        <w:t xml:space="preserve">the use of </w:t>
      </w:r>
      <w:r w:rsidRPr="005635D8">
        <w:rPr>
          <w:rFonts w:ascii="Calibri" w:hAnsi="Calibri"/>
          <w:lang w:val="en-GB"/>
        </w:rPr>
        <w:t xml:space="preserve">earnings management by </w:t>
      </w:r>
      <w:r w:rsidR="00F57B55" w:rsidRPr="005635D8">
        <w:rPr>
          <w:rFonts w:ascii="Calibri" w:hAnsi="Calibri"/>
          <w:lang w:val="en-GB"/>
        </w:rPr>
        <w:t xml:space="preserve">presenting </w:t>
      </w:r>
      <w:r w:rsidR="00F57280" w:rsidRPr="005635D8">
        <w:rPr>
          <w:rFonts w:ascii="Calibri" w:hAnsi="Calibri"/>
          <w:lang w:val="en-GB"/>
        </w:rPr>
        <w:t>an overview of certain</w:t>
      </w:r>
      <w:r w:rsidRPr="005635D8">
        <w:rPr>
          <w:rFonts w:ascii="Calibri" w:hAnsi="Calibri"/>
          <w:lang w:val="en-GB"/>
        </w:rPr>
        <w:t xml:space="preserve"> more general types</w:t>
      </w:r>
      <w:r w:rsidR="00F57280" w:rsidRPr="005635D8">
        <w:rPr>
          <w:rFonts w:ascii="Calibri" w:hAnsi="Calibri"/>
          <w:lang w:val="en-GB"/>
        </w:rPr>
        <w:t xml:space="preserve"> of accounting theories whereon </w:t>
      </w:r>
      <w:r w:rsidR="00F57B55" w:rsidRPr="005635D8">
        <w:rPr>
          <w:rFonts w:ascii="Calibri" w:hAnsi="Calibri"/>
          <w:lang w:val="en-GB"/>
        </w:rPr>
        <w:t xml:space="preserve">the use of </w:t>
      </w:r>
      <w:r w:rsidR="004573B9" w:rsidRPr="005635D8">
        <w:rPr>
          <w:rFonts w:ascii="Calibri" w:hAnsi="Calibri"/>
          <w:lang w:val="en-GB"/>
        </w:rPr>
        <w:t>earnings management</w:t>
      </w:r>
      <w:r w:rsidRPr="005635D8">
        <w:rPr>
          <w:rFonts w:ascii="Calibri" w:hAnsi="Calibri"/>
          <w:lang w:val="en-GB"/>
        </w:rPr>
        <w:t xml:space="preserve"> </w:t>
      </w:r>
      <w:r w:rsidR="00F57280" w:rsidRPr="005635D8">
        <w:rPr>
          <w:rFonts w:ascii="Calibri" w:hAnsi="Calibri"/>
          <w:lang w:val="en-GB"/>
        </w:rPr>
        <w:t>relies.</w:t>
      </w:r>
      <w:r w:rsidR="00562350" w:rsidRPr="005635D8">
        <w:rPr>
          <w:rFonts w:ascii="Calibri" w:hAnsi="Calibri"/>
          <w:lang w:val="en-GB"/>
        </w:rPr>
        <w:t xml:space="preserve"> This will answer the sub</w:t>
      </w:r>
      <w:r w:rsidR="00537B8C" w:rsidRPr="005635D8">
        <w:rPr>
          <w:rFonts w:ascii="Calibri" w:hAnsi="Calibri"/>
          <w:lang w:val="en-GB"/>
        </w:rPr>
        <w:t xml:space="preserve"> question what</w:t>
      </w:r>
      <w:r w:rsidR="00537B8C" w:rsidRPr="005635D8">
        <w:rPr>
          <w:lang w:val="en-GB"/>
        </w:rPr>
        <w:t xml:space="preserve"> is the theoretical background of financial accounting?</w:t>
      </w:r>
      <w:r w:rsidR="00537B8C" w:rsidRPr="005635D8">
        <w:rPr>
          <w:rFonts w:ascii="Calibri" w:hAnsi="Calibri"/>
          <w:lang w:val="en-GB"/>
        </w:rPr>
        <w:t xml:space="preserve"> </w:t>
      </w:r>
    </w:p>
    <w:p w:rsidR="00537B8C" w:rsidRPr="005635D8" w:rsidRDefault="00537B8C" w:rsidP="00537B8C">
      <w:pPr>
        <w:jc w:val="both"/>
        <w:rPr>
          <w:rFonts w:ascii="Calibri" w:hAnsi="Calibri"/>
          <w:lang w:val="en-GB"/>
        </w:rPr>
      </w:pPr>
    </w:p>
    <w:p w:rsidR="00BA61F5" w:rsidRPr="005635D8" w:rsidRDefault="00BA61F5" w:rsidP="00767B4C">
      <w:pPr>
        <w:jc w:val="both"/>
        <w:rPr>
          <w:rFonts w:ascii="Calibri" w:hAnsi="Calibri"/>
          <w:lang w:val="en-GB"/>
        </w:rPr>
      </w:pPr>
      <w:r w:rsidRPr="005635D8">
        <w:rPr>
          <w:rFonts w:ascii="Calibri" w:hAnsi="Calibri"/>
          <w:lang w:val="en-GB"/>
        </w:rPr>
        <w:t xml:space="preserve">Accountancy in its broadest sense can be defined as the production of information about an enterprise and the transmission of that information from the people within the enterprise who have access to the information to those persons who need the information but do not have immediate access to it (Lo and Fisher 2014).  However, whether all information will be completely transmitted to persons who need the information is up to variation between enterprises and will be highly influenced by strategic concerns. </w:t>
      </w:r>
      <w:r w:rsidR="009E3CC5" w:rsidRPr="005635D8">
        <w:rPr>
          <w:rFonts w:ascii="Calibri" w:hAnsi="Calibri"/>
          <w:lang w:val="en-GB"/>
        </w:rPr>
        <w:t>Accounting choices are coupled to certain information/transaction costs (Watts and Zimmerman 1990, 133).</w:t>
      </w:r>
      <w:r w:rsidR="00692D08" w:rsidRPr="005635D8">
        <w:rPr>
          <w:rFonts w:ascii="Calibri" w:hAnsi="Calibri"/>
          <w:lang w:val="en-GB"/>
        </w:rPr>
        <w:t xml:space="preserve"> As accounting costs affects the contracting parties’ </w:t>
      </w:r>
      <w:r w:rsidR="004573B9" w:rsidRPr="005635D8">
        <w:rPr>
          <w:rFonts w:ascii="Calibri" w:hAnsi="Calibri"/>
          <w:lang w:val="en-GB"/>
        </w:rPr>
        <w:t xml:space="preserve">accumulation of </w:t>
      </w:r>
      <w:r w:rsidR="00692D08" w:rsidRPr="005635D8">
        <w:rPr>
          <w:rFonts w:ascii="Calibri" w:hAnsi="Calibri"/>
          <w:lang w:val="en-GB"/>
        </w:rPr>
        <w:t>wealth</w:t>
      </w:r>
      <w:r w:rsidR="004573B9" w:rsidRPr="005635D8">
        <w:rPr>
          <w:rFonts w:ascii="Calibri" w:hAnsi="Calibri"/>
          <w:lang w:val="en-GB"/>
        </w:rPr>
        <w:t>,</w:t>
      </w:r>
      <w:r w:rsidR="007273F5" w:rsidRPr="005635D8">
        <w:rPr>
          <w:rFonts w:ascii="Calibri" w:hAnsi="Calibri"/>
          <w:lang w:val="en-GB"/>
        </w:rPr>
        <w:t xml:space="preserve"> incentives</w:t>
      </w:r>
      <w:r w:rsidR="004573B9" w:rsidRPr="005635D8">
        <w:rPr>
          <w:rFonts w:ascii="Calibri" w:hAnsi="Calibri"/>
          <w:lang w:val="en-GB"/>
        </w:rPr>
        <w:t xml:space="preserve"> arise</w:t>
      </w:r>
      <w:r w:rsidR="007273F5" w:rsidRPr="005635D8">
        <w:rPr>
          <w:rFonts w:ascii="Calibri" w:hAnsi="Calibri"/>
          <w:lang w:val="en-GB"/>
        </w:rPr>
        <w:t xml:space="preserve"> to adopt accounting methods with th</w:t>
      </w:r>
      <w:r w:rsidR="004573B9" w:rsidRPr="005635D8">
        <w:rPr>
          <w:rFonts w:ascii="Calibri" w:hAnsi="Calibri"/>
          <w:lang w:val="en-GB"/>
        </w:rPr>
        <w:t>e lowest transaction costs</w:t>
      </w:r>
      <w:r w:rsidR="007273F5" w:rsidRPr="005635D8">
        <w:rPr>
          <w:rFonts w:ascii="Calibri" w:hAnsi="Calibri"/>
          <w:lang w:val="en-GB"/>
        </w:rPr>
        <w:t>.</w:t>
      </w:r>
      <w:r w:rsidR="00692D08" w:rsidRPr="005635D8">
        <w:rPr>
          <w:rFonts w:ascii="Calibri" w:hAnsi="Calibri"/>
          <w:lang w:val="en-GB"/>
        </w:rPr>
        <w:t xml:space="preserve"> </w:t>
      </w:r>
      <w:r w:rsidR="00855DEC" w:rsidRPr="005635D8">
        <w:rPr>
          <w:rFonts w:ascii="Calibri" w:hAnsi="Calibri"/>
          <w:lang w:val="en-GB"/>
        </w:rPr>
        <w:t xml:space="preserve">Especially the agency theory and the positive accounting theory provide several basic </w:t>
      </w:r>
      <w:r w:rsidR="005635D8" w:rsidRPr="005635D8">
        <w:rPr>
          <w:rFonts w:ascii="Calibri" w:hAnsi="Calibri"/>
          <w:lang w:val="en-GB"/>
        </w:rPr>
        <w:t>assumptions relevant</w:t>
      </w:r>
      <w:r w:rsidR="00855DEC" w:rsidRPr="005635D8">
        <w:rPr>
          <w:rFonts w:ascii="Calibri" w:hAnsi="Calibri"/>
          <w:lang w:val="en-GB"/>
        </w:rPr>
        <w:t xml:space="preserve"> for the study of the use of earnings management. The agency theory</w:t>
      </w:r>
      <w:r w:rsidR="00623BDC" w:rsidRPr="005635D8">
        <w:rPr>
          <w:rFonts w:ascii="Calibri" w:hAnsi="Calibri"/>
          <w:lang w:val="en-GB"/>
        </w:rPr>
        <w:t xml:space="preserve"> is </w:t>
      </w:r>
      <w:r w:rsidR="00640F0E" w:rsidRPr="005635D8">
        <w:rPr>
          <w:rFonts w:ascii="Calibri" w:hAnsi="Calibri"/>
          <w:lang w:val="en-GB"/>
        </w:rPr>
        <w:t>commented</w:t>
      </w:r>
      <w:r w:rsidR="00623BDC" w:rsidRPr="005635D8">
        <w:rPr>
          <w:rFonts w:ascii="Calibri" w:hAnsi="Calibri"/>
          <w:lang w:val="en-GB"/>
        </w:rPr>
        <w:t xml:space="preserve"> because of its focus on the core relationships in accounting between the principal and the agent which is </w:t>
      </w:r>
      <w:r w:rsidR="00323D4C" w:rsidRPr="005635D8">
        <w:rPr>
          <w:rFonts w:ascii="Calibri" w:hAnsi="Calibri"/>
          <w:lang w:val="en-GB"/>
        </w:rPr>
        <w:t>in addition</w:t>
      </w:r>
      <w:r w:rsidR="00623BDC" w:rsidRPr="005635D8">
        <w:rPr>
          <w:rFonts w:ascii="Calibri" w:hAnsi="Calibri"/>
          <w:lang w:val="en-GB"/>
        </w:rPr>
        <w:t xml:space="preserve"> still the core relationship in modern theories on earnings management. </w:t>
      </w:r>
      <w:r w:rsidR="00F57B55" w:rsidRPr="005635D8">
        <w:rPr>
          <w:rFonts w:ascii="Calibri" w:hAnsi="Calibri"/>
          <w:lang w:val="en-GB"/>
        </w:rPr>
        <w:t>Because the assumptions and several of the hypotheses are present in the current literature of the use of earnings management</w:t>
      </w:r>
      <w:r w:rsidR="00323D4C" w:rsidRPr="005635D8">
        <w:rPr>
          <w:rFonts w:ascii="Calibri" w:hAnsi="Calibri"/>
          <w:lang w:val="en-GB"/>
        </w:rPr>
        <w:t>,</w:t>
      </w:r>
      <w:r w:rsidR="00F57B55" w:rsidRPr="005635D8">
        <w:rPr>
          <w:rFonts w:ascii="Calibri" w:hAnsi="Calibri"/>
          <w:lang w:val="en-GB"/>
        </w:rPr>
        <w:t xml:space="preserve"> t</w:t>
      </w:r>
      <w:r w:rsidR="00623BDC" w:rsidRPr="005635D8">
        <w:rPr>
          <w:rFonts w:ascii="Calibri" w:hAnsi="Calibri"/>
          <w:lang w:val="en-GB"/>
        </w:rPr>
        <w:t>he positive accounting theory is included in this overview</w:t>
      </w:r>
      <w:r w:rsidR="00323D4C" w:rsidRPr="005635D8">
        <w:rPr>
          <w:rFonts w:ascii="Calibri" w:hAnsi="Calibri"/>
          <w:lang w:val="en-GB"/>
        </w:rPr>
        <w:t xml:space="preserve">. </w:t>
      </w:r>
      <w:r w:rsidR="00623BDC" w:rsidRPr="005635D8">
        <w:rPr>
          <w:rFonts w:ascii="Calibri" w:hAnsi="Calibri"/>
          <w:lang w:val="en-GB"/>
        </w:rPr>
        <w:t xml:space="preserve">Some of these </w:t>
      </w:r>
      <w:r w:rsidR="00767B4C" w:rsidRPr="005635D8">
        <w:rPr>
          <w:rFonts w:ascii="Calibri" w:hAnsi="Calibri"/>
          <w:lang w:val="en-GB"/>
        </w:rPr>
        <w:t xml:space="preserve">hypotheses </w:t>
      </w:r>
      <w:r w:rsidR="00F57B55" w:rsidRPr="005635D8">
        <w:rPr>
          <w:rFonts w:ascii="Calibri" w:hAnsi="Calibri"/>
          <w:lang w:val="en-GB"/>
        </w:rPr>
        <w:t xml:space="preserve">are relevant </w:t>
      </w:r>
      <w:r w:rsidR="00767B4C" w:rsidRPr="005635D8">
        <w:rPr>
          <w:rFonts w:ascii="Calibri" w:hAnsi="Calibri"/>
          <w:lang w:val="en-GB"/>
        </w:rPr>
        <w:t>in the research design of this thesis.</w:t>
      </w:r>
      <w:r w:rsidR="00166423" w:rsidRPr="005635D8">
        <w:rPr>
          <w:rFonts w:ascii="Calibri" w:hAnsi="Calibri"/>
          <w:lang w:val="en-GB"/>
        </w:rPr>
        <w:t xml:space="preserve"> Together those theories already give many explanations for the question why managers engage in earnings management. As the level of earnings management is the central focus of this thesis and explaining some variables that influence whether managers engage in earnings management is the central aim of this thesis those theories provide important information for the topic of interest in this thesis.</w:t>
      </w:r>
      <w:r w:rsidR="00855DEC" w:rsidRPr="005635D8">
        <w:rPr>
          <w:rFonts w:ascii="Calibri" w:hAnsi="Calibri"/>
          <w:lang w:val="en-GB"/>
        </w:rPr>
        <w:t xml:space="preserve"> </w:t>
      </w:r>
      <w:r w:rsidR="00767B4C" w:rsidRPr="005635D8">
        <w:rPr>
          <w:rFonts w:ascii="Calibri" w:hAnsi="Calibri"/>
          <w:lang w:val="en-GB"/>
        </w:rPr>
        <w:t>The relevancy of the</w:t>
      </w:r>
      <w:r w:rsidR="00855DEC" w:rsidRPr="005635D8">
        <w:rPr>
          <w:rFonts w:ascii="Calibri" w:hAnsi="Calibri"/>
          <w:lang w:val="en-GB"/>
        </w:rPr>
        <w:t xml:space="preserve"> background theories</w:t>
      </w:r>
      <w:r w:rsidR="00767B4C" w:rsidRPr="005635D8">
        <w:rPr>
          <w:rFonts w:ascii="Calibri" w:hAnsi="Calibri"/>
          <w:lang w:val="en-GB"/>
        </w:rPr>
        <w:t xml:space="preserve"> </w:t>
      </w:r>
      <w:r w:rsidR="00640F0E" w:rsidRPr="005635D8">
        <w:rPr>
          <w:rFonts w:ascii="Calibri" w:hAnsi="Calibri"/>
          <w:lang w:val="en-GB"/>
        </w:rPr>
        <w:t>commented</w:t>
      </w:r>
      <w:r w:rsidR="00767B4C" w:rsidRPr="005635D8">
        <w:rPr>
          <w:rFonts w:ascii="Calibri" w:hAnsi="Calibri"/>
          <w:lang w:val="en-GB"/>
        </w:rPr>
        <w:t xml:space="preserve"> in this chapter</w:t>
      </w:r>
      <w:r w:rsidR="00855DEC" w:rsidRPr="005635D8">
        <w:rPr>
          <w:rFonts w:ascii="Calibri" w:hAnsi="Calibri"/>
          <w:lang w:val="en-GB"/>
        </w:rPr>
        <w:t xml:space="preserve"> with regard to the current study o</w:t>
      </w:r>
      <w:r w:rsidR="00767B4C" w:rsidRPr="005635D8">
        <w:rPr>
          <w:rFonts w:ascii="Calibri" w:hAnsi="Calibri"/>
          <w:lang w:val="en-GB"/>
        </w:rPr>
        <w:t>n</w:t>
      </w:r>
      <w:r w:rsidR="00855DEC" w:rsidRPr="005635D8">
        <w:rPr>
          <w:rFonts w:ascii="Calibri" w:hAnsi="Calibri"/>
          <w:lang w:val="en-GB"/>
        </w:rPr>
        <w:t xml:space="preserve"> the use of earnings management will be further </w:t>
      </w:r>
      <w:r w:rsidR="00640F0E" w:rsidRPr="005635D8">
        <w:rPr>
          <w:rFonts w:ascii="Calibri" w:hAnsi="Calibri"/>
          <w:lang w:val="en-GB"/>
        </w:rPr>
        <w:t>commented</w:t>
      </w:r>
      <w:r w:rsidR="00855DEC" w:rsidRPr="005635D8">
        <w:rPr>
          <w:rFonts w:ascii="Calibri" w:hAnsi="Calibri"/>
          <w:lang w:val="en-GB"/>
        </w:rPr>
        <w:t xml:space="preserve"> later in this thesis after the concept of earnings management is further defined. </w:t>
      </w:r>
    </w:p>
    <w:p w:rsidR="0087381C" w:rsidRPr="005635D8" w:rsidRDefault="0087381C" w:rsidP="001E4C5D">
      <w:pPr>
        <w:pStyle w:val="Heading3"/>
        <w:rPr>
          <w:lang w:val="en-GB"/>
        </w:rPr>
      </w:pPr>
      <w:bookmarkStart w:id="16" w:name="_Toc362267259"/>
      <w:r w:rsidRPr="005635D8">
        <w:rPr>
          <w:lang w:val="en-GB"/>
        </w:rPr>
        <w:t>2.1 The Agency Theory</w:t>
      </w:r>
      <w:bookmarkEnd w:id="16"/>
      <w:r w:rsidRPr="005635D8">
        <w:rPr>
          <w:lang w:val="en-GB"/>
        </w:rPr>
        <w:t xml:space="preserve"> </w:t>
      </w:r>
    </w:p>
    <w:p w:rsidR="0087381C" w:rsidRPr="005635D8" w:rsidRDefault="00855DEC" w:rsidP="00767B4C">
      <w:pPr>
        <w:jc w:val="both"/>
        <w:rPr>
          <w:rFonts w:ascii="Calibri" w:hAnsi="Calibri" w:cs="Times New Roman"/>
          <w:lang w:val="en-GB"/>
        </w:rPr>
      </w:pPr>
      <w:r w:rsidRPr="005635D8">
        <w:rPr>
          <w:rFonts w:ascii="Calibri" w:hAnsi="Calibri" w:cs="Times New Roman"/>
          <w:lang w:val="en-GB"/>
        </w:rPr>
        <w:t xml:space="preserve">The first background theory to be </w:t>
      </w:r>
      <w:r w:rsidR="00640F0E" w:rsidRPr="005635D8">
        <w:rPr>
          <w:rFonts w:ascii="Calibri" w:hAnsi="Calibri" w:cs="Times New Roman"/>
          <w:lang w:val="en-GB"/>
        </w:rPr>
        <w:t>commented</w:t>
      </w:r>
      <w:r w:rsidRPr="005635D8">
        <w:rPr>
          <w:rFonts w:ascii="Calibri" w:hAnsi="Calibri" w:cs="Times New Roman"/>
          <w:lang w:val="en-GB"/>
        </w:rPr>
        <w:t xml:space="preserve"> is the agency theory as</w:t>
      </w:r>
      <w:r w:rsidR="00623BDC" w:rsidRPr="005635D8">
        <w:rPr>
          <w:rFonts w:ascii="Calibri" w:hAnsi="Calibri" w:cs="Times New Roman"/>
          <w:lang w:val="en-GB"/>
        </w:rPr>
        <w:t xml:space="preserve"> this theory is one of the oldest</w:t>
      </w:r>
      <w:r w:rsidRPr="005635D8">
        <w:rPr>
          <w:rFonts w:ascii="Calibri" w:hAnsi="Calibri" w:cs="Times New Roman"/>
          <w:lang w:val="en-GB"/>
        </w:rPr>
        <w:t xml:space="preserve"> theoretical frameworks in accounting theory</w:t>
      </w:r>
      <w:r w:rsidR="00623BDC" w:rsidRPr="005635D8">
        <w:rPr>
          <w:rFonts w:ascii="Calibri" w:hAnsi="Calibri" w:cs="Times New Roman"/>
          <w:lang w:val="en-GB"/>
        </w:rPr>
        <w:t xml:space="preserve"> which focusing on the core elements of the accounting practice; the transmission of information between people within an enterprise and people outside the enterprise who need the information but have no immediate access to it.</w:t>
      </w:r>
      <w:r w:rsidR="0087381C" w:rsidRPr="005635D8">
        <w:rPr>
          <w:rFonts w:ascii="Calibri" w:hAnsi="Calibri" w:cs="Times New Roman"/>
          <w:lang w:val="en-GB"/>
        </w:rPr>
        <w:t xml:space="preserve"> “Agency theory is directed at the ubiquitous agency relationship, in which one party (the principal) delegates work to another party (the agent)” (Eisenhardt 1989, 58). Principals and agents in this theory resemble the </w:t>
      </w:r>
      <w:r w:rsidR="002E4D6A" w:rsidRPr="005635D8">
        <w:rPr>
          <w:rFonts w:ascii="Calibri" w:hAnsi="Calibri" w:cs="Times New Roman"/>
          <w:lang w:val="en-GB"/>
        </w:rPr>
        <w:t>‘</w:t>
      </w:r>
      <w:r w:rsidR="0087381C" w:rsidRPr="005635D8">
        <w:rPr>
          <w:rFonts w:ascii="Calibri" w:hAnsi="Calibri" w:cs="Times New Roman"/>
          <w:lang w:val="en-GB"/>
        </w:rPr>
        <w:t xml:space="preserve">shareholder vs. </w:t>
      </w:r>
      <w:r w:rsidR="00F57B55" w:rsidRPr="005635D8">
        <w:rPr>
          <w:rFonts w:ascii="Calibri" w:hAnsi="Calibri" w:cs="Times New Roman"/>
          <w:lang w:val="en-GB"/>
        </w:rPr>
        <w:t>managers’</w:t>
      </w:r>
      <w:r w:rsidR="0087381C" w:rsidRPr="005635D8">
        <w:rPr>
          <w:rFonts w:ascii="Calibri" w:hAnsi="Calibri" w:cs="Times New Roman"/>
          <w:lang w:val="en-GB"/>
        </w:rPr>
        <w:t xml:space="preserve"> distinction. Focusing on the relation between the principals and the agent, </w:t>
      </w:r>
      <w:r w:rsidR="00F57B55" w:rsidRPr="005635D8">
        <w:rPr>
          <w:rFonts w:ascii="Calibri" w:hAnsi="Calibri" w:cs="Times New Roman"/>
          <w:lang w:val="en-GB"/>
        </w:rPr>
        <w:t xml:space="preserve">the </w:t>
      </w:r>
      <w:r w:rsidR="0087381C" w:rsidRPr="005635D8">
        <w:rPr>
          <w:rFonts w:ascii="Calibri" w:hAnsi="Calibri" w:cs="Times New Roman"/>
          <w:lang w:val="en-GB"/>
        </w:rPr>
        <w:t>agency theory with regard to accounting tries to resolve two type</w:t>
      </w:r>
      <w:r w:rsidR="00F57B55" w:rsidRPr="005635D8">
        <w:rPr>
          <w:rFonts w:ascii="Calibri" w:hAnsi="Calibri" w:cs="Times New Roman"/>
          <w:lang w:val="en-GB"/>
        </w:rPr>
        <w:t>s</w:t>
      </w:r>
      <w:r w:rsidR="0087381C" w:rsidRPr="005635D8">
        <w:rPr>
          <w:rFonts w:ascii="Calibri" w:hAnsi="Calibri" w:cs="Times New Roman"/>
          <w:lang w:val="en-GB"/>
        </w:rPr>
        <w:t xml:space="preserve"> of problems. When the desires and goals of the principals and the agents conflict the first type of problem arises. This problem especially arises when it is difficult or expensive for the principal to verify what the agent is actually doing. The second type of problem has to do with risk sharing. Different actions may be preferred by the principal and the agent when they have different risk preferences (Eisenhardt 1989, 58). </w:t>
      </w:r>
      <w:r w:rsidR="00767B4C" w:rsidRPr="005635D8">
        <w:rPr>
          <w:rFonts w:ascii="Calibri" w:hAnsi="Calibri" w:cs="Times New Roman"/>
          <w:lang w:val="en-GB"/>
        </w:rPr>
        <w:t>T</w:t>
      </w:r>
      <w:r w:rsidR="0087381C" w:rsidRPr="005635D8">
        <w:rPr>
          <w:rFonts w:ascii="Calibri" w:hAnsi="Calibri" w:cs="Times New Roman"/>
          <w:lang w:val="en-GB"/>
        </w:rPr>
        <w:t>he underlying ‘model of man’ in agency theory is that of the self-interested actor rationally maximizing his own personal economic gain. As they both have their own interests the model is predicated upon the notion of an in-built conflict of interest between owner and manager. Those individuals are seeking to attain rewards and avoid punishment, especially financial ones (Donaldsen and Davies 1991). As managers try to maximize their own rewards and shareholders try to maximize the profit of the corporation their interest clearly are in conflict.</w:t>
      </w:r>
    </w:p>
    <w:p w:rsidR="0087381C" w:rsidRPr="005635D8" w:rsidRDefault="0087381C" w:rsidP="001E4C5D">
      <w:pPr>
        <w:jc w:val="both"/>
        <w:rPr>
          <w:rFonts w:ascii="Calibri" w:hAnsi="Calibri" w:cs="Times New Roman"/>
          <w:lang w:val="en-GB"/>
        </w:rPr>
      </w:pPr>
      <w:r w:rsidRPr="005635D8">
        <w:rPr>
          <w:rFonts w:ascii="Calibri" w:hAnsi="Calibri" w:cs="Times New Roman"/>
          <w:lang w:val="en-GB"/>
        </w:rPr>
        <w:t xml:space="preserve">The agency theory now first predicts which situations will arise under the condition of conflicting interests between principals and agents. The most important point is that there is an agency loss which is the extent to which returns to the owners fall below what they would be if the owners exercised direct control of the corporation. Parts of the profits will be lost on the costs for the appointment of agents. Following these assumptions the agency theory holds that “managers will not act to maximize the returns to shareholders unless appropriate governance structures are implemented in the large corporation to safeguard the interests of shareholders” (Jensen and Meckling 1976). Consequently, the second central task of the agency theory is to specify mechanisms which reduce agency loss (Eisenhardt 1989). Among such mechanisms are incentive schemes for managers to give them financial rewards for maximizing shareholder interests. The financial interests of executives are then aligned with those of shareholders (Jensen and Meckling 1976). In order to make predictions and to specify mechanisms for agency loss reduction “the unit of analysis of the theory is the contract governing the relationship between the principal and the agent, the focus of the theory is on determining the most efficient contract between the principal and the agent” (Eisenhardt 1989, 58). The emphasis on contract between individuals follows from the fact that contracts can be used to establish measures causing agents to be motivated towards maximizing the value of the organization (Deegan and Unerman, 2006, p. 215). </w:t>
      </w:r>
    </w:p>
    <w:p w:rsidR="0087381C" w:rsidRPr="005635D8" w:rsidRDefault="0087381C" w:rsidP="0087381C">
      <w:pPr>
        <w:autoSpaceDE w:val="0"/>
        <w:autoSpaceDN w:val="0"/>
        <w:adjustRightInd w:val="0"/>
        <w:spacing w:after="0"/>
        <w:jc w:val="both"/>
        <w:rPr>
          <w:rFonts w:ascii="Calibri" w:hAnsi="Calibri" w:cs="Times New Roman"/>
          <w:lang w:val="en-GB"/>
        </w:rPr>
      </w:pPr>
    </w:p>
    <w:p w:rsidR="0087381C" w:rsidRPr="005635D8" w:rsidRDefault="0087381C" w:rsidP="0087381C">
      <w:pPr>
        <w:autoSpaceDE w:val="0"/>
        <w:autoSpaceDN w:val="0"/>
        <w:adjustRightInd w:val="0"/>
        <w:spacing w:after="0"/>
        <w:jc w:val="both"/>
        <w:rPr>
          <w:rFonts w:ascii="Calibri" w:hAnsi="Calibri" w:cs="Times New Roman"/>
          <w:lang w:val="en-GB"/>
        </w:rPr>
      </w:pPr>
      <w:r w:rsidRPr="005635D8">
        <w:rPr>
          <w:rFonts w:ascii="Calibri" w:hAnsi="Calibri" w:cs="Times New Roman"/>
          <w:lang w:val="en-GB"/>
        </w:rPr>
        <w:t xml:space="preserve">Agency theory became an influential approach in organizational economics but </w:t>
      </w:r>
      <w:r w:rsidR="00323D4C" w:rsidRPr="005635D8">
        <w:rPr>
          <w:rFonts w:ascii="Calibri" w:hAnsi="Calibri" w:cs="Times New Roman"/>
          <w:lang w:val="en-GB"/>
        </w:rPr>
        <w:t>in addition</w:t>
      </w:r>
      <w:r w:rsidRPr="005635D8">
        <w:rPr>
          <w:rFonts w:ascii="Calibri" w:hAnsi="Calibri" w:cs="Times New Roman"/>
          <w:lang w:val="en-GB"/>
        </w:rPr>
        <w:t xml:space="preserve"> received substantial criticism. First of all the assumption that agent always act according to their self-interests is challenged. It is argued that even in cases were some actions are personally </w:t>
      </w:r>
      <w:r w:rsidR="00F57B55" w:rsidRPr="005635D8">
        <w:rPr>
          <w:rFonts w:ascii="Calibri" w:hAnsi="Calibri" w:cs="Times New Roman"/>
          <w:lang w:val="en-GB"/>
        </w:rPr>
        <w:t>unrewarding;</w:t>
      </w:r>
      <w:r w:rsidRPr="005635D8">
        <w:rPr>
          <w:rFonts w:ascii="Calibri" w:hAnsi="Calibri" w:cs="Times New Roman"/>
          <w:lang w:val="en-GB"/>
        </w:rPr>
        <w:t xml:space="preserve"> managers may nevertheless </w:t>
      </w:r>
      <w:r w:rsidR="00F57B55" w:rsidRPr="005635D8">
        <w:rPr>
          <w:rFonts w:ascii="Calibri" w:hAnsi="Calibri" w:cs="Times New Roman"/>
          <w:lang w:val="en-GB"/>
        </w:rPr>
        <w:t xml:space="preserve">perform </w:t>
      </w:r>
      <w:r w:rsidRPr="005635D8">
        <w:rPr>
          <w:rFonts w:ascii="Calibri" w:hAnsi="Calibri" w:cs="Times New Roman"/>
          <w:lang w:val="en-GB"/>
        </w:rPr>
        <w:t>those action</w:t>
      </w:r>
      <w:r w:rsidR="00F57B55" w:rsidRPr="005635D8">
        <w:rPr>
          <w:rFonts w:ascii="Calibri" w:hAnsi="Calibri" w:cs="Times New Roman"/>
          <w:lang w:val="en-GB"/>
        </w:rPr>
        <w:t>s</w:t>
      </w:r>
      <w:r w:rsidRPr="005635D8">
        <w:rPr>
          <w:rFonts w:ascii="Calibri" w:hAnsi="Calibri" w:cs="Times New Roman"/>
          <w:lang w:val="en-GB"/>
        </w:rPr>
        <w:t xml:space="preserve"> from a sense of duty. Those managers feel themselves normatively complied to do what is best for the company (Etzioni 1975). It is </w:t>
      </w:r>
      <w:r w:rsidR="00323D4C" w:rsidRPr="005635D8">
        <w:rPr>
          <w:rFonts w:ascii="Calibri" w:hAnsi="Calibri" w:cs="Times New Roman"/>
          <w:lang w:val="en-GB"/>
        </w:rPr>
        <w:t>in addition</w:t>
      </w:r>
      <w:r w:rsidRPr="005635D8">
        <w:rPr>
          <w:rFonts w:ascii="Calibri" w:hAnsi="Calibri" w:cs="Times New Roman"/>
          <w:lang w:val="en-GB"/>
        </w:rPr>
        <w:t xml:space="preserve"> argued that some managers base their individual calculations of action on personal perceptions of long term motives. Some executives may feel that their future fortunes are bound to the long term performance of their company on which their future employment and pension rights rely. The interests of the agents are then aligned with the interests of the company and its shareholders (Donaldsen and Davies 1991). The classic </w:t>
      </w:r>
      <w:r w:rsidR="005635D8" w:rsidRPr="005635D8">
        <w:rPr>
          <w:rFonts w:ascii="Calibri" w:hAnsi="Calibri" w:cs="Times New Roman"/>
          <w:lang w:val="en-GB"/>
        </w:rPr>
        <w:t>defence</w:t>
      </w:r>
      <w:r w:rsidRPr="005635D8">
        <w:rPr>
          <w:rFonts w:ascii="Calibri" w:hAnsi="Calibri" w:cs="Times New Roman"/>
          <w:lang w:val="en-GB"/>
        </w:rPr>
        <w:t xml:space="preserve"> of agency theorists is that “utility is defined with respect to the preferences of individuals, and preferences reflect whatever desires individuals happen to have, egoistic or altruistic” (Heath 2009, 500). Only an incorrect interpretation of the theory will claim that all individuals are prone to moral </w:t>
      </w:r>
      <w:r w:rsidR="005635D8" w:rsidRPr="005635D8">
        <w:rPr>
          <w:rFonts w:ascii="Calibri" w:hAnsi="Calibri" w:cs="Times New Roman"/>
          <w:lang w:val="en-GB"/>
        </w:rPr>
        <w:t>scepticism</w:t>
      </w:r>
      <w:r w:rsidRPr="005635D8">
        <w:rPr>
          <w:rFonts w:ascii="Calibri" w:hAnsi="Calibri" w:cs="Times New Roman"/>
          <w:lang w:val="en-GB"/>
        </w:rPr>
        <w:t xml:space="preserve">. To be more clear </w:t>
      </w:r>
      <w:r w:rsidR="00F57B55" w:rsidRPr="005635D8">
        <w:rPr>
          <w:rFonts w:ascii="Calibri" w:hAnsi="Calibri" w:cs="Times New Roman"/>
          <w:lang w:val="en-GB"/>
        </w:rPr>
        <w:t>in which way</w:t>
      </w:r>
      <w:r w:rsidRPr="005635D8">
        <w:rPr>
          <w:rFonts w:ascii="Calibri" w:hAnsi="Calibri" w:cs="Times New Roman"/>
          <w:lang w:val="en-GB"/>
        </w:rPr>
        <w:t xml:space="preserve"> agency theory should be applied, Heath (2009, 479) recommends that “agency theory should only be used as a critical-diagnostic tool, to identify the points at which both </w:t>
      </w:r>
      <w:r w:rsidRPr="005635D8">
        <w:rPr>
          <w:rFonts w:ascii="Calibri" w:hAnsi="Calibri"/>
          <w:lang w:val="en-GB"/>
        </w:rPr>
        <w:t>firms and markets will be vulnerable to breakdown in the absence of moral constraint.” As the</w:t>
      </w:r>
      <w:r w:rsidRPr="005635D8">
        <w:rPr>
          <w:rFonts w:ascii="Calibri" w:hAnsi="Calibri" w:cs="Times New Roman"/>
          <w:lang w:val="en-GB"/>
        </w:rPr>
        <w:t xml:space="preserve"> early twenty-first-century wave of corporate scandals demonstrated once again the challenge for shareholders to exercise effective control of management is still as relevant as it was ever before.  </w:t>
      </w:r>
    </w:p>
    <w:p w:rsidR="0087381C" w:rsidRPr="005635D8" w:rsidRDefault="0087381C" w:rsidP="001E4C5D">
      <w:pPr>
        <w:pStyle w:val="Heading3"/>
        <w:rPr>
          <w:lang w:val="en-GB"/>
        </w:rPr>
      </w:pPr>
    </w:p>
    <w:p w:rsidR="00AB101E" w:rsidRPr="005635D8" w:rsidRDefault="0087381C" w:rsidP="001E4C5D">
      <w:pPr>
        <w:pStyle w:val="Heading3"/>
        <w:rPr>
          <w:lang w:val="en-GB"/>
        </w:rPr>
      </w:pPr>
      <w:bookmarkStart w:id="17" w:name="_Toc362267260"/>
      <w:r w:rsidRPr="005635D8">
        <w:rPr>
          <w:lang w:val="en-GB"/>
        </w:rPr>
        <w:t>2.2</w:t>
      </w:r>
      <w:r w:rsidR="004573B9" w:rsidRPr="005635D8">
        <w:rPr>
          <w:lang w:val="en-GB"/>
        </w:rPr>
        <w:t xml:space="preserve"> </w:t>
      </w:r>
      <w:r w:rsidR="00AB101E" w:rsidRPr="005635D8">
        <w:rPr>
          <w:lang w:val="en-GB"/>
        </w:rPr>
        <w:t>Positive accounting theory</w:t>
      </w:r>
      <w:bookmarkEnd w:id="17"/>
      <w:r w:rsidR="00AB101E" w:rsidRPr="005635D8">
        <w:rPr>
          <w:lang w:val="en-GB"/>
        </w:rPr>
        <w:t xml:space="preserve"> </w:t>
      </w:r>
    </w:p>
    <w:p w:rsidR="00256C6E" w:rsidRPr="005635D8" w:rsidRDefault="00F73995" w:rsidP="005904C7">
      <w:pPr>
        <w:jc w:val="both"/>
        <w:rPr>
          <w:rFonts w:ascii="Calibri" w:hAnsi="Calibri"/>
          <w:lang w:val="en-GB"/>
        </w:rPr>
      </w:pPr>
      <w:r w:rsidRPr="005635D8">
        <w:rPr>
          <w:rFonts w:ascii="Calibri" w:hAnsi="Calibri"/>
          <w:lang w:val="en-GB"/>
        </w:rPr>
        <w:t>The</w:t>
      </w:r>
      <w:r w:rsidR="00C31322" w:rsidRPr="005635D8">
        <w:rPr>
          <w:rFonts w:ascii="Calibri" w:hAnsi="Calibri"/>
          <w:lang w:val="en-GB"/>
        </w:rPr>
        <w:t xml:space="preserve"> </w:t>
      </w:r>
      <w:r w:rsidR="00F71079" w:rsidRPr="005635D8">
        <w:rPr>
          <w:rFonts w:ascii="Calibri" w:hAnsi="Calibri"/>
          <w:lang w:val="en-GB"/>
        </w:rPr>
        <w:t>consequently</w:t>
      </w:r>
      <w:r w:rsidR="00C31322" w:rsidRPr="005635D8">
        <w:rPr>
          <w:rFonts w:ascii="Calibri" w:hAnsi="Calibri"/>
          <w:lang w:val="en-GB"/>
        </w:rPr>
        <w:t xml:space="preserve"> called</w:t>
      </w:r>
      <w:r w:rsidRPr="005635D8">
        <w:rPr>
          <w:rFonts w:ascii="Calibri" w:hAnsi="Calibri"/>
          <w:lang w:val="en-GB"/>
        </w:rPr>
        <w:t xml:space="preserve"> Positive A</w:t>
      </w:r>
      <w:r w:rsidR="00256C6E" w:rsidRPr="005635D8">
        <w:rPr>
          <w:rFonts w:ascii="Calibri" w:hAnsi="Calibri"/>
          <w:lang w:val="en-GB"/>
        </w:rPr>
        <w:t>ccounting</w:t>
      </w:r>
      <w:r w:rsidRPr="005635D8">
        <w:rPr>
          <w:rFonts w:ascii="Calibri" w:hAnsi="Calibri"/>
          <w:lang w:val="en-GB"/>
        </w:rPr>
        <w:t xml:space="preserve"> Theory was developed by Watts and Zimmerman (1986) and serves mainly as one of the first scientific efforts to empirically explain the accounting practices of firms and enterprises.</w:t>
      </w:r>
      <w:r w:rsidR="00767B4C" w:rsidRPr="005635D8">
        <w:rPr>
          <w:rFonts w:ascii="Calibri" w:hAnsi="Calibri"/>
          <w:lang w:val="en-GB"/>
        </w:rPr>
        <w:t xml:space="preserve"> The theory is derived from the agency theory and shares many of its assumptions. However, the focus of the theory is more on empirical research. </w:t>
      </w:r>
      <w:r w:rsidRPr="005635D8">
        <w:rPr>
          <w:rFonts w:ascii="Calibri" w:hAnsi="Calibri"/>
          <w:lang w:val="en-GB"/>
        </w:rPr>
        <w:t xml:space="preserve"> As an empirical method the positive accounting theory was designed in order to be able to make predictions which particular accounting methods cer</w:t>
      </w:r>
      <w:r w:rsidR="00F11E5F" w:rsidRPr="005635D8">
        <w:rPr>
          <w:rFonts w:ascii="Calibri" w:hAnsi="Calibri"/>
          <w:lang w:val="en-GB"/>
        </w:rPr>
        <w:t>tain firms will use. Based upon</w:t>
      </w:r>
      <w:r w:rsidR="00A108B9" w:rsidRPr="005635D8">
        <w:rPr>
          <w:rFonts w:ascii="Calibri" w:hAnsi="Calibri"/>
          <w:lang w:val="en-GB"/>
        </w:rPr>
        <w:t xml:space="preserve"> variables such as</w:t>
      </w:r>
      <w:r w:rsidR="00F11E5F" w:rsidRPr="005635D8">
        <w:rPr>
          <w:rFonts w:ascii="Calibri" w:hAnsi="Calibri"/>
          <w:lang w:val="en-GB"/>
        </w:rPr>
        <w:t xml:space="preserve"> the in</w:t>
      </w:r>
      <w:r w:rsidR="00165397" w:rsidRPr="005635D8">
        <w:rPr>
          <w:rFonts w:ascii="Calibri" w:hAnsi="Calibri"/>
          <w:lang w:val="en-GB"/>
        </w:rPr>
        <w:t>dustry the company is in and the</w:t>
      </w:r>
      <w:r w:rsidR="00F11E5F" w:rsidRPr="005635D8">
        <w:rPr>
          <w:rFonts w:ascii="Calibri" w:hAnsi="Calibri"/>
          <w:lang w:val="en-GB"/>
        </w:rPr>
        <w:t xml:space="preserve"> size</w:t>
      </w:r>
      <w:r w:rsidR="00165397" w:rsidRPr="005635D8">
        <w:rPr>
          <w:rFonts w:ascii="Calibri" w:hAnsi="Calibri"/>
          <w:lang w:val="en-GB"/>
        </w:rPr>
        <w:t xml:space="preserve"> of companies</w:t>
      </w:r>
      <w:r w:rsidR="004573B9" w:rsidRPr="005635D8">
        <w:rPr>
          <w:rFonts w:ascii="Calibri" w:hAnsi="Calibri"/>
          <w:lang w:val="en-GB"/>
        </w:rPr>
        <w:t>,</w:t>
      </w:r>
      <w:r w:rsidR="00A108B9" w:rsidRPr="005635D8">
        <w:rPr>
          <w:rFonts w:ascii="Calibri" w:hAnsi="Calibri"/>
          <w:lang w:val="en-GB"/>
        </w:rPr>
        <w:t xml:space="preserve"> Watts and Zimmerman (1986) were the first to note</w:t>
      </w:r>
      <w:r w:rsidRPr="005635D8">
        <w:rPr>
          <w:rFonts w:ascii="Calibri" w:hAnsi="Calibri"/>
          <w:lang w:val="en-GB"/>
        </w:rPr>
        <w:t xml:space="preserve"> that variations in the choice for certain accounting methods </w:t>
      </w:r>
      <w:r w:rsidR="00A108B9" w:rsidRPr="005635D8">
        <w:rPr>
          <w:rFonts w:ascii="Calibri" w:hAnsi="Calibri"/>
          <w:lang w:val="en-GB"/>
        </w:rPr>
        <w:t xml:space="preserve">could have an influence upon those variables. </w:t>
      </w:r>
    </w:p>
    <w:p w:rsidR="009150E7" w:rsidRPr="005635D8" w:rsidRDefault="00A108B9" w:rsidP="005904C7">
      <w:pPr>
        <w:jc w:val="both"/>
        <w:rPr>
          <w:rFonts w:ascii="Calibri" w:hAnsi="Calibri"/>
          <w:lang w:val="en-GB"/>
        </w:rPr>
      </w:pPr>
      <w:r w:rsidRPr="005635D8">
        <w:rPr>
          <w:rFonts w:ascii="Calibri" w:hAnsi="Calibri"/>
          <w:lang w:val="en-GB"/>
        </w:rPr>
        <w:t xml:space="preserve">As a scientific method Positive Accounting Theory distinguishes itself from normative theories of accounting. </w:t>
      </w:r>
      <w:r w:rsidR="006D212D" w:rsidRPr="005635D8">
        <w:rPr>
          <w:rFonts w:ascii="Calibri" w:hAnsi="Calibri"/>
          <w:lang w:val="en-GB"/>
        </w:rPr>
        <w:t xml:space="preserve">Normative theories describe </w:t>
      </w:r>
      <w:r w:rsidR="00F57B55" w:rsidRPr="005635D8">
        <w:rPr>
          <w:rFonts w:ascii="Calibri" w:hAnsi="Calibri"/>
          <w:lang w:val="en-GB"/>
        </w:rPr>
        <w:t>in which way</w:t>
      </w:r>
      <w:r w:rsidR="006D212D" w:rsidRPr="005635D8">
        <w:rPr>
          <w:rFonts w:ascii="Calibri" w:hAnsi="Calibri"/>
          <w:lang w:val="en-GB"/>
        </w:rPr>
        <w:t xml:space="preserve"> things should be. With regard to accounting practices a normative theory prescribes which particular accounting method should be chosen by firms</w:t>
      </w:r>
      <w:r w:rsidR="004C141F" w:rsidRPr="005635D8">
        <w:rPr>
          <w:rFonts w:ascii="Calibri" w:hAnsi="Calibri"/>
          <w:lang w:val="en-GB"/>
        </w:rPr>
        <w:t xml:space="preserve"> in order to reach a societal desirable outcome</w:t>
      </w:r>
      <w:r w:rsidR="006D212D" w:rsidRPr="005635D8">
        <w:rPr>
          <w:rFonts w:ascii="Calibri" w:hAnsi="Calibri"/>
          <w:lang w:val="en-GB"/>
        </w:rPr>
        <w:t>. This prescription might deviate significantly from existing practices (Deegan and Unerman 2006).</w:t>
      </w:r>
      <w:r w:rsidR="00C52522" w:rsidRPr="005635D8">
        <w:rPr>
          <w:rFonts w:ascii="Calibri" w:hAnsi="Calibri"/>
          <w:lang w:val="en-GB"/>
        </w:rPr>
        <w:t xml:space="preserve"> Gray </w:t>
      </w:r>
      <w:r w:rsidR="00C52522" w:rsidRPr="005635D8">
        <w:rPr>
          <w:rFonts w:ascii="Calibri" w:hAnsi="Calibri"/>
          <w:i/>
          <w:iCs/>
          <w:lang w:val="en-GB"/>
        </w:rPr>
        <w:t xml:space="preserve">et al. </w:t>
      </w:r>
      <w:r w:rsidR="00C52522" w:rsidRPr="005635D8">
        <w:rPr>
          <w:rFonts w:ascii="Calibri" w:hAnsi="Calibri"/>
          <w:lang w:val="en-GB"/>
        </w:rPr>
        <w:t>(1995, 51-52) are among the authors who dismiss the positive accounting literature as a basis for change and improvement because according to them the positive theories of accounting offer little or no development in corporate (social) reporting of information. “Positive theories are not about what (social) reporting should be, but rather about what it is” (1995, 52).</w:t>
      </w:r>
      <w:r w:rsidR="009150E7" w:rsidRPr="005635D8">
        <w:rPr>
          <w:rFonts w:ascii="Calibri" w:hAnsi="Calibri"/>
          <w:lang w:val="en-GB"/>
        </w:rPr>
        <w:t xml:space="preserve"> </w:t>
      </w:r>
    </w:p>
    <w:p w:rsidR="00FF28CE" w:rsidRPr="005635D8" w:rsidRDefault="009150E7" w:rsidP="005904C7">
      <w:pPr>
        <w:autoSpaceDE w:val="0"/>
        <w:autoSpaceDN w:val="0"/>
        <w:adjustRightInd w:val="0"/>
        <w:spacing w:after="0"/>
        <w:jc w:val="both"/>
        <w:rPr>
          <w:rFonts w:ascii="Calibri" w:hAnsi="Calibri"/>
          <w:lang w:val="en-GB"/>
        </w:rPr>
      </w:pPr>
      <w:r w:rsidRPr="005635D8">
        <w:rPr>
          <w:rFonts w:ascii="Calibri" w:hAnsi="Calibri"/>
          <w:lang w:val="en-GB"/>
        </w:rPr>
        <w:t>However, engaging in normative practices was never a concern for Watts and Zimmerman. Their whole positive accounting theory is based on the assumption that individuals act</w:t>
      </w:r>
      <w:r w:rsidR="000B567D" w:rsidRPr="005635D8">
        <w:rPr>
          <w:rFonts w:ascii="Calibri" w:hAnsi="Calibri"/>
          <w:lang w:val="en-GB"/>
        </w:rPr>
        <w:t xml:space="preserve"> </w:t>
      </w:r>
      <w:r w:rsidRPr="005635D8">
        <w:rPr>
          <w:rFonts w:ascii="Calibri" w:hAnsi="Calibri"/>
          <w:lang w:val="en-GB"/>
        </w:rPr>
        <w:t xml:space="preserve">to </w:t>
      </w:r>
      <w:r w:rsidR="000B567D" w:rsidRPr="005635D8">
        <w:rPr>
          <w:rFonts w:ascii="Calibri" w:hAnsi="Calibri"/>
          <w:lang w:val="en-GB"/>
        </w:rPr>
        <w:t>maximize</w:t>
      </w:r>
      <w:r w:rsidRPr="005635D8">
        <w:rPr>
          <w:rFonts w:ascii="Calibri" w:hAnsi="Calibri"/>
          <w:lang w:val="en-GB"/>
        </w:rPr>
        <w:t xml:space="preserve"> their own utility</w:t>
      </w:r>
      <w:r w:rsidR="000B567D" w:rsidRPr="005635D8">
        <w:rPr>
          <w:rFonts w:ascii="Calibri" w:hAnsi="Calibri"/>
          <w:lang w:val="en-GB"/>
        </w:rPr>
        <w:t>. C</w:t>
      </w:r>
      <w:r w:rsidRPr="005635D8">
        <w:rPr>
          <w:rFonts w:ascii="Calibri" w:hAnsi="Calibri"/>
          <w:lang w:val="en-GB"/>
        </w:rPr>
        <w:t>onsequently management</w:t>
      </w:r>
      <w:r w:rsidR="000B567D" w:rsidRPr="005635D8">
        <w:rPr>
          <w:rFonts w:ascii="Calibri" w:hAnsi="Calibri"/>
          <w:lang w:val="en-GB"/>
        </w:rPr>
        <w:t>s will lobby</w:t>
      </w:r>
      <w:r w:rsidRPr="005635D8">
        <w:rPr>
          <w:rFonts w:ascii="Calibri" w:hAnsi="Calibri"/>
          <w:lang w:val="en-GB"/>
        </w:rPr>
        <w:t xml:space="preserve"> </w:t>
      </w:r>
      <w:r w:rsidR="000B567D" w:rsidRPr="005635D8">
        <w:rPr>
          <w:rFonts w:ascii="Calibri" w:hAnsi="Calibri"/>
          <w:lang w:val="en-GB"/>
        </w:rPr>
        <w:t>for</w:t>
      </w:r>
      <w:r w:rsidRPr="005635D8">
        <w:rPr>
          <w:rFonts w:ascii="Calibri" w:hAnsi="Calibri"/>
          <w:lang w:val="en-GB"/>
        </w:rPr>
        <w:t xml:space="preserve"> a</w:t>
      </w:r>
      <w:r w:rsidR="000B567D" w:rsidRPr="005635D8">
        <w:rPr>
          <w:rFonts w:ascii="Calibri" w:hAnsi="Calibri"/>
          <w:lang w:val="en-GB"/>
        </w:rPr>
        <w:t>ccounting standards based on their</w:t>
      </w:r>
      <w:r w:rsidRPr="005635D8">
        <w:rPr>
          <w:rFonts w:ascii="Calibri" w:hAnsi="Calibri"/>
          <w:lang w:val="en-GB"/>
        </w:rPr>
        <w:t xml:space="preserve"> own self-interes</w:t>
      </w:r>
      <w:r w:rsidR="000B567D" w:rsidRPr="005635D8">
        <w:rPr>
          <w:rFonts w:ascii="Calibri" w:hAnsi="Calibri"/>
          <w:lang w:val="en-GB"/>
        </w:rPr>
        <w:t>t (</w:t>
      </w:r>
      <w:r w:rsidR="008F205E" w:rsidRPr="005635D8">
        <w:rPr>
          <w:rFonts w:ascii="Calibri" w:hAnsi="Calibri"/>
          <w:lang w:val="en-GB"/>
        </w:rPr>
        <w:t>1978</w:t>
      </w:r>
      <w:r w:rsidR="000B567D" w:rsidRPr="005635D8">
        <w:rPr>
          <w:rFonts w:ascii="Calibri" w:hAnsi="Calibri"/>
          <w:lang w:val="en-GB"/>
        </w:rPr>
        <w:t>)</w:t>
      </w:r>
      <w:r w:rsidR="00230D42" w:rsidRPr="005635D8">
        <w:rPr>
          <w:rFonts w:ascii="Calibri" w:hAnsi="Calibri"/>
          <w:lang w:val="en-GB"/>
        </w:rPr>
        <w:t xml:space="preserve">. </w:t>
      </w:r>
      <w:r w:rsidR="00EF64AE" w:rsidRPr="005635D8">
        <w:rPr>
          <w:rFonts w:ascii="Calibri" w:hAnsi="Calibri"/>
          <w:lang w:val="en-GB"/>
        </w:rPr>
        <w:t xml:space="preserve">As Sterling (1990, 117) points out, understanding ‘why’ firms choose certain accounting methods was not even the primary issue for Watts and Zimmerman as utility maximization is always the final answer to the why question according to their assumptions. The final objective of their research is to demonstrate a set of relationships consistent with the final principle of utility maximization. Of course self-interest is not always opposed to the disclosure of information. It can on the contrary be claimed that utility maximization lies at the heart of all voluntary disclosure </w:t>
      </w:r>
      <w:r w:rsidR="00B32D82" w:rsidRPr="005635D8">
        <w:rPr>
          <w:rFonts w:ascii="Calibri" w:hAnsi="Calibri"/>
          <w:lang w:val="en-GB"/>
        </w:rPr>
        <w:t>behaviour</w:t>
      </w:r>
      <w:r w:rsidR="00EF64AE" w:rsidRPr="005635D8">
        <w:rPr>
          <w:rFonts w:ascii="Calibri" w:hAnsi="Calibri"/>
          <w:lang w:val="en-GB"/>
        </w:rPr>
        <w:t xml:space="preserve">. Sometimes openness and </w:t>
      </w:r>
      <w:r w:rsidR="00F1150C" w:rsidRPr="005635D8">
        <w:rPr>
          <w:rFonts w:ascii="Calibri" w:hAnsi="Calibri"/>
          <w:lang w:val="en-GB"/>
        </w:rPr>
        <w:t>t</w:t>
      </w:r>
      <w:r w:rsidR="00EF64AE" w:rsidRPr="005635D8">
        <w:rPr>
          <w:rFonts w:ascii="Calibri" w:hAnsi="Calibri"/>
          <w:lang w:val="en-GB"/>
        </w:rPr>
        <w:t xml:space="preserve">he disclosure of information </w:t>
      </w:r>
      <w:r w:rsidR="00F57B55" w:rsidRPr="005635D8">
        <w:rPr>
          <w:rFonts w:ascii="Calibri" w:hAnsi="Calibri"/>
          <w:lang w:val="en-GB"/>
        </w:rPr>
        <w:t xml:space="preserve">create </w:t>
      </w:r>
      <w:r w:rsidR="00EF64AE" w:rsidRPr="005635D8">
        <w:rPr>
          <w:rFonts w:ascii="Calibri" w:hAnsi="Calibri"/>
          <w:lang w:val="en-GB"/>
        </w:rPr>
        <w:t xml:space="preserve">outcomes </w:t>
      </w:r>
      <w:r w:rsidR="00F57B55" w:rsidRPr="005635D8">
        <w:rPr>
          <w:rFonts w:ascii="Calibri" w:hAnsi="Calibri"/>
          <w:lang w:val="en-GB"/>
        </w:rPr>
        <w:t xml:space="preserve">that are </w:t>
      </w:r>
      <w:r w:rsidR="00EF64AE" w:rsidRPr="005635D8">
        <w:rPr>
          <w:rFonts w:ascii="Calibri" w:hAnsi="Calibri"/>
          <w:lang w:val="en-GB"/>
        </w:rPr>
        <w:t>more valuable to managers such as organizational legitimacy. The assumptions hold as long as the final goal of the</w:t>
      </w:r>
      <w:r w:rsidR="00FF28CE" w:rsidRPr="005635D8">
        <w:rPr>
          <w:rFonts w:ascii="Calibri" w:hAnsi="Calibri"/>
          <w:lang w:val="en-GB"/>
        </w:rPr>
        <w:t xml:space="preserve"> accounting manipulations serves the economic </w:t>
      </w:r>
      <w:r w:rsidR="009E60B6" w:rsidRPr="005635D8">
        <w:rPr>
          <w:rFonts w:ascii="Calibri" w:hAnsi="Calibri"/>
          <w:lang w:val="en-GB"/>
        </w:rPr>
        <w:t>self-interests</w:t>
      </w:r>
      <w:r w:rsidR="00FF28CE" w:rsidRPr="005635D8">
        <w:rPr>
          <w:rFonts w:ascii="Calibri" w:hAnsi="Calibri"/>
          <w:lang w:val="en-GB"/>
        </w:rPr>
        <w:t xml:space="preserve"> of the insiders who have access to the information. </w:t>
      </w:r>
      <w:r w:rsidR="007273F5" w:rsidRPr="005635D8">
        <w:rPr>
          <w:rFonts w:ascii="Calibri" w:hAnsi="Calibri"/>
          <w:lang w:val="en-GB"/>
        </w:rPr>
        <w:t>Developing a positive theory of accounting choice requires an understanding of the relative magnitudes of the various types of contracting costs involved (Watts and Zimmerman 1990, 135)</w:t>
      </w:r>
      <w:r w:rsidR="00343FC9" w:rsidRPr="005635D8">
        <w:rPr>
          <w:rFonts w:ascii="Calibri" w:hAnsi="Calibri"/>
          <w:lang w:val="en-GB"/>
        </w:rPr>
        <w:t>.</w:t>
      </w:r>
    </w:p>
    <w:p w:rsidR="00FF28CE" w:rsidRPr="005635D8" w:rsidRDefault="00FF28CE" w:rsidP="005904C7">
      <w:pPr>
        <w:autoSpaceDE w:val="0"/>
        <w:autoSpaceDN w:val="0"/>
        <w:adjustRightInd w:val="0"/>
        <w:spacing w:after="0"/>
        <w:jc w:val="both"/>
        <w:rPr>
          <w:rFonts w:ascii="Calibri" w:hAnsi="Calibri"/>
          <w:lang w:val="en-GB"/>
        </w:rPr>
      </w:pPr>
    </w:p>
    <w:p w:rsidR="00154AF9" w:rsidRPr="005635D8" w:rsidRDefault="00FF28CE" w:rsidP="002E4D6A">
      <w:pPr>
        <w:autoSpaceDE w:val="0"/>
        <w:autoSpaceDN w:val="0"/>
        <w:adjustRightInd w:val="0"/>
        <w:spacing w:after="0"/>
        <w:jc w:val="both"/>
        <w:rPr>
          <w:rFonts w:ascii="Calibri" w:hAnsi="Calibri"/>
          <w:lang w:val="en-GB"/>
        </w:rPr>
      </w:pPr>
      <w:r w:rsidRPr="005635D8">
        <w:rPr>
          <w:rFonts w:ascii="Calibri" w:hAnsi="Calibri"/>
          <w:lang w:val="en-GB"/>
        </w:rPr>
        <w:t xml:space="preserve">In order to demonstrate a set of relationships consistent with the final principle of utility maximization one of the main purposes is to identify factors which are likely to </w:t>
      </w:r>
      <w:r w:rsidR="00154AF9" w:rsidRPr="005635D8">
        <w:rPr>
          <w:rFonts w:ascii="Calibri" w:hAnsi="Calibri"/>
          <w:lang w:val="en-GB"/>
        </w:rPr>
        <w:t>be important</w:t>
      </w:r>
      <w:r w:rsidR="00F57B55" w:rsidRPr="005635D8">
        <w:rPr>
          <w:rFonts w:ascii="Calibri" w:hAnsi="Calibri"/>
          <w:lang w:val="en-GB"/>
        </w:rPr>
        <w:t xml:space="preserve"> </w:t>
      </w:r>
      <w:r w:rsidRPr="005635D8">
        <w:rPr>
          <w:rFonts w:ascii="Calibri" w:hAnsi="Calibri"/>
          <w:lang w:val="en-GB"/>
        </w:rPr>
        <w:t xml:space="preserve">predictors of lobbying </w:t>
      </w:r>
      <w:r w:rsidR="00B32D82" w:rsidRPr="005635D8">
        <w:rPr>
          <w:rFonts w:ascii="Calibri" w:hAnsi="Calibri"/>
          <w:lang w:val="en-GB"/>
        </w:rPr>
        <w:t>behaviour</w:t>
      </w:r>
      <w:r w:rsidRPr="005635D8">
        <w:rPr>
          <w:rFonts w:ascii="Calibri" w:hAnsi="Calibri"/>
          <w:lang w:val="en-GB"/>
        </w:rPr>
        <w:t xml:space="preserve">. </w:t>
      </w:r>
      <w:r w:rsidR="00F57B55" w:rsidRPr="005635D8">
        <w:rPr>
          <w:rFonts w:ascii="Calibri" w:hAnsi="Calibri"/>
          <w:lang w:val="en-GB"/>
        </w:rPr>
        <w:t xml:space="preserve">Based on the </w:t>
      </w:r>
      <w:r w:rsidRPr="005635D8">
        <w:rPr>
          <w:rFonts w:ascii="Calibri" w:hAnsi="Calibri"/>
          <w:lang w:val="en-GB"/>
        </w:rPr>
        <w:t xml:space="preserve">accounting standards as indicators for the levels of management’s wealth, it is a key part of this task to examine </w:t>
      </w:r>
      <w:r w:rsidR="00F57B55" w:rsidRPr="005635D8">
        <w:rPr>
          <w:rFonts w:ascii="Calibri" w:hAnsi="Calibri"/>
          <w:lang w:val="en-GB"/>
        </w:rPr>
        <w:t>in which way</w:t>
      </w:r>
      <w:r w:rsidR="00154AF9" w:rsidRPr="005635D8">
        <w:rPr>
          <w:rFonts w:ascii="Calibri" w:hAnsi="Calibri"/>
          <w:lang w:val="en-GB"/>
        </w:rPr>
        <w:t xml:space="preserve"> accounting</w:t>
      </w:r>
      <w:r w:rsidRPr="005635D8">
        <w:rPr>
          <w:rFonts w:ascii="Calibri" w:hAnsi="Calibri"/>
          <w:lang w:val="en-GB"/>
        </w:rPr>
        <w:t xml:space="preserve"> </w:t>
      </w:r>
      <w:r w:rsidR="00154AF9" w:rsidRPr="005635D8">
        <w:rPr>
          <w:rFonts w:ascii="Calibri" w:hAnsi="Calibri"/>
          <w:lang w:val="en-GB"/>
        </w:rPr>
        <w:t>standards affect management’s wealth.</w:t>
      </w:r>
      <w:r w:rsidR="007273F5" w:rsidRPr="005635D8">
        <w:rPr>
          <w:rFonts w:ascii="Calibri" w:hAnsi="Calibri"/>
          <w:lang w:val="en-GB"/>
        </w:rPr>
        <w:t xml:space="preserve"> Three different hypotheses to test the effect of accounting choices on firm performance or firm specific variables are highlighted in the literature on positive accountin</w:t>
      </w:r>
      <w:r w:rsidR="003B0F59" w:rsidRPr="005635D8">
        <w:rPr>
          <w:rFonts w:ascii="Calibri" w:hAnsi="Calibri"/>
          <w:lang w:val="en-GB"/>
        </w:rPr>
        <w:t>g</w:t>
      </w:r>
      <w:r w:rsidR="007273F5" w:rsidRPr="005635D8">
        <w:rPr>
          <w:rFonts w:ascii="Calibri" w:hAnsi="Calibri"/>
          <w:lang w:val="en-GB"/>
        </w:rPr>
        <w:t xml:space="preserve"> theories: The bonus plan hypothes</w:t>
      </w:r>
      <w:r w:rsidR="003B0F59" w:rsidRPr="005635D8">
        <w:rPr>
          <w:rFonts w:ascii="Calibri" w:hAnsi="Calibri"/>
          <w:lang w:val="en-GB"/>
        </w:rPr>
        <w:t>i</w:t>
      </w:r>
      <w:r w:rsidR="007273F5" w:rsidRPr="005635D8">
        <w:rPr>
          <w:rFonts w:ascii="Calibri" w:hAnsi="Calibri"/>
          <w:lang w:val="en-GB"/>
        </w:rPr>
        <w:t>s, the debt/equity hypothes</w:t>
      </w:r>
      <w:r w:rsidR="003B0F59" w:rsidRPr="005635D8">
        <w:rPr>
          <w:rFonts w:ascii="Calibri" w:hAnsi="Calibri"/>
          <w:lang w:val="en-GB"/>
        </w:rPr>
        <w:t>i</w:t>
      </w:r>
      <w:r w:rsidR="007273F5" w:rsidRPr="005635D8">
        <w:rPr>
          <w:rFonts w:ascii="Calibri" w:hAnsi="Calibri"/>
          <w:lang w:val="en-GB"/>
        </w:rPr>
        <w:t xml:space="preserve">s and the </w:t>
      </w:r>
      <w:r w:rsidR="003B0F59" w:rsidRPr="005635D8">
        <w:rPr>
          <w:rFonts w:ascii="Calibri" w:hAnsi="Calibri"/>
          <w:lang w:val="en-GB"/>
        </w:rPr>
        <w:t xml:space="preserve">political </w:t>
      </w:r>
      <w:r w:rsidR="002E4D6A" w:rsidRPr="005635D8">
        <w:rPr>
          <w:rFonts w:ascii="Calibri" w:hAnsi="Calibri"/>
          <w:lang w:val="en-GB"/>
        </w:rPr>
        <w:t>cost/</w:t>
      </w:r>
      <w:r w:rsidR="003B0F59" w:rsidRPr="005635D8">
        <w:rPr>
          <w:rFonts w:ascii="Calibri" w:hAnsi="Calibri"/>
          <w:lang w:val="en-GB"/>
        </w:rPr>
        <w:t>size hypothesis.</w:t>
      </w:r>
      <w:r w:rsidR="007273F5" w:rsidRPr="005635D8">
        <w:rPr>
          <w:rFonts w:ascii="Calibri" w:hAnsi="Calibri"/>
          <w:lang w:val="en-GB"/>
        </w:rPr>
        <w:t xml:space="preserve"> </w:t>
      </w:r>
    </w:p>
    <w:p w:rsidR="007273F5" w:rsidRPr="005635D8" w:rsidRDefault="007273F5" w:rsidP="00FF28CE">
      <w:pPr>
        <w:autoSpaceDE w:val="0"/>
        <w:autoSpaceDN w:val="0"/>
        <w:adjustRightInd w:val="0"/>
        <w:spacing w:after="0" w:line="240" w:lineRule="auto"/>
        <w:rPr>
          <w:rFonts w:ascii="Calibri" w:hAnsi="Calibri" w:cs="TimesNewRoman"/>
          <w:sz w:val="24"/>
          <w:szCs w:val="24"/>
          <w:lang w:val="en-GB"/>
        </w:rPr>
      </w:pPr>
    </w:p>
    <w:p w:rsidR="00D06234" w:rsidRPr="005635D8" w:rsidRDefault="004573B9" w:rsidP="001E4C5D">
      <w:pPr>
        <w:pStyle w:val="Heading3"/>
        <w:rPr>
          <w:lang w:val="en-GB"/>
        </w:rPr>
      </w:pPr>
      <w:bookmarkStart w:id="18" w:name="_Toc362267261"/>
      <w:r w:rsidRPr="005635D8">
        <w:rPr>
          <w:lang w:val="en-GB"/>
        </w:rPr>
        <w:t>2.</w:t>
      </w:r>
      <w:r w:rsidR="0087381C" w:rsidRPr="005635D8">
        <w:rPr>
          <w:lang w:val="en-GB"/>
        </w:rPr>
        <w:t>2</w:t>
      </w:r>
      <w:r w:rsidRPr="005635D8">
        <w:rPr>
          <w:lang w:val="en-GB"/>
        </w:rPr>
        <w:t xml:space="preserve">.1 </w:t>
      </w:r>
      <w:r w:rsidR="00E35943" w:rsidRPr="005635D8">
        <w:rPr>
          <w:lang w:val="en-GB"/>
        </w:rPr>
        <w:t>The b</w:t>
      </w:r>
      <w:r w:rsidR="00D06234" w:rsidRPr="005635D8">
        <w:rPr>
          <w:lang w:val="en-GB"/>
        </w:rPr>
        <w:t>onus plan hypothesis;</w:t>
      </w:r>
      <w:bookmarkEnd w:id="18"/>
    </w:p>
    <w:p w:rsidR="004C709A" w:rsidRPr="005635D8" w:rsidRDefault="00E35943" w:rsidP="001E4C5D">
      <w:pPr>
        <w:autoSpaceDE w:val="0"/>
        <w:autoSpaceDN w:val="0"/>
        <w:adjustRightInd w:val="0"/>
        <w:spacing w:after="0"/>
        <w:jc w:val="both"/>
        <w:rPr>
          <w:rFonts w:ascii="Calibri" w:hAnsi="Calibri"/>
          <w:lang w:val="en-GB"/>
        </w:rPr>
      </w:pPr>
      <w:r w:rsidRPr="005635D8">
        <w:rPr>
          <w:rFonts w:ascii="Calibri" w:hAnsi="Calibri"/>
          <w:lang w:val="en-GB"/>
        </w:rPr>
        <w:t>This first hypothesis connects the central assumption of utility maximiz</w:t>
      </w:r>
      <w:r w:rsidR="00376F46" w:rsidRPr="005635D8">
        <w:rPr>
          <w:rFonts w:ascii="Calibri" w:hAnsi="Calibri"/>
          <w:lang w:val="en-GB"/>
        </w:rPr>
        <w:t>ation of managers to the existence of bonus plans and the subsequent accounting methods chosen at a specific period in time. The central assumption of the bonus plan hypothesis is that managers of firms with bonus plans get strong incentives to use accounting methods that increase or maximizes current period reported income.</w:t>
      </w:r>
      <w:r w:rsidR="004C709A" w:rsidRPr="005635D8">
        <w:rPr>
          <w:rFonts w:ascii="Calibri" w:hAnsi="Calibri"/>
          <w:lang w:val="en-GB"/>
        </w:rPr>
        <w:t xml:space="preserve"> Managers will choose an action that will meet their own needs and desires the best.</w:t>
      </w:r>
      <w:r w:rsidR="00376F46" w:rsidRPr="005635D8">
        <w:rPr>
          <w:rFonts w:ascii="Calibri" w:hAnsi="Calibri"/>
          <w:lang w:val="en-GB"/>
        </w:rPr>
        <w:t xml:space="preserve"> The present value of bonuses can sometimes be increased </w:t>
      </w:r>
      <w:r w:rsidR="004C709A" w:rsidRPr="005635D8">
        <w:rPr>
          <w:rFonts w:ascii="Calibri" w:hAnsi="Calibri"/>
          <w:lang w:val="en-GB"/>
        </w:rPr>
        <w:t>when reported earnings are shifted from future periods to the current period</w:t>
      </w:r>
      <w:r w:rsidR="00376F46" w:rsidRPr="005635D8">
        <w:rPr>
          <w:rFonts w:ascii="Calibri" w:hAnsi="Calibri"/>
          <w:lang w:val="en-GB"/>
        </w:rPr>
        <w:t xml:space="preserve"> (Watt</w:t>
      </w:r>
      <w:r w:rsidR="00844B7F" w:rsidRPr="005635D8">
        <w:rPr>
          <w:rFonts w:ascii="Calibri" w:hAnsi="Calibri"/>
          <w:lang w:val="en-GB"/>
        </w:rPr>
        <w:t>s and Zimmerman, 1990,</w:t>
      </w:r>
      <w:r w:rsidR="00376F46" w:rsidRPr="005635D8">
        <w:rPr>
          <w:rFonts w:ascii="Calibri" w:hAnsi="Calibri"/>
          <w:lang w:val="en-GB"/>
        </w:rPr>
        <w:t xml:space="preserve"> 138).</w:t>
      </w:r>
      <w:r w:rsidR="004C709A" w:rsidRPr="005635D8">
        <w:rPr>
          <w:rFonts w:ascii="Calibri" w:hAnsi="Calibri"/>
          <w:lang w:val="en-GB"/>
        </w:rPr>
        <w:t xml:space="preserve"> </w:t>
      </w:r>
      <w:r w:rsidR="002E4D6A" w:rsidRPr="005635D8">
        <w:rPr>
          <w:rFonts w:ascii="Calibri" w:hAnsi="Calibri"/>
          <w:lang w:val="en-GB"/>
        </w:rPr>
        <w:t>Bonus plans specifically reflect</w:t>
      </w:r>
      <w:r w:rsidR="004C709A" w:rsidRPr="005635D8">
        <w:rPr>
          <w:rFonts w:ascii="Calibri" w:hAnsi="Calibri"/>
          <w:lang w:val="en-GB"/>
        </w:rPr>
        <w:t xml:space="preserve"> the empirical nature of the positive accounting theory because bonus plans were chosen as measures because they are observable phenomena (1990, 138). An empirical test by Healy (1985) showed that his results were consistent with managers manipulating net accruals to affect their bonuses. </w:t>
      </w:r>
    </w:p>
    <w:p w:rsidR="001D3783" w:rsidRPr="005635D8" w:rsidRDefault="001D3783" w:rsidP="00F1150C">
      <w:pPr>
        <w:pStyle w:val="000"/>
        <w:spacing w:line="276" w:lineRule="auto"/>
        <w:jc w:val="both"/>
        <w:rPr>
          <w:rFonts w:ascii="Calibri" w:eastAsiaTheme="minorHAnsi" w:hAnsi="Calibri" w:cstheme="minorBidi"/>
          <w:szCs w:val="22"/>
        </w:rPr>
      </w:pPr>
    </w:p>
    <w:p w:rsidR="00D06234" w:rsidRPr="005635D8" w:rsidRDefault="001D3783" w:rsidP="001E4C5D">
      <w:pPr>
        <w:autoSpaceDE w:val="0"/>
        <w:autoSpaceDN w:val="0"/>
        <w:adjustRightInd w:val="0"/>
        <w:spacing w:after="0"/>
        <w:jc w:val="both"/>
        <w:rPr>
          <w:rFonts w:ascii="Calibri" w:hAnsi="Calibri"/>
          <w:lang w:val="en-GB"/>
        </w:rPr>
      </w:pPr>
      <w:r w:rsidRPr="005635D8">
        <w:rPr>
          <w:rFonts w:ascii="Calibri" w:hAnsi="Calibri"/>
          <w:lang w:val="en-GB"/>
        </w:rPr>
        <w:t>Not in all cases will managers of firms with bonus plans shift reported earnings to current periods in order to increase the reported earnings.</w:t>
      </w:r>
      <w:r w:rsidR="00D06234" w:rsidRPr="005635D8">
        <w:rPr>
          <w:rFonts w:ascii="Calibri" w:hAnsi="Calibri"/>
          <w:lang w:val="en-GB"/>
        </w:rPr>
        <w:t xml:space="preserve"> Managers can </w:t>
      </w:r>
      <w:r w:rsidR="00323D4C" w:rsidRPr="005635D8">
        <w:rPr>
          <w:rFonts w:ascii="Calibri" w:hAnsi="Calibri"/>
          <w:lang w:val="en-GB"/>
        </w:rPr>
        <w:t>in addition</w:t>
      </w:r>
      <w:r w:rsidR="00D06234" w:rsidRPr="005635D8">
        <w:rPr>
          <w:rFonts w:ascii="Calibri" w:hAnsi="Calibri"/>
          <w:lang w:val="en-GB"/>
        </w:rPr>
        <w:t xml:space="preserve"> have the intention to lower earnings in </w:t>
      </w:r>
      <w:r w:rsidRPr="005635D8">
        <w:rPr>
          <w:rFonts w:ascii="Calibri" w:hAnsi="Calibri"/>
          <w:lang w:val="en-GB"/>
        </w:rPr>
        <w:t xml:space="preserve">reported </w:t>
      </w:r>
      <w:r w:rsidR="00D06234" w:rsidRPr="005635D8">
        <w:rPr>
          <w:rFonts w:ascii="Calibri" w:hAnsi="Calibri"/>
          <w:lang w:val="en-GB"/>
        </w:rPr>
        <w:t>statements if the minimum required level for the bonus payments is likely</w:t>
      </w:r>
      <w:r w:rsidRPr="005635D8">
        <w:rPr>
          <w:rFonts w:ascii="Calibri" w:hAnsi="Calibri"/>
          <w:lang w:val="en-GB"/>
        </w:rPr>
        <w:t xml:space="preserve"> to be</w:t>
      </w:r>
      <w:r w:rsidR="00D06234" w:rsidRPr="005635D8">
        <w:rPr>
          <w:rFonts w:ascii="Calibri" w:hAnsi="Calibri"/>
          <w:lang w:val="en-GB"/>
        </w:rPr>
        <w:t xml:space="preserve"> not achievable. This is the case if earnings in</w:t>
      </w:r>
      <w:r w:rsidRPr="005635D8">
        <w:rPr>
          <w:rFonts w:ascii="Calibri" w:hAnsi="Calibri"/>
          <w:lang w:val="en-GB"/>
        </w:rPr>
        <w:t xml:space="preserve"> the present year are below the</w:t>
      </w:r>
      <w:r w:rsidR="00D06234" w:rsidRPr="005635D8">
        <w:rPr>
          <w:rFonts w:ascii="Calibri" w:hAnsi="Calibri"/>
          <w:lang w:val="en-GB"/>
        </w:rPr>
        <w:t xml:space="preserve"> </w:t>
      </w:r>
      <w:r w:rsidRPr="005635D8">
        <w:rPr>
          <w:rFonts w:ascii="Calibri" w:hAnsi="Calibri"/>
          <w:lang w:val="en-GB"/>
        </w:rPr>
        <w:t>payout</w:t>
      </w:r>
      <w:r w:rsidR="00D06234" w:rsidRPr="005635D8">
        <w:rPr>
          <w:rFonts w:ascii="Calibri" w:hAnsi="Calibri"/>
          <w:lang w:val="en-GB"/>
        </w:rPr>
        <w:t xml:space="preserve"> level</w:t>
      </w:r>
      <w:r w:rsidRPr="005635D8">
        <w:rPr>
          <w:rFonts w:ascii="Calibri" w:hAnsi="Calibri"/>
          <w:lang w:val="en-GB"/>
        </w:rPr>
        <w:t xml:space="preserve"> of bonuses. Managers will </w:t>
      </w:r>
      <w:r w:rsidR="00D06234" w:rsidRPr="005635D8">
        <w:rPr>
          <w:rFonts w:ascii="Calibri" w:hAnsi="Calibri"/>
          <w:lang w:val="en-GB"/>
        </w:rPr>
        <w:t>then</w:t>
      </w:r>
      <w:r w:rsidR="00F1150C" w:rsidRPr="005635D8">
        <w:rPr>
          <w:rFonts w:ascii="Calibri" w:hAnsi="Calibri"/>
          <w:lang w:val="en-GB"/>
        </w:rPr>
        <w:t xml:space="preserve"> be</w:t>
      </w:r>
      <w:r w:rsidR="00D06234" w:rsidRPr="005635D8">
        <w:rPr>
          <w:rFonts w:ascii="Calibri" w:hAnsi="Calibri"/>
          <w:lang w:val="en-GB"/>
        </w:rPr>
        <w:t xml:space="preserve"> triggered to reduce the</w:t>
      </w:r>
      <w:r w:rsidRPr="005635D8">
        <w:rPr>
          <w:rFonts w:ascii="Calibri" w:hAnsi="Calibri"/>
          <w:lang w:val="en-GB"/>
        </w:rPr>
        <w:t xml:space="preserve"> reported earnings because</w:t>
      </w:r>
      <w:r w:rsidR="00D06234" w:rsidRPr="005635D8">
        <w:rPr>
          <w:rFonts w:ascii="Calibri" w:hAnsi="Calibri"/>
          <w:lang w:val="en-GB"/>
        </w:rPr>
        <w:t xml:space="preserve"> no bonuses will be paid</w:t>
      </w:r>
      <w:r w:rsidRPr="005635D8">
        <w:rPr>
          <w:rFonts w:ascii="Calibri" w:hAnsi="Calibri"/>
          <w:lang w:val="en-GB"/>
        </w:rPr>
        <w:t xml:space="preserve"> anyhow</w:t>
      </w:r>
      <w:r w:rsidR="00D06234" w:rsidRPr="005635D8">
        <w:rPr>
          <w:rFonts w:ascii="Calibri" w:hAnsi="Calibri"/>
          <w:lang w:val="en-GB"/>
        </w:rPr>
        <w:t xml:space="preserve">. This tactic of reducing earnings is called ‘earnings bath’ and is known to increase future profits and bonuses as earnings are spread to upcoming years. </w:t>
      </w:r>
    </w:p>
    <w:p w:rsidR="00A57D8C" w:rsidRPr="005635D8" w:rsidRDefault="004573B9" w:rsidP="001E4C5D">
      <w:pPr>
        <w:pStyle w:val="Heading3"/>
        <w:rPr>
          <w:lang w:val="en-GB"/>
        </w:rPr>
      </w:pPr>
      <w:bookmarkStart w:id="19" w:name="_Toc277013575"/>
      <w:bookmarkStart w:id="20" w:name="_Toc362267262"/>
      <w:r w:rsidRPr="005635D8">
        <w:rPr>
          <w:lang w:val="en-GB"/>
        </w:rPr>
        <w:t>2.</w:t>
      </w:r>
      <w:r w:rsidR="0087381C" w:rsidRPr="005635D8">
        <w:rPr>
          <w:lang w:val="en-GB"/>
        </w:rPr>
        <w:t>2</w:t>
      </w:r>
      <w:r w:rsidRPr="005635D8">
        <w:rPr>
          <w:lang w:val="en-GB"/>
        </w:rPr>
        <w:t xml:space="preserve">.2 </w:t>
      </w:r>
      <w:r w:rsidR="00A57D8C" w:rsidRPr="005635D8">
        <w:rPr>
          <w:lang w:val="en-GB"/>
        </w:rPr>
        <w:t>Debt / equity hypothesis</w:t>
      </w:r>
      <w:bookmarkEnd w:id="19"/>
      <w:r w:rsidR="006E758C" w:rsidRPr="005635D8">
        <w:rPr>
          <w:lang w:val="en-GB"/>
        </w:rPr>
        <w:t>;</w:t>
      </w:r>
      <w:bookmarkEnd w:id="20"/>
    </w:p>
    <w:p w:rsidR="00D06234" w:rsidRPr="005635D8" w:rsidRDefault="005832DF" w:rsidP="001E4C5D">
      <w:pPr>
        <w:autoSpaceDE w:val="0"/>
        <w:autoSpaceDN w:val="0"/>
        <w:adjustRightInd w:val="0"/>
        <w:spacing w:after="0"/>
        <w:jc w:val="both"/>
        <w:rPr>
          <w:rFonts w:ascii="Calibri" w:hAnsi="Calibri"/>
          <w:lang w:val="en-GB"/>
        </w:rPr>
      </w:pPr>
      <w:r w:rsidRPr="005635D8">
        <w:rPr>
          <w:rFonts w:ascii="Calibri" w:hAnsi="Calibri"/>
          <w:lang w:val="en-GB"/>
        </w:rPr>
        <w:t xml:space="preserve">A second structural characteristic of firms that is expected to be an indicator for the adopted accounting methods by that firm is the debt/equity ratio. The debt/equity hypothesis predicts the higher the firms debt/equity ratio the more likely managers use accounting methods that increase reported income in the current period (Watts and Zimmerman 1990, 139). When the value of the debt/equity ratio increases this </w:t>
      </w:r>
      <w:r w:rsidR="0098240C" w:rsidRPr="005635D8">
        <w:rPr>
          <w:rFonts w:ascii="Calibri" w:hAnsi="Calibri"/>
          <w:lang w:val="en-GB"/>
        </w:rPr>
        <w:t>implies</w:t>
      </w:r>
      <w:r w:rsidRPr="005635D8">
        <w:rPr>
          <w:rFonts w:ascii="Calibri" w:hAnsi="Calibri"/>
          <w:lang w:val="en-GB"/>
        </w:rPr>
        <w:t xml:space="preserve"> that a firm will be stronger influenced by the constraints that de</w:t>
      </w:r>
      <w:r w:rsidR="00381915" w:rsidRPr="005635D8">
        <w:rPr>
          <w:rFonts w:ascii="Calibri" w:hAnsi="Calibri"/>
          <w:lang w:val="en-GB"/>
        </w:rPr>
        <w:t>b</w:t>
      </w:r>
      <w:r w:rsidRPr="005635D8">
        <w:rPr>
          <w:rFonts w:ascii="Calibri" w:hAnsi="Calibri"/>
          <w:lang w:val="en-GB"/>
        </w:rPr>
        <w:t xml:space="preserve">t covenants place on the free choices of managers. </w:t>
      </w:r>
      <w:r w:rsidR="00FC6E97" w:rsidRPr="005635D8">
        <w:rPr>
          <w:rFonts w:ascii="Calibri" w:hAnsi="Calibri"/>
          <w:lang w:val="en-GB"/>
        </w:rPr>
        <w:t>Covenant violations bring incurring costs and technical defaults. “</w:t>
      </w:r>
      <w:r w:rsidR="00A57D8C" w:rsidRPr="005635D8">
        <w:rPr>
          <w:rFonts w:ascii="Calibri" w:hAnsi="Calibri"/>
          <w:lang w:val="en-GB"/>
        </w:rPr>
        <w:t>Managers exercising discretion by choosing income increasing accounting methods, relax debt constraints and reduce the costs of technical</w:t>
      </w:r>
      <w:r w:rsidR="00FC6E97" w:rsidRPr="005635D8">
        <w:rPr>
          <w:rFonts w:ascii="Calibri" w:hAnsi="Calibri"/>
          <w:lang w:val="en-GB"/>
        </w:rPr>
        <w:t xml:space="preserve"> default” (</w:t>
      </w:r>
      <w:r w:rsidR="00844B7F" w:rsidRPr="005635D8">
        <w:rPr>
          <w:rFonts w:ascii="Calibri" w:hAnsi="Calibri"/>
          <w:lang w:val="en-GB"/>
        </w:rPr>
        <w:t xml:space="preserve">1990, </w:t>
      </w:r>
      <w:r w:rsidR="00A57D8C" w:rsidRPr="005635D8">
        <w:rPr>
          <w:rFonts w:ascii="Calibri" w:hAnsi="Calibri"/>
          <w:lang w:val="en-GB"/>
        </w:rPr>
        <w:t>139).</w:t>
      </w:r>
      <w:r w:rsidR="0083322D" w:rsidRPr="005635D8">
        <w:rPr>
          <w:rFonts w:ascii="Calibri" w:hAnsi="Calibri"/>
          <w:lang w:val="en-GB"/>
        </w:rPr>
        <w:t xml:space="preserve"> Bartov (1993) has tested the</w:t>
      </w:r>
      <w:r w:rsidR="00D06234" w:rsidRPr="005635D8">
        <w:rPr>
          <w:rFonts w:ascii="Calibri" w:hAnsi="Calibri"/>
          <w:lang w:val="en-GB"/>
        </w:rPr>
        <w:t xml:space="preserve"> connection between income from</w:t>
      </w:r>
      <w:r w:rsidR="005B72D7" w:rsidRPr="005635D8">
        <w:rPr>
          <w:rFonts w:ascii="Calibri" w:hAnsi="Calibri"/>
          <w:lang w:val="en-GB"/>
        </w:rPr>
        <w:t xml:space="preserve"> assets and debt/equity ratios. </w:t>
      </w:r>
      <w:r w:rsidR="00381915" w:rsidRPr="005635D8">
        <w:rPr>
          <w:rFonts w:ascii="Calibri" w:hAnsi="Calibri"/>
          <w:lang w:val="en-GB"/>
        </w:rPr>
        <w:t>Covenant requires</w:t>
      </w:r>
      <w:r w:rsidR="00D06234" w:rsidRPr="005635D8">
        <w:rPr>
          <w:rFonts w:ascii="Calibri" w:hAnsi="Calibri"/>
          <w:lang w:val="en-GB"/>
        </w:rPr>
        <w:t xml:space="preserve"> borrowing firms to maintain some particular levels of the accounting-based </w:t>
      </w:r>
      <w:r w:rsidR="0083322D" w:rsidRPr="005635D8">
        <w:rPr>
          <w:rFonts w:ascii="Calibri" w:hAnsi="Calibri"/>
          <w:lang w:val="en-GB"/>
        </w:rPr>
        <w:t>debt</w:t>
      </w:r>
      <w:r w:rsidR="005B72D7" w:rsidRPr="005635D8">
        <w:rPr>
          <w:rFonts w:ascii="Calibri" w:hAnsi="Calibri"/>
          <w:lang w:val="en-GB"/>
        </w:rPr>
        <w:t>/</w:t>
      </w:r>
      <w:r w:rsidR="0083322D" w:rsidRPr="005635D8">
        <w:rPr>
          <w:rFonts w:ascii="Calibri" w:hAnsi="Calibri"/>
          <w:lang w:val="en-GB"/>
        </w:rPr>
        <w:t>equity ratios. Debts</w:t>
      </w:r>
      <w:r w:rsidR="00D06234" w:rsidRPr="005635D8">
        <w:rPr>
          <w:rFonts w:ascii="Calibri" w:hAnsi="Calibri"/>
          <w:lang w:val="en-GB"/>
        </w:rPr>
        <w:t xml:space="preserve"> </w:t>
      </w:r>
      <w:r w:rsidR="00323D4C" w:rsidRPr="005635D8">
        <w:rPr>
          <w:rFonts w:ascii="Calibri" w:hAnsi="Calibri"/>
          <w:lang w:val="en-GB"/>
        </w:rPr>
        <w:t>in addition</w:t>
      </w:r>
      <w:r w:rsidR="00D06234" w:rsidRPr="005635D8">
        <w:rPr>
          <w:rFonts w:ascii="Calibri" w:hAnsi="Calibri"/>
          <w:lang w:val="en-GB"/>
        </w:rPr>
        <w:t xml:space="preserve"> limit borrowing firms</w:t>
      </w:r>
      <w:r w:rsidR="0083322D" w:rsidRPr="005635D8">
        <w:rPr>
          <w:rFonts w:ascii="Calibri" w:hAnsi="Calibri"/>
          <w:lang w:val="en-GB"/>
        </w:rPr>
        <w:t xml:space="preserve"> in the extent</w:t>
      </w:r>
      <w:r w:rsidR="00D06234" w:rsidRPr="005635D8">
        <w:rPr>
          <w:rFonts w:ascii="Calibri" w:hAnsi="Calibri"/>
          <w:lang w:val="en-GB"/>
        </w:rPr>
        <w:t xml:space="preserve"> to</w:t>
      </w:r>
      <w:r w:rsidR="0083322D" w:rsidRPr="005635D8">
        <w:rPr>
          <w:rFonts w:ascii="Calibri" w:hAnsi="Calibri"/>
          <w:lang w:val="en-GB"/>
        </w:rPr>
        <w:t xml:space="preserve"> which they can</w:t>
      </w:r>
      <w:r w:rsidR="00D06234" w:rsidRPr="005635D8">
        <w:rPr>
          <w:rFonts w:ascii="Calibri" w:hAnsi="Calibri"/>
          <w:lang w:val="en-GB"/>
        </w:rPr>
        <w:t xml:space="preserve"> maintain financing and investing undertakings</w:t>
      </w:r>
      <w:r w:rsidR="0083322D" w:rsidRPr="005635D8">
        <w:rPr>
          <w:rFonts w:ascii="Calibri" w:hAnsi="Calibri"/>
          <w:lang w:val="en-GB"/>
        </w:rPr>
        <w:t>.</w:t>
      </w:r>
      <w:r w:rsidR="00D06234" w:rsidRPr="005635D8">
        <w:rPr>
          <w:rFonts w:ascii="Calibri" w:hAnsi="Calibri"/>
          <w:lang w:val="en-GB"/>
        </w:rPr>
        <w:t xml:space="preserve"> The terms under which the covenants are set between the agreeing parties are costly to violate, and include accounting-based restr</w:t>
      </w:r>
      <w:r w:rsidR="0083322D" w:rsidRPr="005635D8">
        <w:rPr>
          <w:rFonts w:ascii="Calibri" w:hAnsi="Calibri"/>
          <w:lang w:val="en-GB"/>
        </w:rPr>
        <w:t>ictions, defined in earnings. Bartov finds that</w:t>
      </w:r>
      <w:r w:rsidR="00D06234" w:rsidRPr="005635D8">
        <w:rPr>
          <w:rFonts w:ascii="Calibri" w:hAnsi="Calibri"/>
          <w:lang w:val="en-GB"/>
        </w:rPr>
        <w:t xml:space="preserve"> managers </w:t>
      </w:r>
      <w:r w:rsidR="005B72D7" w:rsidRPr="005635D8">
        <w:rPr>
          <w:rFonts w:ascii="Calibri" w:hAnsi="Calibri"/>
          <w:lang w:val="en-GB"/>
        </w:rPr>
        <w:t xml:space="preserve">try </w:t>
      </w:r>
      <w:r w:rsidR="00D06234" w:rsidRPr="005635D8">
        <w:rPr>
          <w:rFonts w:ascii="Calibri" w:hAnsi="Calibri"/>
          <w:lang w:val="en-GB"/>
        </w:rPr>
        <w:t xml:space="preserve">to minimize the violations of accounting-based covenant terms in debt agreements. They do </w:t>
      </w:r>
      <w:r w:rsidR="00F71079" w:rsidRPr="005635D8">
        <w:rPr>
          <w:rFonts w:ascii="Calibri" w:hAnsi="Calibri"/>
          <w:lang w:val="en-GB"/>
        </w:rPr>
        <w:t>consequently</w:t>
      </w:r>
      <w:r w:rsidR="00D06234" w:rsidRPr="005635D8">
        <w:rPr>
          <w:rFonts w:ascii="Calibri" w:hAnsi="Calibri"/>
          <w:lang w:val="en-GB"/>
        </w:rPr>
        <w:t xml:space="preserve"> by manipulating the earnings. </w:t>
      </w:r>
    </w:p>
    <w:p w:rsidR="006F273C" w:rsidRPr="005635D8" w:rsidRDefault="006F273C" w:rsidP="00A57D8C">
      <w:pPr>
        <w:pStyle w:val="000"/>
        <w:spacing w:line="360" w:lineRule="auto"/>
        <w:jc w:val="both"/>
        <w:rPr>
          <w:rFonts w:ascii="Calibri" w:eastAsiaTheme="minorHAnsi" w:hAnsi="Calibri" w:cstheme="minorBidi"/>
          <w:szCs w:val="22"/>
        </w:rPr>
      </w:pPr>
    </w:p>
    <w:p w:rsidR="0063700C" w:rsidRPr="005635D8" w:rsidRDefault="004573B9" w:rsidP="001E4C5D">
      <w:pPr>
        <w:pStyle w:val="Heading3"/>
        <w:rPr>
          <w:lang w:val="en-GB"/>
        </w:rPr>
      </w:pPr>
      <w:bookmarkStart w:id="21" w:name="_Toc277013576"/>
      <w:bookmarkStart w:id="22" w:name="_Toc362267263"/>
      <w:r w:rsidRPr="005635D8">
        <w:rPr>
          <w:lang w:val="en-GB"/>
        </w:rPr>
        <w:t>2.</w:t>
      </w:r>
      <w:r w:rsidR="0087381C" w:rsidRPr="005635D8">
        <w:rPr>
          <w:lang w:val="en-GB"/>
        </w:rPr>
        <w:t>2</w:t>
      </w:r>
      <w:r w:rsidRPr="005635D8">
        <w:rPr>
          <w:lang w:val="en-GB"/>
        </w:rPr>
        <w:t xml:space="preserve">.3 </w:t>
      </w:r>
      <w:r w:rsidR="00A57D8C" w:rsidRPr="005635D8">
        <w:rPr>
          <w:lang w:val="en-GB"/>
        </w:rPr>
        <w:t>Political cost hypothesis</w:t>
      </w:r>
      <w:bookmarkEnd w:id="21"/>
      <w:r w:rsidR="006E758C" w:rsidRPr="005635D8">
        <w:rPr>
          <w:lang w:val="en-GB"/>
        </w:rPr>
        <w:t>;</w:t>
      </w:r>
      <w:bookmarkEnd w:id="22"/>
    </w:p>
    <w:p w:rsidR="0094493C" w:rsidRPr="005635D8" w:rsidRDefault="0088349D" w:rsidP="0021124E">
      <w:pPr>
        <w:jc w:val="both"/>
        <w:rPr>
          <w:rFonts w:ascii="Calibri" w:hAnsi="Calibri"/>
          <w:lang w:val="en-GB"/>
        </w:rPr>
      </w:pPr>
      <w:r w:rsidRPr="005635D8">
        <w:rPr>
          <w:rFonts w:ascii="Calibri" w:hAnsi="Calibri"/>
          <w:lang w:val="en-GB"/>
        </w:rPr>
        <w:t>A third</w:t>
      </w:r>
      <w:r w:rsidR="0063700C" w:rsidRPr="005635D8">
        <w:rPr>
          <w:rFonts w:ascii="Calibri" w:hAnsi="Calibri"/>
          <w:lang w:val="en-GB"/>
        </w:rPr>
        <w:t xml:space="preserve"> structural characteristic of firms that is expected to be an indicator for the adopted accounting methods by that firm is the increasing political visibility of firms relative to their size.</w:t>
      </w:r>
      <w:r w:rsidR="009B06F4" w:rsidRPr="005635D8">
        <w:rPr>
          <w:rFonts w:ascii="Calibri" w:hAnsi="Calibri"/>
          <w:lang w:val="en-GB"/>
        </w:rPr>
        <w:t xml:space="preserve"> Political costs can be imposed on firms or corporations because politicians have the power to impose wealth re-distributions by implementing corporate taxes, regulations, subsidies etc. When firms report increased earnings certain groups of voters have incentives to lobby for a societal more </w:t>
      </w:r>
      <w:r w:rsidR="002308FE" w:rsidRPr="005635D8">
        <w:rPr>
          <w:rFonts w:ascii="Calibri" w:hAnsi="Calibri"/>
          <w:lang w:val="en-GB"/>
        </w:rPr>
        <w:t xml:space="preserve">appropriate distribution of the accumulated </w:t>
      </w:r>
      <w:r w:rsidR="00473EB3" w:rsidRPr="005635D8">
        <w:rPr>
          <w:rFonts w:ascii="Calibri" w:hAnsi="Calibri"/>
          <w:lang w:val="en-GB"/>
        </w:rPr>
        <w:t>resources,</w:t>
      </w:r>
      <w:r w:rsidR="002308FE" w:rsidRPr="005635D8">
        <w:rPr>
          <w:rFonts w:ascii="Calibri" w:hAnsi="Calibri"/>
          <w:lang w:val="en-GB"/>
        </w:rPr>
        <w:t xml:space="preserve"> which in turn provides incentives to politicians to support those lobbies and ask for nationalizations, expropriations or break-up regulations of those firms (Watts and Zimmerman 1978, 115). </w:t>
      </w:r>
      <w:r w:rsidR="00381915" w:rsidRPr="005635D8">
        <w:rPr>
          <w:rFonts w:ascii="Calibri" w:hAnsi="Calibri"/>
          <w:lang w:val="en-GB"/>
        </w:rPr>
        <w:t>This type of political costs is</w:t>
      </w:r>
      <w:r w:rsidR="002308FE" w:rsidRPr="005635D8">
        <w:rPr>
          <w:rFonts w:ascii="Calibri" w:hAnsi="Calibri"/>
          <w:lang w:val="en-GB"/>
        </w:rPr>
        <w:t xml:space="preserve"> especially associated with ‘</w:t>
      </w:r>
      <w:r w:rsidR="009B06F4" w:rsidRPr="005635D8">
        <w:rPr>
          <w:rFonts w:ascii="Calibri" w:hAnsi="Calibri"/>
          <w:lang w:val="en-GB"/>
        </w:rPr>
        <w:t>large profi</w:t>
      </w:r>
      <w:r w:rsidR="002308FE" w:rsidRPr="005635D8">
        <w:rPr>
          <w:rFonts w:ascii="Calibri" w:hAnsi="Calibri"/>
          <w:lang w:val="en-GB"/>
        </w:rPr>
        <w:t>ts’</w:t>
      </w:r>
      <w:r w:rsidR="009B06F4" w:rsidRPr="005635D8">
        <w:rPr>
          <w:rFonts w:ascii="Calibri" w:hAnsi="Calibri"/>
          <w:lang w:val="en-GB"/>
        </w:rPr>
        <w:t xml:space="preserve"> and their association</w:t>
      </w:r>
      <w:r w:rsidR="002308FE" w:rsidRPr="005635D8">
        <w:rPr>
          <w:rFonts w:ascii="Calibri" w:hAnsi="Calibri"/>
          <w:lang w:val="en-GB"/>
        </w:rPr>
        <w:t xml:space="preserve"> </w:t>
      </w:r>
      <w:r w:rsidR="009B06F4" w:rsidRPr="005635D8">
        <w:rPr>
          <w:rFonts w:ascii="Calibri" w:hAnsi="Calibri"/>
          <w:lang w:val="en-GB"/>
        </w:rPr>
        <w:t>with monopoly power. It is the potential abuse of</w:t>
      </w:r>
      <w:r w:rsidR="002308FE" w:rsidRPr="005635D8">
        <w:rPr>
          <w:rFonts w:ascii="Calibri" w:hAnsi="Calibri"/>
          <w:lang w:val="en-GB"/>
        </w:rPr>
        <w:t xml:space="preserve"> </w:t>
      </w:r>
      <w:r w:rsidR="009B06F4" w:rsidRPr="005635D8">
        <w:rPr>
          <w:rFonts w:ascii="Calibri" w:hAnsi="Calibri"/>
          <w:lang w:val="en-GB"/>
        </w:rPr>
        <w:t xml:space="preserve">monopoly power that lies at the heart of Watts and Zimmerman’s notion of political costs. </w:t>
      </w:r>
      <w:r w:rsidR="000171B4" w:rsidRPr="005635D8">
        <w:rPr>
          <w:rFonts w:ascii="Calibri" w:hAnsi="Calibri"/>
          <w:lang w:val="en-GB"/>
        </w:rPr>
        <w:t xml:space="preserve">Following from this notion of political costs they then argue that managers of firms and corporations are given incentives by the political environment to </w:t>
      </w:r>
      <w:r w:rsidR="000171B4" w:rsidRPr="005635D8">
        <w:rPr>
          <w:rFonts w:ascii="Calibri" w:hAnsi="Calibri" w:cs="TimesNewRoman"/>
          <w:lang w:val="en-GB"/>
        </w:rPr>
        <w:t>select</w:t>
      </w:r>
      <w:r w:rsidR="000171B4" w:rsidRPr="005635D8">
        <w:rPr>
          <w:rFonts w:ascii="Calibri" w:hAnsi="Calibri"/>
          <w:lang w:val="en-GB"/>
        </w:rPr>
        <w:t xml:space="preserve"> </w:t>
      </w:r>
      <w:r w:rsidR="000171B4" w:rsidRPr="005635D8">
        <w:rPr>
          <w:rFonts w:ascii="Calibri" w:hAnsi="Calibri" w:cs="TimesNewRoman"/>
          <w:lang w:val="en-GB"/>
        </w:rPr>
        <w:t xml:space="preserve">accounting procedures and to lobby with politicians and bureaucrats for accounting procedures which reduce the net income reported in financial statements. </w:t>
      </w:r>
      <w:r w:rsidR="000171B4" w:rsidRPr="005635D8">
        <w:rPr>
          <w:rFonts w:ascii="Calibri" w:hAnsi="Calibri"/>
          <w:lang w:val="en-GB"/>
        </w:rPr>
        <w:t>Deegan and Unerman (2006) add to this observation that managers under the pressure of political scrutiny will be motivated to adopt accounting methods that reduce reported income, and thereby reduce the possibility that people will argue that the organization is exploiting other parties.</w:t>
      </w:r>
      <w:r w:rsidR="0094493C" w:rsidRPr="005635D8">
        <w:rPr>
          <w:rFonts w:ascii="Calibri" w:hAnsi="Calibri"/>
          <w:lang w:val="en-GB"/>
        </w:rPr>
        <w:t xml:space="preserve"> </w:t>
      </w:r>
    </w:p>
    <w:p w:rsidR="0044275C" w:rsidRPr="005635D8" w:rsidRDefault="00381915" w:rsidP="0021124E">
      <w:pPr>
        <w:jc w:val="both"/>
        <w:rPr>
          <w:rFonts w:ascii="Calibri" w:hAnsi="Calibri" w:cs="TimesNewRoman"/>
          <w:lang w:val="en-GB"/>
        </w:rPr>
      </w:pPr>
      <w:r w:rsidRPr="005635D8">
        <w:rPr>
          <w:rFonts w:ascii="Calibri" w:hAnsi="Calibri"/>
          <w:lang w:val="en-GB"/>
        </w:rPr>
        <w:t xml:space="preserve">In order to avoid political costs, </w:t>
      </w:r>
      <w:r w:rsidR="005635D8" w:rsidRPr="005635D8">
        <w:rPr>
          <w:rFonts w:ascii="Calibri" w:hAnsi="Calibri"/>
          <w:lang w:val="en-GB"/>
        </w:rPr>
        <w:t xml:space="preserve">a </w:t>
      </w:r>
      <w:r w:rsidRPr="005635D8">
        <w:rPr>
          <w:rFonts w:ascii="Calibri" w:hAnsi="Calibri"/>
          <w:lang w:val="en-GB"/>
        </w:rPr>
        <w:t>m</w:t>
      </w:r>
      <w:r w:rsidR="0094493C" w:rsidRPr="005635D8">
        <w:rPr>
          <w:rFonts w:ascii="Calibri" w:hAnsi="Calibri"/>
          <w:lang w:val="en-GB"/>
        </w:rPr>
        <w:t xml:space="preserve">anager reducing reported income is the essence of the political costs hypothesis. However, this hypothesis is sometimes </w:t>
      </w:r>
      <w:r w:rsidRPr="005635D8">
        <w:rPr>
          <w:rFonts w:ascii="Calibri" w:hAnsi="Calibri"/>
          <w:lang w:val="en-GB"/>
        </w:rPr>
        <w:t xml:space="preserve">qualified </w:t>
      </w:r>
      <w:r w:rsidR="00323D4C" w:rsidRPr="005635D8">
        <w:rPr>
          <w:rFonts w:ascii="Calibri" w:hAnsi="Calibri"/>
          <w:lang w:val="en-GB"/>
        </w:rPr>
        <w:t xml:space="preserve">in addition </w:t>
      </w:r>
      <w:r w:rsidRPr="005635D8">
        <w:rPr>
          <w:rFonts w:ascii="Calibri" w:hAnsi="Calibri"/>
          <w:lang w:val="en-GB"/>
        </w:rPr>
        <w:t xml:space="preserve">as </w:t>
      </w:r>
      <w:r w:rsidR="0094493C" w:rsidRPr="005635D8">
        <w:rPr>
          <w:rFonts w:ascii="Calibri" w:hAnsi="Calibri"/>
          <w:lang w:val="en-GB"/>
        </w:rPr>
        <w:t>the size hypothesis. It is then stated that large firms rather than small firms are more likely to use accounting choices t</w:t>
      </w:r>
      <w:r w:rsidR="00F1150C" w:rsidRPr="005635D8">
        <w:rPr>
          <w:rFonts w:ascii="Calibri" w:hAnsi="Calibri"/>
          <w:lang w:val="en-GB"/>
        </w:rPr>
        <w:t>hat reduce reported profits. A</w:t>
      </w:r>
      <w:r w:rsidR="0094493C" w:rsidRPr="005635D8">
        <w:rPr>
          <w:rFonts w:ascii="Calibri" w:hAnsi="Calibri"/>
          <w:lang w:val="en-GB"/>
        </w:rPr>
        <w:t>s large firms with large profits attract more political attention size seems to be a proxy for political attention. As individuals cannot be totally informe</w:t>
      </w:r>
      <w:r w:rsidR="00D32CE4" w:rsidRPr="005635D8">
        <w:rPr>
          <w:rFonts w:ascii="Calibri" w:hAnsi="Calibri"/>
          <w:lang w:val="en-GB"/>
        </w:rPr>
        <w:t>d about the motives behind the level of accounting profits</w:t>
      </w:r>
      <w:r w:rsidR="0094493C" w:rsidRPr="005635D8">
        <w:rPr>
          <w:rFonts w:ascii="Calibri" w:hAnsi="Calibri"/>
          <w:lang w:val="en-GB"/>
        </w:rPr>
        <w:t xml:space="preserve"> of all firms it is a normal reaction that they </w:t>
      </w:r>
      <w:r w:rsidR="00D32CE4" w:rsidRPr="005635D8">
        <w:rPr>
          <w:rFonts w:ascii="Calibri" w:hAnsi="Calibri"/>
          <w:lang w:val="en-GB"/>
        </w:rPr>
        <w:t>direct their attention to large firms.</w:t>
      </w:r>
      <w:r w:rsidR="0094493C" w:rsidRPr="005635D8">
        <w:rPr>
          <w:rFonts w:ascii="Calibri" w:hAnsi="Calibri"/>
          <w:lang w:val="en-GB"/>
        </w:rPr>
        <w:t xml:space="preserve"> </w:t>
      </w:r>
      <w:r w:rsidR="00D32CE4" w:rsidRPr="005635D8">
        <w:rPr>
          <w:rFonts w:ascii="Calibri" w:hAnsi="Calibri"/>
          <w:iCs/>
          <w:lang w:val="en-GB"/>
        </w:rPr>
        <w:t xml:space="preserve">Firstly, individuals do not know whether the profits are driven by business activities or monopolistic behaviour. And secondly, individuals are hindered to contract with organizations to politically let pass laws and regulations that could provide welfare improvements. </w:t>
      </w:r>
      <w:r w:rsidRPr="005635D8">
        <w:rPr>
          <w:rFonts w:ascii="Calibri" w:hAnsi="Calibri"/>
          <w:iCs/>
          <w:lang w:val="en-GB"/>
        </w:rPr>
        <w:t xml:space="preserve">When seeking to explain the social disclosures </w:t>
      </w:r>
      <w:r w:rsidR="007F1130" w:rsidRPr="005635D8">
        <w:rPr>
          <w:rFonts w:ascii="Calibri" w:hAnsi="Calibri" w:cs="TimesNewRoman"/>
          <w:lang w:val="en-GB"/>
        </w:rPr>
        <w:t>Belkaoui and</w:t>
      </w:r>
      <w:r w:rsidR="00D32CE4" w:rsidRPr="005635D8">
        <w:rPr>
          <w:rFonts w:ascii="Calibri" w:hAnsi="Calibri" w:cs="TimesNewRoman"/>
          <w:lang w:val="en-GB"/>
        </w:rPr>
        <w:t xml:space="preserve"> </w:t>
      </w:r>
      <w:r w:rsidR="007F1130" w:rsidRPr="005635D8">
        <w:rPr>
          <w:rFonts w:ascii="Calibri" w:hAnsi="Calibri" w:cs="TimesNewRoman"/>
          <w:lang w:val="en-GB"/>
        </w:rPr>
        <w:t xml:space="preserve">Karpik (1989) </w:t>
      </w:r>
      <w:r w:rsidR="00D32CE4" w:rsidRPr="005635D8">
        <w:rPr>
          <w:rFonts w:ascii="Calibri" w:hAnsi="Calibri" w:cs="TimesNewRoman"/>
          <w:lang w:val="en-GB"/>
        </w:rPr>
        <w:t xml:space="preserve">empirically investigated the political cost </w:t>
      </w:r>
      <w:r w:rsidRPr="005635D8">
        <w:rPr>
          <w:rFonts w:ascii="Calibri" w:hAnsi="Calibri" w:cs="TimesNewRoman"/>
          <w:lang w:val="en-GB"/>
        </w:rPr>
        <w:t>hypothesis</w:t>
      </w:r>
      <w:r w:rsidR="007F1130" w:rsidRPr="005635D8">
        <w:rPr>
          <w:rFonts w:ascii="Calibri" w:hAnsi="Calibri" w:cs="TimesNewRoman"/>
          <w:lang w:val="en-GB"/>
        </w:rPr>
        <w:t xml:space="preserve">. </w:t>
      </w:r>
      <w:r w:rsidR="00D32CE4" w:rsidRPr="005635D8">
        <w:rPr>
          <w:rFonts w:ascii="Calibri" w:hAnsi="Calibri" w:cs="TimesNewRoman"/>
          <w:lang w:val="en-GB"/>
        </w:rPr>
        <w:t>They indeed find that p</w:t>
      </w:r>
      <w:r w:rsidR="00F1150C" w:rsidRPr="005635D8">
        <w:rPr>
          <w:rFonts w:ascii="Calibri" w:hAnsi="Calibri" w:cs="TimesNewRoman"/>
          <w:lang w:val="en-GB"/>
        </w:rPr>
        <w:t>olitically visible firms</w:t>
      </w:r>
      <w:r w:rsidR="00D32CE4" w:rsidRPr="005635D8">
        <w:rPr>
          <w:rFonts w:ascii="Calibri" w:hAnsi="Calibri"/>
          <w:lang w:val="en-GB"/>
        </w:rPr>
        <w:t xml:space="preserve"> </w:t>
      </w:r>
      <w:r w:rsidR="00D32CE4" w:rsidRPr="005635D8">
        <w:rPr>
          <w:rFonts w:ascii="Calibri" w:hAnsi="Calibri" w:cs="TimesNewRoman"/>
          <w:lang w:val="en-GB"/>
        </w:rPr>
        <w:t>disclose more information</w:t>
      </w:r>
      <w:r w:rsidR="007F1130" w:rsidRPr="005635D8">
        <w:rPr>
          <w:rFonts w:ascii="Calibri" w:hAnsi="Calibri" w:cs="TimesNewRoman"/>
          <w:lang w:val="en-GB"/>
        </w:rPr>
        <w:t>.</w:t>
      </w:r>
      <w:r w:rsidR="00D32CE4" w:rsidRPr="005635D8">
        <w:rPr>
          <w:rFonts w:ascii="Calibri" w:hAnsi="Calibri" w:cs="TimesNewRoman"/>
          <w:lang w:val="en-GB"/>
        </w:rPr>
        <w:t xml:space="preserve"> However, this is not immediate evidence f</w:t>
      </w:r>
      <w:r w:rsidR="00F5000E" w:rsidRPr="005635D8">
        <w:rPr>
          <w:rFonts w:ascii="Calibri" w:hAnsi="Calibri" w:cs="TimesNewRoman"/>
          <w:lang w:val="en-GB"/>
        </w:rPr>
        <w:t>or downgrading reported earnings as the political cost hypothesis predicts</w:t>
      </w:r>
      <w:r w:rsidR="00D32CE4" w:rsidRPr="005635D8">
        <w:rPr>
          <w:rFonts w:ascii="Calibri" w:hAnsi="Calibri" w:cs="TimesNewRoman"/>
          <w:lang w:val="en-GB"/>
        </w:rPr>
        <w:t xml:space="preserve">. </w:t>
      </w:r>
      <w:r w:rsidR="007F1130" w:rsidRPr="005635D8">
        <w:rPr>
          <w:rFonts w:ascii="Calibri" w:hAnsi="Calibri" w:cs="TimesNewRoman"/>
          <w:lang w:val="en-GB"/>
        </w:rPr>
        <w:t xml:space="preserve"> </w:t>
      </w:r>
    </w:p>
    <w:p w:rsidR="00A57D8C" w:rsidRPr="005635D8" w:rsidRDefault="00A57D8C" w:rsidP="00A57D8C">
      <w:pPr>
        <w:rPr>
          <w:rFonts w:ascii="Calibri" w:hAnsi="Calibri"/>
          <w:lang w:val="en-GB"/>
        </w:rPr>
      </w:pPr>
    </w:p>
    <w:p w:rsidR="00AB101E" w:rsidRPr="005635D8" w:rsidRDefault="004573B9" w:rsidP="001E4C5D">
      <w:pPr>
        <w:pStyle w:val="Heading3"/>
        <w:rPr>
          <w:lang w:val="en-GB"/>
        </w:rPr>
      </w:pPr>
      <w:bookmarkStart w:id="23" w:name="_Toc362267264"/>
      <w:r w:rsidRPr="005635D8">
        <w:rPr>
          <w:lang w:val="en-GB"/>
        </w:rPr>
        <w:t>2.</w:t>
      </w:r>
      <w:r w:rsidR="0087381C" w:rsidRPr="005635D8">
        <w:rPr>
          <w:lang w:val="en-GB"/>
        </w:rPr>
        <w:t>3</w:t>
      </w:r>
      <w:r w:rsidRPr="005635D8">
        <w:rPr>
          <w:lang w:val="en-GB"/>
        </w:rPr>
        <w:t xml:space="preserve"> </w:t>
      </w:r>
      <w:r w:rsidR="00AB101E" w:rsidRPr="005635D8">
        <w:rPr>
          <w:lang w:val="en-GB"/>
        </w:rPr>
        <w:t>Stewardship theory</w:t>
      </w:r>
      <w:bookmarkEnd w:id="23"/>
      <w:r w:rsidR="00AB101E" w:rsidRPr="005635D8">
        <w:rPr>
          <w:lang w:val="en-GB"/>
        </w:rPr>
        <w:t xml:space="preserve"> </w:t>
      </w:r>
    </w:p>
    <w:p w:rsidR="00613E37" w:rsidRPr="005635D8" w:rsidRDefault="00E913BD" w:rsidP="00F5000E">
      <w:pPr>
        <w:jc w:val="both"/>
        <w:rPr>
          <w:rFonts w:ascii="Calibri" w:hAnsi="Calibri" w:cstheme="majorBidi"/>
          <w:color w:val="000000"/>
          <w:lang w:val="en-GB"/>
        </w:rPr>
      </w:pPr>
      <w:r w:rsidRPr="005635D8">
        <w:rPr>
          <w:rFonts w:ascii="Calibri" w:hAnsi="Calibri" w:cstheme="majorBidi"/>
          <w:lang w:val="en-GB"/>
        </w:rPr>
        <w:t xml:space="preserve">Based on the criticism against the agency theory that agents will not always base their motivations solely on utility maximization a new approach called stewardship theory appeared. </w:t>
      </w:r>
      <w:r w:rsidR="00613E37" w:rsidRPr="005635D8">
        <w:rPr>
          <w:rFonts w:ascii="Calibri" w:hAnsi="Calibri" w:cstheme="majorBidi"/>
          <w:lang w:val="en-GB"/>
        </w:rPr>
        <w:t>Derived from psychology and sociology, t</w:t>
      </w:r>
      <w:r w:rsidRPr="005635D8">
        <w:rPr>
          <w:rFonts w:ascii="Calibri" w:hAnsi="Calibri" w:cstheme="majorBidi"/>
          <w:lang w:val="en-GB"/>
        </w:rPr>
        <w:t xml:space="preserve">his theory argues that it is the essential motivation of the executive manager to do a good job and to be a good steward of the corporate assets. This type of manager is far from being an opportunistic shirker. Under the right circumstances the manager will be motivated to achieve the good corporate performance which he aspires. Variations in performance of the managers arise from whether the structural situation in which the executive is </w:t>
      </w:r>
      <w:r w:rsidR="00381915" w:rsidRPr="005635D8">
        <w:rPr>
          <w:rFonts w:ascii="Calibri" w:hAnsi="Calibri" w:cstheme="majorBidi"/>
          <w:lang w:val="en-GB"/>
        </w:rPr>
        <w:t>located facilitates</w:t>
      </w:r>
      <w:r w:rsidRPr="005635D8">
        <w:rPr>
          <w:rFonts w:ascii="Calibri" w:hAnsi="Calibri" w:cstheme="majorBidi"/>
          <w:lang w:val="en-GB"/>
        </w:rPr>
        <w:t xml:space="preserve"> effective action by the executive. The organizational structure should offer possibilities to the manager to implement his plans for reaching high corporate performance. Under optimal circumstances this will lead to</w:t>
      </w:r>
      <w:r w:rsidR="00613E37" w:rsidRPr="005635D8">
        <w:rPr>
          <w:rFonts w:ascii="Calibri" w:hAnsi="Calibri" w:cstheme="majorBidi"/>
          <w:lang w:val="en-GB"/>
        </w:rPr>
        <w:t xml:space="preserve"> effectiveness and produces</w:t>
      </w:r>
      <w:r w:rsidRPr="005635D8">
        <w:rPr>
          <w:rFonts w:ascii="Calibri" w:hAnsi="Calibri" w:cstheme="majorBidi"/>
          <w:lang w:val="en-GB"/>
        </w:rPr>
        <w:t xml:space="preserve"> superior returns to shareholders (Donaldsen and Davies 1991, 51-52).</w:t>
      </w:r>
      <w:r w:rsidR="00613E37" w:rsidRPr="005635D8">
        <w:rPr>
          <w:rFonts w:ascii="Calibri" w:hAnsi="Calibri" w:cstheme="majorBidi"/>
          <w:lang w:val="en-GB"/>
        </w:rPr>
        <w:t xml:space="preserve"> The </w:t>
      </w:r>
      <w:r w:rsidR="00B32D82" w:rsidRPr="005635D8">
        <w:rPr>
          <w:rFonts w:ascii="Calibri" w:hAnsi="Calibri" w:cstheme="majorBidi"/>
          <w:lang w:val="en-GB"/>
        </w:rPr>
        <w:t>behaviour</w:t>
      </w:r>
      <w:r w:rsidR="00613E37" w:rsidRPr="005635D8">
        <w:rPr>
          <w:rFonts w:ascii="Calibri" w:hAnsi="Calibri" w:cstheme="majorBidi"/>
          <w:lang w:val="en-GB"/>
        </w:rPr>
        <w:t xml:space="preserve"> of managers who act according to the stewardship theory includes collective, pro-organizational </w:t>
      </w:r>
      <w:r w:rsidR="00B32D82" w:rsidRPr="005635D8">
        <w:rPr>
          <w:rFonts w:ascii="Calibri" w:hAnsi="Calibri" w:cstheme="majorBidi"/>
          <w:lang w:val="en-GB"/>
        </w:rPr>
        <w:t>behaviour</w:t>
      </w:r>
      <w:r w:rsidR="00613E37" w:rsidRPr="005635D8">
        <w:rPr>
          <w:rFonts w:ascii="Calibri" w:hAnsi="Calibri" w:cstheme="majorBidi"/>
          <w:lang w:val="en-GB"/>
        </w:rPr>
        <w:t xml:space="preserve"> that emphasizes goal convergence rather than self-interest. Due to rational reciprocity goal convergence between managers and owners will be developed based upon trust and collective goals (</w:t>
      </w:r>
      <w:r w:rsidR="00613E37" w:rsidRPr="005635D8">
        <w:rPr>
          <w:rFonts w:ascii="Calibri" w:hAnsi="Calibri" w:cstheme="majorBidi"/>
          <w:color w:val="000000"/>
          <w:lang w:val="en-GB"/>
        </w:rPr>
        <w:t xml:space="preserve">Kluvers and Tippett 2011, 278). Managers identify more with collective goals than with personal goals and see the success of the organization partly as their own success. </w:t>
      </w:r>
      <w:r w:rsidR="000656AF" w:rsidRPr="005635D8">
        <w:rPr>
          <w:rFonts w:ascii="Calibri" w:hAnsi="Calibri" w:cstheme="majorBidi"/>
          <w:color w:val="000000"/>
          <w:lang w:val="en-GB"/>
        </w:rPr>
        <w:t xml:space="preserve">“Agency theory assumes </w:t>
      </w:r>
      <w:r w:rsidR="00613E37" w:rsidRPr="005635D8">
        <w:rPr>
          <w:rFonts w:ascii="Calibri" w:hAnsi="Calibri" w:cstheme="majorBidi"/>
          <w:color w:val="000000"/>
          <w:lang w:val="en-GB"/>
        </w:rPr>
        <w:t xml:space="preserve">conflict between principal and agent, stewardship theory argues that conflict is not necessarily </w:t>
      </w:r>
      <w:r w:rsidR="00F71079" w:rsidRPr="005635D8">
        <w:rPr>
          <w:rFonts w:ascii="Calibri" w:hAnsi="Calibri" w:cstheme="majorBidi"/>
          <w:color w:val="000000"/>
          <w:lang w:val="en-GB"/>
        </w:rPr>
        <w:t>consequently</w:t>
      </w:r>
      <w:r w:rsidR="000656AF" w:rsidRPr="005635D8">
        <w:rPr>
          <w:rFonts w:ascii="Calibri" w:hAnsi="Calibri" w:cstheme="majorBidi"/>
          <w:color w:val="000000"/>
          <w:lang w:val="en-GB"/>
        </w:rPr>
        <w:t>” (2011, 278)</w:t>
      </w:r>
      <w:r w:rsidR="00613E37" w:rsidRPr="005635D8">
        <w:rPr>
          <w:rFonts w:ascii="Calibri" w:hAnsi="Calibri" w:cstheme="majorBidi"/>
          <w:color w:val="000000"/>
          <w:lang w:val="en-GB"/>
        </w:rPr>
        <w:t>.</w:t>
      </w:r>
    </w:p>
    <w:p w:rsidR="00435EF4" w:rsidRPr="005635D8" w:rsidRDefault="000656AF" w:rsidP="00225471">
      <w:pPr>
        <w:jc w:val="both"/>
        <w:rPr>
          <w:rFonts w:ascii="Calibri" w:hAnsi="Calibri" w:cstheme="majorBidi"/>
          <w:color w:val="000000"/>
          <w:lang w:val="en-GB"/>
        </w:rPr>
      </w:pPr>
      <w:r w:rsidRPr="005635D8">
        <w:rPr>
          <w:rFonts w:ascii="Calibri" w:hAnsi="Calibri" w:cstheme="majorBidi"/>
          <w:color w:val="000000"/>
          <w:lang w:val="en-GB"/>
        </w:rPr>
        <w:t xml:space="preserve">Donaldsen and Davies (1991) in an overview of empirical studies </w:t>
      </w:r>
      <w:r w:rsidR="00381915" w:rsidRPr="005635D8">
        <w:rPr>
          <w:rFonts w:ascii="Calibri" w:hAnsi="Calibri" w:cstheme="majorBidi"/>
          <w:color w:val="000000"/>
          <w:lang w:val="en-GB"/>
        </w:rPr>
        <w:t xml:space="preserve">report </w:t>
      </w:r>
      <w:r w:rsidRPr="005635D8">
        <w:rPr>
          <w:rFonts w:ascii="Calibri" w:hAnsi="Calibri" w:cstheme="majorBidi"/>
          <w:color w:val="000000"/>
          <w:lang w:val="en-GB"/>
        </w:rPr>
        <w:t xml:space="preserve">that some mixed evidence is found with regard to the stewardship theory. In some cases explanations based on the stewardship theory performed much better to explain management </w:t>
      </w:r>
      <w:r w:rsidR="00B32D82" w:rsidRPr="005635D8">
        <w:rPr>
          <w:rFonts w:ascii="Calibri" w:hAnsi="Calibri" w:cstheme="majorBidi"/>
          <w:color w:val="000000"/>
          <w:lang w:val="en-GB"/>
        </w:rPr>
        <w:t>behaviour</w:t>
      </w:r>
      <w:r w:rsidRPr="005635D8">
        <w:rPr>
          <w:rFonts w:ascii="Calibri" w:hAnsi="Calibri" w:cstheme="majorBidi"/>
          <w:color w:val="000000"/>
          <w:lang w:val="en-GB"/>
        </w:rPr>
        <w:t xml:space="preserve"> than explanations based on the agency theory. More research has to be done in this area. Further investigation into stewardship theory has to be done to make clear that the premises in strategic management should not be restricted to the narrow confines of agency theory (1991, 60).</w:t>
      </w:r>
    </w:p>
    <w:p w:rsidR="00CF05B4" w:rsidRPr="005635D8" w:rsidRDefault="00CF05B4" w:rsidP="00225471">
      <w:pPr>
        <w:jc w:val="both"/>
        <w:rPr>
          <w:rFonts w:eastAsiaTheme="minorHAnsi"/>
          <w:b/>
          <w:bCs/>
          <w:sz w:val="24"/>
          <w:szCs w:val="24"/>
          <w:lang w:val="en-GB"/>
        </w:rPr>
      </w:pPr>
    </w:p>
    <w:p w:rsidR="00767B4C" w:rsidRPr="005635D8" w:rsidRDefault="00CF05B4" w:rsidP="00CF05B4">
      <w:pPr>
        <w:jc w:val="both"/>
        <w:rPr>
          <w:rFonts w:ascii="Calibri" w:hAnsi="Calibri"/>
          <w:lang w:val="en-GB"/>
        </w:rPr>
      </w:pPr>
      <w:r w:rsidRPr="005635D8">
        <w:rPr>
          <w:rFonts w:eastAsiaTheme="minorHAnsi"/>
          <w:b/>
          <w:bCs/>
          <w:sz w:val="24"/>
          <w:szCs w:val="24"/>
          <w:lang w:val="en-GB"/>
        </w:rPr>
        <w:t>2.</w:t>
      </w:r>
      <w:r w:rsidR="0087381C" w:rsidRPr="005635D8">
        <w:rPr>
          <w:rFonts w:eastAsiaTheme="minorHAnsi"/>
          <w:b/>
          <w:bCs/>
          <w:sz w:val="24"/>
          <w:szCs w:val="24"/>
          <w:lang w:val="en-GB"/>
        </w:rPr>
        <w:t>4</w:t>
      </w:r>
      <w:r w:rsidRPr="005635D8">
        <w:rPr>
          <w:rFonts w:eastAsiaTheme="minorHAnsi"/>
          <w:b/>
          <w:bCs/>
          <w:sz w:val="24"/>
          <w:szCs w:val="24"/>
          <w:lang w:val="en-GB"/>
        </w:rPr>
        <w:t xml:space="preserve"> Summary</w:t>
      </w:r>
      <w:r w:rsidRPr="005635D8">
        <w:rPr>
          <w:rFonts w:ascii="Calibri" w:hAnsi="Calibri"/>
          <w:webHidden/>
          <w:lang w:val="en-GB"/>
        </w:rPr>
        <w:t xml:space="preserve">This chapter first provided some background theories for a better understanding of earnings management. First accountancy itself was defined as </w:t>
      </w:r>
      <w:r w:rsidRPr="005635D8">
        <w:rPr>
          <w:rFonts w:ascii="Calibri" w:hAnsi="Calibri"/>
          <w:lang w:val="en-GB"/>
        </w:rPr>
        <w:t xml:space="preserve">the production of information about an enterprise and the transmission of that information from the people within the enterprise who have access to the information to those persons who need the information but do not have immediate access to it. Then, several theories describing </w:t>
      </w:r>
      <w:r w:rsidR="00F57B55" w:rsidRPr="005635D8">
        <w:rPr>
          <w:rFonts w:ascii="Calibri" w:hAnsi="Calibri"/>
          <w:lang w:val="en-GB"/>
        </w:rPr>
        <w:t>in which way</w:t>
      </w:r>
      <w:r w:rsidRPr="005635D8">
        <w:rPr>
          <w:rFonts w:ascii="Calibri" w:hAnsi="Calibri"/>
          <w:lang w:val="en-GB"/>
        </w:rPr>
        <w:t xml:space="preserve"> accountancy best can be studied were explained. </w:t>
      </w:r>
    </w:p>
    <w:p w:rsidR="00767B4C" w:rsidRPr="005635D8" w:rsidRDefault="00767B4C" w:rsidP="00767B4C">
      <w:pPr>
        <w:jc w:val="both"/>
        <w:rPr>
          <w:rFonts w:ascii="Calibri" w:hAnsi="Calibri"/>
          <w:lang w:val="en-GB"/>
        </w:rPr>
      </w:pPr>
      <w:r w:rsidRPr="005635D8">
        <w:rPr>
          <w:rFonts w:ascii="Calibri" w:hAnsi="Calibri"/>
          <w:lang w:val="en-GB"/>
        </w:rPr>
        <w:t xml:space="preserve">The agency theory is one of the oldest theories in accounting and </w:t>
      </w:r>
      <w:r w:rsidR="005635D8" w:rsidRPr="005635D8">
        <w:rPr>
          <w:rFonts w:ascii="Calibri" w:hAnsi="Calibri"/>
          <w:lang w:val="en-GB"/>
        </w:rPr>
        <w:t>focuses</w:t>
      </w:r>
      <w:r w:rsidRPr="005635D8">
        <w:rPr>
          <w:rFonts w:ascii="Calibri" w:hAnsi="Calibri"/>
          <w:lang w:val="en-GB"/>
        </w:rPr>
        <w:t xml:space="preserve"> on the core relationship between actors inside and outside firms. Based upon the assumptions about the underlying ‘model of </w:t>
      </w:r>
      <w:r w:rsidR="00381915" w:rsidRPr="005635D8">
        <w:rPr>
          <w:rFonts w:ascii="Calibri" w:hAnsi="Calibri"/>
          <w:lang w:val="en-GB"/>
        </w:rPr>
        <w:t>man’ the</w:t>
      </w:r>
      <w:r w:rsidRPr="005635D8">
        <w:rPr>
          <w:rFonts w:ascii="Calibri" w:hAnsi="Calibri"/>
          <w:lang w:val="en-GB"/>
        </w:rPr>
        <w:t xml:space="preserve"> agency theory </w:t>
      </w:r>
      <w:r w:rsidR="005635D8" w:rsidRPr="005635D8">
        <w:rPr>
          <w:rFonts w:ascii="Calibri" w:hAnsi="Calibri"/>
          <w:lang w:val="en-GB"/>
        </w:rPr>
        <w:t>focuses</w:t>
      </w:r>
      <w:r w:rsidRPr="005635D8">
        <w:rPr>
          <w:rFonts w:ascii="Calibri" w:hAnsi="Calibri"/>
          <w:lang w:val="en-GB"/>
        </w:rPr>
        <w:t xml:space="preserve"> explicitly on the relation between principals (the shareholders) and agents (the managers). As the theory predicts that managers will not act to maximize the returns to shareholders the theory tries to specify mechanisms that should reduce financial spoilage consequently of agency losses. However, this theory received criticism as being too much focused on individuals always pursuing their own self interests. </w:t>
      </w:r>
    </w:p>
    <w:p w:rsidR="00CF05B4" w:rsidRPr="005635D8" w:rsidRDefault="00CF05B4" w:rsidP="00767B4C">
      <w:pPr>
        <w:jc w:val="both"/>
        <w:rPr>
          <w:rFonts w:ascii="Calibri" w:hAnsi="Calibri"/>
          <w:lang w:val="en-GB"/>
        </w:rPr>
      </w:pPr>
      <w:r w:rsidRPr="005635D8">
        <w:rPr>
          <w:rFonts w:ascii="Calibri" w:hAnsi="Calibri"/>
          <w:lang w:val="en-GB"/>
        </w:rPr>
        <w:t xml:space="preserve">The positive accounting theory is an all containing theory that tries to make predictions which particular accounting methods a company will use on the basis of certain assumptions and empirical data. Starting </w:t>
      </w:r>
      <w:r w:rsidR="00381915" w:rsidRPr="005635D8">
        <w:rPr>
          <w:rFonts w:ascii="Calibri" w:hAnsi="Calibri"/>
          <w:lang w:val="en-GB"/>
        </w:rPr>
        <w:t xml:space="preserve">with </w:t>
      </w:r>
      <w:r w:rsidRPr="005635D8">
        <w:rPr>
          <w:rFonts w:ascii="Calibri" w:hAnsi="Calibri"/>
          <w:lang w:val="en-GB"/>
        </w:rPr>
        <w:t xml:space="preserve">the assumption that all economic agents strive after utility maximization, the theory </w:t>
      </w:r>
      <w:r w:rsidR="00381915" w:rsidRPr="005635D8">
        <w:rPr>
          <w:rFonts w:ascii="Calibri" w:hAnsi="Calibri"/>
          <w:lang w:val="en-GB"/>
        </w:rPr>
        <w:t xml:space="preserve">investigate </w:t>
      </w:r>
      <w:r w:rsidRPr="005635D8">
        <w:rPr>
          <w:rFonts w:ascii="Calibri" w:hAnsi="Calibri"/>
          <w:lang w:val="en-GB"/>
        </w:rPr>
        <w:t xml:space="preserve">for systematic factors </w:t>
      </w:r>
      <w:r w:rsidR="00381915" w:rsidRPr="005635D8">
        <w:rPr>
          <w:rFonts w:ascii="Calibri" w:hAnsi="Calibri"/>
          <w:lang w:val="en-GB"/>
        </w:rPr>
        <w:t xml:space="preserve">that </w:t>
      </w:r>
      <w:r w:rsidRPr="005635D8">
        <w:rPr>
          <w:rFonts w:ascii="Calibri" w:hAnsi="Calibri"/>
          <w:lang w:val="en-GB"/>
        </w:rPr>
        <w:t>are predictors for certain types of accounting behaviour of managers. Three specific hypothes</w:t>
      </w:r>
      <w:r w:rsidR="00381915" w:rsidRPr="005635D8">
        <w:rPr>
          <w:rFonts w:ascii="Calibri" w:hAnsi="Calibri"/>
          <w:lang w:val="en-GB"/>
        </w:rPr>
        <w:t>e</w:t>
      </w:r>
      <w:r w:rsidRPr="005635D8">
        <w:rPr>
          <w:rFonts w:ascii="Calibri" w:hAnsi="Calibri"/>
          <w:lang w:val="en-GB"/>
        </w:rPr>
        <w:t xml:space="preserve">s </w:t>
      </w:r>
      <w:r w:rsidR="00381915" w:rsidRPr="005635D8">
        <w:rPr>
          <w:rFonts w:ascii="Calibri" w:hAnsi="Calibri"/>
          <w:lang w:val="en-GB"/>
        </w:rPr>
        <w:t xml:space="preserve">in the theory </w:t>
      </w:r>
      <w:r w:rsidRPr="005635D8">
        <w:rPr>
          <w:rFonts w:ascii="Calibri" w:hAnsi="Calibri"/>
          <w:lang w:val="en-GB"/>
        </w:rPr>
        <w:t xml:space="preserve">are developed. The bonus plan hypothesis states that managers of firms with bonus plans get strong incentives to use accounting methods that increase or maximizes current period reported income. The debt/equity hypothesis states that the higher the </w:t>
      </w:r>
      <w:r w:rsidR="00381915" w:rsidRPr="005635D8">
        <w:rPr>
          <w:rFonts w:ascii="Calibri" w:hAnsi="Calibri"/>
          <w:lang w:val="en-GB"/>
        </w:rPr>
        <w:t>firms’</w:t>
      </w:r>
      <w:r w:rsidRPr="005635D8">
        <w:rPr>
          <w:rFonts w:ascii="Calibri" w:hAnsi="Calibri"/>
          <w:lang w:val="en-GB"/>
        </w:rPr>
        <w:t xml:space="preserve"> debt/equity ratio the more likely </w:t>
      </w:r>
      <w:r w:rsidR="00381915" w:rsidRPr="005635D8">
        <w:rPr>
          <w:rFonts w:ascii="Calibri" w:hAnsi="Calibri"/>
          <w:lang w:val="en-GB"/>
        </w:rPr>
        <w:t>managers’</w:t>
      </w:r>
      <w:r w:rsidRPr="005635D8">
        <w:rPr>
          <w:rFonts w:ascii="Calibri" w:hAnsi="Calibri"/>
          <w:lang w:val="en-GB"/>
        </w:rPr>
        <w:t xml:space="preserve"> use accounting methods that increase reported income. The political cost hypothesis predicts that the increasing political visibility of firms relative to their size determines the level of financial indicators that will be managed. </w:t>
      </w:r>
    </w:p>
    <w:p w:rsidR="00CF05B4" w:rsidRPr="005635D8" w:rsidRDefault="00CF05B4" w:rsidP="0034720C">
      <w:pPr>
        <w:jc w:val="both"/>
        <w:rPr>
          <w:rFonts w:ascii="Calibri" w:hAnsi="Calibri" w:cstheme="majorBidi"/>
          <w:lang w:val="en-GB"/>
        </w:rPr>
      </w:pPr>
      <w:r w:rsidRPr="005635D8">
        <w:rPr>
          <w:rFonts w:ascii="Calibri" w:hAnsi="Calibri"/>
          <w:lang w:val="en-GB"/>
        </w:rPr>
        <w:t xml:space="preserve">The stewardship theory </w:t>
      </w:r>
      <w:r w:rsidRPr="005635D8">
        <w:rPr>
          <w:rFonts w:ascii="Calibri" w:hAnsi="Calibri" w:cstheme="majorBidi"/>
          <w:lang w:val="en-GB"/>
        </w:rPr>
        <w:t>argues that it is the essential motivation of the executive manager to do a good job and to be a good steward of the corporate assets. In this theory there is place for social behavior and identification with collective goals.</w:t>
      </w:r>
      <w:r w:rsidR="0034720C" w:rsidRPr="005635D8">
        <w:rPr>
          <w:rFonts w:ascii="Calibri" w:hAnsi="Calibri" w:cstheme="majorBidi"/>
          <w:lang w:val="en-GB"/>
        </w:rPr>
        <w:t xml:space="preserve"> The implications of the background theories for the understanding of the concept of earnings management will be </w:t>
      </w:r>
      <w:r w:rsidR="00640F0E" w:rsidRPr="005635D8">
        <w:rPr>
          <w:rFonts w:ascii="Calibri" w:hAnsi="Calibri" w:cstheme="majorBidi"/>
          <w:lang w:val="en-GB"/>
        </w:rPr>
        <w:t>commented</w:t>
      </w:r>
      <w:r w:rsidR="0034720C" w:rsidRPr="005635D8">
        <w:rPr>
          <w:rFonts w:ascii="Calibri" w:hAnsi="Calibri" w:cstheme="majorBidi"/>
          <w:lang w:val="en-GB"/>
        </w:rPr>
        <w:t xml:space="preserve"> in a later chapter after the concept of earnings management is further defined.</w:t>
      </w:r>
    </w:p>
    <w:p w:rsidR="00CF05B4" w:rsidRPr="005635D8" w:rsidRDefault="00CF05B4">
      <w:pPr>
        <w:rPr>
          <w:rFonts w:ascii="Calibri" w:hAnsi="Calibri" w:cstheme="majorBidi"/>
          <w:sz w:val="24"/>
          <w:szCs w:val="24"/>
          <w:lang w:val="en-GB"/>
        </w:rPr>
      </w:pPr>
      <w:r w:rsidRPr="005635D8">
        <w:rPr>
          <w:rFonts w:ascii="Calibri" w:hAnsi="Calibri" w:cstheme="majorBidi"/>
          <w:sz w:val="24"/>
          <w:szCs w:val="24"/>
          <w:lang w:val="en-GB"/>
        </w:rPr>
        <w:br w:type="page"/>
      </w:r>
    </w:p>
    <w:p w:rsidR="001C4045" w:rsidRPr="005635D8" w:rsidRDefault="00CF05B4" w:rsidP="005D7DD1">
      <w:pPr>
        <w:pStyle w:val="Heading1"/>
      </w:pPr>
      <w:bookmarkStart w:id="24" w:name="_Toc362267265"/>
      <w:r w:rsidRPr="005635D8">
        <w:t>3</w:t>
      </w:r>
      <w:r w:rsidR="004573B9" w:rsidRPr="005635D8">
        <w:t xml:space="preserve"> </w:t>
      </w:r>
      <w:r w:rsidR="001C4045" w:rsidRPr="005635D8">
        <w:t>Implementation of IFRS</w:t>
      </w:r>
      <w:bookmarkEnd w:id="24"/>
      <w:r w:rsidR="001C4045" w:rsidRPr="005635D8">
        <w:t xml:space="preserve"> </w:t>
      </w:r>
    </w:p>
    <w:p w:rsidR="005D7DD1" w:rsidRPr="005635D8" w:rsidRDefault="005D7DD1" w:rsidP="005D7DD1">
      <w:pPr>
        <w:rPr>
          <w:lang w:val="en-GB"/>
        </w:rPr>
      </w:pPr>
    </w:p>
    <w:p w:rsidR="00EB6432" w:rsidRPr="005635D8" w:rsidRDefault="0034720C" w:rsidP="00473EB3">
      <w:pPr>
        <w:autoSpaceDE w:val="0"/>
        <w:autoSpaceDN w:val="0"/>
        <w:adjustRightInd w:val="0"/>
        <w:spacing w:after="0"/>
        <w:jc w:val="both"/>
        <w:rPr>
          <w:rFonts w:ascii="Calibri" w:hAnsi="Calibri" w:cs="Times New Roman"/>
          <w:lang w:val="en-GB"/>
        </w:rPr>
      </w:pPr>
      <w:r w:rsidRPr="005635D8">
        <w:rPr>
          <w:rFonts w:ascii="Calibri" w:hAnsi="Calibri" w:cs="Times New Roman"/>
          <w:lang w:val="en-GB"/>
        </w:rPr>
        <w:t xml:space="preserve">This chapter will investigate into the question </w:t>
      </w:r>
      <w:r w:rsidRPr="005635D8">
        <w:rPr>
          <w:lang w:val="en-GB"/>
        </w:rPr>
        <w:t>what IFRS is and what purpose does it serve?</w:t>
      </w:r>
      <w:r w:rsidRPr="005635D8">
        <w:rPr>
          <w:rFonts w:ascii="Calibri" w:hAnsi="Calibri" w:cs="Times New Roman"/>
          <w:lang w:val="en-GB"/>
        </w:rPr>
        <w:t xml:space="preserve"> </w:t>
      </w:r>
      <w:r w:rsidR="00EB6432" w:rsidRPr="005635D8">
        <w:rPr>
          <w:rFonts w:ascii="Calibri" w:hAnsi="Calibri" w:cs="Times New Roman"/>
          <w:lang w:val="en-GB"/>
        </w:rPr>
        <w:t>International Financial Reporting Standards (IFRS)</w:t>
      </w:r>
      <w:r w:rsidR="00B667CB" w:rsidRPr="005635D8">
        <w:rPr>
          <w:rFonts w:ascii="Calibri" w:hAnsi="Calibri" w:cs="Times New Roman"/>
          <w:lang w:val="en-GB"/>
        </w:rPr>
        <w:t xml:space="preserve"> are accounting rules (‘standards’) issued</w:t>
      </w:r>
      <w:r w:rsidR="00B7493A" w:rsidRPr="005635D8">
        <w:rPr>
          <w:rFonts w:ascii="Calibri" w:hAnsi="Calibri" w:cs="Times New Roman"/>
          <w:lang w:val="en-GB"/>
        </w:rPr>
        <w:t xml:space="preserve"> </w:t>
      </w:r>
      <w:r w:rsidR="00B667CB" w:rsidRPr="005635D8">
        <w:rPr>
          <w:rFonts w:ascii="Calibri" w:hAnsi="Calibri" w:cs="Times New Roman"/>
          <w:lang w:val="en-GB"/>
        </w:rPr>
        <w:t xml:space="preserve">by the International Accounting Standards Board (IASB). This </w:t>
      </w:r>
      <w:r w:rsidR="00417CF9" w:rsidRPr="005635D8">
        <w:rPr>
          <w:rFonts w:ascii="Calibri" w:hAnsi="Calibri" w:cs="Times New Roman"/>
          <w:lang w:val="en-GB"/>
        </w:rPr>
        <w:t xml:space="preserve">is </w:t>
      </w:r>
      <w:r w:rsidR="00B667CB" w:rsidRPr="005635D8">
        <w:rPr>
          <w:rFonts w:ascii="Calibri" w:hAnsi="Calibri" w:cs="Times New Roman"/>
          <w:lang w:val="en-GB"/>
        </w:rPr>
        <w:t>an independent organization based in London, UK. The purpose of these standards is that they would ideally apply equally to financial reporting by public companies all over the world (Ball 2006,</w:t>
      </w:r>
      <w:r w:rsidR="00381915" w:rsidRPr="005635D8">
        <w:rPr>
          <w:rFonts w:ascii="Calibri" w:hAnsi="Calibri" w:cs="Times New Roman"/>
          <w:lang w:val="en-GB"/>
        </w:rPr>
        <w:t xml:space="preserve"> </w:t>
      </w:r>
      <w:r w:rsidR="00B667CB" w:rsidRPr="005635D8">
        <w:rPr>
          <w:rFonts w:ascii="Calibri" w:hAnsi="Calibri" w:cs="Times New Roman"/>
          <w:lang w:val="en-GB"/>
        </w:rPr>
        <w:t xml:space="preserve">6). </w:t>
      </w:r>
      <w:r w:rsidR="00142952" w:rsidRPr="005635D8">
        <w:rPr>
          <w:rFonts w:ascii="Calibri" w:hAnsi="Calibri" w:cs="Times New Roman"/>
          <w:lang w:val="en-GB"/>
        </w:rPr>
        <w:t xml:space="preserve">Besides harmonizing corporate accounting practices the standard are </w:t>
      </w:r>
      <w:r w:rsidR="00323D4C" w:rsidRPr="005635D8">
        <w:rPr>
          <w:rFonts w:ascii="Calibri" w:hAnsi="Calibri" w:cs="Times New Roman"/>
          <w:lang w:val="en-GB"/>
        </w:rPr>
        <w:t>in addition</w:t>
      </w:r>
      <w:r w:rsidR="00142952" w:rsidRPr="005635D8">
        <w:rPr>
          <w:rFonts w:ascii="Calibri" w:hAnsi="Calibri" w:cs="Times New Roman"/>
          <w:lang w:val="en-GB"/>
        </w:rPr>
        <w:t xml:space="preserve"> supposed to answer the need for high quality standards to be adopted in the world’s major capital markets. The IFRS gathered major importance when the European parliament has issued in 2005 a regulation requiring all EU listed companies to prepare consolidated financial statements based on these standards (Tendeloo and V</w:t>
      </w:r>
      <w:r w:rsidR="00473EB3" w:rsidRPr="005635D8">
        <w:rPr>
          <w:rFonts w:ascii="Calibri" w:hAnsi="Calibri" w:cs="Times New Roman"/>
          <w:lang w:val="en-GB"/>
        </w:rPr>
        <w:t>anstrae</w:t>
      </w:r>
      <w:r w:rsidR="00142952" w:rsidRPr="005635D8">
        <w:rPr>
          <w:rFonts w:ascii="Calibri" w:hAnsi="Calibri" w:cs="Times New Roman"/>
          <w:lang w:val="en-GB"/>
        </w:rPr>
        <w:t>len 2005). In 2008</w:t>
      </w:r>
      <w:r w:rsidRPr="005635D8">
        <w:rPr>
          <w:rFonts w:ascii="Calibri" w:hAnsi="Calibri" w:cs="Times New Roman"/>
          <w:lang w:val="en-GB"/>
        </w:rPr>
        <w:t>,</w:t>
      </w:r>
      <w:r w:rsidR="00142952" w:rsidRPr="005635D8">
        <w:rPr>
          <w:rFonts w:ascii="Calibri" w:hAnsi="Calibri" w:cs="Times New Roman"/>
          <w:lang w:val="en-GB"/>
        </w:rPr>
        <w:t xml:space="preserve"> already 113 countries around the world required </w:t>
      </w:r>
      <w:r w:rsidR="007234D2" w:rsidRPr="005635D8">
        <w:rPr>
          <w:rFonts w:ascii="Calibri" w:hAnsi="Calibri" w:cs="Times New Roman"/>
          <w:lang w:val="en-GB"/>
        </w:rPr>
        <w:t>IFRS reporting for all firms listed in their country.</w:t>
      </w:r>
    </w:p>
    <w:p w:rsidR="00CD0B86" w:rsidRPr="005635D8" w:rsidRDefault="00CD0B86" w:rsidP="00B7493A">
      <w:pPr>
        <w:pStyle w:val="Heading4"/>
        <w:numPr>
          <w:ilvl w:val="0"/>
          <w:numId w:val="0"/>
        </w:numPr>
        <w:ind w:left="864" w:hanging="864"/>
        <w:jc w:val="both"/>
        <w:rPr>
          <w:rFonts w:ascii="Calibri" w:hAnsi="Calibri"/>
          <w:lang w:val="en-GB"/>
        </w:rPr>
      </w:pPr>
    </w:p>
    <w:p w:rsidR="00B958E7" w:rsidRPr="005635D8" w:rsidRDefault="00CF05B4" w:rsidP="001E4C5D">
      <w:pPr>
        <w:pStyle w:val="Heading3"/>
        <w:rPr>
          <w:lang w:val="en-GB"/>
        </w:rPr>
      </w:pPr>
      <w:bookmarkStart w:id="25" w:name="_Toc362267266"/>
      <w:r w:rsidRPr="005635D8">
        <w:rPr>
          <w:lang w:val="en-GB"/>
        </w:rPr>
        <w:t>3</w:t>
      </w:r>
      <w:r w:rsidR="004573B9" w:rsidRPr="005635D8">
        <w:rPr>
          <w:lang w:val="en-GB"/>
        </w:rPr>
        <w:t>.</w:t>
      </w:r>
      <w:r w:rsidRPr="005635D8">
        <w:rPr>
          <w:lang w:val="en-GB"/>
        </w:rPr>
        <w:t>1</w:t>
      </w:r>
      <w:r w:rsidR="004573B9" w:rsidRPr="005635D8">
        <w:rPr>
          <w:lang w:val="en-GB"/>
        </w:rPr>
        <w:t xml:space="preserve"> </w:t>
      </w:r>
      <w:r w:rsidR="00B958E7" w:rsidRPr="005635D8">
        <w:rPr>
          <w:lang w:val="en-GB"/>
        </w:rPr>
        <w:t>Reasons for implementing IFRS</w:t>
      </w:r>
      <w:bookmarkEnd w:id="25"/>
    </w:p>
    <w:p w:rsidR="0019354B" w:rsidRPr="005635D8" w:rsidRDefault="0099730F" w:rsidP="00473EB3">
      <w:pPr>
        <w:jc w:val="both"/>
        <w:rPr>
          <w:rFonts w:ascii="Calibri" w:hAnsi="Calibri"/>
          <w:lang w:val="en-GB"/>
        </w:rPr>
      </w:pPr>
      <w:r w:rsidRPr="005635D8">
        <w:rPr>
          <w:rFonts w:ascii="Calibri" w:hAnsi="Calibri"/>
          <w:lang w:val="en-GB"/>
        </w:rPr>
        <w:t xml:space="preserve">The main reasons for worldwide adoption of IFRS are reducing the costs of comparing alternative investments and increasing the quality of information (Ball 2006). </w:t>
      </w:r>
      <w:r w:rsidR="0019354B" w:rsidRPr="005635D8">
        <w:rPr>
          <w:rFonts w:ascii="Calibri" w:hAnsi="Calibri"/>
          <w:lang w:val="en-GB"/>
        </w:rPr>
        <w:t xml:space="preserve">Existing International accounting standards were mostly descriptive in nature and contained many alternative treatments. </w:t>
      </w:r>
      <w:r w:rsidR="00EC0346" w:rsidRPr="005635D8">
        <w:rPr>
          <w:rFonts w:ascii="Calibri" w:hAnsi="Calibri"/>
          <w:lang w:val="en-GB"/>
        </w:rPr>
        <w:t>Those standards were flexible and caused a lack of comparability across countries. Heavy criticism befall on those standards after which the IASC started the comparability p</w:t>
      </w:r>
      <w:r w:rsidR="00473EB3" w:rsidRPr="005635D8">
        <w:rPr>
          <w:rFonts w:ascii="Calibri" w:hAnsi="Calibri"/>
          <w:lang w:val="en-GB"/>
        </w:rPr>
        <w:t>roject in 1987 (Tendeloo and Van</w:t>
      </w:r>
      <w:r w:rsidR="00EC0346" w:rsidRPr="005635D8">
        <w:rPr>
          <w:rFonts w:ascii="Calibri" w:hAnsi="Calibri"/>
          <w:lang w:val="en-GB"/>
        </w:rPr>
        <w:t>str</w:t>
      </w:r>
      <w:r w:rsidR="00473EB3" w:rsidRPr="005635D8">
        <w:rPr>
          <w:rFonts w:ascii="Calibri" w:hAnsi="Calibri"/>
          <w:lang w:val="en-GB"/>
        </w:rPr>
        <w:t>ae</w:t>
      </w:r>
      <w:r w:rsidR="00EC0346" w:rsidRPr="005635D8">
        <w:rPr>
          <w:rFonts w:ascii="Calibri" w:hAnsi="Calibri"/>
          <w:lang w:val="en-GB"/>
        </w:rPr>
        <w:t>len 2005, 157).</w:t>
      </w:r>
      <w:r w:rsidR="008C3448" w:rsidRPr="005635D8">
        <w:rPr>
          <w:rFonts w:ascii="Calibri" w:hAnsi="Calibri"/>
          <w:lang w:val="en-GB"/>
        </w:rPr>
        <w:t xml:space="preserve"> The major accountancy scandals in the late nineties and the early years of the new millennium intensified the call for more reliable international standards of reporting information.  </w:t>
      </w:r>
    </w:p>
    <w:p w:rsidR="008C3448" w:rsidRPr="005635D8" w:rsidRDefault="0099730F" w:rsidP="008C3448">
      <w:pPr>
        <w:jc w:val="both"/>
        <w:rPr>
          <w:rFonts w:ascii="Calibri" w:hAnsi="Calibri"/>
          <w:highlight w:val="cyan"/>
          <w:lang w:val="en-GB" w:eastAsia="nl-NL"/>
        </w:rPr>
      </w:pPr>
      <w:r w:rsidRPr="005635D8">
        <w:rPr>
          <w:rFonts w:ascii="Calibri" w:hAnsi="Calibri"/>
          <w:lang w:val="en-GB"/>
        </w:rPr>
        <w:t xml:space="preserve">It is </w:t>
      </w:r>
      <w:r w:rsidR="00323D4C" w:rsidRPr="005635D8">
        <w:rPr>
          <w:rFonts w:ascii="Calibri" w:hAnsi="Calibri"/>
          <w:lang w:val="en-GB"/>
        </w:rPr>
        <w:t>in addition</w:t>
      </w:r>
      <w:r w:rsidRPr="005635D8">
        <w:rPr>
          <w:rFonts w:ascii="Calibri" w:hAnsi="Calibri"/>
          <w:lang w:val="en-GB"/>
        </w:rPr>
        <w:t xml:space="preserve"> argued by proponents of the IFRS that a limitation of the accounting alternatives</w:t>
      </w:r>
      <w:r w:rsidR="0019354B" w:rsidRPr="005635D8">
        <w:rPr>
          <w:rFonts w:ascii="Calibri" w:hAnsi="Calibri"/>
          <w:lang w:val="en-GB"/>
        </w:rPr>
        <w:t xml:space="preserve"> will increase the accounting quality and </w:t>
      </w:r>
      <w:r w:rsidR="0049557A" w:rsidRPr="005635D8">
        <w:rPr>
          <w:rFonts w:ascii="Calibri" w:hAnsi="Calibri"/>
          <w:lang w:val="en-GB"/>
        </w:rPr>
        <w:t>consequently</w:t>
      </w:r>
      <w:r w:rsidR="0019354B" w:rsidRPr="005635D8">
        <w:rPr>
          <w:rFonts w:ascii="Calibri" w:hAnsi="Calibri"/>
          <w:lang w:val="en-GB"/>
        </w:rPr>
        <w:t xml:space="preserve"> decrease the occurrence of dubious accounting practices such as earnings management.</w:t>
      </w:r>
      <w:r w:rsidRPr="005635D8">
        <w:rPr>
          <w:rFonts w:ascii="Calibri" w:hAnsi="Calibri"/>
          <w:lang w:val="en-GB"/>
        </w:rPr>
        <w:t xml:space="preserve"> </w:t>
      </w:r>
      <w:r w:rsidR="008C3448" w:rsidRPr="005635D8">
        <w:rPr>
          <w:rFonts w:ascii="Calibri" w:hAnsi="Calibri"/>
          <w:lang w:val="en-GB"/>
        </w:rPr>
        <w:t>The next paragraph provides a further overview of several reasons for implementing IFRS by summing up the supposed advantages of the system.</w:t>
      </w:r>
    </w:p>
    <w:p w:rsidR="00CD0B86" w:rsidRPr="005635D8" w:rsidRDefault="00CD0B86" w:rsidP="008C3448">
      <w:pPr>
        <w:pStyle w:val="Heading4"/>
        <w:numPr>
          <w:ilvl w:val="0"/>
          <w:numId w:val="0"/>
        </w:numPr>
        <w:rPr>
          <w:rFonts w:ascii="Calibri" w:hAnsi="Calibri"/>
          <w:lang w:val="en-GB"/>
        </w:rPr>
      </w:pPr>
    </w:p>
    <w:p w:rsidR="0019354B" w:rsidRPr="005635D8" w:rsidRDefault="00CF05B4" w:rsidP="001E4C5D">
      <w:pPr>
        <w:pStyle w:val="Heading3"/>
        <w:rPr>
          <w:lang w:val="en-GB"/>
        </w:rPr>
      </w:pPr>
      <w:bookmarkStart w:id="26" w:name="_Toc362267267"/>
      <w:r w:rsidRPr="005635D8">
        <w:rPr>
          <w:lang w:val="en-GB"/>
        </w:rPr>
        <w:t>3</w:t>
      </w:r>
      <w:r w:rsidR="004573B9" w:rsidRPr="005635D8">
        <w:rPr>
          <w:lang w:val="en-GB"/>
        </w:rPr>
        <w:t>.</w:t>
      </w:r>
      <w:r w:rsidRPr="005635D8">
        <w:rPr>
          <w:lang w:val="en-GB"/>
        </w:rPr>
        <w:t>2</w:t>
      </w:r>
      <w:r w:rsidR="004573B9" w:rsidRPr="005635D8">
        <w:rPr>
          <w:lang w:val="en-GB"/>
        </w:rPr>
        <w:t xml:space="preserve"> </w:t>
      </w:r>
      <w:r w:rsidR="0019354B" w:rsidRPr="005635D8">
        <w:rPr>
          <w:lang w:val="en-GB"/>
        </w:rPr>
        <w:t>Advantages and disadvantages of IFRS</w:t>
      </w:r>
      <w:bookmarkEnd w:id="26"/>
    </w:p>
    <w:p w:rsidR="00EC0346" w:rsidRPr="005635D8" w:rsidRDefault="00EC0346" w:rsidP="00CF05B4">
      <w:pPr>
        <w:autoSpaceDE w:val="0"/>
        <w:autoSpaceDN w:val="0"/>
        <w:adjustRightInd w:val="0"/>
        <w:spacing w:after="0"/>
        <w:rPr>
          <w:rFonts w:ascii="Calibri" w:hAnsi="Calibri" w:cs="AdvPS6F00"/>
          <w:lang w:val="en-GB"/>
        </w:rPr>
      </w:pPr>
      <w:r w:rsidRPr="005635D8">
        <w:rPr>
          <w:rFonts w:ascii="Calibri" w:hAnsi="Calibri" w:cs="AdvPS6F00"/>
          <w:lang w:val="en-GB"/>
        </w:rPr>
        <w:t>The advantages</w:t>
      </w:r>
      <w:r w:rsidR="00A45C48" w:rsidRPr="005635D8">
        <w:rPr>
          <w:rFonts w:ascii="Calibri" w:hAnsi="Calibri" w:cs="AdvPS6F00"/>
          <w:lang w:val="en-GB"/>
        </w:rPr>
        <w:t xml:space="preserve"> of the adoption of</w:t>
      </w:r>
      <w:r w:rsidRPr="005635D8">
        <w:rPr>
          <w:rFonts w:ascii="Calibri" w:hAnsi="Calibri" w:cs="AdvPS6F00"/>
          <w:lang w:val="en-GB"/>
        </w:rPr>
        <w:t xml:space="preserve"> the</w:t>
      </w:r>
      <w:r w:rsidR="00A45C48" w:rsidRPr="005635D8">
        <w:rPr>
          <w:rFonts w:ascii="Calibri" w:hAnsi="Calibri" w:cs="AdvPS6F00"/>
          <w:lang w:val="en-GB"/>
        </w:rPr>
        <w:t xml:space="preserve"> international </w:t>
      </w:r>
      <w:r w:rsidRPr="005635D8">
        <w:rPr>
          <w:rFonts w:ascii="Calibri" w:hAnsi="Calibri" w:cs="AdvPS6F00"/>
          <w:lang w:val="en-GB"/>
        </w:rPr>
        <w:t xml:space="preserve">financial reporting system </w:t>
      </w:r>
      <w:r w:rsidR="00A45C48" w:rsidRPr="005635D8">
        <w:rPr>
          <w:rFonts w:ascii="Calibri" w:hAnsi="Calibri" w:cs="AdvPS6F00"/>
          <w:lang w:val="en-GB"/>
        </w:rPr>
        <w:t>are</w:t>
      </w:r>
      <w:r w:rsidRPr="005635D8">
        <w:rPr>
          <w:rFonts w:ascii="Calibri" w:hAnsi="Calibri" w:cs="AdvPS6F00"/>
          <w:lang w:val="en-GB"/>
        </w:rPr>
        <w:t xml:space="preserve"> considered to be the following:</w:t>
      </w:r>
      <w:r w:rsidR="00A45C48" w:rsidRPr="005635D8">
        <w:rPr>
          <w:rFonts w:ascii="Calibri" w:hAnsi="Calibri" w:cs="AdvPS6F00"/>
          <w:lang w:val="en-GB"/>
        </w:rPr>
        <w:t xml:space="preserve"> </w:t>
      </w:r>
    </w:p>
    <w:p w:rsidR="00EC0346" w:rsidRPr="005635D8" w:rsidRDefault="00EC0346" w:rsidP="00CF05B4">
      <w:pPr>
        <w:autoSpaceDE w:val="0"/>
        <w:autoSpaceDN w:val="0"/>
        <w:adjustRightInd w:val="0"/>
        <w:spacing w:after="0"/>
        <w:rPr>
          <w:rFonts w:ascii="Calibri" w:hAnsi="Calibri" w:cs="AdvPS6F00"/>
          <w:lang w:val="en-GB"/>
        </w:rPr>
      </w:pPr>
    </w:p>
    <w:p w:rsidR="003E1157" w:rsidRPr="005635D8" w:rsidRDefault="00052675" w:rsidP="00473EB3">
      <w:pPr>
        <w:pStyle w:val="ListParagraph"/>
        <w:numPr>
          <w:ilvl w:val="0"/>
          <w:numId w:val="10"/>
        </w:numPr>
        <w:autoSpaceDE w:val="0"/>
        <w:autoSpaceDN w:val="0"/>
        <w:adjustRightInd w:val="0"/>
        <w:spacing w:line="276" w:lineRule="auto"/>
        <w:jc w:val="both"/>
        <w:rPr>
          <w:rFonts w:ascii="Calibri" w:hAnsi="Calibri" w:cs="AdvPS6F00"/>
          <w:sz w:val="22"/>
          <w:szCs w:val="22"/>
          <w:lang w:val="en-GB"/>
        </w:rPr>
      </w:pPr>
      <w:r w:rsidRPr="005635D8">
        <w:rPr>
          <w:rFonts w:ascii="Calibri" w:hAnsi="Calibri" w:cs="AdvPS6F00"/>
          <w:sz w:val="22"/>
          <w:szCs w:val="22"/>
          <w:lang w:val="en-GB"/>
        </w:rPr>
        <w:t>The improved comparability of the financial information should lead to more accurate, comprehensive and timely financial statements</w:t>
      </w:r>
      <w:r w:rsidR="003E1157" w:rsidRPr="005635D8">
        <w:rPr>
          <w:rFonts w:ascii="Calibri" w:hAnsi="Calibri" w:cs="AdvPS6F00"/>
          <w:sz w:val="22"/>
          <w:szCs w:val="22"/>
          <w:lang w:val="en-GB"/>
        </w:rPr>
        <w:t>. Confusion arising from different measures of financial positions across countries will be eliminated which reduces the risks for companies. Companies entering the market with previously unintelligible financial reporting can now accurately be analyzed and offer opportunities for new</w:t>
      </w:r>
      <w:r w:rsidR="00473EB3" w:rsidRPr="005635D8">
        <w:rPr>
          <w:rFonts w:ascii="Calibri" w:hAnsi="Calibri" w:cs="AdvPS6F00"/>
          <w:sz w:val="22"/>
          <w:szCs w:val="22"/>
          <w:lang w:val="en-GB"/>
        </w:rPr>
        <w:t xml:space="preserve"> investments (Tendeloo and Vanst</w:t>
      </w:r>
      <w:r w:rsidR="003E1157" w:rsidRPr="005635D8">
        <w:rPr>
          <w:rFonts w:ascii="Calibri" w:hAnsi="Calibri" w:cs="AdvPS6F00"/>
          <w:sz w:val="22"/>
          <w:szCs w:val="22"/>
          <w:lang w:val="en-GB"/>
        </w:rPr>
        <w:t>r</w:t>
      </w:r>
      <w:r w:rsidR="00473EB3" w:rsidRPr="005635D8">
        <w:rPr>
          <w:rFonts w:ascii="Calibri" w:hAnsi="Calibri" w:cs="AdvPS6F00"/>
          <w:sz w:val="22"/>
          <w:szCs w:val="22"/>
          <w:lang w:val="en-GB"/>
        </w:rPr>
        <w:t>ae</w:t>
      </w:r>
      <w:r w:rsidR="003E1157" w:rsidRPr="005635D8">
        <w:rPr>
          <w:rFonts w:ascii="Calibri" w:hAnsi="Calibri" w:cs="AdvPS6F00"/>
          <w:sz w:val="22"/>
          <w:szCs w:val="22"/>
          <w:lang w:val="en-GB"/>
        </w:rPr>
        <w:t xml:space="preserve">len 2005).  </w:t>
      </w:r>
    </w:p>
    <w:p w:rsidR="00052675" w:rsidRPr="005635D8" w:rsidRDefault="003E1157" w:rsidP="00CF05B4">
      <w:pPr>
        <w:pStyle w:val="ListParagraph"/>
        <w:numPr>
          <w:ilvl w:val="0"/>
          <w:numId w:val="10"/>
        </w:numPr>
        <w:autoSpaceDE w:val="0"/>
        <w:autoSpaceDN w:val="0"/>
        <w:adjustRightInd w:val="0"/>
        <w:spacing w:line="276" w:lineRule="auto"/>
        <w:jc w:val="both"/>
        <w:rPr>
          <w:rFonts w:ascii="Calibri" w:hAnsi="Calibri" w:cs="AdvPS6F00"/>
          <w:sz w:val="22"/>
          <w:szCs w:val="22"/>
          <w:lang w:val="en-GB"/>
        </w:rPr>
      </w:pPr>
      <w:r w:rsidRPr="005635D8">
        <w:rPr>
          <w:rFonts w:ascii="Calibri" w:hAnsi="Calibri" w:cs="AdvPS6F00"/>
          <w:sz w:val="22"/>
          <w:szCs w:val="22"/>
          <w:lang w:val="en-GB"/>
        </w:rPr>
        <w:t xml:space="preserve">The introduction of the IFRS is expected to </w:t>
      </w:r>
      <w:r w:rsidR="00381915" w:rsidRPr="005635D8">
        <w:rPr>
          <w:rFonts w:ascii="Calibri" w:hAnsi="Calibri" w:cs="AdvPS6F00"/>
          <w:sz w:val="22"/>
          <w:szCs w:val="22"/>
          <w:lang w:val="en-GB"/>
        </w:rPr>
        <w:t xml:space="preserve">create </w:t>
      </w:r>
      <w:r w:rsidRPr="005635D8">
        <w:rPr>
          <w:rFonts w:ascii="Calibri" w:hAnsi="Calibri" w:cs="AdvPS6F00"/>
          <w:sz w:val="22"/>
          <w:szCs w:val="22"/>
          <w:lang w:val="en-GB"/>
        </w:rPr>
        <w:t>an increas</w:t>
      </w:r>
      <w:r w:rsidR="00381915" w:rsidRPr="005635D8">
        <w:rPr>
          <w:rFonts w:ascii="Calibri" w:hAnsi="Calibri" w:cs="AdvPS6F00"/>
          <w:sz w:val="22"/>
          <w:szCs w:val="22"/>
          <w:lang w:val="en-GB"/>
        </w:rPr>
        <w:t xml:space="preserve">e in the </w:t>
      </w:r>
      <w:r w:rsidRPr="005635D8">
        <w:rPr>
          <w:rFonts w:ascii="Calibri" w:hAnsi="Calibri" w:cs="AdvPS6F00"/>
          <w:sz w:val="22"/>
          <w:szCs w:val="22"/>
          <w:lang w:val="en-GB"/>
        </w:rPr>
        <w:t>market efficiency. Reducing the number of differences in reporting standards across countries</w:t>
      </w:r>
      <w:r w:rsidR="00FC128B" w:rsidRPr="005635D8">
        <w:rPr>
          <w:rFonts w:ascii="Calibri" w:hAnsi="Calibri" w:cs="AdvPS6F00"/>
          <w:sz w:val="22"/>
          <w:szCs w:val="22"/>
          <w:lang w:val="en-GB"/>
        </w:rPr>
        <w:t xml:space="preserve"> will reduce the costs for companies to process financial information. Especially institutions that create large standardized-format financial databases will be able to gain from this situation. Reducing the costs of processing financial information will </w:t>
      </w:r>
      <w:r w:rsidR="00323D4C" w:rsidRPr="005635D8">
        <w:rPr>
          <w:rFonts w:ascii="Calibri" w:hAnsi="Calibri" w:cs="AdvPS6F00"/>
          <w:sz w:val="22"/>
          <w:szCs w:val="22"/>
          <w:lang w:val="en-GB"/>
        </w:rPr>
        <w:t>in addition</w:t>
      </w:r>
      <w:r w:rsidR="00FC128B" w:rsidRPr="005635D8">
        <w:rPr>
          <w:rFonts w:ascii="Calibri" w:hAnsi="Calibri" w:cs="AdvPS6F00"/>
          <w:sz w:val="22"/>
          <w:szCs w:val="22"/>
          <w:lang w:val="en-GB"/>
        </w:rPr>
        <w:t xml:space="preserve"> most likely increase the efficiency with which the stock market incorporates it in prices (Ball 2006, 11).</w:t>
      </w:r>
    </w:p>
    <w:p w:rsidR="00FC128B" w:rsidRPr="005635D8" w:rsidRDefault="00FC128B" w:rsidP="00CF05B4">
      <w:pPr>
        <w:pStyle w:val="ListParagraph"/>
        <w:numPr>
          <w:ilvl w:val="0"/>
          <w:numId w:val="10"/>
        </w:numPr>
        <w:autoSpaceDE w:val="0"/>
        <w:autoSpaceDN w:val="0"/>
        <w:adjustRightInd w:val="0"/>
        <w:spacing w:line="276" w:lineRule="auto"/>
        <w:jc w:val="both"/>
        <w:rPr>
          <w:rFonts w:ascii="Calibri" w:hAnsi="Calibri" w:cs="AdvPS6F00"/>
          <w:sz w:val="22"/>
          <w:szCs w:val="22"/>
          <w:lang w:val="en-GB"/>
        </w:rPr>
      </w:pPr>
      <w:r w:rsidRPr="005635D8">
        <w:rPr>
          <w:rFonts w:ascii="Calibri" w:hAnsi="Calibri" w:cs="AdvPS6F00"/>
          <w:sz w:val="22"/>
          <w:szCs w:val="22"/>
          <w:lang w:val="en-GB"/>
        </w:rPr>
        <w:t xml:space="preserve">Small investors will more easily get access to information which reduces the need for incorporating financial experts in order to make international investments. The improved financial reporting quality allows them to compete better with professionals and reduces risks of adverse selection (2006, 11).  </w:t>
      </w:r>
    </w:p>
    <w:p w:rsidR="00A45C48" w:rsidRPr="005635D8" w:rsidRDefault="00FC128B" w:rsidP="00473EB3">
      <w:pPr>
        <w:pStyle w:val="ListParagraph"/>
        <w:numPr>
          <w:ilvl w:val="0"/>
          <w:numId w:val="10"/>
        </w:numPr>
        <w:autoSpaceDE w:val="0"/>
        <w:autoSpaceDN w:val="0"/>
        <w:adjustRightInd w:val="0"/>
        <w:spacing w:line="276" w:lineRule="auto"/>
        <w:jc w:val="both"/>
        <w:rPr>
          <w:rFonts w:ascii="Calibri" w:hAnsi="Calibri" w:cs="AdvPS6F00"/>
          <w:sz w:val="22"/>
          <w:szCs w:val="22"/>
          <w:lang w:val="en-GB"/>
        </w:rPr>
      </w:pPr>
      <w:r w:rsidRPr="005635D8">
        <w:rPr>
          <w:rFonts w:ascii="Calibri" w:hAnsi="Calibri" w:cs="AdvPS6F00"/>
          <w:sz w:val="22"/>
          <w:szCs w:val="22"/>
          <w:lang w:val="en-GB"/>
        </w:rPr>
        <w:t>I</w:t>
      </w:r>
      <w:r w:rsidR="00A45C48" w:rsidRPr="005635D8">
        <w:rPr>
          <w:rFonts w:ascii="Calibri" w:hAnsi="Calibri" w:cs="AdvPS6F00"/>
          <w:sz w:val="22"/>
          <w:szCs w:val="22"/>
          <w:lang w:val="en-GB"/>
        </w:rPr>
        <w:t>nternational investment</w:t>
      </w:r>
      <w:r w:rsidRPr="005635D8">
        <w:rPr>
          <w:rFonts w:ascii="Calibri" w:hAnsi="Calibri" w:cs="AdvPS6F00"/>
          <w:sz w:val="22"/>
          <w:szCs w:val="22"/>
          <w:lang w:val="en-GB"/>
        </w:rPr>
        <w:t xml:space="preserve">s will be encouraged which will </w:t>
      </w:r>
      <w:r w:rsidR="00323D4C" w:rsidRPr="005635D8">
        <w:rPr>
          <w:rFonts w:ascii="Calibri" w:hAnsi="Calibri" w:cs="AdvPS6F00"/>
          <w:sz w:val="22"/>
          <w:szCs w:val="22"/>
          <w:lang w:val="en-GB"/>
        </w:rPr>
        <w:t>in addition</w:t>
      </w:r>
      <w:r w:rsidRPr="005635D8">
        <w:rPr>
          <w:rFonts w:ascii="Calibri" w:hAnsi="Calibri" w:cs="AdvPS6F00"/>
          <w:sz w:val="22"/>
          <w:szCs w:val="22"/>
          <w:lang w:val="en-GB"/>
        </w:rPr>
        <w:t xml:space="preserve"> lead to more efficient allocation of savings wor</w:t>
      </w:r>
      <w:r w:rsidR="00F40D74" w:rsidRPr="005635D8">
        <w:rPr>
          <w:rFonts w:ascii="Calibri" w:hAnsi="Calibri" w:cs="AdvPS6F00"/>
          <w:sz w:val="22"/>
          <w:szCs w:val="22"/>
          <w:lang w:val="en-GB"/>
        </w:rPr>
        <w:t>l</w:t>
      </w:r>
      <w:r w:rsidRPr="005635D8">
        <w:rPr>
          <w:rFonts w:ascii="Calibri" w:hAnsi="Calibri" w:cs="AdvPS6F00"/>
          <w:sz w:val="22"/>
          <w:szCs w:val="22"/>
          <w:lang w:val="en-GB"/>
        </w:rPr>
        <w:t>dwide</w:t>
      </w:r>
      <w:r w:rsidR="00A45C48" w:rsidRPr="005635D8">
        <w:rPr>
          <w:rFonts w:ascii="Calibri" w:hAnsi="Calibri" w:cs="AdvPS6F00"/>
          <w:sz w:val="22"/>
          <w:szCs w:val="22"/>
          <w:lang w:val="en-GB"/>
        </w:rPr>
        <w:t xml:space="preserve"> </w:t>
      </w:r>
      <w:r w:rsidR="00F40D74" w:rsidRPr="005635D8">
        <w:rPr>
          <w:rFonts w:ascii="Calibri" w:hAnsi="Calibri" w:cs="AdvPS6F00"/>
          <w:sz w:val="22"/>
          <w:szCs w:val="22"/>
          <w:lang w:val="en-GB"/>
        </w:rPr>
        <w:t>(</w:t>
      </w:r>
      <w:r w:rsidR="00A45C48" w:rsidRPr="005635D8">
        <w:rPr>
          <w:rFonts w:ascii="Calibri" w:hAnsi="Calibri" w:cs="AdvPS6F00"/>
          <w:sz w:val="22"/>
          <w:szCs w:val="22"/>
          <w:lang w:val="en-GB"/>
        </w:rPr>
        <w:t>Tendeloo</w:t>
      </w:r>
      <w:r w:rsidR="00F40D74" w:rsidRPr="005635D8">
        <w:rPr>
          <w:rFonts w:ascii="Calibri" w:hAnsi="Calibri" w:cs="AdvPS6F00"/>
          <w:sz w:val="22"/>
          <w:szCs w:val="22"/>
          <w:lang w:val="en-GB"/>
        </w:rPr>
        <w:t xml:space="preserve"> and</w:t>
      </w:r>
      <w:r w:rsidR="00473EB3" w:rsidRPr="005635D8">
        <w:rPr>
          <w:rFonts w:ascii="Calibri" w:hAnsi="Calibri" w:cs="AdvPS6F00"/>
          <w:sz w:val="22"/>
          <w:szCs w:val="22"/>
          <w:lang w:val="en-GB"/>
        </w:rPr>
        <w:t xml:space="preserve"> Van</w:t>
      </w:r>
      <w:r w:rsidR="00A45C48" w:rsidRPr="005635D8">
        <w:rPr>
          <w:rFonts w:ascii="Calibri" w:hAnsi="Calibri" w:cs="AdvPS6F00"/>
          <w:sz w:val="22"/>
          <w:szCs w:val="22"/>
          <w:lang w:val="en-GB"/>
        </w:rPr>
        <w:t>str</w:t>
      </w:r>
      <w:r w:rsidR="00473EB3" w:rsidRPr="005635D8">
        <w:rPr>
          <w:rFonts w:ascii="Calibri" w:hAnsi="Calibri" w:cs="AdvPS6F00"/>
          <w:sz w:val="22"/>
          <w:szCs w:val="22"/>
          <w:lang w:val="en-GB"/>
        </w:rPr>
        <w:t>ae</w:t>
      </w:r>
      <w:r w:rsidR="00A45C48" w:rsidRPr="005635D8">
        <w:rPr>
          <w:rFonts w:ascii="Calibri" w:hAnsi="Calibri" w:cs="AdvPS6F00"/>
          <w:sz w:val="22"/>
          <w:szCs w:val="22"/>
          <w:lang w:val="en-GB"/>
        </w:rPr>
        <w:t>len 2005)</w:t>
      </w:r>
      <w:r w:rsidR="001255C7" w:rsidRPr="005635D8">
        <w:rPr>
          <w:rFonts w:ascii="Calibri" w:hAnsi="Calibri" w:cs="AdvPS6F00"/>
          <w:sz w:val="22"/>
          <w:szCs w:val="22"/>
          <w:lang w:val="en-GB"/>
        </w:rPr>
        <w:t>.</w:t>
      </w:r>
    </w:p>
    <w:p w:rsidR="00052675" w:rsidRPr="005635D8" w:rsidRDefault="00052675" w:rsidP="004B6B27">
      <w:pPr>
        <w:autoSpaceDE w:val="0"/>
        <w:autoSpaceDN w:val="0"/>
        <w:adjustRightInd w:val="0"/>
        <w:spacing w:after="0" w:line="240" w:lineRule="auto"/>
        <w:rPr>
          <w:rFonts w:ascii="Calibri" w:eastAsia="Times New Roman" w:hAnsi="Calibri" w:cs="AdvPS6F00"/>
          <w:lang w:val="en-GB" w:eastAsia="nl-NL"/>
        </w:rPr>
      </w:pPr>
    </w:p>
    <w:p w:rsidR="00F40D74" w:rsidRPr="005635D8" w:rsidRDefault="001255C7" w:rsidP="00CD0B86">
      <w:pPr>
        <w:autoSpaceDE w:val="0"/>
        <w:autoSpaceDN w:val="0"/>
        <w:adjustRightInd w:val="0"/>
        <w:spacing w:after="0"/>
        <w:jc w:val="both"/>
        <w:rPr>
          <w:rFonts w:ascii="Calibri" w:hAnsi="Calibri" w:cs="AdvPS6F00"/>
          <w:lang w:val="en-GB"/>
        </w:rPr>
      </w:pPr>
      <w:r w:rsidRPr="005635D8">
        <w:rPr>
          <w:rFonts w:ascii="Calibri" w:eastAsia="Times New Roman" w:hAnsi="Calibri" w:cs="AdvPS6F00"/>
          <w:lang w:val="en-GB" w:eastAsia="nl-NL"/>
        </w:rPr>
        <w:t>Despite all the supposed advantages of the IFRS</w:t>
      </w:r>
      <w:r w:rsidR="00CD0B86" w:rsidRPr="005635D8">
        <w:rPr>
          <w:rFonts w:ascii="Calibri" w:eastAsia="Times New Roman" w:hAnsi="Calibri" w:cs="AdvPS6F00"/>
          <w:lang w:val="en-GB" w:eastAsia="nl-NL"/>
        </w:rPr>
        <w:t>,</w:t>
      </w:r>
      <w:r w:rsidRPr="005635D8">
        <w:rPr>
          <w:rFonts w:ascii="Calibri" w:eastAsia="Times New Roman" w:hAnsi="Calibri" w:cs="AdvPS6F00"/>
          <w:lang w:val="en-GB" w:eastAsia="nl-NL"/>
        </w:rPr>
        <w:t xml:space="preserve"> critiques argue that</w:t>
      </w:r>
      <w:r w:rsidR="00F40D74" w:rsidRPr="005635D8">
        <w:rPr>
          <w:rFonts w:ascii="Calibri" w:eastAsia="Times New Roman" w:hAnsi="Calibri" w:cs="AdvPS6F00"/>
          <w:lang w:val="en-GB" w:eastAsia="nl-NL"/>
        </w:rPr>
        <w:t xml:space="preserve"> adopting high quality standards might be a necessary</w:t>
      </w:r>
      <w:r w:rsidRPr="005635D8">
        <w:rPr>
          <w:rFonts w:ascii="Calibri" w:eastAsia="Times New Roman" w:hAnsi="Calibri" w:cs="AdvPS6F00"/>
          <w:lang w:val="en-GB" w:eastAsia="nl-NL"/>
        </w:rPr>
        <w:t xml:space="preserve"> </w:t>
      </w:r>
      <w:r w:rsidR="00F40D74" w:rsidRPr="005635D8">
        <w:rPr>
          <w:rFonts w:ascii="Calibri" w:eastAsia="Times New Roman" w:hAnsi="Calibri" w:cs="AdvPS6F00"/>
          <w:lang w:val="en-GB" w:eastAsia="nl-NL"/>
        </w:rPr>
        <w:t xml:space="preserve">condition for high quality information, but not necessarily a sufficient one </w:t>
      </w:r>
      <w:r w:rsidR="00CD0B86" w:rsidRPr="005635D8">
        <w:rPr>
          <w:rFonts w:ascii="Calibri" w:eastAsia="Times New Roman" w:hAnsi="Calibri" w:cs="AdvPS6F00"/>
          <w:lang w:val="en-GB" w:eastAsia="nl-NL"/>
        </w:rPr>
        <w:t>(Ball et al. 2006)</w:t>
      </w:r>
      <w:r w:rsidRPr="005635D8">
        <w:rPr>
          <w:rFonts w:ascii="Calibri" w:eastAsia="Times New Roman" w:hAnsi="Calibri" w:cs="AdvPS6F00"/>
          <w:lang w:val="en-GB" w:eastAsia="nl-NL"/>
        </w:rPr>
        <w:t xml:space="preserve">. It can even be argued that the implementation of IFRS has a negative impact on the quality of information. </w:t>
      </w:r>
      <w:r w:rsidRPr="005635D8">
        <w:rPr>
          <w:rFonts w:ascii="Calibri" w:hAnsi="Calibri" w:cs="AdvPS6F00"/>
          <w:lang w:val="en-GB"/>
        </w:rPr>
        <w:t>Some disadvantages of the adoption of the IFRS are considered to be the following:</w:t>
      </w:r>
    </w:p>
    <w:p w:rsidR="00D80B77" w:rsidRPr="005635D8" w:rsidRDefault="00D80B77" w:rsidP="001255C7">
      <w:pPr>
        <w:autoSpaceDE w:val="0"/>
        <w:autoSpaceDN w:val="0"/>
        <w:adjustRightInd w:val="0"/>
        <w:spacing w:after="0"/>
        <w:jc w:val="both"/>
        <w:rPr>
          <w:rFonts w:ascii="Calibri" w:hAnsi="Calibri" w:cs="AdvPS6F00"/>
          <w:lang w:val="en-GB"/>
        </w:rPr>
      </w:pPr>
    </w:p>
    <w:p w:rsidR="00D80B77" w:rsidRPr="005635D8" w:rsidRDefault="00D80B77" w:rsidP="00CF05B4">
      <w:pPr>
        <w:pStyle w:val="ListParagraph"/>
        <w:numPr>
          <w:ilvl w:val="0"/>
          <w:numId w:val="11"/>
        </w:numPr>
        <w:autoSpaceDE w:val="0"/>
        <w:autoSpaceDN w:val="0"/>
        <w:adjustRightInd w:val="0"/>
        <w:spacing w:line="276" w:lineRule="auto"/>
        <w:jc w:val="both"/>
        <w:rPr>
          <w:rFonts w:ascii="Calibri" w:hAnsi="Calibri" w:cs="AdvPS6F00"/>
          <w:sz w:val="22"/>
          <w:szCs w:val="22"/>
          <w:lang w:val="en-GB"/>
        </w:rPr>
      </w:pPr>
      <w:r w:rsidRPr="005635D8">
        <w:rPr>
          <w:rFonts w:ascii="Calibri" w:hAnsi="Calibri" w:cs="AdvPS6F00"/>
          <w:sz w:val="22"/>
          <w:szCs w:val="22"/>
          <w:lang w:val="en-GB"/>
        </w:rPr>
        <w:t>Even sophisticated investors might be mislaid by believing that there is more uniformity in practice than actually is the case. Financial facts that are now reported in the same manner might still be based on an underlying difference in reporting quality. Simply reporting facts is not the same as reporting the right facts. Differences in reporting quality will be hidden under the rug of seemingly uniform standards (Ball 2006, 6).</w:t>
      </w:r>
    </w:p>
    <w:p w:rsidR="00D80B77" w:rsidRPr="005635D8" w:rsidRDefault="00D80B77" w:rsidP="00CF05B4">
      <w:pPr>
        <w:pStyle w:val="ListParagraph"/>
        <w:numPr>
          <w:ilvl w:val="0"/>
          <w:numId w:val="11"/>
        </w:numPr>
        <w:autoSpaceDE w:val="0"/>
        <w:autoSpaceDN w:val="0"/>
        <w:adjustRightInd w:val="0"/>
        <w:spacing w:line="276" w:lineRule="auto"/>
        <w:jc w:val="both"/>
        <w:rPr>
          <w:rFonts w:ascii="Calibri" w:hAnsi="Calibri" w:cs="AdvPS6F00"/>
          <w:sz w:val="22"/>
          <w:szCs w:val="22"/>
          <w:lang w:val="en-GB"/>
        </w:rPr>
      </w:pPr>
      <w:r w:rsidRPr="005635D8">
        <w:rPr>
          <w:rFonts w:ascii="Calibri" w:hAnsi="Calibri" w:cs="AdvPS6F00"/>
          <w:sz w:val="22"/>
          <w:szCs w:val="22"/>
          <w:lang w:val="en-GB"/>
        </w:rPr>
        <w:t>The supposed advantage of reducing information costs might turn into an disadvantage because uneven handling of the standards will exist and this could increase the information processing costs by burying accounting inconsistencies at a deeper and less transparent level than differences in standards did in the old situation</w:t>
      </w:r>
      <w:r w:rsidR="00FD0690" w:rsidRPr="005635D8">
        <w:rPr>
          <w:rFonts w:ascii="Calibri" w:hAnsi="Calibri" w:cs="AdvPS6F00"/>
          <w:sz w:val="22"/>
          <w:szCs w:val="22"/>
          <w:lang w:val="en-GB"/>
        </w:rPr>
        <w:t xml:space="preserve"> (2006, 15)</w:t>
      </w:r>
      <w:r w:rsidRPr="005635D8">
        <w:rPr>
          <w:rFonts w:ascii="Calibri" w:hAnsi="Calibri" w:cs="AdvPS6F00"/>
          <w:sz w:val="22"/>
          <w:szCs w:val="22"/>
          <w:lang w:val="en-GB"/>
        </w:rPr>
        <w:t>.</w:t>
      </w:r>
    </w:p>
    <w:p w:rsidR="00FD0690" w:rsidRPr="005635D8" w:rsidRDefault="00FD0690" w:rsidP="00CF05B4">
      <w:pPr>
        <w:pStyle w:val="ListParagraph"/>
        <w:numPr>
          <w:ilvl w:val="0"/>
          <w:numId w:val="11"/>
        </w:numPr>
        <w:autoSpaceDE w:val="0"/>
        <w:autoSpaceDN w:val="0"/>
        <w:adjustRightInd w:val="0"/>
        <w:spacing w:line="276" w:lineRule="auto"/>
        <w:jc w:val="both"/>
        <w:rPr>
          <w:rFonts w:ascii="Calibri" w:hAnsi="Calibri" w:cs="AdvPS6F00"/>
          <w:sz w:val="22"/>
          <w:szCs w:val="22"/>
          <w:lang w:val="en-GB"/>
        </w:rPr>
      </w:pPr>
      <w:r w:rsidRPr="005635D8">
        <w:rPr>
          <w:rFonts w:ascii="Calibri" w:hAnsi="Calibri" w:cs="AdvPS6F00"/>
          <w:sz w:val="22"/>
          <w:szCs w:val="22"/>
          <w:lang w:val="en-GB"/>
        </w:rPr>
        <w:t>The ‘brand name’ of the IFRS runs the risk of deterioration. In the enthusiasm of the implementation of the system de IFRS brand name is currently riding high and perceived as a signal of quality. But because numerous companies with lower quality accounting practices in numerous countries will hide themselves behind the</w:t>
      </w:r>
      <w:r w:rsidR="009E326A" w:rsidRPr="005635D8">
        <w:rPr>
          <w:rFonts w:ascii="Calibri" w:hAnsi="Calibri" w:cs="AdvPS6F00"/>
          <w:sz w:val="22"/>
          <w:szCs w:val="22"/>
          <w:lang w:val="en-GB"/>
        </w:rPr>
        <w:t>se</w:t>
      </w:r>
      <w:r w:rsidRPr="005635D8">
        <w:rPr>
          <w:rFonts w:ascii="Calibri" w:hAnsi="Calibri" w:cs="AdvPS6F00"/>
          <w:sz w:val="22"/>
          <w:szCs w:val="22"/>
          <w:lang w:val="en-GB"/>
        </w:rPr>
        <w:t xml:space="preserve"> standards</w:t>
      </w:r>
      <w:r w:rsidR="009E326A" w:rsidRPr="005635D8">
        <w:rPr>
          <w:rFonts w:ascii="Calibri" w:hAnsi="Calibri" w:cs="AdvPS6F00"/>
          <w:sz w:val="22"/>
          <w:szCs w:val="22"/>
          <w:lang w:val="en-GB"/>
        </w:rPr>
        <w:t>,</w:t>
      </w:r>
      <w:r w:rsidRPr="005635D8">
        <w:rPr>
          <w:rFonts w:ascii="Calibri" w:hAnsi="Calibri" w:cs="AdvPS6F00"/>
          <w:sz w:val="22"/>
          <w:szCs w:val="22"/>
          <w:lang w:val="en-GB"/>
        </w:rPr>
        <w:t xml:space="preserve"> this perception is expected not to </w:t>
      </w:r>
      <w:r w:rsidR="005635D8" w:rsidRPr="005635D8">
        <w:rPr>
          <w:rFonts w:ascii="Calibri" w:hAnsi="Calibri" w:cs="AdvPS6F00"/>
          <w:sz w:val="22"/>
          <w:szCs w:val="22"/>
          <w:lang w:val="en-GB"/>
        </w:rPr>
        <w:t>last long</w:t>
      </w:r>
      <w:r w:rsidRPr="005635D8">
        <w:rPr>
          <w:rFonts w:ascii="Calibri" w:hAnsi="Calibri" w:cs="AdvPS6F00"/>
          <w:sz w:val="22"/>
          <w:szCs w:val="22"/>
          <w:lang w:val="en-GB"/>
        </w:rPr>
        <w:t xml:space="preserve"> (2006, 22). </w:t>
      </w:r>
    </w:p>
    <w:p w:rsidR="00CD0B86" w:rsidRPr="005635D8" w:rsidRDefault="00CD0B86" w:rsidP="00CF05B4">
      <w:pPr>
        <w:pStyle w:val="ListParagraph"/>
        <w:numPr>
          <w:ilvl w:val="0"/>
          <w:numId w:val="11"/>
        </w:numPr>
        <w:autoSpaceDE w:val="0"/>
        <w:autoSpaceDN w:val="0"/>
        <w:adjustRightInd w:val="0"/>
        <w:spacing w:line="276" w:lineRule="auto"/>
        <w:jc w:val="both"/>
        <w:rPr>
          <w:rFonts w:ascii="Calibri" w:hAnsi="Calibri" w:cs="AdvPS6F00"/>
          <w:sz w:val="22"/>
          <w:szCs w:val="22"/>
          <w:lang w:val="en-GB"/>
        </w:rPr>
      </w:pPr>
      <w:r w:rsidRPr="005635D8">
        <w:rPr>
          <w:rFonts w:ascii="Calibri" w:hAnsi="Calibri" w:cs="AdvPS6F00"/>
          <w:sz w:val="22"/>
          <w:szCs w:val="22"/>
          <w:lang w:val="en-GB"/>
        </w:rPr>
        <w:t>The IFRS are supposed to miss enforcement mechanism which makes it easy for firms to avoid parts of the standards disliked by firms. Without adequate enforcement “the rules remain requirements only on paper” (Hope 2003, 240).</w:t>
      </w:r>
    </w:p>
    <w:p w:rsidR="00F40D74" w:rsidRPr="005635D8" w:rsidRDefault="00F40D74" w:rsidP="00225471">
      <w:pPr>
        <w:autoSpaceDE w:val="0"/>
        <w:autoSpaceDN w:val="0"/>
        <w:adjustRightInd w:val="0"/>
        <w:spacing w:after="0"/>
        <w:rPr>
          <w:rFonts w:ascii="Calibri" w:hAnsi="Calibri" w:cs="Times New Roman"/>
          <w:lang w:val="en-GB"/>
        </w:rPr>
      </w:pPr>
    </w:p>
    <w:p w:rsidR="001255C7" w:rsidRPr="005635D8" w:rsidRDefault="00FD0690" w:rsidP="00225471">
      <w:pPr>
        <w:autoSpaceDE w:val="0"/>
        <w:autoSpaceDN w:val="0"/>
        <w:adjustRightInd w:val="0"/>
        <w:spacing w:after="0"/>
        <w:jc w:val="both"/>
        <w:rPr>
          <w:rFonts w:ascii="Calibri" w:eastAsia="Times New Roman" w:hAnsi="Calibri" w:cs="AdvPS6F00"/>
          <w:lang w:val="en-GB" w:eastAsia="nl-NL"/>
        </w:rPr>
      </w:pPr>
      <w:r w:rsidRPr="005635D8">
        <w:rPr>
          <w:rFonts w:ascii="Calibri" w:eastAsia="Times New Roman" w:hAnsi="Calibri" w:cs="AdvPS6F00"/>
          <w:lang w:val="en-GB" w:eastAsia="nl-NL"/>
        </w:rPr>
        <w:t>There is some empirical evidence that the introduction of the IFRS had some positive effect</w:t>
      </w:r>
      <w:r w:rsidR="009F714B" w:rsidRPr="005635D8">
        <w:rPr>
          <w:rFonts w:ascii="Calibri" w:eastAsia="Times New Roman" w:hAnsi="Calibri" w:cs="AdvPS6F00"/>
          <w:lang w:val="en-GB" w:eastAsia="nl-NL"/>
        </w:rPr>
        <w:t>s</w:t>
      </w:r>
      <w:r w:rsidRPr="005635D8">
        <w:rPr>
          <w:rFonts w:ascii="Calibri" w:eastAsia="Times New Roman" w:hAnsi="Calibri" w:cs="AdvPS6F00"/>
          <w:lang w:val="en-GB" w:eastAsia="nl-NL"/>
        </w:rPr>
        <w:t xml:space="preserve">. </w:t>
      </w:r>
      <w:r w:rsidR="009F714B" w:rsidRPr="005635D8">
        <w:rPr>
          <w:rFonts w:ascii="Calibri" w:eastAsia="Times New Roman" w:hAnsi="Calibri" w:cs="AdvPS6F00"/>
          <w:lang w:val="en-GB" w:eastAsia="nl-NL"/>
        </w:rPr>
        <w:t>The market liqu</w:t>
      </w:r>
      <w:r w:rsidR="00225471" w:rsidRPr="005635D8">
        <w:rPr>
          <w:rFonts w:ascii="Calibri" w:eastAsia="Times New Roman" w:hAnsi="Calibri" w:cs="AdvPS6F00"/>
          <w:lang w:val="en-GB" w:eastAsia="nl-NL"/>
        </w:rPr>
        <w:t>idity seemed to increase and</w:t>
      </w:r>
      <w:r w:rsidR="009F714B" w:rsidRPr="005635D8">
        <w:rPr>
          <w:rFonts w:ascii="Calibri" w:eastAsia="Times New Roman" w:hAnsi="Calibri" w:cs="AdvPS6F00"/>
          <w:lang w:val="en-GB" w:eastAsia="nl-NL"/>
        </w:rPr>
        <w:t xml:space="preserve"> a decrease in fir</w:t>
      </w:r>
      <w:r w:rsidR="00483E48" w:rsidRPr="005635D8">
        <w:rPr>
          <w:rFonts w:ascii="Calibri" w:eastAsia="Times New Roman" w:hAnsi="Calibri" w:cs="AdvPS6F00"/>
          <w:lang w:val="en-GB" w:eastAsia="nl-NL"/>
        </w:rPr>
        <w:t>m</w:t>
      </w:r>
      <w:r w:rsidR="009F714B" w:rsidRPr="005635D8">
        <w:rPr>
          <w:rFonts w:ascii="Calibri" w:eastAsia="Times New Roman" w:hAnsi="Calibri" w:cs="AdvPS6F00"/>
          <w:lang w:val="en-GB" w:eastAsia="nl-NL"/>
        </w:rPr>
        <w:t>s’</w:t>
      </w:r>
      <w:r w:rsidR="00483E48" w:rsidRPr="005635D8">
        <w:rPr>
          <w:rFonts w:ascii="Calibri" w:eastAsia="Times New Roman" w:hAnsi="Calibri" w:cs="AdvPS6F00"/>
          <w:lang w:val="en-GB" w:eastAsia="nl-NL"/>
        </w:rPr>
        <w:t xml:space="preserve"> </w:t>
      </w:r>
      <w:r w:rsidR="009F714B" w:rsidRPr="005635D8">
        <w:rPr>
          <w:rFonts w:ascii="Calibri" w:eastAsia="Times New Roman" w:hAnsi="Calibri" w:cs="AdvPS6F00"/>
          <w:lang w:val="en-GB" w:eastAsia="nl-NL"/>
        </w:rPr>
        <w:t xml:space="preserve">cost of capital was observed (Daske et al. 2008). However, those findings could be influenced by other factors. Ball (2006, 6) observes that a century ago there was a successful push for mandating uniformity in accounting at the national level. A century later there is an analogous push for mandating uniformity at the international level. However, in the meantime no substantial evidence or literature has emerged in </w:t>
      </w:r>
      <w:r w:rsidR="005635D8" w:rsidRPr="005635D8">
        <w:rPr>
          <w:rFonts w:ascii="Calibri" w:eastAsia="Times New Roman" w:hAnsi="Calibri" w:cs="AdvPS6F00"/>
          <w:lang w:val="en-GB" w:eastAsia="nl-NL"/>
        </w:rPr>
        <w:t>favour</w:t>
      </w:r>
      <w:r w:rsidR="009F714B" w:rsidRPr="005635D8">
        <w:rPr>
          <w:rFonts w:ascii="Calibri" w:eastAsia="Times New Roman" w:hAnsi="Calibri" w:cs="AdvPS6F00"/>
          <w:lang w:val="en-GB" w:eastAsia="nl-NL"/>
        </w:rPr>
        <w:t xml:space="preserve"> – or against – uniformity in accounting standards. Whether international uniformity in accounting standards really is an improvement for international business is still a debatable question.    </w:t>
      </w:r>
    </w:p>
    <w:p w:rsidR="00CE7744" w:rsidRPr="005635D8" w:rsidRDefault="00CF05B4" w:rsidP="001E4C5D">
      <w:pPr>
        <w:pStyle w:val="Heading3"/>
        <w:rPr>
          <w:rFonts w:eastAsiaTheme="minorHAnsi"/>
          <w:lang w:val="en-GB"/>
        </w:rPr>
      </w:pPr>
      <w:bookmarkStart w:id="27" w:name="_Toc362267268"/>
      <w:r w:rsidRPr="005635D8">
        <w:rPr>
          <w:lang w:val="en-GB"/>
        </w:rPr>
        <w:t>3.3</w:t>
      </w:r>
      <w:r w:rsidR="00CD0B86" w:rsidRPr="005635D8">
        <w:rPr>
          <w:lang w:val="en-GB"/>
        </w:rPr>
        <w:t xml:space="preserve"> </w:t>
      </w:r>
      <w:r w:rsidR="00CE7744" w:rsidRPr="005635D8">
        <w:rPr>
          <w:lang w:val="en-GB"/>
        </w:rPr>
        <w:t>Similarities and differences</w:t>
      </w:r>
      <w:r w:rsidR="00CD0B86" w:rsidRPr="005635D8">
        <w:rPr>
          <w:lang w:val="en-GB"/>
        </w:rPr>
        <w:t xml:space="preserve"> between Dutch GAAP and IFRS</w:t>
      </w:r>
      <w:bookmarkEnd w:id="27"/>
    </w:p>
    <w:p w:rsidR="005C4AF8" w:rsidRPr="005635D8" w:rsidRDefault="00CD0B86" w:rsidP="00417CF9">
      <w:pPr>
        <w:autoSpaceDE w:val="0"/>
        <w:autoSpaceDN w:val="0"/>
        <w:adjustRightInd w:val="0"/>
        <w:spacing w:after="0"/>
        <w:jc w:val="both"/>
        <w:rPr>
          <w:rFonts w:ascii="Calibri" w:hAnsi="Calibri"/>
          <w:lang w:val="en-GB" w:eastAsia="nl-NL"/>
        </w:rPr>
      </w:pPr>
      <w:r w:rsidRPr="005635D8">
        <w:rPr>
          <w:rFonts w:ascii="Calibri" w:hAnsi="Calibri"/>
          <w:lang w:val="en-GB" w:eastAsia="nl-NL"/>
        </w:rPr>
        <w:t xml:space="preserve">As the empirical part of this study </w:t>
      </w:r>
      <w:r w:rsidR="005635D8" w:rsidRPr="005635D8">
        <w:rPr>
          <w:rFonts w:ascii="Calibri" w:hAnsi="Calibri"/>
          <w:lang w:val="en-GB" w:eastAsia="nl-NL"/>
        </w:rPr>
        <w:t>focuses</w:t>
      </w:r>
      <w:r w:rsidRPr="005635D8">
        <w:rPr>
          <w:rFonts w:ascii="Calibri" w:hAnsi="Calibri"/>
          <w:lang w:val="en-GB" w:eastAsia="nl-NL"/>
        </w:rPr>
        <w:t xml:space="preserve"> on the case of the Netherlands the differences between the IFRS and its predecessor the Dutch GAAP will shortly be </w:t>
      </w:r>
      <w:r w:rsidR="00640F0E" w:rsidRPr="005635D8">
        <w:rPr>
          <w:rFonts w:ascii="Calibri" w:hAnsi="Calibri"/>
          <w:lang w:val="en-GB" w:eastAsia="nl-NL"/>
        </w:rPr>
        <w:t>commented</w:t>
      </w:r>
      <w:r w:rsidRPr="005635D8">
        <w:rPr>
          <w:rFonts w:ascii="Calibri" w:hAnsi="Calibri"/>
          <w:lang w:val="en-GB" w:eastAsia="nl-NL"/>
        </w:rPr>
        <w:t>.</w:t>
      </w:r>
      <w:r w:rsidR="003B5E47" w:rsidRPr="005635D8">
        <w:rPr>
          <w:rFonts w:ascii="Calibri" w:hAnsi="Calibri"/>
          <w:lang w:val="en-GB" w:eastAsia="nl-NL"/>
        </w:rPr>
        <w:t xml:space="preserve"> Before the introduction of IFRS, Dutch li</w:t>
      </w:r>
      <w:r w:rsidR="00417CF9" w:rsidRPr="005635D8">
        <w:rPr>
          <w:rFonts w:ascii="Calibri" w:hAnsi="Calibri"/>
          <w:lang w:val="en-GB" w:eastAsia="nl-NL"/>
        </w:rPr>
        <w:t>sted companies prepared</w:t>
      </w:r>
      <w:r w:rsidR="003B5E47" w:rsidRPr="005635D8">
        <w:rPr>
          <w:rFonts w:ascii="Calibri" w:hAnsi="Calibri"/>
          <w:lang w:val="en-GB" w:eastAsia="nl-NL"/>
        </w:rPr>
        <w:t xml:space="preserve"> their </w:t>
      </w:r>
      <w:r w:rsidR="00417CF9" w:rsidRPr="005635D8">
        <w:rPr>
          <w:rFonts w:ascii="Calibri" w:hAnsi="Calibri"/>
          <w:lang w:val="en-GB" w:eastAsia="nl-NL"/>
        </w:rPr>
        <w:t xml:space="preserve">annual </w:t>
      </w:r>
      <w:r w:rsidR="003B5E47" w:rsidRPr="005635D8">
        <w:rPr>
          <w:rFonts w:ascii="Calibri" w:hAnsi="Calibri"/>
          <w:lang w:val="en-GB" w:eastAsia="nl-NL"/>
        </w:rPr>
        <w:t xml:space="preserve">financial </w:t>
      </w:r>
      <w:r w:rsidR="00417CF9" w:rsidRPr="005635D8">
        <w:rPr>
          <w:rFonts w:ascii="Calibri" w:hAnsi="Calibri"/>
          <w:lang w:val="en-GB" w:eastAsia="nl-NL"/>
        </w:rPr>
        <w:t>reports</w:t>
      </w:r>
      <w:r w:rsidR="003B5E47" w:rsidRPr="005635D8">
        <w:rPr>
          <w:rFonts w:ascii="Calibri" w:hAnsi="Calibri"/>
          <w:lang w:val="en-GB" w:eastAsia="nl-NL"/>
        </w:rPr>
        <w:t xml:space="preserve"> using the Dutch Generally Accepted Accounting Principles (Dutch GAAP). </w:t>
      </w:r>
      <w:r w:rsidRPr="005635D8">
        <w:rPr>
          <w:rFonts w:ascii="Calibri" w:hAnsi="Calibri"/>
          <w:lang w:val="en-GB" w:eastAsia="nl-NL"/>
        </w:rPr>
        <w:t xml:space="preserve"> </w:t>
      </w:r>
      <w:r w:rsidR="006E758C" w:rsidRPr="005635D8">
        <w:rPr>
          <w:rFonts w:ascii="Calibri" w:hAnsi="Calibri"/>
          <w:lang w:val="en-GB" w:eastAsia="nl-NL"/>
        </w:rPr>
        <w:t>As the Dutch GAAP</w:t>
      </w:r>
      <w:r w:rsidR="003B5E47" w:rsidRPr="005635D8">
        <w:rPr>
          <w:rFonts w:ascii="Calibri" w:hAnsi="Calibri"/>
          <w:lang w:val="en-GB" w:eastAsia="nl-NL"/>
        </w:rPr>
        <w:t xml:space="preserve"> was supposed to be one of the accounting standards that already </w:t>
      </w:r>
      <w:r w:rsidR="005635D8" w:rsidRPr="005635D8">
        <w:rPr>
          <w:rFonts w:ascii="Calibri" w:hAnsi="Calibri"/>
          <w:lang w:val="en-GB" w:eastAsia="nl-NL"/>
        </w:rPr>
        <w:t>complied well</w:t>
      </w:r>
      <w:r w:rsidR="00532143" w:rsidRPr="005635D8">
        <w:rPr>
          <w:rFonts w:ascii="Calibri" w:hAnsi="Calibri"/>
          <w:lang w:val="en-GB" w:eastAsia="nl-NL"/>
        </w:rPr>
        <w:t xml:space="preserve"> with the IAS (international predecessor of OFRS),</w:t>
      </w:r>
      <w:r w:rsidR="003B5E47" w:rsidRPr="005635D8">
        <w:rPr>
          <w:rFonts w:ascii="Calibri" w:hAnsi="Calibri"/>
          <w:lang w:val="en-GB" w:eastAsia="nl-NL"/>
        </w:rPr>
        <w:t xml:space="preserve"> the step from Dutch GAAP to IFRS was smaller than in many other countries (Heller 2002, 170). The quality of the standard was already high. </w:t>
      </w:r>
      <w:r w:rsidR="005C4AF8" w:rsidRPr="005635D8">
        <w:rPr>
          <w:rFonts w:ascii="Calibri" w:hAnsi="Calibri"/>
          <w:lang w:val="en-GB" w:eastAsia="nl-NL"/>
        </w:rPr>
        <w:t xml:space="preserve">However, there are some important differences. Where Dutch GAAP is often just regarded as a set of recommendations, IFRS is much more in-depth and prescriptive. Business owners will feel more restricted in their actions (BDO Netherlands 2013). </w:t>
      </w:r>
      <w:r w:rsidR="003B5E47" w:rsidRPr="005635D8">
        <w:rPr>
          <w:rFonts w:ascii="Calibri" w:hAnsi="Calibri"/>
          <w:lang w:val="en-GB" w:eastAsia="nl-NL"/>
        </w:rPr>
        <w:t xml:space="preserve"> </w:t>
      </w:r>
      <w:r w:rsidR="005C4AF8" w:rsidRPr="005635D8">
        <w:rPr>
          <w:rFonts w:ascii="Calibri" w:hAnsi="Calibri"/>
          <w:lang w:val="en-GB" w:eastAsia="nl-NL"/>
        </w:rPr>
        <w:t xml:space="preserve">The most important change after the implementation of the IFRS was the valuation of assets and liabilities. IFRS prescribe the fair value method (actual market value) instead of the historical cost pricing which is prescribed in Dutch GAAP. The main advantage of the fair value principle is that accounts present the actual and relevant decision making amounts / information which improves the understandability, reliability and comparability of the accounts (PWC 2007). The main disadvantage is the subjective elements which are used in the fair value method, like the impairment test. Due to </w:t>
      </w:r>
      <w:r w:rsidR="00381915" w:rsidRPr="005635D8">
        <w:rPr>
          <w:rFonts w:ascii="Calibri" w:hAnsi="Calibri"/>
          <w:lang w:val="en-GB" w:eastAsia="nl-NL"/>
        </w:rPr>
        <w:t>this</w:t>
      </w:r>
      <w:r w:rsidR="005C4AF8" w:rsidRPr="005635D8">
        <w:rPr>
          <w:rFonts w:ascii="Calibri" w:hAnsi="Calibri"/>
          <w:lang w:val="en-GB" w:eastAsia="nl-NL"/>
        </w:rPr>
        <w:t xml:space="preserve"> subjectivity</w:t>
      </w:r>
      <w:r w:rsidR="00532143" w:rsidRPr="005635D8">
        <w:rPr>
          <w:rFonts w:ascii="Calibri" w:hAnsi="Calibri"/>
          <w:lang w:val="en-GB" w:eastAsia="nl-NL"/>
        </w:rPr>
        <w:t>,</w:t>
      </w:r>
      <w:r w:rsidR="005C4AF8" w:rsidRPr="005635D8">
        <w:rPr>
          <w:rFonts w:ascii="Calibri" w:hAnsi="Calibri"/>
          <w:lang w:val="en-GB" w:eastAsia="nl-NL"/>
        </w:rPr>
        <w:t xml:space="preserve"> companies can use this element in applying earnings management. </w:t>
      </w:r>
      <w:r w:rsidR="00532143" w:rsidRPr="005635D8">
        <w:rPr>
          <w:rFonts w:ascii="Calibri" w:hAnsi="Calibri"/>
          <w:lang w:val="en-GB" w:eastAsia="nl-NL"/>
        </w:rPr>
        <w:t xml:space="preserve">Many more small technical differences on </w:t>
      </w:r>
      <w:r w:rsidR="005635D8" w:rsidRPr="005635D8">
        <w:rPr>
          <w:rFonts w:ascii="Calibri" w:hAnsi="Calibri"/>
          <w:lang w:val="en-GB" w:eastAsia="nl-NL"/>
        </w:rPr>
        <w:t>a detailed</w:t>
      </w:r>
      <w:r w:rsidR="00532143" w:rsidRPr="005635D8">
        <w:rPr>
          <w:rFonts w:ascii="Calibri" w:hAnsi="Calibri"/>
          <w:lang w:val="en-GB" w:eastAsia="nl-NL"/>
        </w:rPr>
        <w:t xml:space="preserve"> level exist between Dutch GAAP and IFRS.</w:t>
      </w:r>
    </w:p>
    <w:p w:rsidR="003B5E47" w:rsidRPr="005635D8" w:rsidRDefault="003B5E47" w:rsidP="006E758C">
      <w:pPr>
        <w:rPr>
          <w:rFonts w:ascii="Calibri" w:hAnsi="Calibri"/>
          <w:lang w:val="en-GB" w:eastAsia="nl-NL"/>
        </w:rPr>
      </w:pPr>
    </w:p>
    <w:p w:rsidR="00C37534" w:rsidRPr="005635D8" w:rsidRDefault="0087381C" w:rsidP="001E4C5D">
      <w:pPr>
        <w:pStyle w:val="Heading3"/>
        <w:rPr>
          <w:lang w:val="en-GB"/>
        </w:rPr>
      </w:pPr>
      <w:bookmarkStart w:id="28" w:name="_Toc362267269"/>
      <w:r w:rsidRPr="005635D8">
        <w:rPr>
          <w:lang w:val="en-GB"/>
        </w:rPr>
        <w:t>3</w:t>
      </w:r>
      <w:r w:rsidR="004573B9" w:rsidRPr="005635D8">
        <w:rPr>
          <w:lang w:val="en-GB"/>
        </w:rPr>
        <w:t>.</w:t>
      </w:r>
      <w:r w:rsidRPr="005635D8">
        <w:rPr>
          <w:lang w:val="en-GB"/>
        </w:rPr>
        <w:t>4</w:t>
      </w:r>
      <w:r w:rsidR="004573B9" w:rsidRPr="005635D8">
        <w:rPr>
          <w:lang w:val="en-GB"/>
        </w:rPr>
        <w:t xml:space="preserve"> </w:t>
      </w:r>
      <w:r w:rsidR="00AF57B3" w:rsidRPr="005635D8">
        <w:rPr>
          <w:lang w:val="en-GB"/>
        </w:rPr>
        <w:t>Summary</w:t>
      </w:r>
      <w:bookmarkEnd w:id="28"/>
      <w:r w:rsidR="00AF57B3" w:rsidRPr="005635D8">
        <w:rPr>
          <w:webHidden/>
          <w:lang w:val="en-GB"/>
        </w:rPr>
        <w:tab/>
      </w:r>
      <w:r w:rsidR="00C37534" w:rsidRPr="005635D8">
        <w:rPr>
          <w:lang w:val="en-GB"/>
        </w:rPr>
        <w:t xml:space="preserve"> </w:t>
      </w:r>
    </w:p>
    <w:p w:rsidR="0088349D" w:rsidRPr="005635D8" w:rsidRDefault="0034720C" w:rsidP="00166423">
      <w:pPr>
        <w:jc w:val="both"/>
        <w:rPr>
          <w:rFonts w:ascii="Calibri" w:hAnsi="Calibri"/>
          <w:webHidden/>
          <w:lang w:val="en-GB"/>
        </w:rPr>
      </w:pPr>
      <w:r w:rsidRPr="005635D8">
        <w:rPr>
          <w:rFonts w:ascii="Calibri" w:hAnsi="Calibri" w:cstheme="majorBidi"/>
          <w:lang w:val="en-GB"/>
        </w:rPr>
        <w:t>In this chapter</w:t>
      </w:r>
      <w:r w:rsidR="00C37534" w:rsidRPr="005635D8">
        <w:rPr>
          <w:rFonts w:ascii="Calibri" w:hAnsi="Calibri" w:cstheme="majorBidi"/>
          <w:lang w:val="en-GB"/>
        </w:rPr>
        <w:t xml:space="preserve"> development of the IFRS</w:t>
      </w:r>
      <w:r w:rsidR="00166423" w:rsidRPr="005635D8">
        <w:rPr>
          <w:rFonts w:ascii="Calibri" w:hAnsi="Calibri" w:cstheme="majorBidi"/>
          <w:lang w:val="en-GB"/>
        </w:rPr>
        <w:t xml:space="preserve"> and the purposes that it serves are</w:t>
      </w:r>
      <w:r w:rsidR="00C37534" w:rsidRPr="005635D8">
        <w:rPr>
          <w:rFonts w:ascii="Calibri" w:hAnsi="Calibri" w:cstheme="majorBidi"/>
          <w:lang w:val="en-GB"/>
        </w:rPr>
        <w:t xml:space="preserve"> described. It is argued that the main reasons for its implementation</w:t>
      </w:r>
      <w:r w:rsidRPr="005635D8">
        <w:rPr>
          <w:rFonts w:ascii="Calibri" w:hAnsi="Calibri" w:cstheme="majorBidi"/>
          <w:lang w:val="en-GB"/>
        </w:rPr>
        <w:t xml:space="preserve"> are</w:t>
      </w:r>
      <w:r w:rsidR="00C37534" w:rsidRPr="005635D8">
        <w:rPr>
          <w:rFonts w:ascii="Calibri" w:hAnsi="Calibri" w:cstheme="majorBidi"/>
          <w:lang w:val="en-GB"/>
        </w:rPr>
        <w:t xml:space="preserve"> the improved comparability, standardization and improvement of quality. Main advantages are </w:t>
      </w:r>
      <w:r w:rsidR="0011790A" w:rsidRPr="005635D8">
        <w:rPr>
          <w:rFonts w:ascii="Calibri" w:hAnsi="Calibri" w:cstheme="majorBidi"/>
          <w:lang w:val="en-GB"/>
        </w:rPr>
        <w:t xml:space="preserve">further that the market is expected to be more efficient, small investors can more easily compare information and international investment will be encouraged. Supposed disadvantages are possible misleading numbers in the reported information, information costs may rise as there can be doubt about the transparency of reported numbers which requires further research, </w:t>
      </w:r>
      <w:r w:rsidR="00554DA4" w:rsidRPr="005635D8">
        <w:rPr>
          <w:rFonts w:ascii="Calibri" w:hAnsi="Calibri" w:cstheme="majorBidi"/>
          <w:lang w:val="en-GB"/>
        </w:rPr>
        <w:t xml:space="preserve">and </w:t>
      </w:r>
      <w:r w:rsidR="0011790A" w:rsidRPr="005635D8">
        <w:rPr>
          <w:rFonts w:ascii="Calibri" w:hAnsi="Calibri" w:cstheme="majorBidi"/>
          <w:lang w:val="en-GB"/>
        </w:rPr>
        <w:t xml:space="preserve">the brand name runs the risk of deterioration. Finally it was set out that the main difference between Dutch GAAP and IFRS is the valuation method for assets and liabilities. </w:t>
      </w:r>
      <w:r w:rsidR="00F477D2" w:rsidRPr="005635D8">
        <w:rPr>
          <w:rFonts w:ascii="Calibri" w:hAnsi="Calibri" w:cstheme="majorBidi"/>
          <w:lang w:val="en-GB"/>
        </w:rPr>
        <w:t xml:space="preserve">The relation between the introduction of IFRS and </w:t>
      </w:r>
      <w:r w:rsidR="00921D67" w:rsidRPr="005635D8">
        <w:rPr>
          <w:rFonts w:ascii="Calibri" w:hAnsi="Calibri" w:cstheme="majorBidi"/>
          <w:lang w:val="en-GB"/>
        </w:rPr>
        <w:t>levels of earnings management is further explained in subsequent chapters.</w:t>
      </w:r>
      <w:r w:rsidR="00C37534" w:rsidRPr="005635D8">
        <w:rPr>
          <w:rFonts w:ascii="Calibri" w:hAnsi="Calibri" w:cstheme="majorBidi"/>
          <w:lang w:val="en-GB"/>
        </w:rPr>
        <w:t xml:space="preserve"> </w:t>
      </w:r>
      <w:r w:rsidR="00C37534" w:rsidRPr="005635D8">
        <w:rPr>
          <w:rFonts w:ascii="Calibri" w:hAnsi="Calibri"/>
          <w:lang w:val="en-GB"/>
        </w:rPr>
        <w:t xml:space="preserve"> </w:t>
      </w:r>
    </w:p>
    <w:p w:rsidR="007C1A7D" w:rsidRPr="005635D8" w:rsidRDefault="007C1A7D">
      <w:pPr>
        <w:rPr>
          <w:rFonts w:ascii="Calibri" w:hAnsi="Calibri"/>
          <w:b/>
          <w:bCs/>
          <w:sz w:val="28"/>
          <w:szCs w:val="28"/>
          <w:lang w:val="en-GB"/>
        </w:rPr>
      </w:pPr>
      <w:r w:rsidRPr="005635D8">
        <w:rPr>
          <w:rFonts w:ascii="Calibri" w:hAnsi="Calibri"/>
          <w:lang w:val="en-GB"/>
        </w:rPr>
        <w:br w:type="page"/>
      </w:r>
    </w:p>
    <w:p w:rsidR="00AF57B3" w:rsidRPr="005635D8" w:rsidRDefault="00923DD9" w:rsidP="00FB3B32">
      <w:pPr>
        <w:pStyle w:val="Heading1"/>
      </w:pPr>
      <w:bookmarkStart w:id="29" w:name="_Toc362267270"/>
      <w:r w:rsidRPr="005635D8">
        <w:t>4</w:t>
      </w:r>
      <w:r w:rsidR="00154E71" w:rsidRPr="005635D8">
        <w:t xml:space="preserve"> </w:t>
      </w:r>
      <w:r w:rsidR="00AF57B3" w:rsidRPr="005635D8">
        <w:t>Earnings management</w:t>
      </w:r>
      <w:bookmarkEnd w:id="29"/>
    </w:p>
    <w:p w:rsidR="00076FAB" w:rsidRPr="005635D8" w:rsidRDefault="00076FAB" w:rsidP="007C1A7D">
      <w:pPr>
        <w:jc w:val="both"/>
        <w:rPr>
          <w:rFonts w:ascii="Calibri" w:hAnsi="Calibri"/>
          <w:lang w:val="en-GB"/>
        </w:rPr>
      </w:pPr>
      <w:bookmarkStart w:id="30" w:name="_Toc359925022"/>
    </w:p>
    <w:p w:rsidR="003530CA" w:rsidRPr="005635D8" w:rsidRDefault="003530CA" w:rsidP="007C1A7D">
      <w:pPr>
        <w:jc w:val="both"/>
        <w:rPr>
          <w:rFonts w:ascii="Calibri" w:hAnsi="Calibri"/>
          <w:lang w:val="en-GB"/>
        </w:rPr>
      </w:pPr>
      <w:r w:rsidRPr="005635D8">
        <w:rPr>
          <w:rFonts w:ascii="Calibri" w:hAnsi="Calibri"/>
          <w:lang w:val="en-GB"/>
        </w:rPr>
        <w:t xml:space="preserve">The previous chapter </w:t>
      </w:r>
      <w:r w:rsidR="00640F0E" w:rsidRPr="005635D8">
        <w:rPr>
          <w:rFonts w:ascii="Calibri" w:hAnsi="Calibri"/>
          <w:lang w:val="en-GB"/>
        </w:rPr>
        <w:t>commented</w:t>
      </w:r>
      <w:r w:rsidRPr="005635D8">
        <w:rPr>
          <w:rFonts w:ascii="Calibri" w:hAnsi="Calibri"/>
          <w:lang w:val="en-GB"/>
        </w:rPr>
        <w:t xml:space="preserve"> several background theories on accounting practices. Those theories showed some different interpretations of the underlying strategic considerations influencing the extent into which all the available information will be transmitted to shareholders and owners of companies by the management. In this chapter I turn to the concept of earnings management as </w:t>
      </w:r>
      <w:r w:rsidR="009B35A3" w:rsidRPr="005635D8">
        <w:rPr>
          <w:rFonts w:ascii="Calibri" w:hAnsi="Calibri"/>
          <w:lang w:val="en-GB"/>
        </w:rPr>
        <w:t>a specific type of judgment by managers about the accounting information that will be reported to people who need it.</w:t>
      </w:r>
      <w:bookmarkEnd w:id="30"/>
      <w:r w:rsidR="009B35A3" w:rsidRPr="005635D8">
        <w:rPr>
          <w:rFonts w:ascii="Calibri" w:hAnsi="Calibri"/>
          <w:lang w:val="en-GB"/>
        </w:rPr>
        <w:t xml:space="preserve"> </w:t>
      </w:r>
      <w:r w:rsidR="0087381C" w:rsidRPr="005635D8">
        <w:rPr>
          <w:rFonts w:ascii="Calibri" w:hAnsi="Calibri"/>
          <w:lang w:val="en-GB"/>
        </w:rPr>
        <w:t xml:space="preserve">By investigating into the concept of earnings management the sub question asking </w:t>
      </w:r>
      <w:r w:rsidR="00F57B55" w:rsidRPr="005635D8">
        <w:rPr>
          <w:rFonts w:ascii="Calibri" w:hAnsi="Calibri"/>
          <w:lang w:val="en-GB"/>
        </w:rPr>
        <w:t>in which way</w:t>
      </w:r>
      <w:r w:rsidR="0087381C" w:rsidRPr="005635D8">
        <w:rPr>
          <w:lang w:val="en-GB"/>
        </w:rPr>
        <w:t xml:space="preserve"> the use of earnings management is defined, which types of earnings management exist and what the main incentives for engaging in earnings management are will be answered.</w:t>
      </w:r>
    </w:p>
    <w:p w:rsidR="00AF57B3" w:rsidRPr="005635D8" w:rsidRDefault="00923DD9" w:rsidP="001E4C5D">
      <w:pPr>
        <w:pStyle w:val="Heading3"/>
        <w:rPr>
          <w:lang w:val="en-GB"/>
        </w:rPr>
      </w:pPr>
      <w:bookmarkStart w:id="31" w:name="_Toc362267271"/>
      <w:r w:rsidRPr="005635D8">
        <w:rPr>
          <w:lang w:val="en-GB"/>
        </w:rPr>
        <w:t>4</w:t>
      </w:r>
      <w:r w:rsidR="00A009EF" w:rsidRPr="005635D8">
        <w:rPr>
          <w:lang w:val="en-GB"/>
        </w:rPr>
        <w:t xml:space="preserve">.1 </w:t>
      </w:r>
      <w:r w:rsidR="00AF57B3" w:rsidRPr="005635D8">
        <w:rPr>
          <w:lang w:val="en-GB"/>
        </w:rPr>
        <w:t>Defining Earnings Management</w:t>
      </w:r>
      <w:bookmarkEnd w:id="31"/>
    </w:p>
    <w:p w:rsidR="009B35A3" w:rsidRPr="005635D8" w:rsidRDefault="009B35A3" w:rsidP="00762D20">
      <w:pPr>
        <w:autoSpaceDE w:val="0"/>
        <w:autoSpaceDN w:val="0"/>
        <w:adjustRightInd w:val="0"/>
        <w:spacing w:after="0"/>
        <w:jc w:val="both"/>
        <w:rPr>
          <w:rFonts w:ascii="Calibri" w:eastAsia="Times New Roman" w:hAnsi="Calibri" w:cs="AdvPS6F00"/>
          <w:lang w:val="en-GB" w:eastAsia="nl-NL"/>
        </w:rPr>
      </w:pPr>
      <w:r w:rsidRPr="005635D8">
        <w:rPr>
          <w:rFonts w:ascii="Calibri" w:eastAsia="Times New Roman" w:hAnsi="Calibri" w:cs="AdvPS6F00"/>
          <w:lang w:val="en-GB" w:eastAsia="nl-NL"/>
        </w:rPr>
        <w:t>The most commonly used definition of earnings management is that</w:t>
      </w:r>
      <w:r w:rsidR="00EB6432" w:rsidRPr="005635D8">
        <w:rPr>
          <w:rFonts w:ascii="Calibri" w:eastAsia="Times New Roman" w:hAnsi="Calibri" w:cs="AdvPS6F00"/>
          <w:lang w:val="en-GB" w:eastAsia="nl-NL"/>
        </w:rPr>
        <w:t xml:space="preserve"> “Earnings management occurs when managers use judgment in financial reporting and in structuring transactions to alter financial reports to either mislead some stakeholders about the underlying economic performance of the company or to influence contractual outcomes that depend on reported accounting number”</w:t>
      </w:r>
      <w:r w:rsidRPr="005635D8">
        <w:rPr>
          <w:rFonts w:ascii="Calibri" w:eastAsia="Times New Roman" w:hAnsi="Calibri" w:cs="AdvPS6F00"/>
          <w:lang w:val="en-GB" w:eastAsia="nl-NL"/>
        </w:rPr>
        <w:t xml:space="preserve"> (Healy and Wahlen 1999, 368).</w:t>
      </w:r>
      <w:r w:rsidR="00E912C7" w:rsidRPr="005635D8">
        <w:rPr>
          <w:rFonts w:ascii="Calibri" w:eastAsia="Times New Roman" w:hAnsi="Calibri" w:cs="AdvPS6F00"/>
          <w:lang w:val="en-GB" w:eastAsia="nl-NL"/>
        </w:rPr>
        <w:t xml:space="preserve"> The financial reporting process will always be up to some subjective interpretation</w:t>
      </w:r>
      <w:r w:rsidR="00FA74E3" w:rsidRPr="005635D8">
        <w:rPr>
          <w:rFonts w:ascii="Calibri" w:eastAsia="Times New Roman" w:hAnsi="Calibri" w:cs="AdvPS6F00"/>
          <w:lang w:val="en-GB" w:eastAsia="nl-NL"/>
        </w:rPr>
        <w:t>,</w:t>
      </w:r>
      <w:r w:rsidR="00E912C7" w:rsidRPr="005635D8">
        <w:rPr>
          <w:rFonts w:ascii="Calibri" w:eastAsia="Times New Roman" w:hAnsi="Calibri" w:cs="AdvPS6F00"/>
          <w:lang w:val="en-GB" w:eastAsia="nl-NL"/>
        </w:rPr>
        <w:t xml:space="preserve"> as reporting methods and estimates always have to be chosen by the agent who reports.</w:t>
      </w:r>
      <w:r w:rsidR="0092438B" w:rsidRPr="005635D8">
        <w:rPr>
          <w:rFonts w:ascii="Calibri" w:eastAsia="Times New Roman" w:hAnsi="Calibri" w:cs="AdvPS6F00"/>
          <w:lang w:val="en-GB" w:eastAsia="nl-NL"/>
        </w:rPr>
        <w:t xml:space="preserve"> As managers have to estimate several future economic developments </w:t>
      </w:r>
      <w:r w:rsidR="00762D20" w:rsidRPr="005635D8">
        <w:rPr>
          <w:rFonts w:ascii="Calibri" w:eastAsia="Times New Roman" w:hAnsi="Calibri" w:cs="AdvPS6F00"/>
          <w:lang w:val="en-GB" w:eastAsia="nl-NL"/>
        </w:rPr>
        <w:t>related to the firm such as</w:t>
      </w:r>
      <w:r w:rsidR="00E912C7" w:rsidRPr="005635D8">
        <w:rPr>
          <w:rFonts w:ascii="Calibri" w:eastAsia="Times New Roman" w:hAnsi="Calibri" w:cs="AdvPS6F00"/>
          <w:lang w:val="en-GB" w:eastAsia="nl-NL"/>
        </w:rPr>
        <w:t xml:space="preserve"> </w:t>
      </w:r>
      <w:r w:rsidR="00762D20" w:rsidRPr="005635D8">
        <w:rPr>
          <w:rFonts w:ascii="Calibri" w:hAnsi="Calibri" w:cs="Times New Roman"/>
          <w:lang w:val="en-GB"/>
        </w:rPr>
        <w:t>expected lives and salvage values of long-term assets, pension benefit obligations for employers and other post-employment benefits, deferred taxes, and losses from bad debts and asset impairments, it is inevitable that managerial judgment will be used because the exact value of those account is not known at the current moment.</w:t>
      </w:r>
      <w:r w:rsidR="00762D20" w:rsidRPr="005635D8">
        <w:rPr>
          <w:rFonts w:ascii="Calibri" w:eastAsia="Times New Roman" w:hAnsi="Calibri" w:cs="AdvPS6F00"/>
          <w:lang w:val="en-GB" w:eastAsia="nl-NL"/>
        </w:rPr>
        <w:t xml:space="preserve"> </w:t>
      </w:r>
      <w:r w:rsidR="00323D4C" w:rsidRPr="005635D8">
        <w:rPr>
          <w:rFonts w:ascii="Calibri" w:hAnsi="Calibri" w:cs="Times New Roman"/>
          <w:lang w:val="en-GB"/>
        </w:rPr>
        <w:t>In addition</w:t>
      </w:r>
      <w:r w:rsidR="00DA51F5" w:rsidRPr="005635D8">
        <w:rPr>
          <w:rFonts w:ascii="Calibri" w:hAnsi="Calibri" w:cs="Times New Roman"/>
          <w:lang w:val="en-GB"/>
        </w:rPr>
        <w:t xml:space="preserve"> expenditures on activities such as research and development and advertising rely on decisions by managers for their financing (Healy 1985, 369). </w:t>
      </w:r>
      <w:r w:rsidR="00E912C7" w:rsidRPr="005635D8">
        <w:rPr>
          <w:rFonts w:ascii="Calibri" w:eastAsia="Times New Roman" w:hAnsi="Calibri" w:cs="AdvPS6F00"/>
          <w:lang w:val="en-GB" w:eastAsia="nl-NL"/>
        </w:rPr>
        <w:t>As managers have some discretion available it is possible for them to involve themselves in some purposeful</w:t>
      </w:r>
      <w:r w:rsidR="009104B0" w:rsidRPr="005635D8">
        <w:rPr>
          <w:rFonts w:ascii="Calibri" w:eastAsia="Times New Roman" w:hAnsi="Calibri" w:cs="AdvPS6F00"/>
          <w:lang w:val="en-GB" w:eastAsia="nl-NL"/>
        </w:rPr>
        <w:t xml:space="preserve"> intervention in the firms reporting process. Under normal circumstances the judgments allowed to them enables mangers to choose the reporting methods, estimates, and disclosures that match the firm best and thereby provide the most information for financial statement users (1999</w:t>
      </w:r>
      <w:r w:rsidR="00C6429D" w:rsidRPr="005635D8">
        <w:rPr>
          <w:rFonts w:ascii="Calibri" w:eastAsia="Times New Roman" w:hAnsi="Calibri" w:cs="AdvPS6F00"/>
          <w:lang w:val="en-GB" w:eastAsia="nl-NL"/>
        </w:rPr>
        <w:t>, 366</w:t>
      </w:r>
      <w:r w:rsidR="009104B0" w:rsidRPr="005635D8">
        <w:rPr>
          <w:rFonts w:ascii="Calibri" w:eastAsia="Times New Roman" w:hAnsi="Calibri" w:cs="AdvPS6F00"/>
          <w:lang w:val="en-GB" w:eastAsia="nl-NL"/>
        </w:rPr>
        <w:t>).</w:t>
      </w:r>
      <w:r w:rsidR="00C6429D" w:rsidRPr="005635D8">
        <w:rPr>
          <w:rFonts w:ascii="Calibri" w:eastAsia="Times New Roman" w:hAnsi="Calibri" w:cs="AdvPS6F00"/>
          <w:lang w:val="en-GB" w:eastAsia="nl-NL"/>
        </w:rPr>
        <w:t xml:space="preserve"> </w:t>
      </w:r>
      <w:r w:rsidR="009104B0" w:rsidRPr="005635D8">
        <w:rPr>
          <w:rFonts w:ascii="Calibri" w:eastAsia="Times New Roman" w:hAnsi="Calibri" w:cs="AdvPS6F00"/>
          <w:lang w:val="en-GB" w:eastAsia="nl-NL"/>
        </w:rPr>
        <w:t xml:space="preserve"> But when managers use their judgment in order to mislead stakeholders or to influence contractual outcomes this is earnings management.</w:t>
      </w:r>
      <w:r w:rsidR="00E86F47" w:rsidRPr="005635D8">
        <w:rPr>
          <w:rFonts w:ascii="Calibri" w:eastAsia="Times New Roman" w:hAnsi="Calibri" w:cs="AdvPS6F00"/>
          <w:lang w:val="en-GB" w:eastAsia="nl-NL"/>
        </w:rPr>
        <w:t xml:space="preserve"> A central aspect of this definition is the purposeful intervention</w:t>
      </w:r>
      <w:r w:rsidR="00762D20" w:rsidRPr="005635D8">
        <w:rPr>
          <w:rFonts w:ascii="Calibri" w:eastAsia="Times New Roman" w:hAnsi="Calibri" w:cs="AdvPS6F00"/>
          <w:lang w:val="en-GB" w:eastAsia="nl-NL"/>
        </w:rPr>
        <w:t xml:space="preserve"> into the accounting process by the</w:t>
      </w:r>
      <w:r w:rsidR="00E86F47" w:rsidRPr="005635D8">
        <w:rPr>
          <w:rFonts w:ascii="Calibri" w:eastAsia="Times New Roman" w:hAnsi="Calibri" w:cs="AdvPS6F00"/>
          <w:lang w:val="en-GB" w:eastAsia="nl-NL"/>
        </w:rPr>
        <w:t xml:space="preserve"> management</w:t>
      </w:r>
      <w:r w:rsidR="00762D20" w:rsidRPr="005635D8">
        <w:rPr>
          <w:rFonts w:ascii="Calibri" w:eastAsia="Times New Roman" w:hAnsi="Calibri" w:cs="AdvPS6F00"/>
          <w:lang w:val="en-GB" w:eastAsia="nl-NL"/>
        </w:rPr>
        <w:t xml:space="preserve"> of a firm</w:t>
      </w:r>
      <w:r w:rsidR="00E86F47" w:rsidRPr="005635D8">
        <w:rPr>
          <w:rFonts w:ascii="Calibri" w:eastAsia="Times New Roman" w:hAnsi="Calibri" w:cs="AdvPS6F00"/>
          <w:lang w:val="en-GB" w:eastAsia="nl-NL"/>
        </w:rPr>
        <w:t>.</w:t>
      </w:r>
      <w:r w:rsidR="00E912C7" w:rsidRPr="005635D8">
        <w:rPr>
          <w:rFonts w:ascii="Calibri" w:eastAsia="Times New Roman" w:hAnsi="Calibri" w:cs="AdvPS6F00"/>
          <w:lang w:val="en-GB" w:eastAsia="nl-NL"/>
        </w:rPr>
        <w:t xml:space="preserve"> </w:t>
      </w:r>
      <w:r w:rsidR="00267763" w:rsidRPr="005635D8">
        <w:rPr>
          <w:rFonts w:ascii="Calibri" w:eastAsia="Times New Roman" w:hAnsi="Calibri" w:cs="AdvPS6F00"/>
          <w:lang w:val="en-GB" w:eastAsia="nl-NL"/>
        </w:rPr>
        <w:t>Whether this intervention only serves the collective interests of the firm or the collective interests of the management or whether this intervention mainly serves the private interests of managers is unspecified.</w:t>
      </w:r>
    </w:p>
    <w:p w:rsidR="00521FB4" w:rsidRPr="005635D8" w:rsidRDefault="00521FB4" w:rsidP="00A65C5E">
      <w:pPr>
        <w:autoSpaceDE w:val="0"/>
        <w:autoSpaceDN w:val="0"/>
        <w:adjustRightInd w:val="0"/>
        <w:spacing w:after="0"/>
        <w:rPr>
          <w:rFonts w:ascii="Calibri" w:eastAsia="Times New Roman" w:hAnsi="Calibri" w:cs="AdvPS6F00"/>
          <w:lang w:val="en-GB" w:eastAsia="nl-NL"/>
        </w:rPr>
      </w:pPr>
    </w:p>
    <w:p w:rsidR="009B35A3" w:rsidRPr="005635D8" w:rsidRDefault="00E86F47" w:rsidP="00C6429D">
      <w:pPr>
        <w:autoSpaceDE w:val="0"/>
        <w:autoSpaceDN w:val="0"/>
        <w:adjustRightInd w:val="0"/>
        <w:spacing w:after="0"/>
        <w:jc w:val="both"/>
        <w:rPr>
          <w:rFonts w:ascii="Calibri" w:eastAsia="Times New Roman" w:hAnsi="Calibri" w:cs="AdvPS6F00"/>
          <w:lang w:val="en-GB" w:eastAsia="nl-NL"/>
        </w:rPr>
      </w:pPr>
      <w:r w:rsidRPr="005635D8">
        <w:rPr>
          <w:rFonts w:ascii="Calibri" w:eastAsia="Times New Roman" w:hAnsi="Calibri" w:cs="AdvPS6F00"/>
          <w:lang w:val="en-GB" w:eastAsia="nl-NL"/>
        </w:rPr>
        <w:t xml:space="preserve">Other scholars took it a bit further by especially emphasizing the role of aiming at acquiring private advantage by managers. Schipper (1989) has defined earnings management as an involvement on purpose in the financial statements with the purpose of acquiring </w:t>
      </w:r>
      <w:r w:rsidR="00E14CFA" w:rsidRPr="005635D8">
        <w:rPr>
          <w:rFonts w:ascii="Calibri" w:eastAsia="Times New Roman" w:hAnsi="Calibri" w:cs="AdvPS6F00"/>
          <w:lang w:val="en-GB" w:eastAsia="nl-NL"/>
        </w:rPr>
        <w:t xml:space="preserve">private advantage. </w:t>
      </w:r>
      <w:r w:rsidRPr="005635D8">
        <w:rPr>
          <w:rFonts w:ascii="Calibri" w:eastAsia="Times New Roman" w:hAnsi="Calibri" w:cs="AdvPS6F00"/>
          <w:lang w:val="en-GB" w:eastAsia="nl-NL"/>
        </w:rPr>
        <w:t xml:space="preserve">Matis, Vladu, Negrea and Sucala (2010) define earnings management as a </w:t>
      </w:r>
      <w:r w:rsidR="00FA74E3" w:rsidRPr="005635D8">
        <w:rPr>
          <w:rFonts w:ascii="Calibri" w:eastAsia="Times New Roman" w:hAnsi="Calibri" w:cs="AdvPS6F00"/>
          <w:lang w:val="en-GB" w:eastAsia="nl-NL"/>
        </w:rPr>
        <w:t>practice</w:t>
      </w:r>
      <w:r w:rsidRPr="005635D8">
        <w:rPr>
          <w:rFonts w:ascii="Calibri" w:eastAsia="Times New Roman" w:hAnsi="Calibri" w:cs="AdvPS6F00"/>
          <w:lang w:val="en-GB" w:eastAsia="nl-NL"/>
        </w:rPr>
        <w:t xml:space="preserve"> of managers utilizing their discretion over accounting accruals and financial reporting choices, probably to gain private profits.</w:t>
      </w:r>
      <w:r w:rsidR="00267763" w:rsidRPr="005635D8">
        <w:rPr>
          <w:rFonts w:ascii="Calibri" w:eastAsia="Times New Roman" w:hAnsi="Calibri" w:cs="AdvPS6F00"/>
          <w:lang w:val="en-GB" w:eastAsia="nl-NL"/>
        </w:rPr>
        <w:t xml:space="preserve"> In contrast to this opinion Mohanram (2003) states that managers make sometimes decisions which do not serve any strategic motives but have only the purpose of changing the income statement. This can from his point of view </w:t>
      </w:r>
      <w:r w:rsidR="00323D4C" w:rsidRPr="005635D8">
        <w:rPr>
          <w:rFonts w:ascii="Calibri" w:eastAsia="Times New Roman" w:hAnsi="Calibri" w:cs="AdvPS6F00"/>
          <w:lang w:val="en-GB" w:eastAsia="nl-NL"/>
        </w:rPr>
        <w:t>in addition</w:t>
      </w:r>
      <w:r w:rsidR="00267763" w:rsidRPr="005635D8">
        <w:rPr>
          <w:rFonts w:ascii="Calibri" w:eastAsia="Times New Roman" w:hAnsi="Calibri" w:cs="AdvPS6F00"/>
          <w:lang w:val="en-GB" w:eastAsia="nl-NL"/>
        </w:rPr>
        <w:t xml:space="preserve"> be seen as earnings management.</w:t>
      </w:r>
      <w:r w:rsidR="00BC0372" w:rsidRPr="005635D8">
        <w:rPr>
          <w:rFonts w:ascii="Calibri" w:eastAsia="Times New Roman" w:hAnsi="Calibri" w:cs="AdvPS6F00"/>
          <w:lang w:val="en-GB" w:eastAsia="nl-NL"/>
        </w:rPr>
        <w:t xml:space="preserve"> </w:t>
      </w:r>
      <w:r w:rsidR="00043824" w:rsidRPr="005635D8">
        <w:rPr>
          <w:rFonts w:ascii="Calibri" w:eastAsia="Times New Roman" w:hAnsi="Calibri" w:cs="AdvPS6F00"/>
          <w:lang w:val="en-GB" w:eastAsia="nl-NL"/>
        </w:rPr>
        <w:t>It is up to debate whether earnings management always sole</w:t>
      </w:r>
      <w:r w:rsidR="00FA74E3" w:rsidRPr="005635D8">
        <w:rPr>
          <w:rFonts w:ascii="Calibri" w:eastAsia="Times New Roman" w:hAnsi="Calibri" w:cs="AdvPS6F00"/>
          <w:lang w:val="en-GB" w:eastAsia="nl-NL"/>
        </w:rPr>
        <w:t>ly involves aiming at acquiring</w:t>
      </w:r>
      <w:r w:rsidR="00043824" w:rsidRPr="005635D8">
        <w:rPr>
          <w:rFonts w:ascii="Calibri" w:eastAsia="Times New Roman" w:hAnsi="Calibri" w:cs="AdvPS6F00"/>
          <w:lang w:val="en-GB" w:eastAsia="nl-NL"/>
        </w:rPr>
        <w:t xml:space="preserve"> private advantage by managers.</w:t>
      </w:r>
    </w:p>
    <w:p w:rsidR="00212684" w:rsidRPr="005635D8" w:rsidRDefault="00212684" w:rsidP="00A015AB">
      <w:pPr>
        <w:autoSpaceDE w:val="0"/>
        <w:autoSpaceDN w:val="0"/>
        <w:adjustRightInd w:val="0"/>
        <w:spacing w:after="0" w:line="240" w:lineRule="auto"/>
        <w:rPr>
          <w:rFonts w:ascii="Calibri" w:eastAsia="Times New Roman" w:hAnsi="Calibri" w:cs="AdvPS6F00"/>
          <w:lang w:val="en-GB" w:eastAsia="nl-NL"/>
        </w:rPr>
      </w:pPr>
    </w:p>
    <w:p w:rsidR="00BC0372" w:rsidRPr="005635D8" w:rsidRDefault="0098240C" w:rsidP="00A4490C">
      <w:pPr>
        <w:jc w:val="both"/>
        <w:rPr>
          <w:rFonts w:ascii="Calibri" w:hAnsi="Calibri"/>
          <w:lang w:val="en-GB"/>
        </w:rPr>
      </w:pPr>
      <w:r w:rsidRPr="005635D8">
        <w:rPr>
          <w:rFonts w:ascii="Calibri" w:eastAsia="Times New Roman" w:hAnsi="Calibri" w:cs="AdvPS6F00"/>
          <w:lang w:val="en-GB" w:eastAsia="nl-NL"/>
        </w:rPr>
        <w:t>Based</w:t>
      </w:r>
      <w:r w:rsidR="00043824" w:rsidRPr="005635D8">
        <w:rPr>
          <w:rFonts w:ascii="Calibri" w:eastAsia="Times New Roman" w:hAnsi="Calibri" w:cs="AdvPS6F00"/>
          <w:lang w:val="en-GB" w:eastAsia="nl-NL"/>
        </w:rPr>
        <w:t xml:space="preserve"> at the extent into which misleading shareholders is a serious crime it is said that e</w:t>
      </w:r>
      <w:r w:rsidR="00BC0372" w:rsidRPr="005635D8">
        <w:rPr>
          <w:rFonts w:ascii="Calibri" w:eastAsia="Times New Roman" w:hAnsi="Calibri" w:cs="AdvPS6F00"/>
          <w:lang w:val="en-GB" w:eastAsia="nl-NL"/>
        </w:rPr>
        <w:t xml:space="preserve">arnings management can be either within or outside the boundaries of the law and standards. </w:t>
      </w:r>
      <w:r w:rsidR="00043824" w:rsidRPr="005635D8">
        <w:rPr>
          <w:rFonts w:ascii="Calibri" w:eastAsia="Times New Roman" w:hAnsi="Calibri" w:cs="AdvPS6F00"/>
          <w:lang w:val="en-GB" w:eastAsia="nl-NL"/>
        </w:rPr>
        <w:t>“</w:t>
      </w:r>
      <w:r w:rsidR="00BC0372" w:rsidRPr="005635D8">
        <w:rPr>
          <w:rFonts w:ascii="Calibri" w:eastAsia="Times New Roman" w:hAnsi="Calibri" w:cs="AdvPS6F00"/>
          <w:lang w:val="en-GB" w:eastAsia="nl-NL"/>
        </w:rPr>
        <w:t xml:space="preserve">Earnings management within the law </w:t>
      </w:r>
      <w:r w:rsidRPr="005635D8">
        <w:rPr>
          <w:rFonts w:ascii="Calibri" w:eastAsia="Times New Roman" w:hAnsi="Calibri" w:cs="AdvPS6F00"/>
          <w:lang w:val="en-GB" w:eastAsia="nl-NL"/>
        </w:rPr>
        <w:t>implies</w:t>
      </w:r>
      <w:r w:rsidR="00BC0372" w:rsidRPr="005635D8">
        <w:rPr>
          <w:rFonts w:ascii="Calibri" w:eastAsia="Times New Roman" w:hAnsi="Calibri" w:cs="AdvPS6F00"/>
          <w:lang w:val="en-GB" w:eastAsia="nl-NL"/>
        </w:rPr>
        <w:t xml:space="preserve"> that the rules are not crossed, because the regulator allows for a certain degree of interpretation. Manipulation outside the law constitutes fraud and is illegal</w:t>
      </w:r>
      <w:r w:rsidR="00043824" w:rsidRPr="005635D8">
        <w:rPr>
          <w:rFonts w:ascii="Calibri" w:eastAsia="Times New Roman" w:hAnsi="Calibri" w:cs="AdvPS6F00"/>
          <w:lang w:val="en-GB" w:eastAsia="nl-NL"/>
        </w:rPr>
        <w:t>”</w:t>
      </w:r>
      <w:r w:rsidR="00BC0372" w:rsidRPr="005635D8">
        <w:rPr>
          <w:rFonts w:ascii="Calibri" w:eastAsia="Times New Roman" w:hAnsi="Calibri" w:cs="AdvPS6F00"/>
          <w:lang w:val="en-GB" w:eastAsia="nl-NL"/>
        </w:rPr>
        <w:t xml:space="preserve"> (Stolowy and Breton 2004). </w:t>
      </w:r>
      <w:r w:rsidR="00323D4C" w:rsidRPr="005635D8">
        <w:rPr>
          <w:rFonts w:ascii="Calibri" w:eastAsia="Times New Roman" w:hAnsi="Calibri" w:cs="AdvPS6F00"/>
          <w:lang w:val="en-GB" w:eastAsia="nl-NL"/>
        </w:rPr>
        <w:t xml:space="preserve">Based on this </w:t>
      </w:r>
      <w:r w:rsidR="00FA74E3" w:rsidRPr="005635D8">
        <w:rPr>
          <w:rFonts w:ascii="Calibri" w:eastAsia="Times New Roman" w:hAnsi="Calibri" w:cs="AdvPS6F00"/>
          <w:lang w:val="en-GB" w:eastAsia="nl-NL"/>
        </w:rPr>
        <w:t xml:space="preserve">should not be concluded that earnings management within the </w:t>
      </w:r>
      <w:r w:rsidR="00D61890" w:rsidRPr="005635D8">
        <w:rPr>
          <w:rFonts w:ascii="Calibri" w:eastAsia="Times New Roman" w:hAnsi="Calibri" w:cs="AdvPS6F00"/>
          <w:lang w:val="en-GB" w:eastAsia="nl-NL"/>
        </w:rPr>
        <w:t xml:space="preserve">rules of the law </w:t>
      </w:r>
      <w:r w:rsidR="00323D4C" w:rsidRPr="005635D8">
        <w:rPr>
          <w:rFonts w:ascii="Calibri" w:eastAsia="Times New Roman" w:hAnsi="Calibri" w:cs="AdvPS6F00"/>
          <w:lang w:val="en-GB" w:eastAsia="nl-NL"/>
        </w:rPr>
        <w:t xml:space="preserve">does not </w:t>
      </w:r>
      <w:r w:rsidR="00D61890" w:rsidRPr="005635D8">
        <w:rPr>
          <w:rFonts w:ascii="Calibri" w:eastAsia="Times New Roman" w:hAnsi="Calibri" w:cs="AdvPS6F00"/>
          <w:lang w:val="en-GB" w:eastAsia="nl-NL"/>
        </w:rPr>
        <w:t xml:space="preserve">harm any of the interests of shareholders or other person involved. </w:t>
      </w:r>
      <w:r w:rsidR="00A4490C" w:rsidRPr="005635D8">
        <w:rPr>
          <w:rFonts w:ascii="Calibri" w:hAnsi="Calibri"/>
          <w:lang w:val="en-GB"/>
        </w:rPr>
        <w:t xml:space="preserve">The distortion of firm’s financial reporting masks the true performance and may mislead the users. Lower (higher) earnings management indicates higher (lower) quality of financial reporting (Cai et al. 2008, 6). </w:t>
      </w:r>
      <w:r w:rsidR="00D61890" w:rsidRPr="005635D8">
        <w:rPr>
          <w:rFonts w:ascii="Calibri" w:eastAsia="Times New Roman" w:hAnsi="Calibri" w:cs="AdvPS6F00"/>
          <w:lang w:val="en-GB" w:eastAsia="nl-NL"/>
        </w:rPr>
        <w:t>However,</w:t>
      </w:r>
      <w:r w:rsidR="00A4490C" w:rsidRPr="005635D8">
        <w:rPr>
          <w:rFonts w:ascii="Calibri" w:hAnsi="Calibri"/>
          <w:lang w:val="en-GB"/>
        </w:rPr>
        <w:t xml:space="preserve"> as Dechow and Skinner (2000) note it </w:t>
      </w:r>
      <w:r w:rsidR="005635D8" w:rsidRPr="005635D8">
        <w:rPr>
          <w:rFonts w:ascii="Calibri" w:hAnsi="Calibri"/>
          <w:lang w:val="en-GB"/>
        </w:rPr>
        <w:t>is hard</w:t>
      </w:r>
      <w:r w:rsidR="00A4490C" w:rsidRPr="005635D8">
        <w:rPr>
          <w:rFonts w:ascii="Calibri" w:hAnsi="Calibri"/>
          <w:lang w:val="en-GB"/>
        </w:rPr>
        <w:t xml:space="preserve"> to </w:t>
      </w:r>
      <w:r w:rsidR="005635D8" w:rsidRPr="005635D8">
        <w:rPr>
          <w:rFonts w:ascii="Calibri" w:hAnsi="Calibri"/>
          <w:lang w:val="en-GB"/>
        </w:rPr>
        <w:t>distinguish clearly</w:t>
      </w:r>
      <w:r w:rsidR="00A4490C" w:rsidRPr="005635D8">
        <w:rPr>
          <w:rFonts w:ascii="Calibri" w:hAnsi="Calibri"/>
          <w:lang w:val="en-GB"/>
        </w:rPr>
        <w:t xml:space="preserve"> between the practice of earnings management and the legal practicing of accounting discretion. </w:t>
      </w:r>
      <w:r w:rsidR="002B0FA1" w:rsidRPr="005635D8">
        <w:rPr>
          <w:rFonts w:ascii="Calibri" w:hAnsi="Calibri"/>
          <w:lang w:val="en-GB"/>
        </w:rPr>
        <w:t>Consequently</w:t>
      </w:r>
      <w:r w:rsidR="00A4490C" w:rsidRPr="005635D8">
        <w:rPr>
          <w:rFonts w:ascii="Calibri" w:hAnsi="Calibri"/>
          <w:lang w:val="en-GB"/>
        </w:rPr>
        <w:t xml:space="preserve"> it is to a certain extent presumed and tolerated by stakeholders</w:t>
      </w:r>
      <w:r w:rsidR="00D61890" w:rsidRPr="005635D8">
        <w:rPr>
          <w:rFonts w:ascii="Calibri" w:eastAsia="Times New Roman" w:hAnsi="Calibri" w:cs="AdvPS6F00"/>
          <w:lang w:val="en-GB" w:eastAsia="nl-NL"/>
        </w:rPr>
        <w:t xml:space="preserve"> that managers will adopt some reporting measures that fit their own or the companies</w:t>
      </w:r>
      <w:r w:rsidR="00A4490C" w:rsidRPr="005635D8">
        <w:rPr>
          <w:rFonts w:ascii="Calibri" w:eastAsia="Times New Roman" w:hAnsi="Calibri" w:cs="AdvPS6F00"/>
          <w:lang w:val="en-GB" w:eastAsia="nl-NL"/>
        </w:rPr>
        <w:t>’</w:t>
      </w:r>
      <w:r w:rsidR="00D61890" w:rsidRPr="005635D8">
        <w:rPr>
          <w:rFonts w:ascii="Calibri" w:eastAsia="Times New Roman" w:hAnsi="Calibri" w:cs="AdvPS6F00"/>
          <w:lang w:val="en-GB" w:eastAsia="nl-NL"/>
        </w:rPr>
        <w:t xml:space="preserve"> purposes</w:t>
      </w:r>
      <w:r w:rsidR="00A4490C" w:rsidRPr="005635D8">
        <w:rPr>
          <w:rFonts w:ascii="Calibri" w:eastAsia="Times New Roman" w:hAnsi="Calibri" w:cs="AdvPS6F00"/>
          <w:lang w:val="en-GB" w:eastAsia="nl-NL"/>
        </w:rPr>
        <w:t xml:space="preserve"> well</w:t>
      </w:r>
      <w:r w:rsidR="00D61890" w:rsidRPr="005635D8">
        <w:rPr>
          <w:rFonts w:ascii="Calibri" w:eastAsia="Times New Roman" w:hAnsi="Calibri" w:cs="AdvPS6F00"/>
          <w:lang w:val="en-GB" w:eastAsia="nl-NL"/>
        </w:rPr>
        <w:t>. Stein (1989) note</w:t>
      </w:r>
      <w:r w:rsidR="00323D4C" w:rsidRPr="005635D8">
        <w:rPr>
          <w:rFonts w:ascii="Calibri" w:eastAsia="Times New Roman" w:hAnsi="Calibri" w:cs="AdvPS6F00"/>
          <w:lang w:val="en-GB" w:eastAsia="nl-NL"/>
        </w:rPr>
        <w:t>d</w:t>
      </w:r>
      <w:r w:rsidR="00D61890" w:rsidRPr="005635D8">
        <w:rPr>
          <w:rFonts w:ascii="Calibri" w:eastAsia="Times New Roman" w:hAnsi="Calibri" w:cs="AdvPS6F00"/>
          <w:lang w:val="en-GB" w:eastAsia="nl-NL"/>
        </w:rPr>
        <w:t xml:space="preserve"> that stakeholders are prepared and </w:t>
      </w:r>
      <w:r w:rsidR="00323D4C" w:rsidRPr="005635D8">
        <w:rPr>
          <w:rFonts w:ascii="Calibri" w:eastAsia="Times New Roman" w:hAnsi="Calibri" w:cs="AdvPS6F00"/>
          <w:lang w:val="en-GB" w:eastAsia="nl-NL"/>
        </w:rPr>
        <w:t xml:space="preserve">to a small extent </w:t>
      </w:r>
      <w:r w:rsidR="00D61890" w:rsidRPr="005635D8">
        <w:rPr>
          <w:rFonts w:ascii="Calibri" w:eastAsia="Times New Roman" w:hAnsi="Calibri" w:cs="AdvPS6F00"/>
          <w:lang w:val="en-GB" w:eastAsia="nl-NL"/>
        </w:rPr>
        <w:t xml:space="preserve">will tolerate </w:t>
      </w:r>
      <w:r w:rsidR="00323D4C" w:rsidRPr="005635D8">
        <w:rPr>
          <w:rFonts w:ascii="Calibri" w:eastAsia="Times New Roman" w:hAnsi="Calibri" w:cs="AdvPS6F00"/>
          <w:lang w:val="en-GB" w:eastAsia="nl-NL"/>
        </w:rPr>
        <w:t xml:space="preserve">the use of </w:t>
      </w:r>
      <w:r w:rsidR="00D61890" w:rsidRPr="005635D8">
        <w:rPr>
          <w:rFonts w:ascii="Calibri" w:eastAsia="Times New Roman" w:hAnsi="Calibri" w:cs="AdvPS6F00"/>
          <w:lang w:val="en-GB" w:eastAsia="nl-NL"/>
        </w:rPr>
        <w:t>earnings management.</w:t>
      </w:r>
    </w:p>
    <w:p w:rsidR="00B9494D" w:rsidRPr="005635D8" w:rsidRDefault="00923DD9" w:rsidP="001E4C5D">
      <w:pPr>
        <w:pStyle w:val="Heading3"/>
        <w:rPr>
          <w:lang w:val="en-GB"/>
        </w:rPr>
      </w:pPr>
      <w:bookmarkStart w:id="32" w:name="_Toc362267272"/>
      <w:r w:rsidRPr="005635D8">
        <w:rPr>
          <w:lang w:val="en-GB"/>
        </w:rPr>
        <w:t>4</w:t>
      </w:r>
      <w:r w:rsidR="00DA51F5" w:rsidRPr="005635D8">
        <w:rPr>
          <w:lang w:val="en-GB"/>
        </w:rPr>
        <w:t xml:space="preserve">.2 </w:t>
      </w:r>
      <w:r w:rsidR="00B9494D" w:rsidRPr="005635D8">
        <w:rPr>
          <w:lang w:val="en-GB"/>
        </w:rPr>
        <w:t>Types of earnings management</w:t>
      </w:r>
      <w:bookmarkEnd w:id="32"/>
    </w:p>
    <w:p w:rsidR="00B875E2" w:rsidRPr="005635D8" w:rsidRDefault="005455D6" w:rsidP="0092438B">
      <w:pPr>
        <w:autoSpaceDE w:val="0"/>
        <w:autoSpaceDN w:val="0"/>
        <w:adjustRightInd w:val="0"/>
        <w:spacing w:after="0"/>
        <w:jc w:val="both"/>
        <w:rPr>
          <w:rFonts w:ascii="Calibri" w:hAnsi="Calibri" w:cs="TrebuchetMS"/>
          <w:lang w:val="en-GB"/>
        </w:rPr>
      </w:pPr>
      <w:r w:rsidRPr="005635D8">
        <w:rPr>
          <w:rFonts w:ascii="Calibri" w:hAnsi="Calibri" w:cs="TrebuchetMS"/>
          <w:lang w:val="en-GB"/>
        </w:rPr>
        <w:t>In the given definition</w:t>
      </w:r>
      <w:r w:rsidR="00B875E2" w:rsidRPr="005635D8">
        <w:rPr>
          <w:rFonts w:ascii="Calibri" w:hAnsi="Calibri" w:cs="TrebuchetMS"/>
          <w:lang w:val="en-GB"/>
        </w:rPr>
        <w:t xml:space="preserve"> earnings management</w:t>
      </w:r>
      <w:r w:rsidRPr="005635D8">
        <w:rPr>
          <w:rFonts w:ascii="Calibri" w:hAnsi="Calibri" w:cs="TrebuchetMS"/>
          <w:lang w:val="en-GB"/>
        </w:rPr>
        <w:t xml:space="preserve"> is still </w:t>
      </w:r>
      <w:r w:rsidR="00B875E2" w:rsidRPr="005635D8">
        <w:rPr>
          <w:rFonts w:ascii="Calibri" w:hAnsi="Calibri" w:cs="TrebuchetMS"/>
          <w:lang w:val="en-GB"/>
        </w:rPr>
        <w:t>broadly defined</w:t>
      </w:r>
      <w:r w:rsidRPr="005635D8">
        <w:rPr>
          <w:rFonts w:ascii="Calibri" w:hAnsi="Calibri" w:cs="TrebuchetMS"/>
          <w:lang w:val="en-GB"/>
        </w:rPr>
        <w:t>. Within this definition two</w:t>
      </w:r>
      <w:r w:rsidR="00B875E2" w:rsidRPr="005635D8">
        <w:rPr>
          <w:rFonts w:ascii="Calibri" w:hAnsi="Calibri" w:cs="TrebuchetMS"/>
          <w:lang w:val="en-GB"/>
        </w:rPr>
        <w:t xml:space="preserve"> different</w:t>
      </w:r>
      <w:r w:rsidRPr="005635D8">
        <w:rPr>
          <w:rFonts w:ascii="Calibri" w:hAnsi="Calibri" w:cs="TrebuchetMS"/>
          <w:lang w:val="en-GB"/>
        </w:rPr>
        <w:t xml:space="preserve"> more specific</w:t>
      </w:r>
      <w:r w:rsidR="00B875E2" w:rsidRPr="005635D8">
        <w:rPr>
          <w:rFonts w:ascii="Calibri" w:hAnsi="Calibri" w:cs="TrebuchetMS"/>
          <w:lang w:val="en-GB"/>
        </w:rPr>
        <w:t xml:space="preserve"> types of earnings management can be distinguished.</w:t>
      </w:r>
      <w:r w:rsidR="00F1221E" w:rsidRPr="005635D8">
        <w:rPr>
          <w:rFonts w:ascii="Calibri" w:hAnsi="Calibri" w:cs="TrebuchetMS"/>
          <w:lang w:val="en-GB"/>
        </w:rPr>
        <w:t xml:space="preserve"> </w:t>
      </w:r>
      <w:r w:rsidR="00B875E2" w:rsidRPr="005635D8">
        <w:rPr>
          <w:rFonts w:ascii="Calibri" w:hAnsi="Calibri" w:cs="TrebuchetMS"/>
          <w:lang w:val="en-GB"/>
        </w:rPr>
        <w:t>Lippens (20</w:t>
      </w:r>
      <w:r w:rsidR="003C62CB" w:rsidRPr="005635D8">
        <w:rPr>
          <w:rFonts w:ascii="Calibri" w:hAnsi="Calibri" w:cs="TrebuchetMS"/>
          <w:lang w:val="en-GB"/>
        </w:rPr>
        <w:t xml:space="preserve">10, 83) distinguishes between accounting earnings management or </w:t>
      </w:r>
      <w:r w:rsidR="003C62CB" w:rsidRPr="005635D8">
        <w:rPr>
          <w:rFonts w:ascii="Calibri" w:hAnsi="Calibri" w:cs="TrebuchetMS"/>
          <w:i/>
          <w:lang w:val="en-GB"/>
        </w:rPr>
        <w:t xml:space="preserve">accruals-based earnings measurement, </w:t>
      </w:r>
      <w:r w:rsidR="003C62CB" w:rsidRPr="005635D8">
        <w:rPr>
          <w:rFonts w:ascii="Calibri" w:hAnsi="Calibri" w:cs="TrebuchetMS"/>
          <w:lang w:val="en-GB"/>
        </w:rPr>
        <w:t xml:space="preserve">and </w:t>
      </w:r>
      <w:r w:rsidR="00417CF9" w:rsidRPr="005635D8">
        <w:rPr>
          <w:rFonts w:ascii="Calibri" w:hAnsi="Calibri" w:cs="TrebuchetMS"/>
          <w:lang w:val="en-GB"/>
        </w:rPr>
        <w:t xml:space="preserve">on the other hand </w:t>
      </w:r>
      <w:r w:rsidR="003C62CB" w:rsidRPr="005635D8">
        <w:rPr>
          <w:rFonts w:ascii="Calibri" w:hAnsi="Calibri" w:cs="TrebuchetMS"/>
          <w:lang w:val="en-GB"/>
        </w:rPr>
        <w:t xml:space="preserve">specially designed transactions or </w:t>
      </w:r>
      <w:r w:rsidR="003C62CB" w:rsidRPr="005635D8">
        <w:rPr>
          <w:rFonts w:ascii="Calibri" w:hAnsi="Calibri" w:cs="TrebuchetMS"/>
          <w:i/>
          <w:lang w:val="en-GB"/>
        </w:rPr>
        <w:t xml:space="preserve">real earnings management. </w:t>
      </w:r>
      <w:r w:rsidR="003C62CB" w:rsidRPr="005635D8">
        <w:rPr>
          <w:rFonts w:ascii="Calibri" w:hAnsi="Calibri" w:cs="TrebuchetMS"/>
          <w:lang w:val="en-GB"/>
        </w:rPr>
        <w:t xml:space="preserve">Accruals-based earnings management is based on the exercising of judgment in the accounting process. However, earnings management does not need to refer exclusively to this way of manipulation of earnings. </w:t>
      </w:r>
      <w:r w:rsidR="00323D4C" w:rsidRPr="005635D8">
        <w:rPr>
          <w:rFonts w:ascii="Calibri" w:hAnsi="Calibri" w:cs="TrebuchetMS"/>
          <w:lang w:val="en-GB"/>
        </w:rPr>
        <w:t>In addition</w:t>
      </w:r>
      <w:r w:rsidR="003C62CB" w:rsidRPr="005635D8">
        <w:rPr>
          <w:rFonts w:ascii="Calibri" w:hAnsi="Calibri" w:cs="TrebuchetMS"/>
          <w:lang w:val="en-GB"/>
        </w:rPr>
        <w:t xml:space="preserve"> the strategically structuring of transactions is a way to manipulate earnings. </w:t>
      </w:r>
      <w:r w:rsidR="00417CF9" w:rsidRPr="005635D8">
        <w:rPr>
          <w:rFonts w:ascii="Calibri" w:hAnsi="Calibri" w:cs="TrebuchetMS"/>
          <w:lang w:val="en-GB"/>
        </w:rPr>
        <w:t xml:space="preserve">Trying to increase the </w:t>
      </w:r>
      <w:r w:rsidR="003C62CB" w:rsidRPr="005635D8">
        <w:rPr>
          <w:rFonts w:ascii="Calibri" w:hAnsi="Calibri" w:cs="TrebuchetMS"/>
          <w:lang w:val="en-GB"/>
        </w:rPr>
        <w:t>sales</w:t>
      </w:r>
      <w:r w:rsidR="00417CF9" w:rsidRPr="005635D8">
        <w:rPr>
          <w:rFonts w:ascii="Calibri" w:hAnsi="Calibri" w:cs="TrebuchetMS"/>
          <w:lang w:val="en-GB"/>
        </w:rPr>
        <w:t xml:space="preserve"> of a company</w:t>
      </w:r>
      <w:r w:rsidR="003C62CB" w:rsidRPr="005635D8">
        <w:rPr>
          <w:rFonts w:ascii="Calibri" w:hAnsi="Calibri" w:cs="TrebuchetMS"/>
          <w:lang w:val="en-GB"/>
        </w:rPr>
        <w:t xml:space="preserve"> by </w:t>
      </w:r>
      <w:r w:rsidR="00417CF9" w:rsidRPr="005635D8">
        <w:rPr>
          <w:rFonts w:ascii="Calibri" w:hAnsi="Calibri" w:cs="TrebuchetMS"/>
          <w:lang w:val="en-GB"/>
        </w:rPr>
        <w:t>offering</w:t>
      </w:r>
      <w:r w:rsidR="003C62CB" w:rsidRPr="005635D8">
        <w:rPr>
          <w:rFonts w:ascii="Calibri" w:hAnsi="Calibri" w:cs="TrebuchetMS"/>
          <w:lang w:val="en-GB"/>
        </w:rPr>
        <w:t xml:space="preserve"> </w:t>
      </w:r>
      <w:r w:rsidR="00417CF9" w:rsidRPr="005635D8">
        <w:rPr>
          <w:rFonts w:ascii="Calibri" w:hAnsi="Calibri" w:cs="TrebuchetMS"/>
          <w:lang w:val="en-GB"/>
        </w:rPr>
        <w:t>large</w:t>
      </w:r>
      <w:r w:rsidR="003C62CB" w:rsidRPr="005635D8">
        <w:rPr>
          <w:rFonts w:ascii="Calibri" w:hAnsi="Calibri" w:cs="TrebuchetMS"/>
          <w:lang w:val="en-GB"/>
        </w:rPr>
        <w:t xml:space="preserve"> discounts or cutting expenses</w:t>
      </w:r>
      <w:r w:rsidR="00417CF9" w:rsidRPr="005635D8">
        <w:rPr>
          <w:rFonts w:ascii="Calibri" w:hAnsi="Calibri" w:cs="TrebuchetMS"/>
          <w:lang w:val="en-GB"/>
        </w:rPr>
        <w:t xml:space="preserve"> on research and design</w:t>
      </w:r>
      <w:r w:rsidR="003C62CB" w:rsidRPr="005635D8">
        <w:rPr>
          <w:rFonts w:ascii="Calibri" w:hAnsi="Calibri" w:cs="TrebuchetMS"/>
          <w:lang w:val="en-GB"/>
        </w:rPr>
        <w:t xml:space="preserve"> to increase earnings are some examples of strategically structuring transactions in order to manage reported earnings. </w:t>
      </w:r>
      <w:r w:rsidR="00F1221E" w:rsidRPr="005635D8">
        <w:rPr>
          <w:rFonts w:ascii="Calibri" w:hAnsi="Calibri" w:cs="TrebuchetMS"/>
          <w:lang w:val="en-GB"/>
        </w:rPr>
        <w:t>Strategic components that are of real economic value to t</w:t>
      </w:r>
      <w:r w:rsidR="00DC2993" w:rsidRPr="005635D8">
        <w:rPr>
          <w:rFonts w:ascii="Calibri" w:hAnsi="Calibri" w:cs="TrebuchetMS"/>
          <w:lang w:val="en-GB"/>
        </w:rPr>
        <w:t xml:space="preserve">he firm are </w:t>
      </w:r>
      <w:r w:rsidR="00C456CE" w:rsidRPr="005635D8">
        <w:rPr>
          <w:rFonts w:ascii="Calibri" w:hAnsi="Calibri" w:cs="TrebuchetMS"/>
          <w:lang w:val="en-GB"/>
        </w:rPr>
        <w:t>consequently</w:t>
      </w:r>
      <w:r w:rsidR="00DC2993" w:rsidRPr="005635D8">
        <w:rPr>
          <w:rFonts w:ascii="Calibri" w:hAnsi="Calibri" w:cs="TrebuchetMS"/>
          <w:lang w:val="en-GB"/>
        </w:rPr>
        <w:t xml:space="preserve"> sacrificed by managers in order to manage the earnings. As a possible explanation for this trend Graham (2005) states that after the implementation of stricter laws as a reaction to accounting scandals at Enron and other fir</w:t>
      </w:r>
      <w:r w:rsidR="0092438B" w:rsidRPr="005635D8">
        <w:rPr>
          <w:rFonts w:ascii="Calibri" w:hAnsi="Calibri" w:cs="TrebuchetMS"/>
          <w:lang w:val="en-GB"/>
        </w:rPr>
        <w:t>ms, agents within companies</w:t>
      </w:r>
      <w:r w:rsidR="00DC2993" w:rsidRPr="005635D8">
        <w:rPr>
          <w:rFonts w:ascii="Calibri" w:hAnsi="Calibri" w:cs="TrebuchetMS"/>
          <w:lang w:val="en-GB"/>
        </w:rPr>
        <w:t xml:space="preserve"> are afraid to us</w:t>
      </w:r>
      <w:r w:rsidR="0092438B" w:rsidRPr="005635D8">
        <w:rPr>
          <w:rFonts w:ascii="Calibri" w:hAnsi="Calibri" w:cs="TrebuchetMS"/>
          <w:lang w:val="en-GB"/>
        </w:rPr>
        <w:t>e their discretion to manage</w:t>
      </w:r>
      <w:r w:rsidR="00DC2993" w:rsidRPr="005635D8">
        <w:rPr>
          <w:rFonts w:ascii="Calibri" w:hAnsi="Calibri" w:cs="TrebuchetMS"/>
          <w:lang w:val="en-GB"/>
        </w:rPr>
        <w:t xml:space="preserve"> </w:t>
      </w:r>
      <w:r w:rsidR="0092438B" w:rsidRPr="005635D8">
        <w:rPr>
          <w:rFonts w:ascii="Calibri" w:hAnsi="Calibri" w:cs="TrebuchetMS"/>
          <w:lang w:val="en-GB"/>
        </w:rPr>
        <w:t>earnings</w:t>
      </w:r>
      <w:r w:rsidR="00DC2993" w:rsidRPr="005635D8">
        <w:rPr>
          <w:rFonts w:ascii="Calibri" w:hAnsi="Calibri" w:cs="TrebuchetMS"/>
          <w:lang w:val="en-GB"/>
        </w:rPr>
        <w:t>. Real earnings management arises as the only alternative. In a study at the effects of tightening accounting standards Ewert and Wagenhofer (2005) find that real earnings management str</w:t>
      </w:r>
      <w:r w:rsidR="0092438B" w:rsidRPr="005635D8">
        <w:rPr>
          <w:rFonts w:ascii="Calibri" w:hAnsi="Calibri" w:cs="TrebuchetMS"/>
          <w:lang w:val="en-GB"/>
        </w:rPr>
        <w:t>ictly increases, which can be</w:t>
      </w:r>
      <w:r w:rsidR="00DC2993" w:rsidRPr="005635D8">
        <w:rPr>
          <w:rFonts w:ascii="Calibri" w:hAnsi="Calibri" w:cs="TrebuchetMS"/>
          <w:lang w:val="en-GB"/>
        </w:rPr>
        <w:t xml:space="preserve"> interpreted as real earnings management </w:t>
      </w:r>
      <w:r w:rsidR="0092438B" w:rsidRPr="005635D8">
        <w:rPr>
          <w:rFonts w:ascii="Calibri" w:hAnsi="Calibri" w:cs="TrebuchetMS"/>
          <w:lang w:val="en-GB"/>
        </w:rPr>
        <w:t>becoming a possible substitution</w:t>
      </w:r>
      <w:r w:rsidR="00DC2993" w:rsidRPr="005635D8">
        <w:rPr>
          <w:rFonts w:ascii="Calibri" w:hAnsi="Calibri" w:cs="TrebuchetMS"/>
          <w:lang w:val="en-GB"/>
        </w:rPr>
        <w:t xml:space="preserve"> for the more difficult and </w:t>
      </w:r>
      <w:r w:rsidR="00C456CE" w:rsidRPr="005635D8">
        <w:rPr>
          <w:rFonts w:ascii="Calibri" w:hAnsi="Calibri" w:cs="TrebuchetMS"/>
          <w:lang w:val="en-GB"/>
        </w:rPr>
        <w:t>consequently</w:t>
      </w:r>
      <w:r w:rsidR="0092438B" w:rsidRPr="005635D8">
        <w:rPr>
          <w:rFonts w:ascii="Calibri" w:hAnsi="Calibri" w:cs="TrebuchetMS"/>
          <w:lang w:val="en-GB"/>
        </w:rPr>
        <w:t xml:space="preserve"> more expensive</w:t>
      </w:r>
      <w:r w:rsidR="00DC2993" w:rsidRPr="005635D8">
        <w:rPr>
          <w:rFonts w:ascii="Calibri" w:hAnsi="Calibri" w:cs="TrebuchetMS"/>
          <w:lang w:val="en-GB"/>
        </w:rPr>
        <w:t xml:space="preserve"> accounting</w:t>
      </w:r>
      <w:r w:rsidR="0092438B" w:rsidRPr="005635D8">
        <w:rPr>
          <w:rFonts w:ascii="Calibri" w:hAnsi="Calibri" w:cs="TrebuchetMS"/>
          <w:lang w:val="en-GB"/>
        </w:rPr>
        <w:t xml:space="preserve"> based</w:t>
      </w:r>
      <w:r w:rsidR="00DC2993" w:rsidRPr="005635D8">
        <w:rPr>
          <w:rFonts w:ascii="Calibri" w:hAnsi="Calibri" w:cs="TrebuchetMS"/>
          <w:lang w:val="en-GB"/>
        </w:rPr>
        <w:t xml:space="preserve"> earnings management</w:t>
      </w:r>
      <w:r w:rsidRPr="005635D8">
        <w:rPr>
          <w:rFonts w:ascii="Calibri" w:hAnsi="Calibri" w:cs="TrebuchetMS"/>
          <w:lang w:val="en-GB"/>
        </w:rPr>
        <w:t>.</w:t>
      </w:r>
    </w:p>
    <w:p w:rsidR="009B185E" w:rsidRPr="005635D8" w:rsidRDefault="009B185E" w:rsidP="00FD5975">
      <w:pPr>
        <w:autoSpaceDE w:val="0"/>
        <w:autoSpaceDN w:val="0"/>
        <w:adjustRightInd w:val="0"/>
        <w:spacing w:after="0"/>
        <w:jc w:val="both"/>
        <w:rPr>
          <w:rFonts w:ascii="Calibri" w:hAnsi="Calibri" w:cs="TrebuchetMS"/>
          <w:lang w:val="en-GB"/>
        </w:rPr>
      </w:pPr>
    </w:p>
    <w:p w:rsidR="0078249D" w:rsidRPr="005635D8" w:rsidRDefault="009B185E" w:rsidP="00FD5975">
      <w:pPr>
        <w:autoSpaceDE w:val="0"/>
        <w:autoSpaceDN w:val="0"/>
        <w:adjustRightInd w:val="0"/>
        <w:spacing w:after="0"/>
        <w:jc w:val="both"/>
        <w:rPr>
          <w:rFonts w:ascii="Calibri" w:hAnsi="Calibri" w:cs="Times New Roman"/>
          <w:lang w:val="en-GB"/>
        </w:rPr>
      </w:pPr>
      <w:r w:rsidRPr="005635D8">
        <w:rPr>
          <w:rFonts w:ascii="Calibri" w:hAnsi="Calibri" w:cs="TrebuchetMS"/>
          <w:lang w:val="en-GB"/>
        </w:rPr>
        <w:t>Accruals-based earnings management is the more traditional type of earnings management which is investigated in most empirical studies about earnings management. Within accruals based earnings management another distinc</w:t>
      </w:r>
      <w:r w:rsidR="0078249D" w:rsidRPr="005635D8">
        <w:rPr>
          <w:rFonts w:ascii="Calibri" w:hAnsi="Calibri" w:cs="TrebuchetMS"/>
          <w:lang w:val="en-GB"/>
        </w:rPr>
        <w:t xml:space="preserve">tion can be made between earnings smoothing and managing towards small positive earnings (Barth et al. 2008). Earnings smoothing is defined as “an attempt on the part of the firm’s management to reduce abnormal variations in earnings to the extent allowed under sound accounting and management principles” (Beidleman, 1973, 653). This is recognized as earnings management if managers have the intention of hiding the firm’s true economic condition. Managing towards small positive earnings is another strategy to show a steady financial development without attracting attention which could be consistent with the political cost hypothesis. Large profits and losses are avoided in this strategy. There are three constructs to measure earnings smoothing: the variability of changes in earnings, the variability of changes in earnings relative to the variability of changes in cash flows and the negative correlation between accruals and cash flows (Christensen 2008, 11). Nevertheless, a high variability of earnings is consistent with less smoothing of earnings. But a high variance is according to some theorists </w:t>
      </w:r>
      <w:r w:rsidR="00323D4C" w:rsidRPr="005635D8">
        <w:rPr>
          <w:rFonts w:ascii="Calibri" w:hAnsi="Calibri" w:cs="TrebuchetMS"/>
          <w:lang w:val="en-GB"/>
        </w:rPr>
        <w:t xml:space="preserve">and in addition </w:t>
      </w:r>
      <w:r w:rsidR="0078249D" w:rsidRPr="005635D8">
        <w:rPr>
          <w:rFonts w:ascii="Calibri" w:hAnsi="Calibri" w:cs="TrebuchetMS"/>
          <w:lang w:val="en-GB"/>
        </w:rPr>
        <w:t xml:space="preserve">an indicator </w:t>
      </w:r>
      <w:r w:rsidR="00323D4C" w:rsidRPr="005635D8">
        <w:rPr>
          <w:rFonts w:ascii="Calibri" w:hAnsi="Calibri" w:cs="TrebuchetMS"/>
          <w:lang w:val="en-GB"/>
        </w:rPr>
        <w:t xml:space="preserve">for the use of </w:t>
      </w:r>
      <w:r w:rsidR="0078249D" w:rsidRPr="005635D8">
        <w:rPr>
          <w:rFonts w:ascii="Calibri" w:hAnsi="Calibri" w:cs="TrebuchetMS"/>
          <w:lang w:val="en-GB"/>
        </w:rPr>
        <w:t xml:space="preserve">earnings management. </w:t>
      </w:r>
      <w:r w:rsidR="00323D4C" w:rsidRPr="005635D8">
        <w:rPr>
          <w:rFonts w:ascii="Calibri" w:hAnsi="Calibri" w:cs="TrebuchetMS"/>
          <w:lang w:val="en-GB"/>
        </w:rPr>
        <w:t>C</w:t>
      </w:r>
      <w:r w:rsidR="0078249D" w:rsidRPr="005635D8">
        <w:rPr>
          <w:rFonts w:ascii="Calibri" w:hAnsi="Calibri" w:cs="Times New Roman"/>
          <w:lang w:val="en-GB"/>
        </w:rPr>
        <w:t>onsistent with managers app</w:t>
      </w:r>
      <w:r w:rsidR="00FD5975" w:rsidRPr="005635D8">
        <w:rPr>
          <w:rFonts w:ascii="Calibri" w:hAnsi="Calibri" w:cs="Times New Roman"/>
          <w:lang w:val="en-GB"/>
        </w:rPr>
        <w:t xml:space="preserve">lying their discretion to take </w:t>
      </w:r>
      <w:r w:rsidR="0078249D" w:rsidRPr="005635D8">
        <w:rPr>
          <w:rFonts w:ascii="Calibri" w:hAnsi="Calibri" w:cs="Times New Roman"/>
          <w:i/>
          <w:iCs/>
          <w:lang w:val="en-GB"/>
        </w:rPr>
        <w:t>big</w:t>
      </w:r>
      <w:r w:rsidR="00FD5975" w:rsidRPr="005635D8">
        <w:rPr>
          <w:rFonts w:ascii="Calibri" w:hAnsi="Calibri" w:cs="Times New Roman"/>
          <w:i/>
          <w:iCs/>
          <w:lang w:val="en-GB"/>
        </w:rPr>
        <w:t xml:space="preserve"> baths</w:t>
      </w:r>
      <w:r w:rsidR="0078249D" w:rsidRPr="005635D8">
        <w:rPr>
          <w:rFonts w:ascii="Calibri" w:hAnsi="Calibri" w:cs="Times New Roman"/>
          <w:lang w:val="en-GB"/>
        </w:rPr>
        <w:t xml:space="preserve"> or of errors in</w:t>
      </w:r>
      <w:r w:rsidR="00FD5975" w:rsidRPr="005635D8">
        <w:rPr>
          <w:rFonts w:ascii="Calibri" w:hAnsi="Calibri" w:cs="Times New Roman"/>
          <w:lang w:val="en-GB"/>
        </w:rPr>
        <w:t xml:space="preserve"> </w:t>
      </w:r>
      <w:r w:rsidR="0078249D" w:rsidRPr="005635D8">
        <w:rPr>
          <w:rFonts w:ascii="Calibri" w:hAnsi="Calibri" w:cs="Times New Roman"/>
          <w:lang w:val="en-GB"/>
        </w:rPr>
        <w:t xml:space="preserve">accruals, both are associated with </w:t>
      </w:r>
      <w:r w:rsidR="00323D4C" w:rsidRPr="005635D8">
        <w:rPr>
          <w:rFonts w:ascii="Calibri" w:hAnsi="Calibri" w:cs="Times New Roman"/>
          <w:lang w:val="en-GB"/>
        </w:rPr>
        <w:t xml:space="preserve">a </w:t>
      </w:r>
      <w:r w:rsidR="0078249D" w:rsidRPr="005635D8">
        <w:rPr>
          <w:rFonts w:ascii="Calibri" w:hAnsi="Calibri" w:cs="Times New Roman"/>
          <w:lang w:val="en-GB"/>
        </w:rPr>
        <w:t xml:space="preserve">low quality </w:t>
      </w:r>
      <w:r w:rsidR="00323D4C" w:rsidRPr="005635D8">
        <w:rPr>
          <w:rFonts w:ascii="Calibri" w:hAnsi="Calibri" w:cs="Times New Roman"/>
          <w:lang w:val="en-GB"/>
        </w:rPr>
        <w:t xml:space="preserve">of </w:t>
      </w:r>
      <w:r w:rsidR="0078249D" w:rsidRPr="005635D8">
        <w:rPr>
          <w:rFonts w:ascii="Calibri" w:hAnsi="Calibri" w:cs="Times New Roman"/>
          <w:lang w:val="en-GB"/>
        </w:rPr>
        <w:t>accounting (Leuz et al., 2003</w:t>
      </w:r>
      <w:r w:rsidR="00FD5975" w:rsidRPr="005635D8">
        <w:rPr>
          <w:rFonts w:ascii="Calibri" w:hAnsi="Calibri" w:cs="Times New Roman"/>
          <w:lang w:val="en-GB"/>
        </w:rPr>
        <w:t>).</w:t>
      </w:r>
    </w:p>
    <w:p w:rsidR="009B185E" w:rsidRPr="005635D8" w:rsidRDefault="009B185E" w:rsidP="0078249D">
      <w:pPr>
        <w:autoSpaceDE w:val="0"/>
        <w:autoSpaceDN w:val="0"/>
        <w:adjustRightInd w:val="0"/>
        <w:spacing w:after="0"/>
        <w:jc w:val="both"/>
        <w:rPr>
          <w:rFonts w:ascii="Calibri" w:hAnsi="Calibri" w:cs="TrebuchetMS"/>
          <w:sz w:val="24"/>
          <w:szCs w:val="24"/>
          <w:lang w:val="en-GB"/>
        </w:rPr>
      </w:pPr>
    </w:p>
    <w:p w:rsidR="00B9494D" w:rsidRPr="005635D8" w:rsidRDefault="00923DD9" w:rsidP="001E4C5D">
      <w:pPr>
        <w:pStyle w:val="Heading3"/>
        <w:rPr>
          <w:lang w:val="en-GB"/>
        </w:rPr>
      </w:pPr>
      <w:bookmarkStart w:id="33" w:name="_Toc362267273"/>
      <w:r w:rsidRPr="005635D8">
        <w:rPr>
          <w:lang w:val="en-GB"/>
        </w:rPr>
        <w:t>4</w:t>
      </w:r>
      <w:r w:rsidR="00FD5975" w:rsidRPr="005635D8">
        <w:rPr>
          <w:lang w:val="en-GB"/>
        </w:rPr>
        <w:t xml:space="preserve">.3 </w:t>
      </w:r>
      <w:r w:rsidR="00B9494D" w:rsidRPr="005635D8">
        <w:rPr>
          <w:lang w:val="en-GB"/>
        </w:rPr>
        <w:t>Incentives for earnings management</w:t>
      </w:r>
      <w:bookmarkEnd w:id="33"/>
    </w:p>
    <w:p w:rsidR="007A61D5" w:rsidRPr="005635D8" w:rsidRDefault="007A61D5" w:rsidP="00494BEF">
      <w:pPr>
        <w:autoSpaceDE w:val="0"/>
        <w:autoSpaceDN w:val="0"/>
        <w:adjustRightInd w:val="0"/>
        <w:spacing w:after="0"/>
        <w:jc w:val="both"/>
        <w:rPr>
          <w:rFonts w:ascii="Calibri" w:hAnsi="Calibri"/>
          <w:lang w:val="en-GB"/>
        </w:rPr>
      </w:pPr>
      <w:r w:rsidRPr="005635D8">
        <w:rPr>
          <w:rFonts w:ascii="Calibri" w:hAnsi="Calibri"/>
          <w:lang w:val="en-GB"/>
        </w:rPr>
        <w:t xml:space="preserve">There are supposed to be several structural factors that provide incentives, or at least opportunities, </w:t>
      </w:r>
      <w:r w:rsidR="0099695E" w:rsidRPr="005635D8">
        <w:rPr>
          <w:rFonts w:ascii="Calibri" w:hAnsi="Calibri"/>
          <w:lang w:val="en-GB"/>
        </w:rPr>
        <w:t>for engaging in earnings management. This paragraph will discuss those incentives. Healy and Wahlen (1998, 370) distinguish three main types of incentives for earnings management:</w:t>
      </w:r>
      <w:r w:rsidRPr="005635D8">
        <w:rPr>
          <w:rFonts w:ascii="Calibri" w:hAnsi="Calibri"/>
          <w:lang w:val="en-GB"/>
        </w:rPr>
        <w:t xml:space="preserve"> </w:t>
      </w:r>
      <w:r w:rsidR="0099695E" w:rsidRPr="005635D8">
        <w:rPr>
          <w:rFonts w:ascii="Calibri" w:hAnsi="Calibri"/>
          <w:lang w:val="en-GB"/>
        </w:rPr>
        <w:t>(1) capital market expectations and valuation; (2) contracts written in terms of accounting numbers; and (3) antitrust or other government regulation.</w:t>
      </w:r>
      <w:r w:rsidR="00C10708" w:rsidRPr="005635D8">
        <w:rPr>
          <w:rFonts w:ascii="Calibri" w:hAnsi="Calibri"/>
          <w:lang w:val="en-GB"/>
        </w:rPr>
        <w:t xml:space="preserve"> Tendeloo and Vanstraelen (2005, 158) </w:t>
      </w:r>
      <w:r w:rsidR="00323D4C" w:rsidRPr="005635D8">
        <w:rPr>
          <w:rFonts w:ascii="Calibri" w:hAnsi="Calibri"/>
          <w:lang w:val="en-GB"/>
        </w:rPr>
        <w:t>in addition in addition</w:t>
      </w:r>
      <w:r w:rsidR="00C10708" w:rsidRPr="005635D8">
        <w:rPr>
          <w:rFonts w:ascii="Calibri" w:hAnsi="Calibri"/>
          <w:lang w:val="en-GB"/>
        </w:rPr>
        <w:t xml:space="preserve"> </w:t>
      </w:r>
      <w:r w:rsidR="00323D4C" w:rsidRPr="005635D8">
        <w:rPr>
          <w:rFonts w:ascii="Calibri" w:hAnsi="Calibri"/>
          <w:lang w:val="en-GB"/>
        </w:rPr>
        <w:t>signalled</w:t>
      </w:r>
      <w:r w:rsidR="00C10708" w:rsidRPr="005635D8">
        <w:rPr>
          <w:rFonts w:ascii="Calibri" w:hAnsi="Calibri"/>
          <w:lang w:val="en-GB"/>
        </w:rPr>
        <w:t xml:space="preserve"> those three types of incentives. They </w:t>
      </w:r>
      <w:r w:rsidR="00323D4C" w:rsidRPr="005635D8">
        <w:rPr>
          <w:rFonts w:ascii="Calibri" w:hAnsi="Calibri"/>
          <w:lang w:val="en-GB"/>
        </w:rPr>
        <w:t>in addition</w:t>
      </w:r>
      <w:r w:rsidR="00C10708" w:rsidRPr="005635D8">
        <w:rPr>
          <w:rFonts w:ascii="Calibri" w:hAnsi="Calibri"/>
          <w:lang w:val="en-GB"/>
        </w:rPr>
        <w:t xml:space="preserve"> add the need for external financing and other specific circumstances to this list of structural incentives for earnings management. </w:t>
      </w:r>
    </w:p>
    <w:p w:rsidR="00494BEF" w:rsidRPr="005635D8" w:rsidRDefault="00494BEF" w:rsidP="00494BEF">
      <w:pPr>
        <w:autoSpaceDE w:val="0"/>
        <w:autoSpaceDN w:val="0"/>
        <w:adjustRightInd w:val="0"/>
        <w:rPr>
          <w:rFonts w:ascii="Calibri" w:hAnsi="Calibri"/>
          <w:sz w:val="24"/>
          <w:szCs w:val="24"/>
          <w:lang w:val="en-GB"/>
        </w:rPr>
      </w:pPr>
    </w:p>
    <w:p w:rsidR="00E86401" w:rsidRPr="005635D8" w:rsidRDefault="00923DD9" w:rsidP="001E4C5D">
      <w:pPr>
        <w:pStyle w:val="Heading3"/>
        <w:rPr>
          <w:lang w:val="en-GB"/>
        </w:rPr>
      </w:pPr>
      <w:bookmarkStart w:id="34" w:name="_Toc362267274"/>
      <w:r w:rsidRPr="005635D8">
        <w:rPr>
          <w:lang w:val="en-GB"/>
        </w:rPr>
        <w:t>4.3.1</w:t>
      </w:r>
      <w:r w:rsidR="00E86401" w:rsidRPr="005635D8">
        <w:rPr>
          <w:lang w:val="en-GB"/>
        </w:rPr>
        <w:t xml:space="preserve"> Capital market incentives</w:t>
      </w:r>
      <w:bookmarkEnd w:id="34"/>
    </w:p>
    <w:p w:rsidR="00BC1CE6" w:rsidRPr="005635D8" w:rsidRDefault="00E86401" w:rsidP="0007295F">
      <w:pPr>
        <w:jc w:val="both"/>
        <w:rPr>
          <w:lang w:val="en-GB"/>
        </w:rPr>
      </w:pPr>
      <w:r w:rsidRPr="005635D8">
        <w:rPr>
          <w:lang w:val="en-GB"/>
        </w:rPr>
        <w:t xml:space="preserve">Capital market expectations and valuation provide an incentive for earnings management for the reason that accounting information is widely used by investors and analysts to value assets. </w:t>
      </w:r>
      <w:r w:rsidR="0049557A" w:rsidRPr="005635D8">
        <w:rPr>
          <w:lang w:val="en-GB"/>
        </w:rPr>
        <w:t>Consequently</w:t>
      </w:r>
      <w:r w:rsidRPr="005635D8">
        <w:rPr>
          <w:lang w:val="en-GB"/>
        </w:rPr>
        <w:t>, an attempt is made to change the stock price in the short term in order to influence investors (Healy and Wahlen 1998, 371).</w:t>
      </w:r>
      <w:r w:rsidR="00BA6B03" w:rsidRPr="005635D8">
        <w:rPr>
          <w:lang w:val="en-GB"/>
        </w:rPr>
        <w:t xml:space="preserve"> Another capital market incentive is a possible sale or turnover of a firm or a Management Buy Out (MBO). In the period before such an event might happen managers will be likely to force up the firm’s earning in order to increase the value of the firm or to decrease their own buyout price (Jackson and Pitman 2001)</w:t>
      </w:r>
      <w:r w:rsidR="006708AD" w:rsidRPr="005635D8">
        <w:rPr>
          <w:lang w:val="en-GB"/>
        </w:rPr>
        <w:t xml:space="preserve">. </w:t>
      </w:r>
      <w:r w:rsidR="00323D4C" w:rsidRPr="005635D8">
        <w:rPr>
          <w:lang w:val="en-GB"/>
        </w:rPr>
        <w:t>In addition</w:t>
      </w:r>
      <w:r w:rsidR="006708AD" w:rsidRPr="005635D8">
        <w:rPr>
          <w:lang w:val="en-GB"/>
        </w:rPr>
        <w:t xml:space="preserve"> around the situation that the firms offered new equities to potential stakeholders earnings were overemphasized.  </w:t>
      </w:r>
      <w:r w:rsidR="00BA6B03" w:rsidRPr="005635D8">
        <w:rPr>
          <w:lang w:val="en-GB"/>
        </w:rPr>
        <w:t xml:space="preserve"> </w:t>
      </w:r>
      <w:r w:rsidR="006708AD" w:rsidRPr="005635D8">
        <w:rPr>
          <w:lang w:val="en-GB"/>
        </w:rPr>
        <w:t>The period of the Initial Public Offering (IPO) is highly sensitive to earnings management</w:t>
      </w:r>
      <w:r w:rsidR="00BA6B03" w:rsidRPr="005635D8">
        <w:rPr>
          <w:lang w:val="en-GB"/>
        </w:rPr>
        <w:t xml:space="preserve"> </w:t>
      </w:r>
      <w:r w:rsidR="006708AD" w:rsidRPr="005635D8">
        <w:rPr>
          <w:lang w:val="en-GB"/>
        </w:rPr>
        <w:t xml:space="preserve">as managers want to screw up prices of equities at the moment that full information is not available to them. Firms have the intention of reporting higher income that results in increased accruals. This leads to the maximization of returns before equity offers are taking place (Teoh et al. 1998). </w:t>
      </w:r>
      <w:r w:rsidR="00323D4C" w:rsidRPr="005635D8">
        <w:rPr>
          <w:lang w:val="en-GB"/>
        </w:rPr>
        <w:t>In addition</w:t>
      </w:r>
      <w:r w:rsidR="00D40554" w:rsidRPr="005635D8">
        <w:rPr>
          <w:lang w:val="en-GB"/>
        </w:rPr>
        <w:t xml:space="preserve"> </w:t>
      </w:r>
      <w:r w:rsidR="00323D4C" w:rsidRPr="005635D8">
        <w:rPr>
          <w:lang w:val="en-GB"/>
        </w:rPr>
        <w:t xml:space="preserve">to understate incomes </w:t>
      </w:r>
      <w:r w:rsidR="00D40554" w:rsidRPr="005635D8">
        <w:rPr>
          <w:lang w:val="en-GB"/>
        </w:rPr>
        <w:t xml:space="preserve">managerial judgement </w:t>
      </w:r>
      <w:r w:rsidR="0007295F" w:rsidRPr="005635D8">
        <w:rPr>
          <w:lang w:val="en-GB"/>
        </w:rPr>
        <w:t>is</w:t>
      </w:r>
      <w:r w:rsidR="00D40554" w:rsidRPr="005635D8">
        <w:rPr>
          <w:lang w:val="en-GB"/>
        </w:rPr>
        <w:t xml:space="preserve"> used. </w:t>
      </w:r>
      <w:r w:rsidR="00323D4C" w:rsidRPr="005635D8">
        <w:rPr>
          <w:lang w:val="en-GB"/>
        </w:rPr>
        <w:t>In order to be attractive for investors on the market t</w:t>
      </w:r>
      <w:r w:rsidR="00D40554" w:rsidRPr="005635D8">
        <w:rPr>
          <w:lang w:val="en-GB"/>
        </w:rPr>
        <w:t xml:space="preserve">hey </w:t>
      </w:r>
      <w:r w:rsidR="00323D4C" w:rsidRPr="005635D8">
        <w:rPr>
          <w:lang w:val="en-GB"/>
        </w:rPr>
        <w:t xml:space="preserve">use this </w:t>
      </w:r>
      <w:r w:rsidR="00D40554" w:rsidRPr="005635D8">
        <w:rPr>
          <w:lang w:val="en-GB"/>
        </w:rPr>
        <w:t xml:space="preserve">to signal to outsiders that </w:t>
      </w:r>
      <w:r w:rsidR="00323D4C" w:rsidRPr="005635D8">
        <w:rPr>
          <w:lang w:val="en-GB"/>
        </w:rPr>
        <w:t xml:space="preserve">in the firm </w:t>
      </w:r>
      <w:r w:rsidR="00D40554" w:rsidRPr="005635D8">
        <w:rPr>
          <w:lang w:val="en-GB"/>
        </w:rPr>
        <w:t xml:space="preserve">a potential </w:t>
      </w:r>
      <w:r w:rsidR="00323D4C" w:rsidRPr="005635D8">
        <w:rPr>
          <w:lang w:val="en-GB"/>
        </w:rPr>
        <w:t xml:space="preserve">exists for more </w:t>
      </w:r>
      <w:r w:rsidR="00D40554" w:rsidRPr="005635D8">
        <w:rPr>
          <w:lang w:val="en-GB"/>
        </w:rPr>
        <w:t>grow</w:t>
      </w:r>
      <w:r w:rsidR="0007295F" w:rsidRPr="005635D8">
        <w:rPr>
          <w:lang w:val="en-GB"/>
        </w:rPr>
        <w:t>th</w:t>
      </w:r>
      <w:r w:rsidR="00D40554" w:rsidRPr="005635D8">
        <w:rPr>
          <w:lang w:val="en-GB"/>
        </w:rPr>
        <w:t xml:space="preserve"> in the future. </w:t>
      </w:r>
    </w:p>
    <w:p w:rsidR="00D40554" w:rsidRPr="005635D8" w:rsidRDefault="00D40554" w:rsidP="00D40554">
      <w:pPr>
        <w:autoSpaceDE w:val="0"/>
        <w:autoSpaceDN w:val="0"/>
        <w:adjustRightInd w:val="0"/>
        <w:jc w:val="both"/>
        <w:rPr>
          <w:rFonts w:ascii="Calibri" w:hAnsi="Calibri"/>
          <w:sz w:val="24"/>
          <w:szCs w:val="24"/>
          <w:lang w:val="en-GB"/>
        </w:rPr>
      </w:pPr>
    </w:p>
    <w:p w:rsidR="00154E71" w:rsidRPr="005635D8" w:rsidRDefault="00923DD9" w:rsidP="00923DD9">
      <w:pPr>
        <w:pStyle w:val="Heading4"/>
        <w:numPr>
          <w:ilvl w:val="0"/>
          <w:numId w:val="0"/>
        </w:numPr>
        <w:rPr>
          <w:rFonts w:ascii="Calibri" w:hAnsi="Calibri"/>
          <w:sz w:val="24"/>
          <w:szCs w:val="24"/>
          <w:lang w:val="en-GB"/>
        </w:rPr>
      </w:pPr>
      <w:bookmarkStart w:id="35" w:name="_Toc277013594"/>
      <w:r w:rsidRPr="005635D8">
        <w:rPr>
          <w:rFonts w:ascii="Calibri" w:hAnsi="Calibri"/>
          <w:sz w:val="24"/>
          <w:szCs w:val="24"/>
          <w:lang w:val="en-GB"/>
        </w:rPr>
        <w:t xml:space="preserve">4.3.2 </w:t>
      </w:r>
      <w:r w:rsidR="00154E71" w:rsidRPr="005635D8">
        <w:rPr>
          <w:rFonts w:ascii="Calibri" w:hAnsi="Calibri"/>
          <w:sz w:val="24"/>
          <w:szCs w:val="24"/>
          <w:lang w:val="en-GB"/>
        </w:rPr>
        <w:t xml:space="preserve">Contracting </w:t>
      </w:r>
      <w:bookmarkEnd w:id="35"/>
      <w:r w:rsidR="00E86401" w:rsidRPr="005635D8">
        <w:rPr>
          <w:rFonts w:ascii="Calibri" w:hAnsi="Calibri"/>
          <w:sz w:val="24"/>
          <w:szCs w:val="24"/>
          <w:lang w:val="en-GB"/>
        </w:rPr>
        <w:t>incentives</w:t>
      </w:r>
    </w:p>
    <w:p w:rsidR="00B81982" w:rsidRPr="005635D8" w:rsidRDefault="00D40554" w:rsidP="00D550DB">
      <w:pPr>
        <w:pStyle w:val="Default"/>
        <w:spacing w:line="276" w:lineRule="auto"/>
        <w:jc w:val="both"/>
        <w:rPr>
          <w:rFonts w:ascii="Calibri" w:eastAsiaTheme="minorHAnsi" w:hAnsi="Calibri" w:cstheme="minorBidi"/>
          <w:color w:val="auto"/>
          <w:sz w:val="22"/>
          <w:szCs w:val="22"/>
          <w:lang w:val="en-GB"/>
        </w:rPr>
      </w:pPr>
      <w:r w:rsidRPr="005635D8">
        <w:rPr>
          <w:rFonts w:ascii="Calibri" w:hAnsi="Calibri"/>
          <w:sz w:val="22"/>
          <w:szCs w:val="22"/>
          <w:lang w:val="en-GB"/>
        </w:rPr>
        <w:t xml:space="preserve">According to Healy and Wahlen (1998) two contracting incentives to engage in earnings management have been recognized. The first reason focuses on the process in which earnings management for any particular cause lead to untruthful financial statements and has a consequence to the allocation of capital. Secondly, financial statements are besides informing managerial information to stakeholders </w:t>
      </w:r>
      <w:r w:rsidR="00323D4C" w:rsidRPr="005635D8">
        <w:rPr>
          <w:rFonts w:ascii="Calibri" w:hAnsi="Calibri"/>
          <w:sz w:val="22"/>
          <w:szCs w:val="22"/>
          <w:lang w:val="en-GB"/>
        </w:rPr>
        <w:t>in addition</w:t>
      </w:r>
      <w:r w:rsidRPr="005635D8">
        <w:rPr>
          <w:rFonts w:ascii="Calibri" w:hAnsi="Calibri"/>
          <w:sz w:val="22"/>
          <w:szCs w:val="22"/>
          <w:lang w:val="en-GB"/>
        </w:rPr>
        <w:t xml:space="preserve"> used</w:t>
      </w:r>
      <w:r w:rsidR="0007295F" w:rsidRPr="005635D8">
        <w:rPr>
          <w:rFonts w:ascii="Calibri" w:hAnsi="Calibri"/>
          <w:sz w:val="22"/>
          <w:szCs w:val="22"/>
          <w:lang w:val="en-GB"/>
        </w:rPr>
        <w:t xml:space="preserve"> to inform debt investors. M</w:t>
      </w:r>
      <w:r w:rsidRPr="005635D8">
        <w:rPr>
          <w:rFonts w:ascii="Calibri" w:hAnsi="Calibri"/>
          <w:sz w:val="22"/>
          <w:szCs w:val="22"/>
          <w:lang w:val="en-GB"/>
        </w:rPr>
        <w:t>ost contracting incentives fit within the first category. A bonus plan contract is an example of a contract influencing the allocation of capital.</w:t>
      </w:r>
      <w:r w:rsidR="00D550DB" w:rsidRPr="005635D8">
        <w:rPr>
          <w:rFonts w:ascii="Calibri" w:hAnsi="Calibri"/>
          <w:sz w:val="22"/>
          <w:szCs w:val="22"/>
          <w:lang w:val="en-GB"/>
        </w:rPr>
        <w:t xml:space="preserve"> The possibility exists that management will use earnings management in order to increase the loss in the current year so that it can increase the earnings in the next year and consequently meet the bonus targets. </w:t>
      </w:r>
      <w:r w:rsidR="00B81982" w:rsidRPr="005635D8">
        <w:rPr>
          <w:rFonts w:ascii="Calibri" w:eastAsiaTheme="minorHAnsi" w:hAnsi="Calibri" w:cstheme="minorBidi"/>
          <w:color w:val="auto"/>
          <w:sz w:val="22"/>
          <w:szCs w:val="22"/>
          <w:lang w:val="en-GB"/>
        </w:rPr>
        <w:t xml:space="preserve">Closely linked to ‘bumping up’ and minimizing the income is income smoothing. Healy (1985) has analysed the set-up of typical contracts with bonus terms, to examine the accounting incentives of managers. They hypothesize that accrual plans of managers and the income reporting incentives are driven by their bonus contracts. In addition, changes in accounting report processes have a link with the acceptance or reform of their bonus plan. Managers are keen to smooth their income to hold between the lowest and highest level of their bonus plan. </w:t>
      </w:r>
      <w:r w:rsidRPr="005635D8">
        <w:rPr>
          <w:rFonts w:ascii="Calibri" w:hAnsi="Calibri"/>
          <w:sz w:val="22"/>
          <w:szCs w:val="22"/>
          <w:lang w:val="en-GB"/>
        </w:rPr>
        <w:t xml:space="preserve">Additionally, Mohanram (2003) adds that if contractual target earnings levels are not achieved then this could have a bad effect on the stock price, i.e. a downfall. </w:t>
      </w:r>
      <w:r w:rsidR="00F71079" w:rsidRPr="005635D8">
        <w:rPr>
          <w:rFonts w:ascii="Calibri" w:hAnsi="Calibri"/>
          <w:sz w:val="22"/>
          <w:szCs w:val="22"/>
          <w:lang w:val="en-GB"/>
        </w:rPr>
        <w:t>Consequently</w:t>
      </w:r>
      <w:r w:rsidRPr="005635D8">
        <w:rPr>
          <w:rFonts w:ascii="Calibri" w:hAnsi="Calibri"/>
          <w:sz w:val="22"/>
          <w:szCs w:val="22"/>
          <w:lang w:val="en-GB"/>
        </w:rPr>
        <w:t xml:space="preserve"> this fear of missing the target creates a d</w:t>
      </w:r>
      <w:r w:rsidR="00B81982" w:rsidRPr="005635D8">
        <w:rPr>
          <w:rFonts w:ascii="Calibri" w:hAnsi="Calibri"/>
          <w:sz w:val="22"/>
          <w:szCs w:val="22"/>
          <w:lang w:val="en-GB"/>
        </w:rPr>
        <w:t xml:space="preserve">rive to ‘bump up’ the earnings. Managers can use earnings management to maximize bonuses or comply with the terms of liquidity and solvability in loan contracts (Healy 1985; Dechow and Sloan 1995). </w:t>
      </w:r>
    </w:p>
    <w:p w:rsidR="00BA6B03" w:rsidRPr="005635D8" w:rsidRDefault="00BA6B03" w:rsidP="00BA6B03">
      <w:pPr>
        <w:rPr>
          <w:rFonts w:ascii="Calibri" w:hAnsi="Calibri"/>
          <w:highlight w:val="cyan"/>
          <w:lang w:val="en-GB"/>
        </w:rPr>
      </w:pPr>
    </w:p>
    <w:p w:rsidR="00154E71" w:rsidRPr="005635D8" w:rsidRDefault="00923DD9" w:rsidP="00923DD9">
      <w:pPr>
        <w:pStyle w:val="Heading4"/>
        <w:numPr>
          <w:ilvl w:val="0"/>
          <w:numId w:val="0"/>
        </w:numPr>
        <w:rPr>
          <w:rFonts w:ascii="Calibri" w:hAnsi="Calibri"/>
          <w:sz w:val="24"/>
          <w:szCs w:val="24"/>
          <w:lang w:val="en-GB"/>
        </w:rPr>
      </w:pPr>
      <w:bookmarkStart w:id="36" w:name="_Toc277013595"/>
      <w:r w:rsidRPr="005635D8">
        <w:rPr>
          <w:rFonts w:ascii="Calibri" w:hAnsi="Calibri"/>
          <w:sz w:val="24"/>
          <w:szCs w:val="24"/>
          <w:lang w:val="en-GB"/>
        </w:rPr>
        <w:t xml:space="preserve">4.3.3   </w:t>
      </w:r>
      <w:r w:rsidR="00154E71" w:rsidRPr="005635D8">
        <w:rPr>
          <w:rFonts w:ascii="Calibri" w:hAnsi="Calibri"/>
          <w:sz w:val="24"/>
          <w:szCs w:val="24"/>
          <w:lang w:val="en-GB"/>
        </w:rPr>
        <w:t>Regulatory</w:t>
      </w:r>
      <w:r w:rsidR="00E86401" w:rsidRPr="005635D8">
        <w:rPr>
          <w:rFonts w:ascii="Calibri" w:hAnsi="Calibri"/>
          <w:sz w:val="24"/>
          <w:szCs w:val="24"/>
          <w:lang w:val="en-GB"/>
        </w:rPr>
        <w:t xml:space="preserve"> or government</w:t>
      </w:r>
      <w:bookmarkEnd w:id="36"/>
      <w:r w:rsidR="00E86401" w:rsidRPr="005635D8">
        <w:rPr>
          <w:rFonts w:ascii="Calibri" w:hAnsi="Calibri"/>
          <w:sz w:val="24"/>
          <w:szCs w:val="24"/>
          <w:lang w:val="en-GB"/>
        </w:rPr>
        <w:t xml:space="preserve"> incentives</w:t>
      </w:r>
    </w:p>
    <w:p w:rsidR="00BA6B03" w:rsidRPr="005635D8" w:rsidRDefault="00B81982" w:rsidP="00C26100">
      <w:pPr>
        <w:autoSpaceDE w:val="0"/>
        <w:autoSpaceDN w:val="0"/>
        <w:adjustRightInd w:val="0"/>
        <w:jc w:val="both"/>
        <w:rPr>
          <w:rFonts w:ascii="Calibri" w:hAnsi="Calibri"/>
          <w:lang w:val="en-GB"/>
        </w:rPr>
      </w:pPr>
      <w:r w:rsidRPr="005635D8">
        <w:rPr>
          <w:rFonts w:ascii="Calibri" w:hAnsi="Calibri"/>
          <w:lang w:val="en-GB"/>
        </w:rPr>
        <w:t>Regulation m</w:t>
      </w:r>
      <w:r w:rsidRPr="005635D8">
        <w:rPr>
          <w:rFonts w:ascii="Calibri" w:hAnsi="Calibri"/>
          <w:iCs/>
          <w:lang w:val="en-GB"/>
        </w:rPr>
        <w:t>otives</w:t>
      </w:r>
      <w:r w:rsidRPr="005635D8">
        <w:rPr>
          <w:rFonts w:ascii="Calibri" w:hAnsi="Calibri"/>
          <w:lang w:val="en-GB"/>
        </w:rPr>
        <w:t xml:space="preserve"> have been found to occur in case firms are likely to stay off from anti-trust investigation or when firms do not want any political intervention. </w:t>
      </w:r>
      <w:r w:rsidR="00C26100" w:rsidRPr="005635D8">
        <w:rPr>
          <w:rFonts w:ascii="Calibri" w:hAnsi="Calibri"/>
          <w:lang w:val="en-GB"/>
        </w:rPr>
        <w:t xml:space="preserve">Goncharov and Zimmerman (2008) state that governments and markets use various mechanisms to reduce the use of earnings management </w:t>
      </w:r>
      <w:r w:rsidRPr="005635D8">
        <w:rPr>
          <w:rFonts w:ascii="Calibri" w:hAnsi="Calibri"/>
          <w:lang w:val="en-GB"/>
        </w:rPr>
        <w:t xml:space="preserve">Firms </w:t>
      </w:r>
      <w:r w:rsidR="00323D4C" w:rsidRPr="005635D8">
        <w:rPr>
          <w:rFonts w:ascii="Calibri" w:hAnsi="Calibri"/>
          <w:lang w:val="en-GB"/>
        </w:rPr>
        <w:t>in addition</w:t>
      </w:r>
      <w:r w:rsidRPr="005635D8">
        <w:rPr>
          <w:rFonts w:ascii="Calibri" w:hAnsi="Calibri"/>
          <w:lang w:val="en-GB"/>
        </w:rPr>
        <w:t xml:space="preserve"> are found to report earnings less gainful to lay claim to governmental subsidiaries. </w:t>
      </w:r>
      <w:r w:rsidR="00BA6B03" w:rsidRPr="005635D8">
        <w:rPr>
          <w:rFonts w:ascii="Calibri" w:hAnsi="Calibri"/>
          <w:lang w:val="en-GB"/>
        </w:rPr>
        <w:t xml:space="preserve">In </w:t>
      </w:r>
      <w:r w:rsidRPr="005635D8">
        <w:rPr>
          <w:rFonts w:ascii="Calibri" w:hAnsi="Calibri"/>
          <w:lang w:val="en-GB"/>
        </w:rPr>
        <w:t xml:space="preserve">a </w:t>
      </w:r>
      <w:r w:rsidR="00BA6B03" w:rsidRPr="005635D8">
        <w:rPr>
          <w:rFonts w:ascii="Calibri" w:hAnsi="Calibri"/>
          <w:lang w:val="en-GB"/>
        </w:rPr>
        <w:t xml:space="preserve">previous section it has already been sketched that firms are, not willing to increase their earnings, to circumvent political costs and not to attract political attention. Mohanram (2003) pointed on this issue and stated that a firm earns no significant benefit from passing the benchmark level way too much. Put it differently, firms can </w:t>
      </w:r>
      <w:r w:rsidR="005635D8" w:rsidRPr="005635D8">
        <w:rPr>
          <w:rFonts w:ascii="Calibri" w:hAnsi="Calibri"/>
          <w:lang w:val="en-GB"/>
        </w:rPr>
        <w:t>do well</w:t>
      </w:r>
      <w:r w:rsidR="00BA6B03" w:rsidRPr="005635D8">
        <w:rPr>
          <w:rFonts w:ascii="Calibri" w:hAnsi="Calibri"/>
          <w:lang w:val="en-GB"/>
        </w:rPr>
        <w:t xml:space="preserve"> and create hopes for the future, but this </w:t>
      </w:r>
      <w:r w:rsidR="00323D4C" w:rsidRPr="005635D8">
        <w:rPr>
          <w:rFonts w:ascii="Calibri" w:hAnsi="Calibri"/>
          <w:lang w:val="en-GB"/>
        </w:rPr>
        <w:t>in addition</w:t>
      </w:r>
      <w:r w:rsidR="00BA6B03" w:rsidRPr="005635D8">
        <w:rPr>
          <w:rFonts w:ascii="Calibri" w:hAnsi="Calibri"/>
          <w:lang w:val="en-GB"/>
        </w:rPr>
        <w:t xml:space="preserve"> makes it difficult to achieve future goals to realize better performance. Earnings management of this kind is called ‘cookie-jar’ accounting. Namely, by lowering the present period income, firms move up the excess money to the future. </w:t>
      </w:r>
    </w:p>
    <w:p w:rsidR="00BA6B03" w:rsidRPr="005635D8" w:rsidRDefault="00BA6B03" w:rsidP="00154E71">
      <w:pPr>
        <w:pStyle w:val="000"/>
        <w:spacing w:line="360" w:lineRule="auto"/>
        <w:jc w:val="both"/>
        <w:rPr>
          <w:rFonts w:ascii="Calibri" w:hAnsi="Calibri"/>
          <w:highlight w:val="cyan"/>
        </w:rPr>
      </w:pPr>
    </w:p>
    <w:p w:rsidR="00F5000E" w:rsidRPr="005635D8" w:rsidRDefault="00923DD9" w:rsidP="001E4C5D">
      <w:pPr>
        <w:pStyle w:val="Heading3"/>
        <w:rPr>
          <w:lang w:val="en-GB"/>
        </w:rPr>
      </w:pPr>
      <w:bookmarkStart w:id="37" w:name="_Toc277013578"/>
      <w:bookmarkStart w:id="38" w:name="_Toc362267275"/>
      <w:r w:rsidRPr="005635D8">
        <w:rPr>
          <w:lang w:val="en-GB"/>
        </w:rPr>
        <w:t>4</w:t>
      </w:r>
      <w:r w:rsidR="00C26100" w:rsidRPr="005635D8">
        <w:rPr>
          <w:lang w:val="en-GB"/>
        </w:rPr>
        <w:t>.4 Background theories</w:t>
      </w:r>
      <w:r w:rsidR="00F5000E" w:rsidRPr="005635D8">
        <w:rPr>
          <w:lang w:val="en-GB"/>
        </w:rPr>
        <w:t xml:space="preserve"> and Earnings Management</w:t>
      </w:r>
      <w:bookmarkEnd w:id="37"/>
      <w:bookmarkEnd w:id="38"/>
    </w:p>
    <w:p w:rsidR="00323E7B" w:rsidRPr="005635D8" w:rsidRDefault="00836B5F" w:rsidP="005A5964">
      <w:pPr>
        <w:autoSpaceDE w:val="0"/>
        <w:autoSpaceDN w:val="0"/>
        <w:adjustRightInd w:val="0"/>
        <w:jc w:val="both"/>
        <w:rPr>
          <w:rFonts w:ascii="Calibri" w:hAnsi="Calibri"/>
          <w:lang w:val="en-GB" w:eastAsia="zh-TW"/>
        </w:rPr>
      </w:pPr>
      <w:r w:rsidRPr="005635D8">
        <w:rPr>
          <w:rFonts w:ascii="Calibri" w:hAnsi="Calibri"/>
          <w:lang w:val="en-GB"/>
        </w:rPr>
        <w:t xml:space="preserve">After this broad discussion of the concept of earnings management the question rises </w:t>
      </w:r>
      <w:r w:rsidR="00F57B55" w:rsidRPr="005635D8">
        <w:rPr>
          <w:rFonts w:ascii="Calibri" w:hAnsi="Calibri"/>
          <w:lang w:val="en-GB"/>
        </w:rPr>
        <w:t>in which way</w:t>
      </w:r>
      <w:r w:rsidRPr="005635D8">
        <w:rPr>
          <w:rFonts w:ascii="Calibri" w:hAnsi="Calibri"/>
          <w:lang w:val="en-GB"/>
        </w:rPr>
        <w:t xml:space="preserve"> studying this concept fit</w:t>
      </w:r>
      <w:r w:rsidRPr="005635D8">
        <w:rPr>
          <w:rFonts w:ascii="Calibri" w:hAnsi="Calibri"/>
          <w:lang w:val="en-GB" w:eastAsia="zh-TW"/>
        </w:rPr>
        <w:t>s</w:t>
      </w:r>
      <w:r w:rsidRPr="005635D8">
        <w:rPr>
          <w:rFonts w:ascii="Calibri" w:hAnsi="Calibri"/>
          <w:lang w:val="en-GB"/>
        </w:rPr>
        <w:t xml:space="preserve"> within the background theories</w:t>
      </w:r>
      <w:r w:rsidRPr="005635D8">
        <w:rPr>
          <w:rFonts w:ascii="Calibri" w:hAnsi="Calibri"/>
          <w:lang w:val="en-GB" w:eastAsia="zh-TW"/>
        </w:rPr>
        <w:t xml:space="preserve"> for accounting presented in the second chapter. It can be stated that studying earnings management totally fits within the approach of the ‘positive accounting theory’.  </w:t>
      </w:r>
      <w:r w:rsidR="00323E7B" w:rsidRPr="005635D8">
        <w:rPr>
          <w:rFonts w:ascii="Calibri" w:hAnsi="Calibri"/>
          <w:lang w:val="en-GB" w:eastAsia="zh-TW"/>
        </w:rPr>
        <w:t xml:space="preserve">In earnings management individuals can be assumed to act according to their own self-interests. The final objective of studying earnings management will </w:t>
      </w:r>
      <w:r w:rsidR="00323D4C" w:rsidRPr="005635D8">
        <w:rPr>
          <w:rFonts w:ascii="Calibri" w:hAnsi="Calibri"/>
          <w:lang w:val="en-GB" w:eastAsia="zh-TW"/>
        </w:rPr>
        <w:t>in addition</w:t>
      </w:r>
      <w:r w:rsidR="00323E7B" w:rsidRPr="005635D8">
        <w:rPr>
          <w:rFonts w:ascii="Calibri" w:hAnsi="Calibri"/>
          <w:lang w:val="en-GB" w:eastAsia="zh-TW"/>
        </w:rPr>
        <w:t xml:space="preserve"> be to predict the relative magnitudes of earnings management and to explain which factors influence earnings management. This totally fits within the empirical approach of the positive accounting theory. Some of the incentives for earnings management </w:t>
      </w:r>
      <w:r w:rsidR="00640F0E" w:rsidRPr="005635D8">
        <w:rPr>
          <w:rFonts w:ascii="Calibri" w:hAnsi="Calibri"/>
          <w:lang w:val="en-GB" w:eastAsia="zh-TW"/>
        </w:rPr>
        <w:t>commented</w:t>
      </w:r>
      <w:r w:rsidR="00323E7B" w:rsidRPr="005635D8">
        <w:rPr>
          <w:rFonts w:ascii="Calibri" w:hAnsi="Calibri"/>
          <w:lang w:val="en-GB" w:eastAsia="zh-TW"/>
        </w:rPr>
        <w:t xml:space="preserve"> in this chapter resemble the hypothesis for explaining certain accountancy decisions </w:t>
      </w:r>
      <w:r w:rsidR="00640F0E" w:rsidRPr="005635D8">
        <w:rPr>
          <w:rFonts w:ascii="Calibri" w:hAnsi="Calibri"/>
          <w:lang w:val="en-GB" w:eastAsia="zh-TW"/>
        </w:rPr>
        <w:t>commented</w:t>
      </w:r>
      <w:r w:rsidR="00323E7B" w:rsidRPr="005635D8">
        <w:rPr>
          <w:rFonts w:ascii="Calibri" w:hAnsi="Calibri"/>
          <w:lang w:val="en-GB" w:eastAsia="zh-TW"/>
        </w:rPr>
        <w:t xml:space="preserve"> in paragraph 2.1. The contracting motives of Healy and Wahlen (1998) are similar to the bonus plan and debt to equity hypotheses of Watts and Zimmerman (1986). Besides that, the regulatory or government incentives for earnings management are comparable to the political cost hypothesis of Watts and Zimmerman (1986). The whole study of earnings management </w:t>
      </w:r>
      <w:r w:rsidR="00C456CE" w:rsidRPr="005635D8">
        <w:rPr>
          <w:rFonts w:ascii="Calibri" w:hAnsi="Calibri"/>
          <w:lang w:val="en-GB" w:eastAsia="zh-TW"/>
        </w:rPr>
        <w:t>consequently</w:t>
      </w:r>
      <w:r w:rsidR="00323E7B" w:rsidRPr="005635D8">
        <w:rPr>
          <w:rFonts w:ascii="Calibri" w:hAnsi="Calibri"/>
          <w:lang w:val="en-GB" w:eastAsia="zh-TW"/>
        </w:rPr>
        <w:t xml:space="preserve"> seems </w:t>
      </w:r>
      <w:r w:rsidR="005B11AC" w:rsidRPr="005635D8">
        <w:rPr>
          <w:rFonts w:ascii="Calibri" w:hAnsi="Calibri"/>
          <w:lang w:val="en-GB" w:eastAsia="zh-TW"/>
        </w:rPr>
        <w:t>a continuation of the positive accounting theory focusing on a more narrowly defined concept</w:t>
      </w:r>
      <w:r w:rsidR="00E13C00" w:rsidRPr="005635D8">
        <w:rPr>
          <w:rFonts w:ascii="Calibri" w:hAnsi="Calibri"/>
          <w:lang w:val="en-GB" w:eastAsia="zh-TW"/>
        </w:rPr>
        <w:t>, namely</w:t>
      </w:r>
      <w:r w:rsidR="005B11AC" w:rsidRPr="005635D8">
        <w:rPr>
          <w:rFonts w:ascii="Calibri" w:hAnsi="Calibri"/>
          <w:lang w:val="en-GB" w:eastAsia="zh-TW"/>
        </w:rPr>
        <w:t xml:space="preserve"> earnings management. Earnings management </w:t>
      </w:r>
      <w:r w:rsidR="00323D4C" w:rsidRPr="005635D8">
        <w:rPr>
          <w:rFonts w:ascii="Calibri" w:hAnsi="Calibri"/>
          <w:lang w:val="en-GB" w:eastAsia="zh-TW"/>
        </w:rPr>
        <w:t>in addition</w:t>
      </w:r>
      <w:r w:rsidR="005B11AC" w:rsidRPr="005635D8">
        <w:rPr>
          <w:rFonts w:ascii="Calibri" w:hAnsi="Calibri"/>
          <w:lang w:val="en-GB" w:eastAsia="zh-TW"/>
        </w:rPr>
        <w:t xml:space="preserve"> seems to fit partly within the agency theory as many explanations for earnings management deal with the relation between agents and principals. However, not all the reasons for earnings management can be explained from the agent-principal relation. And the assumption that agents always act in order to maximize their own utility is not necessarily assumed</w:t>
      </w:r>
      <w:r w:rsidR="005A5964" w:rsidRPr="005635D8">
        <w:rPr>
          <w:rFonts w:ascii="Calibri" w:hAnsi="Calibri"/>
          <w:lang w:val="en-GB" w:eastAsia="zh-TW"/>
        </w:rPr>
        <w:t xml:space="preserve"> while studying earnings management</w:t>
      </w:r>
      <w:r w:rsidR="005B11AC" w:rsidRPr="005635D8">
        <w:rPr>
          <w:rFonts w:ascii="Calibri" w:hAnsi="Calibri"/>
          <w:lang w:val="en-GB" w:eastAsia="zh-TW"/>
        </w:rPr>
        <w:t xml:space="preserve">. Managers might </w:t>
      </w:r>
      <w:r w:rsidR="00323D4C" w:rsidRPr="005635D8">
        <w:rPr>
          <w:rFonts w:ascii="Calibri" w:hAnsi="Calibri"/>
          <w:lang w:val="en-GB" w:eastAsia="zh-TW"/>
        </w:rPr>
        <w:t>in addition</w:t>
      </w:r>
      <w:r w:rsidR="005B11AC" w:rsidRPr="005635D8">
        <w:rPr>
          <w:rFonts w:ascii="Calibri" w:hAnsi="Calibri"/>
          <w:lang w:val="en-GB" w:eastAsia="zh-TW"/>
        </w:rPr>
        <w:t xml:space="preserve"> base their decisions on the interests of the company or on the interests of the staff of the company and engage in earnings management based on those interests. In short, studying earnings management can be seen as a continuation of the p</w:t>
      </w:r>
      <w:r w:rsidR="005A5964" w:rsidRPr="005635D8">
        <w:rPr>
          <w:rFonts w:ascii="Calibri" w:hAnsi="Calibri"/>
          <w:lang w:val="en-GB" w:eastAsia="zh-TW"/>
        </w:rPr>
        <w:t>ositive accounting theory but it</w:t>
      </w:r>
      <w:r w:rsidR="005B11AC" w:rsidRPr="005635D8">
        <w:rPr>
          <w:rFonts w:ascii="Calibri" w:hAnsi="Calibri"/>
          <w:lang w:val="en-GB" w:eastAsia="zh-TW"/>
        </w:rPr>
        <w:t xml:space="preserve"> specifies its own object of study.   </w:t>
      </w:r>
    </w:p>
    <w:p w:rsidR="002E4C88" w:rsidRPr="005635D8" w:rsidRDefault="00923DD9" w:rsidP="001E4C5D">
      <w:pPr>
        <w:pStyle w:val="Heading3"/>
        <w:rPr>
          <w:webHidden/>
          <w:lang w:val="en-GB"/>
        </w:rPr>
      </w:pPr>
      <w:bookmarkStart w:id="39" w:name="_Toc362267276"/>
      <w:r w:rsidRPr="005635D8">
        <w:rPr>
          <w:lang w:val="en-GB"/>
        </w:rPr>
        <w:t>4</w:t>
      </w:r>
      <w:r w:rsidR="005A5964" w:rsidRPr="005635D8">
        <w:rPr>
          <w:lang w:val="en-GB"/>
        </w:rPr>
        <w:t xml:space="preserve">.5 </w:t>
      </w:r>
      <w:r w:rsidR="002E4C88" w:rsidRPr="005635D8">
        <w:rPr>
          <w:lang w:val="en-GB"/>
        </w:rPr>
        <w:t>Summary</w:t>
      </w:r>
      <w:bookmarkEnd w:id="39"/>
      <w:r w:rsidR="002E4C88" w:rsidRPr="005635D8">
        <w:rPr>
          <w:webHidden/>
          <w:lang w:val="en-GB"/>
        </w:rPr>
        <w:tab/>
      </w:r>
    </w:p>
    <w:p w:rsidR="00B227D3" w:rsidRPr="005635D8" w:rsidRDefault="00B227D3" w:rsidP="0092438B">
      <w:pPr>
        <w:jc w:val="both"/>
        <w:rPr>
          <w:rFonts w:ascii="Calibri" w:hAnsi="Calibri" w:cs="AdvPS6F00"/>
          <w:lang w:val="en-GB" w:eastAsia="zh-TW"/>
        </w:rPr>
      </w:pPr>
      <w:r w:rsidRPr="005635D8">
        <w:rPr>
          <w:rFonts w:ascii="Calibri" w:hAnsi="Calibri"/>
          <w:webHidden/>
          <w:lang w:val="en-GB" w:eastAsia="zh-TW"/>
        </w:rPr>
        <w:t>This chapter further introduced the concept of earnings management</w:t>
      </w:r>
      <w:r w:rsidR="0087381C" w:rsidRPr="005635D8">
        <w:rPr>
          <w:rFonts w:ascii="Calibri" w:hAnsi="Calibri"/>
          <w:webHidden/>
          <w:lang w:val="en-GB" w:eastAsia="zh-TW"/>
        </w:rPr>
        <w:t xml:space="preserve"> by answering the </w:t>
      </w:r>
      <w:r w:rsidR="00B7493A" w:rsidRPr="005635D8">
        <w:rPr>
          <w:rFonts w:ascii="Calibri" w:hAnsi="Calibri"/>
          <w:webHidden/>
          <w:lang w:val="en-GB" w:eastAsia="zh-TW"/>
        </w:rPr>
        <w:t xml:space="preserve">sub question </w:t>
      </w:r>
      <w:r w:rsidR="00F57B55" w:rsidRPr="005635D8">
        <w:rPr>
          <w:lang w:val="en-GB"/>
        </w:rPr>
        <w:t>in which way</w:t>
      </w:r>
      <w:r w:rsidR="00B7493A" w:rsidRPr="005635D8">
        <w:rPr>
          <w:lang w:val="en-GB"/>
        </w:rPr>
        <w:t xml:space="preserve"> the use of earnings management is defined, which types of earnings management exist and what the main incentives for engaging in earnings management are?</w:t>
      </w:r>
      <w:r w:rsidRPr="005635D8">
        <w:rPr>
          <w:rFonts w:ascii="Calibri" w:hAnsi="Calibri"/>
          <w:webHidden/>
          <w:lang w:val="en-GB" w:eastAsia="zh-TW"/>
        </w:rPr>
        <w:t xml:space="preserve"> </w:t>
      </w:r>
      <w:r w:rsidR="0092438B" w:rsidRPr="005635D8">
        <w:rPr>
          <w:rFonts w:ascii="Calibri" w:hAnsi="Calibri"/>
          <w:webHidden/>
          <w:lang w:val="en-GB" w:eastAsia="zh-TW"/>
        </w:rPr>
        <w:t>Following the commonly used definition by Healy and Wahlen (</w:t>
      </w:r>
      <w:r w:rsidR="0092438B" w:rsidRPr="005635D8">
        <w:rPr>
          <w:rFonts w:ascii="Calibri" w:eastAsia="Times New Roman" w:hAnsi="Calibri" w:cs="AdvPS6F00"/>
          <w:lang w:val="en-GB" w:eastAsia="nl-NL"/>
        </w:rPr>
        <w:t>1999, 368) e</w:t>
      </w:r>
      <w:r w:rsidR="0092438B" w:rsidRPr="005635D8">
        <w:rPr>
          <w:rFonts w:ascii="Calibri" w:hAnsi="Calibri"/>
          <w:webHidden/>
          <w:lang w:val="en-GB" w:eastAsia="zh-TW"/>
        </w:rPr>
        <w:t>arnings management was</w:t>
      </w:r>
      <w:r w:rsidRPr="005635D8">
        <w:rPr>
          <w:rFonts w:ascii="Calibri" w:hAnsi="Calibri"/>
          <w:webHidden/>
          <w:lang w:val="en-GB" w:eastAsia="zh-TW"/>
        </w:rPr>
        <w:t xml:space="preserve"> defined </w:t>
      </w:r>
      <w:r w:rsidR="0092438B" w:rsidRPr="005635D8">
        <w:rPr>
          <w:rFonts w:ascii="Calibri" w:hAnsi="Calibri"/>
          <w:webHidden/>
          <w:lang w:val="en-GB" w:eastAsia="zh-TW"/>
        </w:rPr>
        <w:t xml:space="preserve">in this chapter </w:t>
      </w:r>
      <w:r w:rsidRPr="005635D8">
        <w:rPr>
          <w:rFonts w:ascii="Calibri" w:hAnsi="Calibri"/>
          <w:webHidden/>
          <w:lang w:val="en-GB" w:eastAsia="zh-TW"/>
        </w:rPr>
        <w:t xml:space="preserve">as a process in which </w:t>
      </w:r>
      <w:r w:rsidRPr="005635D8">
        <w:rPr>
          <w:rFonts w:ascii="Calibri" w:eastAsia="Times New Roman" w:hAnsi="Calibri" w:cs="AdvPS6F00"/>
          <w:lang w:val="en-GB" w:eastAsia="nl-NL"/>
        </w:rPr>
        <w:t>managers use judgment in financial reporting and in structuring transactions to alter financial reports to either mislead some stakeholders about the underlying economic performance of the company or to influence contractual outcomes</w:t>
      </w:r>
      <w:r w:rsidRPr="005635D8">
        <w:rPr>
          <w:rFonts w:ascii="Calibri" w:hAnsi="Calibri" w:cs="AdvPS6F00"/>
          <w:lang w:val="en-GB" w:eastAsia="zh-TW"/>
        </w:rPr>
        <w:t xml:space="preserve">. Some scholars hold that the private interests of managers are involved while others </w:t>
      </w:r>
      <w:r w:rsidR="00323D4C" w:rsidRPr="005635D8">
        <w:rPr>
          <w:rFonts w:ascii="Calibri" w:hAnsi="Calibri" w:cs="AdvPS6F00"/>
          <w:lang w:val="en-GB" w:eastAsia="zh-TW"/>
        </w:rPr>
        <w:t>in addition</w:t>
      </w:r>
      <w:r w:rsidRPr="005635D8">
        <w:rPr>
          <w:rFonts w:ascii="Calibri" w:hAnsi="Calibri" w:cs="AdvPS6F00"/>
          <w:lang w:val="en-GB" w:eastAsia="zh-TW"/>
        </w:rPr>
        <w:t xml:space="preserve"> allow other interests such as the interests of the company on the base of earnings management. Earnings management can </w:t>
      </w:r>
      <w:r w:rsidR="00323D4C" w:rsidRPr="005635D8">
        <w:rPr>
          <w:rFonts w:ascii="Calibri" w:hAnsi="Calibri" w:cs="AdvPS6F00"/>
          <w:lang w:val="en-GB" w:eastAsia="zh-TW"/>
        </w:rPr>
        <w:t>in addition</w:t>
      </w:r>
      <w:r w:rsidRPr="005635D8">
        <w:rPr>
          <w:rFonts w:ascii="Calibri" w:hAnsi="Calibri" w:cs="AdvPS6F00"/>
          <w:lang w:val="en-GB" w:eastAsia="zh-TW"/>
        </w:rPr>
        <w:t xml:space="preserve"> both happen within the limits of the law as well as being against the law when it is considered fraud.  Within the concept of earnings management a distinction is made between real earnings management and accruals-based earnings management with this study focusing mainly on the last, more prominent, type of earnings management. </w:t>
      </w:r>
    </w:p>
    <w:p w:rsidR="00974D11" w:rsidRPr="005635D8" w:rsidRDefault="00B227D3" w:rsidP="00B227D3">
      <w:pPr>
        <w:jc w:val="both"/>
        <w:rPr>
          <w:rFonts w:ascii="Calibri" w:eastAsiaTheme="majorEastAsia" w:hAnsi="Calibri" w:cstheme="minorHAnsi"/>
          <w:b/>
          <w:bCs/>
          <w:webHidden/>
          <w:sz w:val="40"/>
          <w:szCs w:val="24"/>
          <w:lang w:val="en-GB"/>
        </w:rPr>
      </w:pPr>
      <w:r w:rsidRPr="005635D8">
        <w:rPr>
          <w:rFonts w:ascii="Calibri" w:hAnsi="Calibri" w:cs="AdvPS6F00"/>
          <w:lang w:val="en-GB" w:eastAsia="zh-TW"/>
        </w:rPr>
        <w:t xml:space="preserve">Several incentives for earnings management are distinguished that resemble with the hypothesis for certain types of accounting that were </w:t>
      </w:r>
      <w:r w:rsidR="005635D8" w:rsidRPr="005635D8">
        <w:rPr>
          <w:rFonts w:ascii="Calibri" w:hAnsi="Calibri" w:cs="AdvPS6F00"/>
          <w:lang w:val="en-GB" w:eastAsia="zh-TW"/>
        </w:rPr>
        <w:t>signalled</w:t>
      </w:r>
      <w:r w:rsidRPr="005635D8">
        <w:rPr>
          <w:rFonts w:ascii="Calibri" w:hAnsi="Calibri" w:cs="AdvPS6F00"/>
          <w:lang w:val="en-GB" w:eastAsia="zh-TW"/>
        </w:rPr>
        <w:t xml:space="preserve"> in the chapter on the positive accounting theory. Capital market incentives, contracting incentives and regulatory incentives were distinguished as structural incentives for engaging in earnings management. Earnings management is then </w:t>
      </w:r>
      <w:r w:rsidR="005A5964" w:rsidRPr="005635D8">
        <w:rPr>
          <w:rFonts w:ascii="Calibri" w:hAnsi="Calibri" w:cs="AdvPS6F00"/>
          <w:lang w:val="en-GB" w:eastAsia="zh-TW"/>
        </w:rPr>
        <w:t>titled as a continuation of the positive accounting theory with a specific focus on earnings management.</w:t>
      </w:r>
      <w:r w:rsidR="00974D11" w:rsidRPr="005635D8">
        <w:rPr>
          <w:rFonts w:ascii="Calibri" w:hAnsi="Calibri"/>
          <w:webHidden/>
          <w:lang w:val="en-GB"/>
        </w:rPr>
        <w:br w:type="page"/>
      </w:r>
    </w:p>
    <w:p w:rsidR="00EB2C54" w:rsidRPr="005635D8" w:rsidRDefault="00923DD9" w:rsidP="00FB3B32">
      <w:pPr>
        <w:pStyle w:val="Heading1"/>
      </w:pPr>
      <w:bookmarkStart w:id="40" w:name="_Toc362267277"/>
      <w:r w:rsidRPr="005635D8">
        <w:t>5</w:t>
      </w:r>
      <w:r w:rsidR="0098721B" w:rsidRPr="005635D8">
        <w:t xml:space="preserve"> </w:t>
      </w:r>
      <w:r w:rsidR="00EB2C54" w:rsidRPr="005635D8">
        <w:t>Measuring earnings management</w:t>
      </w:r>
      <w:bookmarkEnd w:id="40"/>
    </w:p>
    <w:p w:rsidR="0098721B" w:rsidRPr="005635D8" w:rsidRDefault="0098721B" w:rsidP="00B36CB0">
      <w:pPr>
        <w:autoSpaceDE w:val="0"/>
        <w:autoSpaceDN w:val="0"/>
        <w:adjustRightInd w:val="0"/>
        <w:spacing w:after="0" w:line="240" w:lineRule="auto"/>
        <w:jc w:val="both"/>
        <w:rPr>
          <w:rFonts w:ascii="Calibri" w:hAnsi="Calibri" w:cs="TrebuchetMS"/>
          <w:iCs/>
          <w:sz w:val="24"/>
          <w:szCs w:val="24"/>
          <w:lang w:val="en-GB"/>
        </w:rPr>
      </w:pPr>
    </w:p>
    <w:p w:rsidR="00BE444D" w:rsidRPr="005635D8" w:rsidRDefault="00BE444D" w:rsidP="00921D67">
      <w:pPr>
        <w:autoSpaceDE w:val="0"/>
        <w:autoSpaceDN w:val="0"/>
        <w:adjustRightInd w:val="0"/>
        <w:spacing w:after="0"/>
        <w:jc w:val="both"/>
        <w:rPr>
          <w:rFonts w:ascii="Calibri" w:hAnsi="Calibri" w:cs="TrebuchetMS"/>
          <w:iCs/>
          <w:lang w:val="en-GB"/>
        </w:rPr>
      </w:pPr>
      <w:r w:rsidRPr="005635D8">
        <w:rPr>
          <w:rFonts w:ascii="Calibri" w:hAnsi="Calibri" w:cs="TrebuchetMS"/>
          <w:iCs/>
          <w:lang w:val="en-GB"/>
        </w:rPr>
        <w:t>This chapter discusses</w:t>
      </w:r>
      <w:r w:rsidR="00921D67" w:rsidRPr="005635D8">
        <w:rPr>
          <w:rFonts w:ascii="Calibri" w:hAnsi="Calibri" w:cs="TrebuchetMS"/>
          <w:iCs/>
          <w:lang w:val="en-GB"/>
        </w:rPr>
        <w:t xml:space="preserve"> the questions </w:t>
      </w:r>
      <w:r w:rsidR="00F57B55" w:rsidRPr="005635D8">
        <w:rPr>
          <w:lang w:val="en-GB"/>
        </w:rPr>
        <w:t>in which way</w:t>
      </w:r>
      <w:r w:rsidR="00921D67" w:rsidRPr="005635D8">
        <w:rPr>
          <w:lang w:val="en-GB"/>
        </w:rPr>
        <w:t xml:space="preserve"> the use of earnings management can best be measured and </w:t>
      </w:r>
      <w:r w:rsidR="00F57B55" w:rsidRPr="005635D8">
        <w:rPr>
          <w:lang w:val="en-GB"/>
        </w:rPr>
        <w:t>in which way</w:t>
      </w:r>
      <w:r w:rsidR="00921D67" w:rsidRPr="005635D8">
        <w:rPr>
          <w:lang w:val="en-GB"/>
        </w:rPr>
        <w:t xml:space="preserve"> models to detect the use of earnings management have evolved over time?</w:t>
      </w:r>
      <w:r w:rsidRPr="005635D8">
        <w:rPr>
          <w:rFonts w:ascii="Calibri" w:hAnsi="Calibri" w:cs="TrebuchetMS"/>
          <w:iCs/>
          <w:lang w:val="en-GB"/>
        </w:rPr>
        <w:t xml:space="preserve"> It is first described </w:t>
      </w:r>
      <w:r w:rsidR="00F57B55" w:rsidRPr="005635D8">
        <w:rPr>
          <w:rFonts w:ascii="Calibri" w:hAnsi="Calibri" w:cs="TrebuchetMS"/>
          <w:iCs/>
          <w:lang w:val="en-GB"/>
        </w:rPr>
        <w:t>in which way</w:t>
      </w:r>
      <w:r w:rsidRPr="005635D8">
        <w:rPr>
          <w:rFonts w:ascii="Calibri" w:hAnsi="Calibri" w:cs="TrebuchetMS"/>
          <w:iCs/>
          <w:lang w:val="en-GB"/>
        </w:rPr>
        <w:t xml:space="preserve"> earnings management can be conceptualized as managing accruals; more specifically the management of discretionary accruals. Then several models to detect the use of earnings management will be </w:t>
      </w:r>
      <w:r w:rsidR="00B36CB0" w:rsidRPr="005635D8">
        <w:rPr>
          <w:rFonts w:ascii="Calibri" w:hAnsi="Calibri" w:cs="TrebuchetMS"/>
          <w:iCs/>
          <w:lang w:val="en-GB"/>
        </w:rPr>
        <w:t xml:space="preserve">introduced. Next, the distinction between the cross-sectional model and a time-series model will be </w:t>
      </w:r>
      <w:r w:rsidR="00640F0E" w:rsidRPr="005635D8">
        <w:rPr>
          <w:rFonts w:ascii="Calibri" w:hAnsi="Calibri" w:cs="TrebuchetMS"/>
          <w:iCs/>
          <w:lang w:val="en-GB"/>
        </w:rPr>
        <w:t>commented</w:t>
      </w:r>
      <w:r w:rsidR="00B36CB0" w:rsidRPr="005635D8">
        <w:rPr>
          <w:rFonts w:ascii="Calibri" w:hAnsi="Calibri" w:cs="TrebuchetMS"/>
          <w:iCs/>
          <w:lang w:val="en-GB"/>
        </w:rPr>
        <w:t xml:space="preserve">. Finally, it will be argued which model serves best the purpose of the current study. </w:t>
      </w:r>
      <w:r w:rsidRPr="005635D8">
        <w:rPr>
          <w:rFonts w:ascii="Calibri" w:hAnsi="Calibri" w:cs="TrebuchetMS"/>
          <w:iCs/>
          <w:lang w:val="en-GB"/>
        </w:rPr>
        <w:t xml:space="preserve">   </w:t>
      </w:r>
    </w:p>
    <w:p w:rsidR="00BE444D" w:rsidRPr="005635D8" w:rsidRDefault="00BE444D" w:rsidP="003C62CB">
      <w:pPr>
        <w:autoSpaceDE w:val="0"/>
        <w:autoSpaceDN w:val="0"/>
        <w:adjustRightInd w:val="0"/>
        <w:spacing w:after="0" w:line="240" w:lineRule="auto"/>
        <w:rPr>
          <w:rFonts w:ascii="Calibri" w:hAnsi="Calibri" w:cs="TrebuchetMS"/>
          <w:sz w:val="24"/>
          <w:szCs w:val="24"/>
          <w:lang w:val="en-GB"/>
        </w:rPr>
      </w:pPr>
    </w:p>
    <w:p w:rsidR="00B36CB0" w:rsidRPr="005635D8" w:rsidRDefault="00923DD9" w:rsidP="001E4C5D">
      <w:pPr>
        <w:pStyle w:val="Heading3"/>
        <w:rPr>
          <w:lang w:val="en-GB"/>
        </w:rPr>
      </w:pPr>
      <w:bookmarkStart w:id="41" w:name="_Toc362267278"/>
      <w:r w:rsidRPr="005635D8">
        <w:rPr>
          <w:lang w:val="en-GB"/>
        </w:rPr>
        <w:t>5</w:t>
      </w:r>
      <w:r w:rsidR="00974D11" w:rsidRPr="005635D8">
        <w:rPr>
          <w:lang w:val="en-GB"/>
        </w:rPr>
        <w:t xml:space="preserve">.1 </w:t>
      </w:r>
      <w:r w:rsidR="00B36CB0" w:rsidRPr="005635D8">
        <w:rPr>
          <w:lang w:val="en-GB"/>
        </w:rPr>
        <w:t>Accruals</w:t>
      </w:r>
      <w:bookmarkEnd w:id="41"/>
    </w:p>
    <w:p w:rsidR="00FF47D9" w:rsidRPr="005635D8" w:rsidRDefault="00B36CB0" w:rsidP="0051013A">
      <w:pPr>
        <w:autoSpaceDE w:val="0"/>
        <w:autoSpaceDN w:val="0"/>
        <w:adjustRightInd w:val="0"/>
        <w:spacing w:after="0"/>
        <w:jc w:val="both"/>
        <w:rPr>
          <w:rFonts w:ascii="Calibri" w:hAnsi="Calibri" w:cs="TrebuchetMS"/>
          <w:iCs/>
          <w:lang w:val="en-GB"/>
        </w:rPr>
      </w:pPr>
      <w:r w:rsidRPr="005635D8">
        <w:rPr>
          <w:rFonts w:ascii="Calibri" w:hAnsi="Calibri" w:cs="TrebuchetMS"/>
          <w:lang w:val="en-GB"/>
        </w:rPr>
        <w:t xml:space="preserve">In the previous chapter a distinction between </w:t>
      </w:r>
      <w:r w:rsidRPr="005635D8">
        <w:rPr>
          <w:rFonts w:ascii="Calibri" w:hAnsi="Calibri" w:cs="TrebuchetMS"/>
          <w:i/>
          <w:lang w:val="en-GB"/>
        </w:rPr>
        <w:t>accruals-based earnings managem</w:t>
      </w:r>
      <w:r w:rsidR="00BE444D" w:rsidRPr="005635D8">
        <w:rPr>
          <w:rFonts w:ascii="Calibri" w:hAnsi="Calibri" w:cs="TrebuchetMS"/>
          <w:i/>
          <w:lang w:val="en-GB"/>
        </w:rPr>
        <w:t>ent</w:t>
      </w:r>
      <w:r w:rsidRPr="005635D8">
        <w:rPr>
          <w:rFonts w:ascii="Calibri" w:hAnsi="Calibri" w:cs="TrebuchetMS"/>
          <w:iCs/>
          <w:lang w:val="en-GB"/>
        </w:rPr>
        <w:t xml:space="preserve"> and</w:t>
      </w:r>
      <w:r w:rsidRPr="005635D8">
        <w:rPr>
          <w:rFonts w:ascii="Calibri" w:hAnsi="Calibri" w:cs="TrebuchetMS"/>
          <w:i/>
          <w:lang w:val="en-GB"/>
        </w:rPr>
        <w:t xml:space="preserve"> </w:t>
      </w:r>
      <w:r w:rsidR="00323D4C" w:rsidRPr="005635D8">
        <w:rPr>
          <w:rFonts w:ascii="Calibri" w:hAnsi="Calibri" w:cs="TrebuchetMS"/>
          <w:i/>
          <w:lang w:val="en-GB"/>
        </w:rPr>
        <w:t xml:space="preserve">the use of </w:t>
      </w:r>
      <w:r w:rsidRPr="005635D8">
        <w:rPr>
          <w:rFonts w:ascii="Calibri" w:hAnsi="Calibri" w:cs="TrebuchetMS"/>
          <w:i/>
          <w:lang w:val="en-GB"/>
        </w:rPr>
        <w:t xml:space="preserve">real earnings management </w:t>
      </w:r>
      <w:r w:rsidRPr="005635D8">
        <w:rPr>
          <w:rFonts w:ascii="Calibri" w:hAnsi="Calibri" w:cs="TrebuchetMS"/>
          <w:iCs/>
          <w:lang w:val="en-GB"/>
        </w:rPr>
        <w:t>was introduced</w:t>
      </w:r>
      <w:r w:rsidRPr="005635D8">
        <w:rPr>
          <w:rFonts w:ascii="Calibri" w:hAnsi="Calibri" w:cs="TrebuchetMS"/>
          <w:i/>
          <w:lang w:val="en-GB"/>
        </w:rPr>
        <w:t>.</w:t>
      </w:r>
      <w:r w:rsidRPr="005635D8">
        <w:rPr>
          <w:rFonts w:ascii="Calibri" w:hAnsi="Calibri" w:cs="TrebuchetMS"/>
          <w:iCs/>
          <w:lang w:val="en-GB"/>
        </w:rPr>
        <w:t xml:space="preserve"> As this study mainly investigates the first type of earnings management it should be made clear what is meant by earnings management based on accruals. </w:t>
      </w:r>
      <w:r w:rsidR="000C004D" w:rsidRPr="005635D8">
        <w:rPr>
          <w:rFonts w:ascii="Calibri" w:hAnsi="Calibri" w:cs="TrebuchetMS"/>
          <w:iCs/>
          <w:lang w:val="en-GB"/>
        </w:rPr>
        <w:t>The total reported earnings</w:t>
      </w:r>
      <w:r w:rsidR="00974D11" w:rsidRPr="005635D8">
        <w:rPr>
          <w:rFonts w:ascii="Calibri" w:hAnsi="Calibri" w:cs="TrebuchetMS"/>
          <w:iCs/>
          <w:lang w:val="en-GB"/>
        </w:rPr>
        <w:t xml:space="preserve"> of a firm include</w:t>
      </w:r>
      <w:r w:rsidR="000C004D" w:rsidRPr="005635D8">
        <w:rPr>
          <w:rFonts w:ascii="Calibri" w:hAnsi="Calibri" w:cs="TrebuchetMS"/>
          <w:iCs/>
          <w:lang w:val="en-GB"/>
        </w:rPr>
        <w:t xml:space="preserve"> cash flows as well as changes in firm value that are not reflected in current cash flows. This part of total earnings that is not reflected in current cash flows is the accrual part of total earnings. “The accruals components of income capture the wedge betwee</w:t>
      </w:r>
      <w:r w:rsidR="00537B8C" w:rsidRPr="005635D8">
        <w:rPr>
          <w:rFonts w:ascii="Calibri" w:hAnsi="Calibri" w:cs="TrebuchetMS"/>
          <w:iCs/>
          <w:lang w:val="en-GB"/>
        </w:rPr>
        <w:t>n firms’ cash flows and</w:t>
      </w:r>
      <w:r w:rsidR="000C004D" w:rsidRPr="005635D8">
        <w:rPr>
          <w:rFonts w:ascii="Calibri" w:hAnsi="Calibri" w:cs="TrebuchetMS"/>
          <w:iCs/>
          <w:lang w:val="en-GB"/>
        </w:rPr>
        <w:t xml:space="preserve"> income” (Bergstresser and Philippon 2006, 514). </w:t>
      </w:r>
    </w:p>
    <w:p w:rsidR="00FF47D9" w:rsidRPr="005635D8" w:rsidRDefault="00FF47D9" w:rsidP="0051013A">
      <w:pPr>
        <w:autoSpaceDE w:val="0"/>
        <w:autoSpaceDN w:val="0"/>
        <w:adjustRightInd w:val="0"/>
        <w:spacing w:after="0"/>
        <w:jc w:val="both"/>
        <w:rPr>
          <w:rFonts w:ascii="Calibri" w:hAnsi="Calibri" w:cs="TrebuchetMS"/>
          <w:iCs/>
          <w:lang w:val="en-GB"/>
        </w:rPr>
      </w:pPr>
    </w:p>
    <w:p w:rsidR="00B36CB0" w:rsidRPr="005635D8" w:rsidRDefault="008A0FE0" w:rsidP="008A0FE0">
      <w:pPr>
        <w:autoSpaceDE w:val="0"/>
        <w:autoSpaceDN w:val="0"/>
        <w:adjustRightInd w:val="0"/>
        <w:spacing w:after="0"/>
        <w:jc w:val="both"/>
        <w:rPr>
          <w:rFonts w:ascii="Calibri" w:hAnsi="Calibri" w:cs="TrebuchetMS"/>
          <w:iCs/>
          <w:lang w:val="en-GB"/>
        </w:rPr>
      </w:pPr>
      <w:r w:rsidRPr="005635D8">
        <w:rPr>
          <w:rFonts w:ascii="Calibri" w:hAnsi="Calibri" w:cs="TrebuchetMS"/>
          <w:iCs/>
          <w:lang w:val="en-GB"/>
        </w:rPr>
        <w:t>Accruals themselves can be</w:t>
      </w:r>
      <w:r w:rsidR="000C004D" w:rsidRPr="005635D8">
        <w:rPr>
          <w:rFonts w:ascii="Calibri" w:hAnsi="Calibri" w:cs="TrebuchetMS"/>
          <w:iCs/>
          <w:lang w:val="en-GB"/>
        </w:rPr>
        <w:t xml:space="preserve"> defined as accounts o</w:t>
      </w:r>
      <w:r w:rsidRPr="005635D8">
        <w:rPr>
          <w:rFonts w:ascii="Calibri" w:hAnsi="Calibri" w:cs="TrebuchetMS"/>
          <w:iCs/>
          <w:lang w:val="en-GB"/>
        </w:rPr>
        <w:t>n a balance sheet consisting of</w:t>
      </w:r>
      <w:r w:rsidR="000C004D" w:rsidRPr="005635D8">
        <w:rPr>
          <w:rFonts w:ascii="Calibri" w:hAnsi="Calibri" w:cs="TrebuchetMS"/>
          <w:iCs/>
          <w:lang w:val="en-GB"/>
        </w:rPr>
        <w:t xml:space="preserve"> liabilities and non-cash-based assets</w:t>
      </w:r>
      <w:r w:rsidRPr="005635D8">
        <w:rPr>
          <w:rFonts w:ascii="Calibri" w:hAnsi="Calibri" w:cs="TrebuchetMS"/>
          <w:iCs/>
          <w:lang w:val="en-GB"/>
        </w:rPr>
        <w:t>. Those accounts are</w:t>
      </w:r>
      <w:r w:rsidR="000C004D" w:rsidRPr="005635D8">
        <w:rPr>
          <w:rFonts w:ascii="Calibri" w:hAnsi="Calibri" w:cs="TrebuchetMS"/>
          <w:iCs/>
          <w:lang w:val="en-GB"/>
        </w:rPr>
        <w:t xml:space="preserve"> used in accrual-based accounting</w:t>
      </w:r>
      <w:r w:rsidRPr="005635D8">
        <w:rPr>
          <w:rFonts w:ascii="Calibri" w:hAnsi="Calibri" w:cs="TrebuchetMS"/>
          <w:iCs/>
          <w:lang w:val="en-GB"/>
        </w:rPr>
        <w:t xml:space="preserve"> (Kimmel et al. 2013</w:t>
      </w:r>
      <w:r w:rsidR="000C004D" w:rsidRPr="005635D8">
        <w:rPr>
          <w:rFonts w:ascii="Calibri" w:hAnsi="Calibri" w:cs="TrebuchetMS"/>
          <w:iCs/>
          <w:lang w:val="en-GB"/>
        </w:rPr>
        <w:t xml:space="preserve">). </w:t>
      </w:r>
      <w:r w:rsidR="00A42C07" w:rsidRPr="005635D8">
        <w:rPr>
          <w:rFonts w:ascii="Calibri" w:hAnsi="Calibri" w:cs="TrebuchetMS"/>
          <w:iCs/>
          <w:lang w:val="en-GB"/>
        </w:rPr>
        <w:t xml:space="preserve">Accrual based accounting has to do with the time period between delivery of a certain service and the moment of payment. </w:t>
      </w:r>
      <w:r w:rsidR="00FE5BC3" w:rsidRPr="005635D8">
        <w:rPr>
          <w:rFonts w:ascii="Calibri" w:hAnsi="Calibri" w:cs="TrebuchetMS"/>
          <w:iCs/>
          <w:lang w:val="en-GB"/>
        </w:rPr>
        <w:t>Before the use of accruals only cash transactions were recorded on accounting statements. But other important business activities</w:t>
      </w:r>
      <w:r w:rsidR="00974D11" w:rsidRPr="005635D8">
        <w:rPr>
          <w:rFonts w:ascii="Calibri" w:hAnsi="Calibri" w:cs="TrebuchetMS"/>
          <w:iCs/>
          <w:lang w:val="en-GB"/>
        </w:rPr>
        <w:t>,</w:t>
      </w:r>
      <w:r w:rsidR="00FE5BC3" w:rsidRPr="005635D8">
        <w:rPr>
          <w:rFonts w:ascii="Calibri" w:hAnsi="Calibri" w:cs="TrebuchetMS"/>
          <w:iCs/>
          <w:lang w:val="en-GB"/>
        </w:rPr>
        <w:t xml:space="preserve"> such as revenue based on credit and future liabilities</w:t>
      </w:r>
      <w:r w:rsidR="00974D11" w:rsidRPr="005635D8">
        <w:rPr>
          <w:rFonts w:ascii="Calibri" w:hAnsi="Calibri" w:cs="TrebuchetMS"/>
          <w:iCs/>
          <w:lang w:val="en-GB"/>
        </w:rPr>
        <w:t>,</w:t>
      </w:r>
      <w:r w:rsidR="00FE5BC3" w:rsidRPr="005635D8">
        <w:rPr>
          <w:rFonts w:ascii="Calibri" w:hAnsi="Calibri" w:cs="TrebuchetMS"/>
          <w:iCs/>
          <w:lang w:val="en-GB"/>
        </w:rPr>
        <w:t xml:space="preserve"> were neglected in these cash transaction based reports.</w:t>
      </w:r>
      <w:r w:rsidR="00974D11" w:rsidRPr="005635D8">
        <w:rPr>
          <w:rFonts w:ascii="Calibri" w:hAnsi="Calibri" w:cs="TrebuchetMS"/>
          <w:iCs/>
          <w:lang w:val="en-GB"/>
        </w:rPr>
        <w:t xml:space="preserve"> </w:t>
      </w:r>
      <w:r w:rsidR="00553756" w:rsidRPr="005635D8">
        <w:rPr>
          <w:rFonts w:ascii="Calibri" w:hAnsi="Calibri" w:cs="TrebuchetMS"/>
          <w:iCs/>
          <w:lang w:val="en-GB"/>
        </w:rPr>
        <w:t>Over small time horizons realized cash flows do not include valuable information since timing and matching problems occur (Dechow</w:t>
      </w:r>
      <w:r w:rsidR="00974D11" w:rsidRPr="005635D8">
        <w:rPr>
          <w:rFonts w:ascii="Calibri" w:hAnsi="Calibri" w:cs="TrebuchetMS"/>
          <w:iCs/>
          <w:lang w:val="en-GB"/>
        </w:rPr>
        <w:t xml:space="preserve"> et al.</w:t>
      </w:r>
      <w:r w:rsidR="00553756" w:rsidRPr="005635D8">
        <w:rPr>
          <w:rFonts w:ascii="Calibri" w:hAnsi="Calibri" w:cs="TrebuchetMS"/>
          <w:iCs/>
          <w:lang w:val="en-GB"/>
        </w:rPr>
        <w:t xml:space="preserve"> 1995). The</w:t>
      </w:r>
      <w:r w:rsidR="00AD6249" w:rsidRPr="005635D8">
        <w:rPr>
          <w:rFonts w:ascii="Calibri" w:hAnsi="Calibri" w:cs="TrebuchetMS"/>
          <w:iCs/>
          <w:lang w:val="en-GB"/>
        </w:rPr>
        <w:t xml:space="preserve"> board of the</w:t>
      </w:r>
      <w:r w:rsidR="00553756" w:rsidRPr="005635D8">
        <w:rPr>
          <w:rFonts w:ascii="Calibri" w:hAnsi="Calibri" w:cs="TrebuchetMS"/>
          <w:iCs/>
          <w:lang w:val="en-GB"/>
        </w:rPr>
        <w:t xml:space="preserve"> Generally Accepted Accounting Pri</w:t>
      </w:r>
      <w:r w:rsidR="00687967" w:rsidRPr="005635D8">
        <w:rPr>
          <w:rFonts w:ascii="Calibri" w:hAnsi="Calibri" w:cs="TrebuchetMS"/>
          <w:iCs/>
          <w:lang w:val="en-GB"/>
        </w:rPr>
        <w:t>nciples (GAAP) has come with a significant solution</w:t>
      </w:r>
      <w:r w:rsidR="00553756" w:rsidRPr="005635D8">
        <w:rPr>
          <w:rFonts w:ascii="Calibri" w:hAnsi="Calibri" w:cs="TrebuchetMS"/>
          <w:iCs/>
          <w:lang w:val="en-GB"/>
        </w:rPr>
        <w:t xml:space="preserve"> to deal with these</w:t>
      </w:r>
      <w:r w:rsidR="00687967" w:rsidRPr="005635D8">
        <w:rPr>
          <w:rFonts w:ascii="Calibri" w:hAnsi="Calibri" w:cs="TrebuchetMS"/>
          <w:iCs/>
          <w:lang w:val="en-GB"/>
        </w:rPr>
        <w:t xml:space="preserve"> timing and matching issues. This</w:t>
      </w:r>
      <w:r w:rsidR="00553756" w:rsidRPr="005635D8">
        <w:rPr>
          <w:rFonts w:ascii="Calibri" w:hAnsi="Calibri" w:cs="TrebuchetMS"/>
          <w:iCs/>
          <w:lang w:val="en-GB"/>
        </w:rPr>
        <w:t xml:space="preserve"> principle - </w:t>
      </w:r>
      <w:r w:rsidR="00323D4C" w:rsidRPr="005635D8">
        <w:rPr>
          <w:rFonts w:ascii="Calibri" w:hAnsi="Calibri" w:cs="TrebuchetMS"/>
          <w:iCs/>
          <w:lang w:val="en-GB"/>
        </w:rPr>
        <w:t>in addition</w:t>
      </w:r>
      <w:r w:rsidR="00553756" w:rsidRPr="005635D8">
        <w:rPr>
          <w:rFonts w:ascii="Calibri" w:hAnsi="Calibri" w:cs="TrebuchetMS"/>
          <w:iCs/>
          <w:lang w:val="en-GB"/>
        </w:rPr>
        <w:t xml:space="preserve"> defined as the revenue recognition principle - deals with the timing effect of earnings realization. </w:t>
      </w:r>
      <w:r w:rsidR="00FE5BC3" w:rsidRPr="005635D8">
        <w:rPr>
          <w:rFonts w:ascii="Calibri" w:hAnsi="Calibri" w:cs="TrebuchetMS"/>
          <w:iCs/>
          <w:lang w:val="en-GB"/>
        </w:rPr>
        <w:t>The recognition of accruals on the balance sheet makes it possible to report earning</w:t>
      </w:r>
      <w:r w:rsidR="00FF47D9" w:rsidRPr="005635D8">
        <w:rPr>
          <w:rFonts w:ascii="Calibri" w:hAnsi="Calibri" w:cs="TrebuchetMS"/>
          <w:iCs/>
          <w:lang w:val="en-GB"/>
        </w:rPr>
        <w:t>s as revenues in its current income statement immediately after delivery of a product even though the payment in cash by the customer will only take place during the following accounting period. The proceeds are then an accrued income (</w:t>
      </w:r>
      <w:r w:rsidR="005A5964" w:rsidRPr="005635D8">
        <w:rPr>
          <w:rFonts w:ascii="Calibri" w:hAnsi="Calibri" w:cs="TrebuchetMS"/>
          <w:iCs/>
          <w:lang w:val="en-GB"/>
        </w:rPr>
        <w:t>asset</w:t>
      </w:r>
      <w:r w:rsidR="00FF47D9" w:rsidRPr="005635D8">
        <w:rPr>
          <w:rFonts w:ascii="Calibri" w:hAnsi="Calibri" w:cs="TrebuchetMS"/>
          <w:iCs/>
          <w:lang w:val="en-GB"/>
        </w:rPr>
        <w:t xml:space="preserve">) on the balance sheet for the delivery fiscal term, but not for the term that payment was received. </w:t>
      </w:r>
      <w:r w:rsidR="00FA413B" w:rsidRPr="005635D8">
        <w:rPr>
          <w:rFonts w:ascii="Calibri" w:hAnsi="Calibri" w:cs="TrebuchetMS"/>
          <w:iCs/>
          <w:lang w:val="en-GB"/>
        </w:rPr>
        <w:t xml:space="preserve">It is important to add accruals to the balance sheet and to </w:t>
      </w:r>
      <w:r w:rsidR="00553756" w:rsidRPr="005635D8">
        <w:rPr>
          <w:rFonts w:ascii="Calibri" w:hAnsi="Calibri" w:cs="TrebuchetMS"/>
          <w:iCs/>
          <w:lang w:val="en-GB"/>
        </w:rPr>
        <w:t xml:space="preserve">the </w:t>
      </w:r>
      <w:r w:rsidR="00FA413B" w:rsidRPr="005635D8">
        <w:rPr>
          <w:rFonts w:ascii="Calibri" w:hAnsi="Calibri" w:cs="TrebuchetMS"/>
          <w:iCs/>
          <w:lang w:val="en-GB"/>
        </w:rPr>
        <w:t xml:space="preserve">reported information because they give more information about the future value of a firm than cash flows. Investments that cause a certain cash outflow can then be compensated on the balance by expected compensations </w:t>
      </w:r>
      <w:r w:rsidR="0049557A" w:rsidRPr="005635D8">
        <w:rPr>
          <w:rFonts w:ascii="Calibri" w:hAnsi="Calibri" w:cs="TrebuchetMS"/>
          <w:iCs/>
          <w:lang w:val="en-GB"/>
        </w:rPr>
        <w:t>consequently</w:t>
      </w:r>
      <w:r w:rsidR="00FA413B" w:rsidRPr="005635D8">
        <w:rPr>
          <w:rFonts w:ascii="Calibri" w:hAnsi="Calibri" w:cs="TrebuchetMS"/>
          <w:iCs/>
          <w:lang w:val="en-GB"/>
        </w:rPr>
        <w:t xml:space="preserve"> of the investment</w:t>
      </w:r>
      <w:r w:rsidR="005E7A3E" w:rsidRPr="005635D8">
        <w:rPr>
          <w:rFonts w:ascii="Calibri" w:hAnsi="Calibri" w:cs="TrebuchetMS"/>
          <w:iCs/>
          <w:lang w:val="en-GB"/>
        </w:rPr>
        <w:t>.</w:t>
      </w:r>
      <w:r w:rsidR="00FA413B" w:rsidRPr="005635D8">
        <w:rPr>
          <w:rFonts w:ascii="Calibri" w:hAnsi="Calibri" w:cs="TrebuchetMS"/>
          <w:iCs/>
          <w:lang w:val="en-GB"/>
        </w:rPr>
        <w:t xml:space="preserve"> Accrual accounting attempts to match the initial cash outflow against the future inflows from the investment</w:t>
      </w:r>
      <w:r w:rsidR="005E7A3E" w:rsidRPr="005635D8">
        <w:rPr>
          <w:rFonts w:ascii="Calibri" w:hAnsi="Calibri" w:cs="TrebuchetMS"/>
          <w:iCs/>
          <w:lang w:val="en-GB"/>
        </w:rPr>
        <w:t xml:space="preserve"> (Bergstresser and Philippon 2006, 514). </w:t>
      </w:r>
      <w:r w:rsidR="00E9745D" w:rsidRPr="005635D8">
        <w:rPr>
          <w:rFonts w:ascii="Calibri" w:hAnsi="Calibri" w:cs="TrebuchetMS"/>
          <w:iCs/>
          <w:lang w:val="en-GB"/>
        </w:rPr>
        <w:t>All balance sheet items other than cash can be seen as accruals; among which</w:t>
      </w:r>
      <w:r w:rsidR="00FA413B" w:rsidRPr="005635D8">
        <w:rPr>
          <w:rFonts w:ascii="Calibri" w:hAnsi="Calibri" w:cs="TrebuchetMS"/>
          <w:iCs/>
          <w:lang w:val="en-GB"/>
        </w:rPr>
        <w:t>, a</w:t>
      </w:r>
      <w:r w:rsidR="00E9745D" w:rsidRPr="005635D8">
        <w:rPr>
          <w:rFonts w:ascii="Calibri" w:hAnsi="Calibri" w:cs="TrebuchetMS"/>
          <w:iCs/>
          <w:lang w:val="en-GB"/>
        </w:rPr>
        <w:t>ccounts payable</w:t>
      </w:r>
      <w:r w:rsidR="00FA413B" w:rsidRPr="005635D8">
        <w:rPr>
          <w:rFonts w:ascii="Calibri" w:hAnsi="Calibri" w:cs="TrebuchetMS"/>
          <w:iCs/>
          <w:lang w:val="en-GB"/>
        </w:rPr>
        <w:t>, goodwill,</w:t>
      </w:r>
      <w:r w:rsidR="00E9745D" w:rsidRPr="005635D8">
        <w:rPr>
          <w:rFonts w:ascii="Calibri" w:hAnsi="Calibri" w:cs="TrebuchetMS"/>
          <w:iCs/>
          <w:lang w:val="en-GB"/>
        </w:rPr>
        <w:t xml:space="preserve"> accounts receivable</w:t>
      </w:r>
      <w:r w:rsidR="00FA413B" w:rsidRPr="005635D8">
        <w:rPr>
          <w:rFonts w:ascii="Calibri" w:hAnsi="Calibri" w:cs="TrebuchetMS"/>
          <w:iCs/>
          <w:lang w:val="en-GB"/>
        </w:rPr>
        <w:t xml:space="preserve"> deferred tax</w:t>
      </w:r>
      <w:r w:rsidR="00FE5BC3" w:rsidRPr="005635D8">
        <w:rPr>
          <w:rFonts w:ascii="Calibri" w:hAnsi="Calibri" w:cs="TrebuchetMS"/>
          <w:iCs/>
          <w:lang w:val="en-GB"/>
        </w:rPr>
        <w:t xml:space="preserve"> </w:t>
      </w:r>
      <w:r w:rsidR="00FA413B" w:rsidRPr="005635D8">
        <w:rPr>
          <w:rFonts w:ascii="Calibri" w:hAnsi="Calibri" w:cs="TrebuchetMS"/>
          <w:iCs/>
          <w:lang w:val="en-GB"/>
        </w:rPr>
        <w:t xml:space="preserve">liability and future interest expense </w:t>
      </w:r>
      <w:r w:rsidRPr="005635D8">
        <w:rPr>
          <w:rFonts w:ascii="Calibri" w:hAnsi="Calibri" w:cs="TrebuchetMS"/>
          <w:iCs/>
          <w:lang w:val="en-GB"/>
        </w:rPr>
        <w:t>(Ball and Shivakumar 2005</w:t>
      </w:r>
      <w:r w:rsidR="00FA413B" w:rsidRPr="005635D8">
        <w:rPr>
          <w:rFonts w:ascii="Calibri" w:hAnsi="Calibri" w:cs="TrebuchetMS"/>
          <w:iCs/>
          <w:lang w:val="en-GB"/>
        </w:rPr>
        <w:t>).</w:t>
      </w:r>
    </w:p>
    <w:p w:rsidR="00BE444D" w:rsidRPr="005635D8" w:rsidRDefault="00BE444D" w:rsidP="00B36CB0">
      <w:pPr>
        <w:autoSpaceDE w:val="0"/>
        <w:autoSpaceDN w:val="0"/>
        <w:adjustRightInd w:val="0"/>
        <w:spacing w:after="0" w:line="240" w:lineRule="auto"/>
        <w:rPr>
          <w:rFonts w:ascii="Calibri" w:hAnsi="Calibri" w:cs="TrebuchetMS"/>
          <w:i/>
          <w:lang w:val="en-GB"/>
        </w:rPr>
      </w:pPr>
    </w:p>
    <w:p w:rsidR="00EE3316" w:rsidRPr="005635D8" w:rsidRDefault="000C004D" w:rsidP="005A5964">
      <w:pPr>
        <w:autoSpaceDE w:val="0"/>
        <w:autoSpaceDN w:val="0"/>
        <w:adjustRightInd w:val="0"/>
        <w:spacing w:after="0"/>
        <w:jc w:val="both"/>
        <w:rPr>
          <w:rFonts w:ascii="Calibri" w:hAnsi="Calibri" w:cs="TrebuchetMS"/>
          <w:iCs/>
          <w:lang w:val="en-GB"/>
        </w:rPr>
      </w:pPr>
      <w:r w:rsidRPr="005635D8">
        <w:rPr>
          <w:rFonts w:ascii="Calibri" w:hAnsi="Calibri" w:cs="TrebuchetMS"/>
          <w:iCs/>
          <w:lang w:val="en-GB"/>
        </w:rPr>
        <w:t>While cash flows are relatively easy to measure, computing the change in</w:t>
      </w:r>
      <w:r w:rsidR="005E7A3E" w:rsidRPr="005635D8">
        <w:rPr>
          <w:rFonts w:ascii="Calibri" w:hAnsi="Calibri" w:cs="TrebuchetMS"/>
          <w:iCs/>
          <w:lang w:val="en-GB"/>
        </w:rPr>
        <w:t xml:space="preserve"> accruals </w:t>
      </w:r>
      <w:r w:rsidRPr="005635D8">
        <w:rPr>
          <w:rFonts w:ascii="Calibri" w:hAnsi="Calibri" w:cs="TrebuchetMS"/>
          <w:iCs/>
          <w:lang w:val="en-GB"/>
        </w:rPr>
        <w:t>often involves a great deal of</w:t>
      </w:r>
      <w:r w:rsidR="005E7A3E" w:rsidRPr="005635D8">
        <w:rPr>
          <w:rFonts w:ascii="Calibri" w:hAnsi="Calibri" w:cs="TrebuchetMS"/>
          <w:iCs/>
          <w:lang w:val="en-GB"/>
        </w:rPr>
        <w:t xml:space="preserve"> </w:t>
      </w:r>
      <w:r w:rsidRPr="005635D8">
        <w:rPr>
          <w:rFonts w:ascii="Calibri" w:hAnsi="Calibri" w:cs="TrebuchetMS"/>
          <w:iCs/>
          <w:lang w:val="en-GB"/>
        </w:rPr>
        <w:t>discretion.</w:t>
      </w:r>
      <w:r w:rsidR="00FF47D9" w:rsidRPr="005635D8">
        <w:rPr>
          <w:rFonts w:ascii="Calibri" w:hAnsi="Calibri" w:cs="TrebuchetMS"/>
          <w:iCs/>
          <w:lang w:val="en-GB"/>
        </w:rPr>
        <w:t xml:space="preserve"> This </w:t>
      </w:r>
      <w:r w:rsidR="005E7A3E" w:rsidRPr="005635D8">
        <w:rPr>
          <w:rFonts w:ascii="Calibri" w:hAnsi="Calibri" w:cs="TrebuchetMS"/>
          <w:iCs/>
          <w:lang w:val="en-GB"/>
        </w:rPr>
        <w:t xml:space="preserve">offers opportunities to manage earnings. The use of accruals to temporarily boost or reduce reported income is </w:t>
      </w:r>
      <w:r w:rsidR="002B0FA1" w:rsidRPr="005635D8">
        <w:rPr>
          <w:rFonts w:ascii="Calibri" w:hAnsi="Calibri" w:cs="TrebuchetMS"/>
          <w:iCs/>
          <w:lang w:val="en-GB"/>
        </w:rPr>
        <w:t>consequently</w:t>
      </w:r>
      <w:r w:rsidR="005E7A3E" w:rsidRPr="005635D8">
        <w:rPr>
          <w:rFonts w:ascii="Calibri" w:hAnsi="Calibri" w:cs="TrebuchetMS"/>
          <w:iCs/>
          <w:lang w:val="en-GB"/>
        </w:rPr>
        <w:t xml:space="preserve"> an important mechanism for earnings management. Accruals are components of earnings that are not reflected in current cash flows, and a great deal of managerial discretion goes into their construction (</w:t>
      </w:r>
      <w:r w:rsidR="00381776" w:rsidRPr="005635D8">
        <w:rPr>
          <w:rFonts w:ascii="Calibri" w:hAnsi="Calibri" w:cs="TrebuchetMS"/>
          <w:iCs/>
          <w:lang w:val="en-GB"/>
        </w:rPr>
        <w:t xml:space="preserve">Bergstresser and Philippon </w:t>
      </w:r>
      <w:r w:rsidR="005E7A3E" w:rsidRPr="005635D8">
        <w:rPr>
          <w:rFonts w:ascii="Calibri" w:hAnsi="Calibri" w:cs="TrebuchetMS"/>
          <w:iCs/>
          <w:lang w:val="en-GB"/>
        </w:rPr>
        <w:t>2006, 512)</w:t>
      </w:r>
      <w:r w:rsidR="00C456CE" w:rsidRPr="005635D8">
        <w:rPr>
          <w:rFonts w:ascii="Calibri" w:hAnsi="Calibri" w:cs="TrebuchetMS"/>
          <w:iCs/>
          <w:lang w:val="en-GB"/>
        </w:rPr>
        <w:t>.</w:t>
      </w:r>
      <w:r w:rsidR="005E7A3E" w:rsidRPr="005635D8">
        <w:rPr>
          <w:rFonts w:ascii="Calibri" w:hAnsi="Calibri" w:cs="TrebuchetMS"/>
          <w:iCs/>
          <w:lang w:val="en-GB"/>
        </w:rPr>
        <w:t xml:space="preserve"> The existence of accruals gives managers the chance to modify or hide financial figures to exercise discretion with respect to the financial statements.</w:t>
      </w:r>
      <w:r w:rsidR="00687967" w:rsidRPr="005635D8">
        <w:rPr>
          <w:rFonts w:ascii="Calibri" w:hAnsi="Calibri" w:cs="TrebuchetMS"/>
          <w:iCs/>
          <w:lang w:val="en-GB"/>
        </w:rPr>
        <w:t xml:space="preserve"> By assuming higher or lower rates of depreciation of accruals the management can influence whether reported earnings will be reduced or increased</w:t>
      </w:r>
      <w:r w:rsidR="00A42C07" w:rsidRPr="005635D8">
        <w:rPr>
          <w:rFonts w:ascii="Calibri" w:hAnsi="Calibri" w:cs="TrebuchetMS"/>
          <w:iCs/>
          <w:lang w:val="en-GB"/>
        </w:rPr>
        <w:t>. Another method of manipulating</w:t>
      </w:r>
      <w:r w:rsidR="00687967" w:rsidRPr="005635D8">
        <w:rPr>
          <w:rFonts w:ascii="Calibri" w:hAnsi="Calibri" w:cs="TrebuchetMS"/>
          <w:iCs/>
          <w:lang w:val="en-GB"/>
        </w:rPr>
        <w:t xml:space="preserve"> </w:t>
      </w:r>
      <w:r w:rsidR="00A42C07" w:rsidRPr="005635D8">
        <w:rPr>
          <w:rFonts w:ascii="Calibri" w:hAnsi="Calibri" w:cs="TrebuchetMS"/>
          <w:iCs/>
          <w:lang w:val="en-GB"/>
        </w:rPr>
        <w:t>earnings is to take expenses that are not reasonably expected to generate future cash</w:t>
      </w:r>
      <w:r w:rsidR="00687967" w:rsidRPr="005635D8">
        <w:rPr>
          <w:rFonts w:ascii="Calibri" w:hAnsi="Calibri" w:cs="TrebuchetMS"/>
          <w:iCs/>
          <w:lang w:val="en-GB"/>
        </w:rPr>
        <w:t xml:space="preserve"> </w:t>
      </w:r>
      <w:r w:rsidR="00A42C07" w:rsidRPr="005635D8">
        <w:rPr>
          <w:rFonts w:ascii="Calibri" w:hAnsi="Calibri" w:cs="TrebuchetMS"/>
          <w:iCs/>
          <w:lang w:val="en-GB"/>
        </w:rPr>
        <w:t>flows and label them as investment expenditures (</w:t>
      </w:r>
      <w:r w:rsidR="00381776" w:rsidRPr="005635D8">
        <w:rPr>
          <w:rFonts w:ascii="Calibri" w:hAnsi="Calibri" w:cs="TrebuchetMS"/>
          <w:iCs/>
          <w:lang w:val="en-GB"/>
        </w:rPr>
        <w:t xml:space="preserve">2006, </w:t>
      </w:r>
      <w:r w:rsidR="00A42C07" w:rsidRPr="005635D8">
        <w:rPr>
          <w:rFonts w:ascii="Calibri" w:hAnsi="Calibri" w:cs="TrebuchetMS"/>
          <w:iCs/>
          <w:lang w:val="en-GB"/>
        </w:rPr>
        <w:t>514)</w:t>
      </w:r>
      <w:r w:rsidR="00687967" w:rsidRPr="005635D8">
        <w:rPr>
          <w:rFonts w:ascii="Calibri" w:hAnsi="Calibri" w:cs="TrebuchetMS"/>
          <w:iCs/>
          <w:lang w:val="en-GB"/>
        </w:rPr>
        <w:t xml:space="preserve">. </w:t>
      </w:r>
    </w:p>
    <w:p w:rsidR="00EE3316" w:rsidRPr="005635D8" w:rsidRDefault="00EE3316" w:rsidP="005A5964">
      <w:pPr>
        <w:autoSpaceDE w:val="0"/>
        <w:autoSpaceDN w:val="0"/>
        <w:adjustRightInd w:val="0"/>
        <w:spacing w:after="0"/>
        <w:jc w:val="both"/>
        <w:rPr>
          <w:rFonts w:ascii="Calibri" w:hAnsi="Calibri" w:cs="TrebuchetMS"/>
          <w:iCs/>
          <w:lang w:val="en-GB"/>
        </w:rPr>
      </w:pPr>
    </w:p>
    <w:p w:rsidR="00013EBE" w:rsidRPr="005635D8" w:rsidRDefault="00B16519" w:rsidP="00374E1F">
      <w:pPr>
        <w:autoSpaceDE w:val="0"/>
        <w:autoSpaceDN w:val="0"/>
        <w:adjustRightInd w:val="0"/>
        <w:spacing w:after="0"/>
        <w:jc w:val="both"/>
        <w:rPr>
          <w:rFonts w:ascii="Calibri" w:hAnsi="Calibri" w:cs="TrebuchetMS"/>
          <w:iCs/>
          <w:lang w:val="en-GB"/>
        </w:rPr>
      </w:pPr>
      <w:r w:rsidRPr="005635D8">
        <w:rPr>
          <w:rFonts w:ascii="Calibri" w:hAnsi="Calibri" w:cs="TrebuchetMS"/>
          <w:iCs/>
          <w:lang w:val="en-GB"/>
        </w:rPr>
        <w:t xml:space="preserve">Accruals are </w:t>
      </w:r>
      <w:r w:rsidR="00C456CE" w:rsidRPr="005635D8">
        <w:rPr>
          <w:rFonts w:ascii="Calibri" w:hAnsi="Calibri" w:cs="TrebuchetMS"/>
          <w:iCs/>
          <w:lang w:val="en-GB"/>
        </w:rPr>
        <w:t>consequently</w:t>
      </w:r>
      <w:r w:rsidRPr="005635D8">
        <w:rPr>
          <w:rFonts w:ascii="Calibri" w:hAnsi="Calibri" w:cs="TrebuchetMS"/>
          <w:iCs/>
          <w:lang w:val="en-GB"/>
        </w:rPr>
        <w:t xml:space="preserve"> expected to be more subject to distortion as a measure of performance of a firm than cash flow from operations. Bernstein (1993,</w:t>
      </w:r>
      <w:r w:rsidR="00374E1F" w:rsidRPr="005635D8">
        <w:rPr>
          <w:rFonts w:ascii="Calibri" w:hAnsi="Calibri" w:cs="TrebuchetMS"/>
          <w:iCs/>
          <w:lang w:val="en-GB"/>
        </w:rPr>
        <w:t xml:space="preserve"> </w:t>
      </w:r>
      <w:r w:rsidRPr="005635D8">
        <w:rPr>
          <w:rFonts w:ascii="Calibri" w:hAnsi="Calibri" w:cs="TrebuchetMS"/>
          <w:iCs/>
          <w:lang w:val="en-GB"/>
        </w:rPr>
        <w:t>461) states that: “this is so because the accrual system, which produces the income number, relies on accruals, deferrals, allocations and valuations, all of which involve higher degrees of subjectivity than what enters the determination of cash flow f</w:t>
      </w:r>
      <w:r w:rsidR="00013EBE" w:rsidRPr="005635D8">
        <w:rPr>
          <w:rFonts w:ascii="Calibri" w:hAnsi="Calibri" w:cs="TrebuchetMS"/>
          <w:iCs/>
          <w:lang w:val="en-GB"/>
        </w:rPr>
        <w:t>ro</w:t>
      </w:r>
      <w:r w:rsidRPr="005635D8">
        <w:rPr>
          <w:rFonts w:ascii="Calibri" w:hAnsi="Calibri" w:cs="TrebuchetMS"/>
          <w:iCs/>
          <w:lang w:val="en-GB"/>
        </w:rPr>
        <w:t>m operations</w:t>
      </w:r>
      <w:r w:rsidR="00013EBE" w:rsidRPr="005635D8">
        <w:rPr>
          <w:rFonts w:ascii="Calibri" w:hAnsi="Calibri" w:cs="TrebuchetMS"/>
          <w:iCs/>
          <w:lang w:val="en-GB"/>
        </w:rPr>
        <w:t xml:space="preserve">”. Some analysts </w:t>
      </w:r>
      <w:r w:rsidR="002B0FA1" w:rsidRPr="005635D8">
        <w:rPr>
          <w:rFonts w:ascii="Calibri" w:hAnsi="Calibri" w:cs="TrebuchetMS"/>
          <w:iCs/>
          <w:lang w:val="en-GB"/>
        </w:rPr>
        <w:t>consequently</w:t>
      </w:r>
      <w:r w:rsidR="00013EBE" w:rsidRPr="005635D8">
        <w:rPr>
          <w:rFonts w:ascii="Calibri" w:hAnsi="Calibri" w:cs="TrebuchetMS"/>
          <w:iCs/>
          <w:lang w:val="en-GB"/>
        </w:rPr>
        <w:t xml:space="preserve"> look at the ratio between net income and cash flow as an indication of the quality of the income.</w:t>
      </w:r>
      <w:r w:rsidR="00374E1F" w:rsidRPr="005635D8">
        <w:rPr>
          <w:rFonts w:ascii="Calibri" w:hAnsi="Calibri" w:cs="TrebuchetMS"/>
          <w:iCs/>
          <w:lang w:val="en-GB"/>
        </w:rPr>
        <w:t xml:space="preserve"> Some firms might be suspect of managing earnings when those firms have high levels of net earnings</w:t>
      </w:r>
      <w:r w:rsidR="00013EBE" w:rsidRPr="005635D8">
        <w:rPr>
          <w:rFonts w:ascii="Calibri" w:hAnsi="Calibri" w:cs="TrebuchetMS"/>
          <w:iCs/>
          <w:lang w:val="en-GB"/>
        </w:rPr>
        <w:t xml:space="preserve"> and a low cash flow</w:t>
      </w:r>
      <w:r w:rsidR="00374E1F" w:rsidRPr="005635D8">
        <w:rPr>
          <w:rFonts w:ascii="Calibri" w:hAnsi="Calibri" w:cs="TrebuchetMS"/>
          <w:iCs/>
          <w:lang w:val="en-GB"/>
        </w:rPr>
        <w:t xml:space="preserve">s </w:t>
      </w:r>
      <w:r w:rsidR="00013EBE" w:rsidRPr="005635D8">
        <w:rPr>
          <w:rFonts w:ascii="Calibri" w:hAnsi="Calibri" w:cs="TrebuchetMS"/>
          <w:iCs/>
          <w:lang w:val="en-GB"/>
        </w:rPr>
        <w:t xml:space="preserve">(1993, 461). Research consequently shows that “firms with relatively high (low) levels of accruals experience negative (positive) future abnormal stock returns that are concentrated around future earnings announcements” (Sloan 1996, 290). </w:t>
      </w:r>
      <w:r w:rsidR="0049557A" w:rsidRPr="005635D8">
        <w:rPr>
          <w:rFonts w:ascii="Calibri" w:hAnsi="Calibri" w:cs="TrebuchetMS"/>
          <w:iCs/>
          <w:lang w:val="en-GB"/>
        </w:rPr>
        <w:t>Consequently</w:t>
      </w:r>
      <w:r w:rsidR="00013EBE" w:rsidRPr="005635D8">
        <w:rPr>
          <w:rFonts w:ascii="Calibri" w:hAnsi="Calibri" w:cs="TrebuchetMS"/>
          <w:iCs/>
          <w:lang w:val="en-GB"/>
        </w:rPr>
        <w:t xml:space="preserve"> of this important role of using accruals to manage earnings</w:t>
      </w:r>
      <w:r w:rsidRPr="005635D8">
        <w:rPr>
          <w:rFonts w:ascii="Calibri" w:hAnsi="Calibri" w:cs="TrebuchetMS"/>
          <w:iCs/>
          <w:lang w:val="en-GB"/>
        </w:rPr>
        <w:t xml:space="preserve"> </w:t>
      </w:r>
      <w:r w:rsidR="00381776" w:rsidRPr="005635D8">
        <w:rPr>
          <w:rFonts w:ascii="Calibri" w:hAnsi="Calibri" w:cs="TrebuchetMS"/>
          <w:iCs/>
          <w:lang w:val="en-GB"/>
        </w:rPr>
        <w:t>many studies</w:t>
      </w:r>
      <w:r w:rsidR="00EE3316" w:rsidRPr="005635D8">
        <w:rPr>
          <w:rFonts w:ascii="Calibri" w:hAnsi="Calibri" w:cs="TrebuchetMS"/>
          <w:iCs/>
          <w:lang w:val="en-GB"/>
        </w:rPr>
        <w:t xml:space="preserve"> started to use a certain type of accruals as a proxy for earnings management (Healy and Wahlen 1999, 372). However, a further distinction that explains which specific accruals are used for earnings management has to be introduced first.</w:t>
      </w:r>
    </w:p>
    <w:p w:rsidR="00CC7DBF" w:rsidRPr="005635D8" w:rsidRDefault="00CC7DBF" w:rsidP="00CC7DBF">
      <w:pPr>
        <w:rPr>
          <w:rFonts w:ascii="Calibri" w:hAnsi="Calibri"/>
          <w:lang w:val="en-GB"/>
        </w:rPr>
      </w:pPr>
    </w:p>
    <w:p w:rsidR="00EB2C54" w:rsidRPr="005635D8" w:rsidRDefault="00923DD9" w:rsidP="001E4C5D">
      <w:pPr>
        <w:pStyle w:val="Heading3"/>
        <w:rPr>
          <w:lang w:val="en-GB"/>
        </w:rPr>
      </w:pPr>
      <w:bookmarkStart w:id="42" w:name="_Toc362267279"/>
      <w:r w:rsidRPr="005635D8">
        <w:rPr>
          <w:lang w:val="en-GB"/>
        </w:rPr>
        <w:t>5</w:t>
      </w:r>
      <w:r w:rsidR="00381776" w:rsidRPr="005635D8">
        <w:rPr>
          <w:lang w:val="en-GB"/>
        </w:rPr>
        <w:t xml:space="preserve">.2 </w:t>
      </w:r>
      <w:r w:rsidR="00EB2C54" w:rsidRPr="005635D8">
        <w:rPr>
          <w:lang w:val="en-GB"/>
        </w:rPr>
        <w:t>Discretionary and nondiscretionary accruals</w:t>
      </w:r>
      <w:bookmarkEnd w:id="42"/>
    </w:p>
    <w:p w:rsidR="005507B0" w:rsidRPr="005635D8" w:rsidRDefault="00EE3316" w:rsidP="00E32CA0">
      <w:pPr>
        <w:autoSpaceDE w:val="0"/>
        <w:autoSpaceDN w:val="0"/>
        <w:adjustRightInd w:val="0"/>
        <w:spacing w:after="0"/>
        <w:jc w:val="both"/>
        <w:rPr>
          <w:rFonts w:ascii="Calibri" w:hAnsi="Calibri" w:cs="TrebuchetMS"/>
          <w:iCs/>
          <w:lang w:val="en-GB"/>
        </w:rPr>
      </w:pPr>
      <w:r w:rsidRPr="005635D8">
        <w:rPr>
          <w:rFonts w:ascii="Calibri" w:hAnsi="Calibri" w:cs="TrebuchetMS"/>
          <w:iCs/>
          <w:lang w:val="en-GB"/>
        </w:rPr>
        <w:t xml:space="preserve">Mohanram (2003) finds the view that total accruals can serve as proxy for earnings management naïve. He argues that firms can produce high earnings caused by sales growth (rise in the receivables) and growth of property plant and equipment (leading to increase in depreciation). </w:t>
      </w:r>
      <w:r w:rsidR="005D4163" w:rsidRPr="005635D8">
        <w:rPr>
          <w:rFonts w:ascii="Calibri" w:hAnsi="Calibri" w:cs="TrebuchetMS"/>
          <w:iCs/>
          <w:lang w:val="en-GB"/>
        </w:rPr>
        <w:t xml:space="preserve">Several other authors </w:t>
      </w:r>
      <w:r w:rsidR="00323D4C" w:rsidRPr="005635D8">
        <w:rPr>
          <w:rFonts w:ascii="Calibri" w:hAnsi="Calibri" w:cs="TrebuchetMS"/>
          <w:iCs/>
          <w:lang w:val="en-GB"/>
        </w:rPr>
        <w:t>in addition</w:t>
      </w:r>
      <w:r w:rsidR="005D4163" w:rsidRPr="005635D8">
        <w:rPr>
          <w:rFonts w:ascii="Calibri" w:hAnsi="Calibri" w:cs="TrebuchetMS"/>
          <w:iCs/>
          <w:lang w:val="en-GB"/>
        </w:rPr>
        <w:t xml:space="preserve"> argue that it is not total accruals which should serve as a proxy for earnings management but solely discretionary accruals. </w:t>
      </w:r>
      <w:r w:rsidR="00EF1A12" w:rsidRPr="005635D8">
        <w:rPr>
          <w:rFonts w:ascii="Calibri" w:hAnsi="Calibri" w:cs="TrebuchetMS"/>
          <w:iCs/>
          <w:lang w:val="en-GB"/>
        </w:rPr>
        <w:t>To reveal earnings management it is essen</w:t>
      </w:r>
      <w:r w:rsidR="00381776" w:rsidRPr="005635D8">
        <w:rPr>
          <w:rFonts w:ascii="Calibri" w:hAnsi="Calibri" w:cs="TrebuchetMS"/>
          <w:iCs/>
          <w:lang w:val="en-GB"/>
        </w:rPr>
        <w:t>tial to distinguish between non-</w:t>
      </w:r>
      <w:r w:rsidR="00EF1A12" w:rsidRPr="005635D8">
        <w:rPr>
          <w:rFonts w:ascii="Calibri" w:hAnsi="Calibri" w:cs="TrebuchetMS"/>
          <w:iCs/>
          <w:lang w:val="en-GB"/>
        </w:rPr>
        <w:t>discretionary and discretionary (“abnormal”) accruals. Whereas discretionary accruals are used to manage earnings, non-discretionary accruals are commonly resulting from business operations and the accrual-based accounting in general (Bocking et al. 2005)</w:t>
      </w:r>
      <w:r w:rsidR="007B5E62" w:rsidRPr="005635D8">
        <w:rPr>
          <w:rFonts w:ascii="Calibri" w:hAnsi="Calibri" w:cs="TrebuchetMS"/>
          <w:iCs/>
          <w:lang w:val="en-GB"/>
        </w:rPr>
        <w:t>.</w:t>
      </w:r>
      <w:r w:rsidR="00F2415E" w:rsidRPr="005635D8">
        <w:rPr>
          <w:rFonts w:ascii="Calibri" w:hAnsi="Calibri" w:cs="TrebuchetMS"/>
          <w:iCs/>
          <w:lang w:val="en-GB"/>
        </w:rPr>
        <w:t xml:space="preserve"> </w:t>
      </w:r>
      <w:r w:rsidR="007B5E62" w:rsidRPr="005635D8">
        <w:rPr>
          <w:rFonts w:ascii="Calibri" w:hAnsi="Calibri" w:cs="TrebuchetMS"/>
          <w:iCs/>
          <w:lang w:val="en-GB"/>
        </w:rPr>
        <w:t xml:space="preserve">They support the vision of Dechow and Dichev (2002) that there are factors which have an impact on the non-discretionary accruals quality. These are summarized by the firm’s size, standard deviation of cash flow from operations, standard deviation of sales income, </w:t>
      </w:r>
      <w:r w:rsidR="00C456CE" w:rsidRPr="005635D8">
        <w:rPr>
          <w:rFonts w:ascii="Calibri" w:hAnsi="Calibri" w:cs="TrebuchetMS"/>
          <w:iCs/>
          <w:lang w:val="en-GB"/>
        </w:rPr>
        <w:t>and the</w:t>
      </w:r>
      <w:r w:rsidR="007B5E62" w:rsidRPr="005635D8">
        <w:rPr>
          <w:rFonts w:ascii="Calibri" w:hAnsi="Calibri" w:cs="TrebuchetMS"/>
          <w:iCs/>
          <w:lang w:val="en-GB"/>
        </w:rPr>
        <w:t xml:space="preserve"> time span of operating cycle and the occurrence of negative earnings realizations. The non-discretionary accruals are </w:t>
      </w:r>
      <w:r w:rsidR="00323D4C" w:rsidRPr="005635D8">
        <w:rPr>
          <w:rFonts w:ascii="Calibri" w:hAnsi="Calibri" w:cs="TrebuchetMS"/>
          <w:iCs/>
          <w:lang w:val="en-GB"/>
        </w:rPr>
        <w:t>in addition</w:t>
      </w:r>
      <w:r w:rsidR="007B5E62" w:rsidRPr="005635D8">
        <w:rPr>
          <w:rFonts w:ascii="Calibri" w:hAnsi="Calibri" w:cs="TrebuchetMS"/>
          <w:iCs/>
          <w:lang w:val="en-GB"/>
        </w:rPr>
        <w:t xml:space="preserve"> called the economic accruals; on which the board and management of a firm have almost no control. These accruals come about through accruals sales, expected sales growth and current operating performance.</w:t>
      </w:r>
      <w:r w:rsidR="005507B0" w:rsidRPr="005635D8">
        <w:rPr>
          <w:rFonts w:ascii="Calibri" w:hAnsi="Calibri" w:cs="TrebuchetMS"/>
          <w:iCs/>
          <w:lang w:val="en-GB"/>
        </w:rPr>
        <w:t xml:space="preserve"> The discretionary accruals are then the set of accounting decisions with regard to accruals selected by managers. </w:t>
      </w:r>
    </w:p>
    <w:p w:rsidR="005507B0" w:rsidRPr="005635D8" w:rsidRDefault="005507B0" w:rsidP="00E32CA0">
      <w:pPr>
        <w:autoSpaceDE w:val="0"/>
        <w:autoSpaceDN w:val="0"/>
        <w:adjustRightInd w:val="0"/>
        <w:spacing w:after="0"/>
        <w:ind w:firstLine="284"/>
        <w:jc w:val="both"/>
        <w:rPr>
          <w:rFonts w:ascii="Calibri" w:hAnsi="Calibri" w:cs="TrebuchetMS"/>
          <w:iCs/>
          <w:lang w:val="en-GB"/>
        </w:rPr>
      </w:pPr>
    </w:p>
    <w:p w:rsidR="00A42C07" w:rsidRPr="005635D8" w:rsidRDefault="005D4163" w:rsidP="0087545A">
      <w:pPr>
        <w:autoSpaceDE w:val="0"/>
        <w:autoSpaceDN w:val="0"/>
        <w:adjustRightInd w:val="0"/>
        <w:spacing w:after="0"/>
        <w:jc w:val="both"/>
        <w:rPr>
          <w:rFonts w:ascii="Calibri" w:hAnsi="Calibri" w:cs="TrebuchetMS"/>
          <w:iCs/>
          <w:lang w:val="en-GB"/>
        </w:rPr>
      </w:pPr>
      <w:r w:rsidRPr="005635D8">
        <w:rPr>
          <w:rFonts w:ascii="Calibri" w:hAnsi="Calibri" w:cs="TrebuchetMS"/>
          <w:iCs/>
          <w:lang w:val="en-GB"/>
        </w:rPr>
        <w:t xml:space="preserve">Total </w:t>
      </w:r>
      <w:r w:rsidR="007B5E62" w:rsidRPr="005635D8">
        <w:rPr>
          <w:rFonts w:ascii="Calibri" w:hAnsi="Calibri" w:cs="TrebuchetMS"/>
          <w:iCs/>
          <w:lang w:val="en-GB"/>
        </w:rPr>
        <w:t xml:space="preserve">accruals </w:t>
      </w:r>
      <w:r w:rsidR="00EF1A12" w:rsidRPr="005635D8">
        <w:rPr>
          <w:rFonts w:ascii="Calibri" w:hAnsi="Calibri" w:cs="TrebuchetMS"/>
          <w:iCs/>
          <w:lang w:val="en-GB"/>
        </w:rPr>
        <w:t xml:space="preserve">exist of the sum of </w:t>
      </w:r>
      <w:r w:rsidR="00C456CE" w:rsidRPr="005635D8">
        <w:rPr>
          <w:rFonts w:ascii="Calibri" w:hAnsi="Calibri" w:cs="TrebuchetMS"/>
          <w:iCs/>
          <w:lang w:val="en-GB"/>
        </w:rPr>
        <w:t xml:space="preserve">the </w:t>
      </w:r>
      <w:r w:rsidR="00EF1A12" w:rsidRPr="005635D8">
        <w:rPr>
          <w:rFonts w:ascii="Calibri" w:hAnsi="Calibri" w:cs="TrebuchetMS"/>
          <w:iCs/>
          <w:lang w:val="en-GB"/>
        </w:rPr>
        <w:t>non-discretionary accruals</w:t>
      </w:r>
      <w:r w:rsidRPr="005635D8">
        <w:rPr>
          <w:rFonts w:ascii="Calibri" w:hAnsi="Calibri" w:cs="TrebuchetMS"/>
          <w:iCs/>
          <w:lang w:val="en-GB"/>
        </w:rPr>
        <w:t xml:space="preserve"> and </w:t>
      </w:r>
      <w:r w:rsidR="00C456CE" w:rsidRPr="005635D8">
        <w:rPr>
          <w:rFonts w:ascii="Calibri" w:hAnsi="Calibri" w:cs="TrebuchetMS"/>
          <w:iCs/>
          <w:lang w:val="en-GB"/>
        </w:rPr>
        <w:t xml:space="preserve">the </w:t>
      </w:r>
      <w:r w:rsidR="00EF1A12" w:rsidRPr="005635D8">
        <w:rPr>
          <w:rFonts w:ascii="Calibri" w:hAnsi="Calibri" w:cs="TrebuchetMS"/>
          <w:iCs/>
          <w:lang w:val="en-GB"/>
        </w:rPr>
        <w:t>discretionary accruals</w:t>
      </w:r>
      <w:r w:rsidR="00F2415E" w:rsidRPr="005635D8">
        <w:rPr>
          <w:rFonts w:ascii="Calibri" w:hAnsi="Calibri" w:cs="TrebuchetMS"/>
          <w:iCs/>
          <w:lang w:val="en-GB"/>
        </w:rPr>
        <w:t>. As a measure of accruals-based earnings management the magnitude of discretionary accruals should be considered</w:t>
      </w:r>
      <w:r w:rsidRPr="005635D8">
        <w:rPr>
          <w:rFonts w:ascii="Calibri" w:hAnsi="Calibri" w:cs="TrebuchetMS"/>
          <w:iCs/>
          <w:lang w:val="en-GB"/>
        </w:rPr>
        <w:t xml:space="preserve"> (Lippens 2010, 88).</w:t>
      </w:r>
      <w:r w:rsidR="005507B0" w:rsidRPr="005635D8">
        <w:rPr>
          <w:rFonts w:ascii="Calibri" w:hAnsi="Calibri" w:cs="TrebuchetMS"/>
          <w:iCs/>
          <w:lang w:val="en-GB"/>
        </w:rPr>
        <w:t xml:space="preserve"> It follows from prior earnings management studies that high discretionary accruals indicate earnings manipulations (Bartov</w:t>
      </w:r>
      <w:r w:rsidR="00F94EC6" w:rsidRPr="005635D8">
        <w:rPr>
          <w:rFonts w:ascii="Calibri" w:hAnsi="Calibri" w:cs="TrebuchetMS"/>
          <w:iCs/>
          <w:lang w:val="en-GB"/>
        </w:rPr>
        <w:t xml:space="preserve"> et al. 2000,</w:t>
      </w:r>
      <w:r w:rsidR="005507B0" w:rsidRPr="005635D8">
        <w:rPr>
          <w:rFonts w:ascii="Calibri" w:hAnsi="Calibri" w:cs="TrebuchetMS"/>
          <w:iCs/>
          <w:lang w:val="en-GB"/>
        </w:rPr>
        <w:t xml:space="preserve"> 5)</w:t>
      </w:r>
      <w:r w:rsidR="00D1000B" w:rsidRPr="005635D8">
        <w:rPr>
          <w:rFonts w:ascii="Calibri" w:hAnsi="Calibri" w:cs="TrebuchetMS"/>
          <w:iCs/>
          <w:lang w:val="en-GB"/>
        </w:rPr>
        <w:t>. However, as discretionary accruals will be partly hidden, only total accruals</w:t>
      </w:r>
      <w:r w:rsidR="0087545A" w:rsidRPr="005635D8">
        <w:rPr>
          <w:rFonts w:ascii="Calibri" w:hAnsi="Calibri" w:cs="TrebuchetMS"/>
          <w:iCs/>
          <w:lang w:val="en-GB"/>
        </w:rPr>
        <w:t xml:space="preserve"> and non-discretionary accruals</w:t>
      </w:r>
      <w:r w:rsidR="00D1000B" w:rsidRPr="005635D8">
        <w:rPr>
          <w:rFonts w:ascii="Calibri" w:hAnsi="Calibri" w:cs="TrebuchetMS"/>
          <w:iCs/>
          <w:lang w:val="en-GB"/>
        </w:rPr>
        <w:t xml:space="preserve"> can be observed</w:t>
      </w:r>
      <w:r w:rsidR="0087545A" w:rsidRPr="005635D8">
        <w:rPr>
          <w:rFonts w:ascii="Calibri" w:hAnsi="Calibri" w:cs="TrebuchetMS"/>
          <w:iCs/>
          <w:lang w:val="en-GB"/>
        </w:rPr>
        <w:t>. This</w:t>
      </w:r>
      <w:r w:rsidR="00A42C07" w:rsidRPr="005635D8">
        <w:rPr>
          <w:rFonts w:ascii="Calibri" w:hAnsi="Calibri" w:cs="TrebuchetMS"/>
          <w:iCs/>
          <w:lang w:val="en-GB"/>
        </w:rPr>
        <w:t xml:space="preserve"> </w:t>
      </w:r>
      <w:r w:rsidR="0098240C" w:rsidRPr="005635D8">
        <w:rPr>
          <w:rFonts w:ascii="Calibri" w:hAnsi="Calibri" w:cs="TrebuchetMS"/>
          <w:iCs/>
          <w:lang w:val="en-GB"/>
        </w:rPr>
        <w:t>implies</w:t>
      </w:r>
      <w:r w:rsidR="00D1000B" w:rsidRPr="005635D8">
        <w:rPr>
          <w:rFonts w:ascii="Calibri" w:hAnsi="Calibri" w:cs="TrebuchetMS"/>
          <w:iCs/>
          <w:lang w:val="en-GB"/>
        </w:rPr>
        <w:t xml:space="preserve"> </w:t>
      </w:r>
      <w:r w:rsidR="00A42C07" w:rsidRPr="005635D8">
        <w:rPr>
          <w:rFonts w:ascii="Calibri" w:hAnsi="Calibri" w:cs="TrebuchetMS"/>
          <w:iCs/>
          <w:lang w:val="en-GB"/>
        </w:rPr>
        <w:t>that discretionary accruals have to be estimated</w:t>
      </w:r>
      <w:r w:rsidR="0087545A" w:rsidRPr="005635D8">
        <w:rPr>
          <w:rFonts w:ascii="Calibri" w:hAnsi="Calibri" w:cs="TrebuchetMS"/>
          <w:iCs/>
          <w:lang w:val="en-GB"/>
        </w:rPr>
        <w:t xml:space="preserve"> by subtracting the non-discretionary accruals from the total accruals</w:t>
      </w:r>
      <w:r w:rsidR="00A42C07" w:rsidRPr="005635D8">
        <w:rPr>
          <w:rFonts w:ascii="Calibri" w:hAnsi="Calibri" w:cs="TrebuchetMS"/>
          <w:iCs/>
          <w:lang w:val="en-GB"/>
        </w:rPr>
        <w:t xml:space="preserve">. Several models </w:t>
      </w:r>
      <w:r w:rsidR="0087545A" w:rsidRPr="005635D8">
        <w:rPr>
          <w:rFonts w:ascii="Calibri" w:hAnsi="Calibri" w:cs="TrebuchetMS"/>
          <w:iCs/>
          <w:lang w:val="en-GB"/>
        </w:rPr>
        <w:t>to estimate the amount of discretionary accruals h</w:t>
      </w:r>
      <w:r w:rsidR="00A42C07" w:rsidRPr="005635D8">
        <w:rPr>
          <w:rFonts w:ascii="Calibri" w:hAnsi="Calibri" w:cs="TrebuchetMS"/>
          <w:iCs/>
          <w:lang w:val="en-GB"/>
        </w:rPr>
        <w:t>ave been developed for</w:t>
      </w:r>
      <w:r w:rsidR="00D1000B" w:rsidRPr="005635D8">
        <w:rPr>
          <w:rFonts w:ascii="Calibri" w:hAnsi="Calibri" w:cs="TrebuchetMS"/>
          <w:iCs/>
          <w:lang w:val="en-GB"/>
        </w:rPr>
        <w:t xml:space="preserve"> this purpose</w:t>
      </w:r>
      <w:r w:rsidR="00A42C07" w:rsidRPr="005635D8">
        <w:rPr>
          <w:rFonts w:ascii="Calibri" w:hAnsi="Calibri" w:cs="TrebuchetMS"/>
          <w:iCs/>
          <w:lang w:val="en-GB"/>
        </w:rPr>
        <w:t xml:space="preserve"> (Lippens </w:t>
      </w:r>
      <w:r w:rsidR="00D1000B" w:rsidRPr="005635D8">
        <w:rPr>
          <w:rFonts w:ascii="Calibri" w:hAnsi="Calibri" w:cs="TrebuchetMS"/>
          <w:iCs/>
          <w:lang w:val="en-GB"/>
        </w:rPr>
        <w:t xml:space="preserve">2010, </w:t>
      </w:r>
      <w:r w:rsidR="00A42C07" w:rsidRPr="005635D8">
        <w:rPr>
          <w:rFonts w:ascii="Calibri" w:hAnsi="Calibri" w:cs="TrebuchetMS"/>
          <w:iCs/>
          <w:lang w:val="en-GB"/>
        </w:rPr>
        <w:t>88)</w:t>
      </w:r>
      <w:r w:rsidR="00D1000B" w:rsidRPr="005635D8">
        <w:rPr>
          <w:rFonts w:ascii="Calibri" w:hAnsi="Calibri" w:cs="TrebuchetMS"/>
          <w:iCs/>
          <w:lang w:val="en-GB"/>
        </w:rPr>
        <w:t xml:space="preserve">. These models will be </w:t>
      </w:r>
      <w:r w:rsidR="00640F0E" w:rsidRPr="005635D8">
        <w:rPr>
          <w:rFonts w:ascii="Calibri" w:hAnsi="Calibri" w:cs="TrebuchetMS"/>
          <w:iCs/>
          <w:lang w:val="en-GB"/>
        </w:rPr>
        <w:t>commented</w:t>
      </w:r>
      <w:r w:rsidR="00D1000B" w:rsidRPr="005635D8">
        <w:rPr>
          <w:rFonts w:ascii="Calibri" w:hAnsi="Calibri" w:cs="TrebuchetMS"/>
          <w:iCs/>
          <w:lang w:val="en-GB"/>
        </w:rPr>
        <w:t xml:space="preserve"> in the next paragraphs. </w:t>
      </w:r>
    </w:p>
    <w:p w:rsidR="00A42C07" w:rsidRPr="005635D8" w:rsidRDefault="00A42C07" w:rsidP="00A42C07">
      <w:pPr>
        <w:rPr>
          <w:rFonts w:ascii="Calibri" w:hAnsi="Calibri" w:cs="TrebuchetMS"/>
          <w:iCs/>
          <w:lang w:val="en-GB"/>
        </w:rPr>
      </w:pPr>
    </w:p>
    <w:p w:rsidR="00012087" w:rsidRPr="005635D8" w:rsidRDefault="00923DD9" w:rsidP="001E4C5D">
      <w:pPr>
        <w:pStyle w:val="Heading3"/>
        <w:rPr>
          <w:lang w:val="en-GB"/>
        </w:rPr>
      </w:pPr>
      <w:bookmarkStart w:id="43" w:name="_Toc277013612"/>
      <w:bookmarkStart w:id="44" w:name="_Toc362267280"/>
      <w:r w:rsidRPr="005635D8">
        <w:rPr>
          <w:lang w:val="en-GB"/>
        </w:rPr>
        <w:t>5</w:t>
      </w:r>
      <w:r w:rsidR="00381776" w:rsidRPr="005635D8">
        <w:rPr>
          <w:lang w:val="en-GB"/>
        </w:rPr>
        <w:t xml:space="preserve">.3 </w:t>
      </w:r>
      <w:r w:rsidR="00012087" w:rsidRPr="005635D8">
        <w:rPr>
          <w:lang w:val="en-GB"/>
        </w:rPr>
        <w:t>Models to detect the use of earnings management</w:t>
      </w:r>
      <w:bookmarkEnd w:id="43"/>
      <w:bookmarkEnd w:id="44"/>
    </w:p>
    <w:p w:rsidR="002750FF" w:rsidRPr="005635D8" w:rsidRDefault="001B7650" w:rsidP="001B7650">
      <w:pPr>
        <w:jc w:val="both"/>
        <w:rPr>
          <w:rFonts w:ascii="Calibri" w:hAnsi="Calibri" w:cs="TrebuchetMS"/>
          <w:iCs/>
          <w:lang w:val="en-GB"/>
        </w:rPr>
      </w:pPr>
      <w:r w:rsidRPr="005635D8">
        <w:rPr>
          <w:rFonts w:ascii="Calibri" w:hAnsi="Calibri" w:cs="TrebuchetMS"/>
          <w:iCs/>
          <w:lang w:val="en-GB"/>
        </w:rPr>
        <w:t>I</w:t>
      </w:r>
      <w:r w:rsidR="002750FF" w:rsidRPr="005635D8">
        <w:rPr>
          <w:rFonts w:ascii="Calibri" w:hAnsi="Calibri" w:cs="TrebuchetMS"/>
          <w:iCs/>
          <w:lang w:val="en-GB"/>
        </w:rPr>
        <w:t xml:space="preserve"> have now described the measurement of earnings management as an estimation of the magnitude of discretionary accruals.</w:t>
      </w:r>
      <w:r w:rsidR="000507A0" w:rsidRPr="005635D8">
        <w:rPr>
          <w:rFonts w:ascii="Calibri" w:hAnsi="Calibri" w:cs="TrebuchetMS"/>
          <w:iCs/>
          <w:lang w:val="en-GB"/>
        </w:rPr>
        <w:t xml:space="preserve"> Despite there being other approaches to estimate levels of earnings management</w:t>
      </w:r>
      <w:r w:rsidRPr="005635D8">
        <w:rPr>
          <w:rFonts w:ascii="Calibri" w:hAnsi="Calibri" w:cs="TrebuchetMS"/>
          <w:iCs/>
          <w:lang w:val="en-GB"/>
        </w:rPr>
        <w:t>,</w:t>
      </w:r>
      <w:r w:rsidR="000507A0" w:rsidRPr="005635D8">
        <w:rPr>
          <w:rFonts w:ascii="Calibri" w:hAnsi="Calibri" w:cs="TrebuchetMS"/>
          <w:iCs/>
          <w:lang w:val="en-GB"/>
        </w:rPr>
        <w:t xml:space="preserve"> the accrual based approach seems to be the most dominant and most reliable approach described in the accountancy literature yet. </w:t>
      </w:r>
      <w:r w:rsidRPr="005635D8">
        <w:rPr>
          <w:rFonts w:ascii="Calibri" w:hAnsi="Calibri" w:cs="TrebuchetMS"/>
          <w:iCs/>
          <w:lang w:val="en-GB"/>
        </w:rPr>
        <w:t xml:space="preserve">Consequently, this thesis focusses on the accrual based approach of measuring earnings management. In the next paragraphs some models for estimating discretionary accruals will be presented as they have evolved over the last decades. This is done to provide further insight into the underlying concepts and variables on which the estimation of the discretionary accruals is based. The specific models chosen show </w:t>
      </w:r>
      <w:r w:rsidR="00F57B55" w:rsidRPr="005635D8">
        <w:rPr>
          <w:rFonts w:ascii="Calibri" w:hAnsi="Calibri" w:cs="TrebuchetMS"/>
          <w:iCs/>
          <w:lang w:val="en-GB"/>
        </w:rPr>
        <w:t>in which way</w:t>
      </w:r>
      <w:r w:rsidRPr="005635D8">
        <w:rPr>
          <w:rFonts w:ascii="Calibri" w:hAnsi="Calibri" w:cs="TrebuchetMS"/>
          <w:iCs/>
          <w:lang w:val="en-GB"/>
        </w:rPr>
        <w:t xml:space="preserve"> the calculation of discretionary accruals has been improved in subsequent models and </w:t>
      </w:r>
      <w:r w:rsidR="00C456CE" w:rsidRPr="005635D8">
        <w:rPr>
          <w:rFonts w:ascii="Calibri" w:hAnsi="Calibri" w:cs="TrebuchetMS"/>
          <w:iCs/>
          <w:lang w:val="en-GB"/>
        </w:rPr>
        <w:t xml:space="preserve">in order to estimate discretionary accruals </w:t>
      </w:r>
      <w:r w:rsidRPr="005635D8">
        <w:rPr>
          <w:rFonts w:ascii="Calibri" w:hAnsi="Calibri" w:cs="TrebuchetMS"/>
          <w:iCs/>
          <w:lang w:val="en-GB"/>
        </w:rPr>
        <w:t xml:space="preserve">will help to determine which empirical model can best be adopted </w:t>
      </w:r>
      <w:r w:rsidR="00C456CE" w:rsidRPr="005635D8">
        <w:rPr>
          <w:rFonts w:ascii="Calibri" w:hAnsi="Calibri" w:cs="TrebuchetMS"/>
          <w:iCs/>
          <w:lang w:val="en-GB"/>
        </w:rPr>
        <w:t xml:space="preserve">in </w:t>
      </w:r>
      <w:r w:rsidRPr="005635D8">
        <w:rPr>
          <w:rFonts w:ascii="Calibri" w:hAnsi="Calibri" w:cs="TrebuchetMS"/>
          <w:iCs/>
          <w:lang w:val="en-GB"/>
        </w:rPr>
        <w:t>this thesis. The presented models all focus</w:t>
      </w:r>
      <w:r w:rsidR="006F3394" w:rsidRPr="005635D8">
        <w:rPr>
          <w:rFonts w:ascii="Calibri" w:hAnsi="Calibri" w:cs="TrebuchetMS"/>
          <w:iCs/>
          <w:lang w:val="en-GB"/>
        </w:rPr>
        <w:t xml:space="preserve"> on estimating the magnitude of</w:t>
      </w:r>
      <w:r w:rsidRPr="005635D8">
        <w:rPr>
          <w:rFonts w:ascii="Calibri" w:hAnsi="Calibri" w:cs="TrebuchetMS"/>
          <w:iCs/>
          <w:lang w:val="en-GB"/>
        </w:rPr>
        <w:t xml:space="preserve"> accruals. </w:t>
      </w:r>
    </w:p>
    <w:p w:rsidR="00907242" w:rsidRPr="005635D8" w:rsidRDefault="00CD3451" w:rsidP="00AD74CA">
      <w:pPr>
        <w:jc w:val="both"/>
        <w:rPr>
          <w:rFonts w:ascii="Calibri" w:hAnsi="Calibri" w:cs="TrebuchetMS"/>
          <w:iCs/>
          <w:lang w:val="en-GB"/>
        </w:rPr>
      </w:pPr>
      <w:r w:rsidRPr="005635D8">
        <w:rPr>
          <w:rFonts w:ascii="Calibri" w:hAnsi="Calibri" w:cs="TrebuchetMS"/>
          <w:iCs/>
          <w:lang w:val="en-GB"/>
        </w:rPr>
        <w:t>As stated in the previous section total a</w:t>
      </w:r>
      <w:r w:rsidR="007B5E62" w:rsidRPr="005635D8">
        <w:rPr>
          <w:rFonts w:ascii="Calibri" w:hAnsi="Calibri" w:cs="TrebuchetMS"/>
          <w:iCs/>
          <w:lang w:val="en-GB"/>
        </w:rPr>
        <w:t>ccounting earnings are decomposed into cash flows from operations (Ct),</w:t>
      </w:r>
      <w:r w:rsidRPr="005635D8">
        <w:rPr>
          <w:rFonts w:ascii="Calibri" w:hAnsi="Calibri" w:cs="TrebuchetMS"/>
          <w:iCs/>
          <w:lang w:val="en-GB"/>
        </w:rPr>
        <w:t xml:space="preserve"> </w:t>
      </w:r>
      <w:r w:rsidR="007B5E62" w:rsidRPr="005635D8">
        <w:rPr>
          <w:rFonts w:ascii="Calibri" w:hAnsi="Calibri" w:cs="TrebuchetMS"/>
          <w:iCs/>
          <w:lang w:val="en-GB"/>
        </w:rPr>
        <w:t>non-discretionary accruals (N</w:t>
      </w:r>
      <w:r w:rsidR="00381776" w:rsidRPr="005635D8">
        <w:rPr>
          <w:rFonts w:ascii="Calibri" w:hAnsi="Calibri" w:cs="TrebuchetMS"/>
          <w:iCs/>
          <w:lang w:val="en-GB"/>
        </w:rPr>
        <w:t>D</w:t>
      </w:r>
      <w:r w:rsidR="007B5E62" w:rsidRPr="005635D8">
        <w:rPr>
          <w:rFonts w:ascii="Calibri" w:hAnsi="Calibri" w:cs="TrebuchetMS"/>
          <w:iCs/>
          <w:lang w:val="en-GB"/>
        </w:rPr>
        <w:t>At) and discretionary accruals (DAt).</w:t>
      </w:r>
      <w:r w:rsidR="00ED64B4" w:rsidRPr="005635D8">
        <w:rPr>
          <w:rFonts w:ascii="Calibri" w:hAnsi="Calibri" w:cs="TrebuchetMS"/>
          <w:iCs/>
          <w:lang w:val="en-GB"/>
        </w:rPr>
        <w:t xml:space="preserve"> Discretionary accruals are considered to be a proxy for earnings management.</w:t>
      </w:r>
      <w:r w:rsidR="007B5E62" w:rsidRPr="005635D8">
        <w:rPr>
          <w:rFonts w:ascii="Calibri" w:hAnsi="Calibri" w:cs="TrebuchetMS"/>
          <w:iCs/>
          <w:lang w:val="en-GB"/>
        </w:rPr>
        <w:t xml:space="preserve"> </w:t>
      </w:r>
      <w:r w:rsidR="00ED64B4" w:rsidRPr="005635D8">
        <w:rPr>
          <w:rFonts w:ascii="Calibri" w:hAnsi="Calibri" w:cs="TrebuchetMS"/>
          <w:iCs/>
          <w:lang w:val="en-GB"/>
        </w:rPr>
        <w:t xml:space="preserve">As the discretionary accruals cannot be directly observed they have to be estimated from the values of the total accruals and the non-discretionary accruals. </w:t>
      </w:r>
      <w:r w:rsidR="00AD74CA" w:rsidRPr="005635D8">
        <w:rPr>
          <w:rFonts w:ascii="Calibri" w:hAnsi="Calibri" w:cs="TrebuchetMS"/>
          <w:iCs/>
          <w:lang w:val="en-GB"/>
        </w:rPr>
        <w:t>Most of the empirical models to estimate earnings management</w:t>
      </w:r>
      <w:r w:rsidR="00907242" w:rsidRPr="005635D8">
        <w:rPr>
          <w:rFonts w:ascii="Calibri" w:hAnsi="Calibri" w:cs="TrebuchetMS"/>
          <w:iCs/>
          <w:lang w:val="en-GB"/>
        </w:rPr>
        <w:t xml:space="preserve"> try to identify the discretionary part of the accruals by determining the non</w:t>
      </w:r>
      <w:r w:rsidR="00381776" w:rsidRPr="005635D8">
        <w:rPr>
          <w:rFonts w:ascii="Calibri" w:hAnsi="Calibri" w:cs="TrebuchetMS"/>
          <w:iCs/>
          <w:lang w:val="en-GB"/>
        </w:rPr>
        <w:t>-</w:t>
      </w:r>
      <w:r w:rsidR="00907242" w:rsidRPr="005635D8">
        <w:rPr>
          <w:rFonts w:ascii="Calibri" w:hAnsi="Calibri" w:cs="TrebuchetMS"/>
          <w:iCs/>
          <w:lang w:val="en-GB"/>
        </w:rPr>
        <w:t>discretionary accruals, given the formula for discretionary accruals;</w:t>
      </w:r>
    </w:p>
    <w:p w:rsidR="00907242" w:rsidRPr="005635D8" w:rsidRDefault="00907242" w:rsidP="00907242">
      <w:pPr>
        <w:spacing w:line="360" w:lineRule="auto"/>
        <w:ind w:left="567" w:firstLine="567"/>
        <w:jc w:val="both"/>
        <w:rPr>
          <w:rFonts w:ascii="Calibri" w:hAnsi="Calibri"/>
          <w:lang w:val="en-GB"/>
        </w:rPr>
      </w:pPr>
      <w:r w:rsidRPr="005635D8">
        <w:rPr>
          <w:rFonts w:ascii="Calibri" w:hAnsi="Calibri"/>
          <w:noProof/>
          <w:lang w:val="en-US"/>
        </w:rPr>
        <w:drawing>
          <wp:inline distT="0" distB="0" distL="0" distR="0">
            <wp:extent cx="1314450" cy="400050"/>
            <wp:effectExtent l="19050" t="0" r="0" b="0"/>
            <wp:docPr id="1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1314450" cy="400050"/>
                    </a:xfrm>
                    <a:prstGeom prst="rect">
                      <a:avLst/>
                    </a:prstGeom>
                    <a:noFill/>
                    <a:ln w="9525">
                      <a:noFill/>
                      <a:miter lim="800000"/>
                      <a:headEnd/>
                      <a:tailEnd/>
                    </a:ln>
                  </pic:spPr>
                </pic:pic>
              </a:graphicData>
            </a:graphic>
          </wp:inline>
        </w:drawing>
      </w:r>
    </w:p>
    <w:p w:rsidR="00907242" w:rsidRPr="005635D8" w:rsidRDefault="00907242" w:rsidP="00907242">
      <w:pPr>
        <w:jc w:val="both"/>
        <w:rPr>
          <w:rFonts w:ascii="Calibri" w:hAnsi="Calibri" w:cs="TimesNewRomanPSMT"/>
          <w:iCs/>
          <w:lang w:val="en-GB"/>
        </w:rPr>
      </w:pPr>
      <w:r w:rsidRPr="005635D8">
        <w:rPr>
          <w:rFonts w:ascii="Calibri" w:hAnsi="Calibri"/>
          <w:noProof/>
          <w:lang w:val="en-US"/>
        </w:rPr>
        <w:drawing>
          <wp:inline distT="0" distB="0" distL="0" distR="0">
            <wp:extent cx="2762250" cy="1066800"/>
            <wp:effectExtent l="19050" t="0" r="0" b="0"/>
            <wp:docPr id="1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2762250" cy="1066800"/>
                    </a:xfrm>
                    <a:prstGeom prst="rect">
                      <a:avLst/>
                    </a:prstGeom>
                    <a:noFill/>
                    <a:ln w="9525">
                      <a:noFill/>
                      <a:miter lim="800000"/>
                      <a:headEnd/>
                      <a:tailEnd/>
                    </a:ln>
                  </pic:spPr>
                </pic:pic>
              </a:graphicData>
            </a:graphic>
          </wp:inline>
        </w:drawing>
      </w:r>
    </w:p>
    <w:p w:rsidR="002813ED" w:rsidRPr="005635D8" w:rsidRDefault="00ED64B4" w:rsidP="00ED64B4">
      <w:pPr>
        <w:jc w:val="both"/>
        <w:rPr>
          <w:rFonts w:ascii="Calibri" w:hAnsi="Calibri" w:cs="TrebuchetMS"/>
          <w:iCs/>
          <w:lang w:val="en-GB"/>
        </w:rPr>
      </w:pPr>
      <w:r w:rsidRPr="005635D8">
        <w:rPr>
          <w:rFonts w:ascii="Calibri" w:hAnsi="Calibri" w:cs="TimesNewRomanPSMT"/>
          <w:iCs/>
          <w:lang w:val="en-GB"/>
        </w:rPr>
        <w:t xml:space="preserve">The first step in the computation of the discretionary accruals, and </w:t>
      </w:r>
      <w:r w:rsidR="00C456CE" w:rsidRPr="005635D8">
        <w:rPr>
          <w:rFonts w:ascii="Calibri" w:hAnsi="Calibri" w:cs="TimesNewRomanPSMT"/>
          <w:iCs/>
          <w:lang w:val="en-GB"/>
        </w:rPr>
        <w:t>consequently</w:t>
      </w:r>
      <w:r w:rsidRPr="005635D8">
        <w:rPr>
          <w:rFonts w:ascii="Calibri" w:hAnsi="Calibri" w:cs="TimesNewRomanPSMT"/>
          <w:iCs/>
          <w:lang w:val="en-GB"/>
        </w:rPr>
        <w:t xml:space="preserve"> </w:t>
      </w:r>
      <w:r w:rsidRPr="005635D8">
        <w:rPr>
          <w:rFonts w:ascii="Calibri" w:hAnsi="Calibri" w:cs="TrebuchetMS"/>
          <w:iCs/>
          <w:lang w:val="en-GB"/>
        </w:rPr>
        <w:t>earnings management, is to compute the total accruals.</w:t>
      </w:r>
      <w:r w:rsidR="00AD74CA" w:rsidRPr="005635D8">
        <w:rPr>
          <w:rFonts w:ascii="Calibri" w:hAnsi="Calibri" w:cs="TrebuchetMS"/>
          <w:iCs/>
          <w:lang w:val="en-GB"/>
        </w:rPr>
        <w:t xml:space="preserve"> Total accruals cannot be directly investigated from the balance sheets of firms as it is not a balance sheet item in itself. Total accruals can be computed as the sum of several balance sheet items. </w:t>
      </w:r>
      <w:r w:rsidRPr="005635D8">
        <w:rPr>
          <w:rFonts w:ascii="Calibri" w:hAnsi="Calibri" w:cs="TrebuchetMS"/>
          <w:iCs/>
          <w:lang w:val="en-GB"/>
        </w:rPr>
        <w:t xml:space="preserve"> </w:t>
      </w:r>
      <w:r w:rsidR="00AD74CA" w:rsidRPr="005635D8">
        <w:rPr>
          <w:rFonts w:ascii="Calibri" w:hAnsi="Calibri" w:cs="Times New Roman"/>
          <w:lang w:val="en-GB"/>
        </w:rPr>
        <w:t>Dechow et al (1995), Healy (1985) and Jones</w:t>
      </w:r>
      <w:r w:rsidR="00E14F90" w:rsidRPr="005635D8">
        <w:rPr>
          <w:rFonts w:ascii="Calibri" w:hAnsi="Calibri" w:cs="Times New Roman"/>
          <w:lang w:val="en-GB"/>
        </w:rPr>
        <w:t xml:space="preserve"> (1991)</w:t>
      </w:r>
      <w:r w:rsidR="00AD74CA" w:rsidRPr="005635D8">
        <w:rPr>
          <w:rFonts w:ascii="Calibri" w:hAnsi="Calibri" w:cs="Times New Roman"/>
          <w:lang w:val="en-GB"/>
        </w:rPr>
        <w:t xml:space="preserve"> all use</w:t>
      </w:r>
      <w:r w:rsidR="00381776" w:rsidRPr="005635D8">
        <w:rPr>
          <w:rFonts w:ascii="Calibri" w:hAnsi="Calibri" w:cs="Times New Roman"/>
          <w:lang w:val="en-GB"/>
        </w:rPr>
        <w:t xml:space="preserve"> almost</w:t>
      </w:r>
      <w:r w:rsidR="00AD74CA" w:rsidRPr="005635D8">
        <w:rPr>
          <w:rFonts w:ascii="Calibri" w:hAnsi="Calibri" w:cs="Times New Roman"/>
          <w:lang w:val="en-GB"/>
        </w:rPr>
        <w:t xml:space="preserve"> the same formula for calculating total accruals. </w:t>
      </w:r>
      <w:r w:rsidR="002813ED" w:rsidRPr="005635D8">
        <w:rPr>
          <w:rFonts w:ascii="Calibri" w:hAnsi="Calibri" w:cs="TrebuchetMS"/>
          <w:iCs/>
          <w:lang w:val="en-GB"/>
        </w:rPr>
        <w:t>The computation of the total accruals is well defined as:</w:t>
      </w:r>
    </w:p>
    <w:p w:rsidR="00ED64B4" w:rsidRPr="005635D8" w:rsidRDefault="00ED64B4" w:rsidP="00ED64B4">
      <w:pPr>
        <w:jc w:val="both"/>
        <w:rPr>
          <w:rFonts w:ascii="Calibri" w:hAnsi="Calibri"/>
          <w:lang w:val="en-GB"/>
        </w:rPr>
      </w:pPr>
    </w:p>
    <w:tbl>
      <w:tblPr>
        <w:tblW w:w="0" w:type="auto"/>
        <w:tblInd w:w="108" w:type="dxa"/>
        <w:tblLook w:val="01E0"/>
      </w:tblPr>
      <w:tblGrid>
        <w:gridCol w:w="1427"/>
        <w:gridCol w:w="7049"/>
        <w:gridCol w:w="702"/>
      </w:tblGrid>
      <w:tr w:rsidR="002813ED" w:rsidRPr="005635D8" w:rsidTr="002813ED">
        <w:trPr>
          <w:trHeight w:val="374"/>
        </w:trPr>
        <w:tc>
          <w:tcPr>
            <w:tcW w:w="8478" w:type="dxa"/>
            <w:gridSpan w:val="2"/>
          </w:tcPr>
          <w:p w:rsidR="002813ED" w:rsidRPr="005635D8" w:rsidRDefault="002813ED" w:rsidP="002813ED">
            <w:pPr>
              <w:tabs>
                <w:tab w:val="center" w:pos="4536"/>
                <w:tab w:val="right" w:pos="9072"/>
              </w:tabs>
              <w:autoSpaceDE w:val="0"/>
              <w:autoSpaceDN w:val="0"/>
              <w:adjustRightInd w:val="0"/>
              <w:spacing w:line="360" w:lineRule="auto"/>
              <w:jc w:val="center"/>
              <w:rPr>
                <w:rFonts w:ascii="Calibri" w:hAnsi="Calibri"/>
                <w:lang w:val="en-GB"/>
              </w:rPr>
            </w:pPr>
            <w:r w:rsidRPr="005635D8">
              <w:rPr>
                <w:rFonts w:ascii="Calibri" w:hAnsi="Calibri"/>
                <w:position w:val="-12"/>
                <w:lang w:val="en-GB"/>
              </w:rPr>
              <w:object w:dxaOrig="58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18.75pt" o:ole="">
                  <v:imagedata r:id="rId11" o:title=""/>
                </v:shape>
                <o:OLEObject Type="Embed" ProgID="Equation.3" ShapeID="_x0000_i1025" DrawAspect="Content" ObjectID="_1436010414" r:id="rId12"/>
              </w:object>
            </w:r>
          </w:p>
          <w:p w:rsidR="002813ED" w:rsidRPr="005635D8" w:rsidRDefault="002813ED" w:rsidP="002813ED">
            <w:pPr>
              <w:tabs>
                <w:tab w:val="center" w:pos="4536"/>
                <w:tab w:val="right" w:pos="9072"/>
              </w:tabs>
              <w:autoSpaceDE w:val="0"/>
              <w:autoSpaceDN w:val="0"/>
              <w:adjustRightInd w:val="0"/>
              <w:spacing w:line="360" w:lineRule="auto"/>
              <w:rPr>
                <w:rFonts w:ascii="Calibri" w:hAnsi="Calibri"/>
                <w:lang w:val="en-GB"/>
              </w:rPr>
            </w:pPr>
            <w:r w:rsidRPr="005635D8">
              <w:rPr>
                <w:rFonts w:ascii="Calibri" w:hAnsi="Calibri"/>
                <w:lang w:val="en-GB"/>
              </w:rPr>
              <w:t>Where,</w:t>
            </w:r>
          </w:p>
        </w:tc>
        <w:tc>
          <w:tcPr>
            <w:tcW w:w="702" w:type="dxa"/>
          </w:tcPr>
          <w:p w:rsidR="002813ED" w:rsidRPr="005635D8" w:rsidRDefault="002813ED" w:rsidP="002813ED">
            <w:pPr>
              <w:pStyle w:val="Caption"/>
              <w:tabs>
                <w:tab w:val="center" w:pos="4536"/>
                <w:tab w:val="right" w:pos="9072"/>
              </w:tabs>
              <w:jc w:val="right"/>
              <w:rPr>
                <w:rFonts w:ascii="Calibri" w:hAnsi="Calibri"/>
                <w:b w:val="0"/>
                <w:sz w:val="22"/>
                <w:szCs w:val="22"/>
                <w:lang w:val="en-GB"/>
              </w:rPr>
            </w:pPr>
            <w:r w:rsidRPr="005635D8">
              <w:rPr>
                <w:rFonts w:ascii="Calibri" w:hAnsi="Calibri"/>
                <w:b w:val="0"/>
                <w:sz w:val="22"/>
                <w:szCs w:val="22"/>
                <w:lang w:val="en-GB"/>
              </w:rPr>
              <w:t xml:space="preserve">Eq. </w:t>
            </w:r>
            <w:r w:rsidR="004A2AB3" w:rsidRPr="005635D8">
              <w:rPr>
                <w:rFonts w:ascii="Calibri" w:hAnsi="Calibri"/>
                <w:b w:val="0"/>
                <w:sz w:val="22"/>
                <w:szCs w:val="22"/>
                <w:lang w:val="en-GB"/>
              </w:rPr>
              <w:fldChar w:fldCharType="begin"/>
            </w:r>
            <w:r w:rsidRPr="005635D8">
              <w:rPr>
                <w:rFonts w:ascii="Calibri" w:hAnsi="Calibri"/>
                <w:b w:val="0"/>
                <w:sz w:val="22"/>
                <w:szCs w:val="22"/>
                <w:lang w:val="en-GB"/>
              </w:rPr>
              <w:instrText xml:space="preserve"> SEQ Eq. \* ARABIC </w:instrText>
            </w:r>
            <w:r w:rsidR="004A2AB3" w:rsidRPr="005635D8">
              <w:rPr>
                <w:rFonts w:ascii="Calibri" w:hAnsi="Calibri"/>
                <w:b w:val="0"/>
                <w:sz w:val="22"/>
                <w:szCs w:val="22"/>
                <w:lang w:val="en-GB"/>
              </w:rPr>
              <w:fldChar w:fldCharType="separate"/>
            </w:r>
            <w:r w:rsidR="00C47BAC" w:rsidRPr="005635D8">
              <w:rPr>
                <w:rFonts w:ascii="Calibri" w:hAnsi="Calibri"/>
                <w:b w:val="0"/>
                <w:noProof/>
                <w:sz w:val="22"/>
                <w:szCs w:val="22"/>
                <w:lang w:val="en-GB"/>
              </w:rPr>
              <w:t>1</w:t>
            </w:r>
            <w:r w:rsidR="004A2AB3" w:rsidRPr="005635D8">
              <w:rPr>
                <w:rFonts w:ascii="Calibri" w:hAnsi="Calibri"/>
                <w:b w:val="0"/>
                <w:sz w:val="22"/>
                <w:szCs w:val="22"/>
                <w:lang w:val="en-GB"/>
              </w:rPr>
              <w:fldChar w:fldCharType="end"/>
            </w:r>
          </w:p>
          <w:p w:rsidR="002813ED" w:rsidRPr="005635D8" w:rsidRDefault="002813ED" w:rsidP="002813ED">
            <w:pPr>
              <w:tabs>
                <w:tab w:val="center" w:pos="4536"/>
                <w:tab w:val="right" w:pos="9072"/>
              </w:tabs>
              <w:autoSpaceDE w:val="0"/>
              <w:autoSpaceDN w:val="0"/>
              <w:adjustRightInd w:val="0"/>
              <w:spacing w:line="360" w:lineRule="auto"/>
              <w:jc w:val="both"/>
              <w:rPr>
                <w:rFonts w:ascii="Calibri" w:hAnsi="Calibri"/>
                <w:lang w:val="en-GB"/>
              </w:rPr>
            </w:pPr>
          </w:p>
        </w:tc>
      </w:tr>
      <w:tr w:rsidR="002813ED" w:rsidRPr="00182CC2" w:rsidTr="002813ED">
        <w:trPr>
          <w:trHeight w:val="374"/>
        </w:trPr>
        <w:tc>
          <w:tcPr>
            <w:tcW w:w="1427" w:type="dxa"/>
          </w:tcPr>
          <w:p w:rsidR="002813ED" w:rsidRPr="005635D8" w:rsidRDefault="002813ED" w:rsidP="002813ED">
            <w:pPr>
              <w:tabs>
                <w:tab w:val="center" w:pos="4536"/>
                <w:tab w:val="right" w:pos="9072"/>
              </w:tabs>
              <w:autoSpaceDE w:val="0"/>
              <w:autoSpaceDN w:val="0"/>
              <w:adjustRightInd w:val="0"/>
              <w:spacing w:after="0" w:line="360" w:lineRule="auto"/>
              <w:rPr>
                <w:rFonts w:ascii="Calibri" w:hAnsi="Calibri"/>
                <w:i/>
                <w:position w:val="-12"/>
                <w:lang w:val="en-GB"/>
              </w:rPr>
            </w:pPr>
            <w:r w:rsidRPr="005635D8">
              <w:rPr>
                <w:rFonts w:ascii="Calibri" w:hAnsi="Calibri"/>
                <w:position w:val="-12"/>
                <w:lang w:val="en-GB"/>
              </w:rPr>
              <w:object w:dxaOrig="760" w:dyaOrig="360">
                <v:shape id="_x0000_i1026" type="#_x0000_t75" style="width:39.75pt;height:18.75pt" o:ole="">
                  <v:imagedata r:id="rId13" o:title=""/>
                </v:shape>
                <o:OLEObject Type="Embed" ProgID="Equation.3" ShapeID="_x0000_i1026" DrawAspect="Content" ObjectID="_1436010415" r:id="rId14"/>
              </w:object>
            </w:r>
          </w:p>
        </w:tc>
        <w:tc>
          <w:tcPr>
            <w:tcW w:w="7753" w:type="dxa"/>
            <w:gridSpan w:val="2"/>
          </w:tcPr>
          <w:p w:rsidR="002813ED" w:rsidRPr="005635D8" w:rsidRDefault="002813ED" w:rsidP="002813ED">
            <w:pPr>
              <w:pStyle w:val="Caption"/>
              <w:tabs>
                <w:tab w:val="center" w:pos="4536"/>
                <w:tab w:val="right" w:pos="9072"/>
              </w:tabs>
              <w:rPr>
                <w:rFonts w:ascii="Calibri" w:hAnsi="Calibri"/>
                <w:b w:val="0"/>
                <w:bCs w:val="0"/>
                <w:sz w:val="22"/>
                <w:szCs w:val="22"/>
                <w:lang w:val="en-GB"/>
              </w:rPr>
            </w:pPr>
            <w:r w:rsidRPr="005635D8">
              <w:rPr>
                <w:rFonts w:ascii="Calibri" w:eastAsiaTheme="minorHAnsi" w:hAnsi="Calibri" w:cstheme="minorBidi"/>
                <w:b w:val="0"/>
                <w:sz w:val="22"/>
                <w:szCs w:val="22"/>
                <w:lang w:val="en-GB" w:eastAsia="en-US"/>
              </w:rPr>
              <w:t>firm</w:t>
            </w:r>
            <w:r w:rsidRPr="005635D8">
              <w:rPr>
                <w:rFonts w:ascii="Calibri" w:eastAsiaTheme="minorHAnsi" w:hAnsi="Calibri" w:cstheme="minorBidi"/>
                <w:b w:val="0"/>
                <w:bCs w:val="0"/>
                <w:i/>
                <w:iCs/>
                <w:position w:val="-6"/>
                <w:sz w:val="22"/>
                <w:szCs w:val="22"/>
                <w:lang w:val="en-GB" w:eastAsia="en-US"/>
              </w:rPr>
              <w:t xml:space="preserve"> </w:t>
            </w:r>
            <w:r w:rsidRPr="005635D8">
              <w:rPr>
                <w:rFonts w:ascii="Calibri" w:eastAsiaTheme="minorHAnsi" w:hAnsi="Calibri" w:cstheme="minorBidi"/>
                <w:b w:val="0"/>
                <w:bCs w:val="0"/>
                <w:i/>
                <w:iCs/>
                <w:position w:val="-6"/>
                <w:sz w:val="22"/>
                <w:szCs w:val="22"/>
                <w:lang w:val="en-GB" w:eastAsia="en-US"/>
              </w:rPr>
              <w:object w:dxaOrig="139" w:dyaOrig="260">
                <v:shape id="_x0000_i1027" type="#_x0000_t75" style="width:6.75pt;height:12.75pt" o:ole="">
                  <v:imagedata r:id="rId15" o:title=""/>
                </v:shape>
                <o:OLEObject Type="Embed" ProgID="Equation.3" ShapeID="_x0000_i1027" DrawAspect="Content" ObjectID="_1436010416" r:id="rId16"/>
              </w:object>
            </w:r>
            <w:r w:rsidRPr="005635D8">
              <w:rPr>
                <w:rFonts w:ascii="Calibri" w:eastAsiaTheme="minorHAnsi" w:hAnsi="Calibri" w:cstheme="minorBidi"/>
                <w:b w:val="0"/>
                <w:bCs w:val="0"/>
                <w:sz w:val="22"/>
                <w:szCs w:val="22"/>
                <w:lang w:val="en-GB" w:eastAsia="en-US"/>
              </w:rPr>
              <w:t xml:space="preserve">’s </w:t>
            </w:r>
            <w:r w:rsidRPr="005635D8">
              <w:rPr>
                <w:rFonts w:ascii="Calibri" w:eastAsiaTheme="minorHAnsi" w:hAnsi="Calibri" w:cstheme="minorBidi"/>
                <w:b w:val="0"/>
                <w:sz w:val="22"/>
                <w:szCs w:val="22"/>
                <w:lang w:val="en-GB" w:eastAsia="en-US"/>
              </w:rPr>
              <w:t xml:space="preserve">total accruals in year </w:t>
            </w:r>
            <w:r w:rsidRPr="005635D8">
              <w:rPr>
                <w:rFonts w:ascii="Calibri" w:eastAsiaTheme="minorHAnsi" w:hAnsi="Calibri" w:cstheme="minorBidi"/>
                <w:b w:val="0"/>
                <w:bCs w:val="0"/>
                <w:i/>
                <w:iCs/>
                <w:position w:val="-6"/>
                <w:sz w:val="22"/>
                <w:szCs w:val="22"/>
                <w:lang w:val="en-GB" w:eastAsia="en-US"/>
              </w:rPr>
              <w:object w:dxaOrig="139" w:dyaOrig="240">
                <v:shape id="_x0000_i1028" type="#_x0000_t75" style="width:6.75pt;height:12pt" o:ole="">
                  <v:imagedata r:id="rId17" o:title=""/>
                </v:shape>
                <o:OLEObject Type="Embed" ProgID="Equation.3" ShapeID="_x0000_i1028" DrawAspect="Content" ObjectID="_1436010417" r:id="rId18"/>
              </w:object>
            </w:r>
            <w:r w:rsidRPr="005635D8">
              <w:rPr>
                <w:rFonts w:ascii="Calibri" w:eastAsiaTheme="minorHAnsi" w:hAnsi="Calibri" w:cstheme="minorBidi"/>
                <w:b w:val="0"/>
                <w:bCs w:val="0"/>
                <w:i/>
                <w:iCs/>
                <w:position w:val="-6"/>
                <w:sz w:val="22"/>
                <w:szCs w:val="22"/>
                <w:lang w:val="en-GB" w:eastAsia="en-US"/>
              </w:rPr>
              <w:t>;</w:t>
            </w:r>
          </w:p>
        </w:tc>
      </w:tr>
      <w:tr w:rsidR="002813ED" w:rsidRPr="00182CC2" w:rsidTr="002813ED">
        <w:trPr>
          <w:trHeight w:val="396"/>
        </w:trPr>
        <w:tc>
          <w:tcPr>
            <w:tcW w:w="1427" w:type="dxa"/>
          </w:tcPr>
          <w:p w:rsidR="002813ED" w:rsidRPr="005635D8" w:rsidRDefault="002813ED" w:rsidP="002813ED">
            <w:pPr>
              <w:tabs>
                <w:tab w:val="center" w:pos="4536"/>
                <w:tab w:val="right" w:pos="9072"/>
              </w:tabs>
              <w:autoSpaceDE w:val="0"/>
              <w:autoSpaceDN w:val="0"/>
              <w:adjustRightInd w:val="0"/>
              <w:spacing w:after="0" w:line="360" w:lineRule="auto"/>
              <w:rPr>
                <w:rFonts w:ascii="Calibri" w:hAnsi="Calibri"/>
                <w:lang w:val="en-GB"/>
              </w:rPr>
            </w:pPr>
            <w:r w:rsidRPr="005635D8">
              <w:rPr>
                <w:rFonts w:ascii="Calibri" w:hAnsi="Calibri"/>
                <w:position w:val="-12"/>
                <w:lang w:val="en-GB"/>
              </w:rPr>
              <w:object w:dxaOrig="600" w:dyaOrig="360">
                <v:shape id="_x0000_i1029" type="#_x0000_t75" style="width:30pt;height:18.75pt" o:ole="">
                  <v:imagedata r:id="rId19" o:title=""/>
                </v:shape>
                <o:OLEObject Type="Embed" ProgID="Equation.3" ShapeID="_x0000_i1029" DrawAspect="Content" ObjectID="_1436010418" r:id="rId20"/>
              </w:object>
            </w:r>
            <w:r w:rsidRPr="005635D8">
              <w:rPr>
                <w:rFonts w:ascii="Calibri" w:hAnsi="Calibri"/>
                <w:lang w:val="en-GB"/>
              </w:rPr>
              <w:t xml:space="preserve">         </w:t>
            </w:r>
          </w:p>
        </w:tc>
        <w:tc>
          <w:tcPr>
            <w:tcW w:w="7753" w:type="dxa"/>
            <w:gridSpan w:val="2"/>
          </w:tcPr>
          <w:p w:rsidR="002813ED" w:rsidRPr="005635D8" w:rsidRDefault="002813ED" w:rsidP="002813ED">
            <w:pPr>
              <w:tabs>
                <w:tab w:val="center" w:pos="4536"/>
                <w:tab w:val="right" w:pos="9072"/>
              </w:tabs>
              <w:autoSpaceDE w:val="0"/>
              <w:autoSpaceDN w:val="0"/>
              <w:adjustRightInd w:val="0"/>
              <w:spacing w:after="0" w:line="360" w:lineRule="auto"/>
              <w:rPr>
                <w:rFonts w:ascii="Calibri" w:hAnsi="Calibri"/>
                <w:lang w:val="en-GB"/>
              </w:rPr>
            </w:pPr>
            <w:r w:rsidRPr="005635D8">
              <w:rPr>
                <w:rFonts w:ascii="Calibri" w:hAnsi="Calibri"/>
                <w:bCs/>
                <w:lang w:val="en-GB"/>
              </w:rPr>
              <w:t xml:space="preserve">firm </w:t>
            </w:r>
            <w:r w:rsidRPr="005635D8">
              <w:rPr>
                <w:rFonts w:ascii="Calibri" w:hAnsi="Calibri"/>
                <w:i/>
                <w:iCs/>
                <w:position w:val="-6"/>
                <w:lang w:val="en-GB"/>
              </w:rPr>
              <w:object w:dxaOrig="139" w:dyaOrig="260">
                <v:shape id="_x0000_i1030" type="#_x0000_t75" style="width:6.75pt;height:12.75pt" o:ole="">
                  <v:imagedata r:id="rId21" o:title=""/>
                </v:shape>
                <o:OLEObject Type="Embed" ProgID="Equation.3" ShapeID="_x0000_i1030" DrawAspect="Content" ObjectID="_1436010419" r:id="rId22"/>
              </w:object>
            </w:r>
            <w:r w:rsidRPr="005635D8">
              <w:rPr>
                <w:rFonts w:ascii="Calibri" w:hAnsi="Calibri"/>
                <w:lang w:val="en-GB"/>
              </w:rPr>
              <w:t xml:space="preserve">’s change in current assets in year </w:t>
            </w:r>
            <w:r w:rsidRPr="005635D8">
              <w:rPr>
                <w:rFonts w:ascii="Calibri" w:hAnsi="Calibri"/>
                <w:i/>
                <w:iCs/>
                <w:position w:val="-6"/>
                <w:lang w:val="en-GB"/>
              </w:rPr>
              <w:object w:dxaOrig="139" w:dyaOrig="240">
                <v:shape id="_x0000_i1031" type="#_x0000_t75" style="width:6.75pt;height:12pt" o:ole="">
                  <v:imagedata r:id="rId17" o:title=""/>
                </v:shape>
                <o:OLEObject Type="Embed" ProgID="Equation.3" ShapeID="_x0000_i1031" DrawAspect="Content" ObjectID="_1436010420" r:id="rId23"/>
              </w:object>
            </w:r>
            <w:r w:rsidRPr="005635D8">
              <w:rPr>
                <w:rFonts w:ascii="Calibri" w:hAnsi="Calibri"/>
                <w:lang w:val="en-GB"/>
              </w:rPr>
              <w:t>;</w:t>
            </w:r>
          </w:p>
        </w:tc>
      </w:tr>
      <w:tr w:rsidR="002813ED" w:rsidRPr="00182CC2" w:rsidTr="002813ED">
        <w:tc>
          <w:tcPr>
            <w:tcW w:w="1427" w:type="dxa"/>
          </w:tcPr>
          <w:p w:rsidR="002813ED" w:rsidRPr="005635D8" w:rsidRDefault="002813ED" w:rsidP="002813ED">
            <w:pPr>
              <w:tabs>
                <w:tab w:val="center" w:pos="4536"/>
                <w:tab w:val="right" w:pos="9072"/>
              </w:tabs>
              <w:autoSpaceDE w:val="0"/>
              <w:autoSpaceDN w:val="0"/>
              <w:adjustRightInd w:val="0"/>
              <w:spacing w:after="0" w:line="360" w:lineRule="auto"/>
              <w:rPr>
                <w:rFonts w:ascii="Calibri" w:hAnsi="Calibri"/>
                <w:lang w:val="en-GB"/>
              </w:rPr>
            </w:pPr>
            <w:r w:rsidRPr="005635D8">
              <w:rPr>
                <w:rFonts w:ascii="Calibri" w:hAnsi="Calibri"/>
                <w:position w:val="-12"/>
                <w:lang w:val="en-GB"/>
              </w:rPr>
              <w:object w:dxaOrig="600" w:dyaOrig="360">
                <v:shape id="_x0000_i1032" type="#_x0000_t75" style="width:30pt;height:18.75pt" o:ole="">
                  <v:imagedata r:id="rId24" o:title=""/>
                </v:shape>
                <o:OLEObject Type="Embed" ProgID="Equation.3" ShapeID="_x0000_i1032" DrawAspect="Content" ObjectID="_1436010421" r:id="rId25"/>
              </w:object>
            </w:r>
          </w:p>
        </w:tc>
        <w:tc>
          <w:tcPr>
            <w:tcW w:w="7753" w:type="dxa"/>
            <w:gridSpan w:val="2"/>
          </w:tcPr>
          <w:p w:rsidR="002813ED" w:rsidRPr="005635D8" w:rsidRDefault="002813ED" w:rsidP="002813ED">
            <w:pPr>
              <w:tabs>
                <w:tab w:val="center" w:pos="4536"/>
                <w:tab w:val="right" w:pos="9072"/>
              </w:tabs>
              <w:autoSpaceDE w:val="0"/>
              <w:autoSpaceDN w:val="0"/>
              <w:adjustRightInd w:val="0"/>
              <w:spacing w:after="0" w:line="360" w:lineRule="auto"/>
              <w:rPr>
                <w:rFonts w:ascii="Calibri" w:hAnsi="Calibri"/>
                <w:lang w:val="en-GB"/>
              </w:rPr>
            </w:pPr>
            <w:r w:rsidRPr="005635D8">
              <w:rPr>
                <w:rFonts w:ascii="Calibri" w:hAnsi="Calibri"/>
                <w:bCs/>
                <w:lang w:val="en-GB"/>
              </w:rPr>
              <w:t xml:space="preserve">firm </w:t>
            </w:r>
            <w:r w:rsidRPr="005635D8">
              <w:rPr>
                <w:rFonts w:ascii="Calibri" w:hAnsi="Calibri"/>
                <w:i/>
                <w:iCs/>
                <w:position w:val="-6"/>
                <w:lang w:val="en-GB"/>
              </w:rPr>
              <w:object w:dxaOrig="139" w:dyaOrig="260">
                <v:shape id="_x0000_i1033" type="#_x0000_t75" style="width:6.75pt;height:12.75pt" o:ole="">
                  <v:imagedata r:id="rId15" o:title=""/>
                </v:shape>
                <o:OLEObject Type="Embed" ProgID="Equation.3" ShapeID="_x0000_i1033" DrawAspect="Content" ObjectID="_1436010422" r:id="rId26"/>
              </w:object>
            </w:r>
            <w:r w:rsidRPr="005635D8">
              <w:rPr>
                <w:rFonts w:ascii="Calibri" w:hAnsi="Calibri"/>
                <w:lang w:val="en-GB"/>
              </w:rPr>
              <w:t xml:space="preserve">’s change in current liabilities in year </w:t>
            </w:r>
            <w:r w:rsidRPr="005635D8">
              <w:rPr>
                <w:rFonts w:ascii="Calibri" w:hAnsi="Calibri"/>
                <w:i/>
                <w:iCs/>
                <w:position w:val="-6"/>
                <w:lang w:val="en-GB"/>
              </w:rPr>
              <w:object w:dxaOrig="139" w:dyaOrig="240">
                <v:shape id="_x0000_i1034" type="#_x0000_t75" style="width:6.75pt;height:12pt" o:ole="">
                  <v:imagedata r:id="rId27" o:title=""/>
                </v:shape>
                <o:OLEObject Type="Embed" ProgID="Equation.3" ShapeID="_x0000_i1034" DrawAspect="Content" ObjectID="_1436010423" r:id="rId28"/>
              </w:object>
            </w:r>
            <w:r w:rsidRPr="005635D8">
              <w:rPr>
                <w:rFonts w:ascii="Calibri" w:hAnsi="Calibri"/>
                <w:lang w:val="en-GB"/>
              </w:rPr>
              <w:t>;</w:t>
            </w:r>
          </w:p>
        </w:tc>
      </w:tr>
      <w:tr w:rsidR="002813ED" w:rsidRPr="00182CC2" w:rsidTr="002813ED">
        <w:tc>
          <w:tcPr>
            <w:tcW w:w="1427" w:type="dxa"/>
          </w:tcPr>
          <w:p w:rsidR="002813ED" w:rsidRPr="005635D8" w:rsidRDefault="002813ED" w:rsidP="002813ED">
            <w:pPr>
              <w:tabs>
                <w:tab w:val="center" w:pos="4536"/>
                <w:tab w:val="right" w:pos="9072"/>
              </w:tabs>
              <w:autoSpaceDE w:val="0"/>
              <w:autoSpaceDN w:val="0"/>
              <w:adjustRightInd w:val="0"/>
              <w:spacing w:after="0" w:line="360" w:lineRule="auto"/>
              <w:rPr>
                <w:rFonts w:ascii="Calibri" w:hAnsi="Calibri"/>
                <w:lang w:val="en-GB"/>
              </w:rPr>
            </w:pPr>
            <w:r w:rsidRPr="005635D8">
              <w:rPr>
                <w:rFonts w:ascii="Calibri" w:hAnsi="Calibri"/>
                <w:position w:val="-12"/>
                <w:lang w:val="en-GB"/>
              </w:rPr>
              <w:object w:dxaOrig="940" w:dyaOrig="360">
                <v:shape id="_x0000_i1035" type="#_x0000_t75" style="width:47.25pt;height:18.75pt" o:ole="">
                  <v:imagedata r:id="rId29" o:title=""/>
                </v:shape>
                <o:OLEObject Type="Embed" ProgID="Equation.3" ShapeID="_x0000_i1035" DrawAspect="Content" ObjectID="_1436010424" r:id="rId30"/>
              </w:object>
            </w:r>
          </w:p>
        </w:tc>
        <w:tc>
          <w:tcPr>
            <w:tcW w:w="7753" w:type="dxa"/>
            <w:gridSpan w:val="2"/>
          </w:tcPr>
          <w:p w:rsidR="002813ED" w:rsidRPr="005635D8" w:rsidRDefault="002813ED" w:rsidP="002813ED">
            <w:pPr>
              <w:tabs>
                <w:tab w:val="center" w:pos="4536"/>
                <w:tab w:val="right" w:pos="9072"/>
              </w:tabs>
              <w:autoSpaceDE w:val="0"/>
              <w:autoSpaceDN w:val="0"/>
              <w:adjustRightInd w:val="0"/>
              <w:spacing w:after="0" w:line="360" w:lineRule="auto"/>
              <w:rPr>
                <w:rFonts w:ascii="Calibri" w:hAnsi="Calibri"/>
                <w:lang w:val="en-GB"/>
              </w:rPr>
            </w:pPr>
            <w:r w:rsidRPr="005635D8">
              <w:rPr>
                <w:rFonts w:ascii="Calibri" w:hAnsi="Calibri"/>
                <w:bCs/>
                <w:lang w:val="en-GB"/>
              </w:rPr>
              <w:t xml:space="preserve">firm </w:t>
            </w:r>
            <w:r w:rsidRPr="005635D8">
              <w:rPr>
                <w:rFonts w:ascii="Calibri" w:hAnsi="Calibri"/>
                <w:i/>
                <w:iCs/>
                <w:position w:val="-6"/>
                <w:lang w:val="en-GB"/>
              </w:rPr>
              <w:object w:dxaOrig="139" w:dyaOrig="260">
                <v:shape id="_x0000_i1036" type="#_x0000_t75" style="width:6.75pt;height:12.75pt" o:ole="">
                  <v:imagedata r:id="rId15" o:title=""/>
                </v:shape>
                <o:OLEObject Type="Embed" ProgID="Equation.3" ShapeID="_x0000_i1036" DrawAspect="Content" ObjectID="_1436010425" r:id="rId31"/>
              </w:object>
            </w:r>
            <w:r w:rsidRPr="005635D8">
              <w:rPr>
                <w:rFonts w:ascii="Calibri" w:hAnsi="Calibri"/>
                <w:lang w:val="en-GB"/>
              </w:rPr>
              <w:t xml:space="preserve">’s change in cash in year </w:t>
            </w:r>
            <w:r w:rsidRPr="005635D8">
              <w:rPr>
                <w:rFonts w:ascii="Calibri" w:hAnsi="Calibri"/>
                <w:i/>
                <w:iCs/>
                <w:position w:val="-6"/>
                <w:lang w:val="en-GB"/>
              </w:rPr>
              <w:object w:dxaOrig="139" w:dyaOrig="240">
                <v:shape id="_x0000_i1037" type="#_x0000_t75" style="width:6.75pt;height:12pt" o:ole="">
                  <v:imagedata r:id="rId27" o:title=""/>
                </v:shape>
                <o:OLEObject Type="Embed" ProgID="Equation.3" ShapeID="_x0000_i1037" DrawAspect="Content" ObjectID="_1436010426" r:id="rId32"/>
              </w:object>
            </w:r>
            <w:r w:rsidRPr="005635D8">
              <w:rPr>
                <w:rFonts w:ascii="Calibri" w:hAnsi="Calibri"/>
                <w:lang w:val="en-GB"/>
              </w:rPr>
              <w:t>;</w:t>
            </w:r>
          </w:p>
        </w:tc>
      </w:tr>
      <w:tr w:rsidR="002813ED" w:rsidRPr="00182CC2" w:rsidTr="002813ED">
        <w:tc>
          <w:tcPr>
            <w:tcW w:w="1427" w:type="dxa"/>
          </w:tcPr>
          <w:p w:rsidR="002813ED" w:rsidRPr="005635D8" w:rsidRDefault="002813ED" w:rsidP="002813ED">
            <w:pPr>
              <w:tabs>
                <w:tab w:val="center" w:pos="4536"/>
                <w:tab w:val="right" w:pos="9072"/>
              </w:tabs>
              <w:autoSpaceDE w:val="0"/>
              <w:autoSpaceDN w:val="0"/>
              <w:adjustRightInd w:val="0"/>
              <w:spacing w:after="0" w:line="360" w:lineRule="auto"/>
              <w:rPr>
                <w:rFonts w:ascii="Calibri" w:hAnsi="Calibri"/>
                <w:lang w:val="en-GB"/>
              </w:rPr>
            </w:pPr>
            <w:r w:rsidRPr="005635D8">
              <w:rPr>
                <w:rFonts w:ascii="Calibri" w:hAnsi="Calibri"/>
                <w:position w:val="-12"/>
                <w:lang w:val="en-GB"/>
              </w:rPr>
              <w:object w:dxaOrig="1160" w:dyaOrig="360">
                <v:shape id="_x0000_i1038" type="#_x0000_t75" style="width:57.75pt;height:18.75pt" o:ole="">
                  <v:imagedata r:id="rId33" o:title=""/>
                </v:shape>
                <o:OLEObject Type="Embed" ProgID="Equation.3" ShapeID="_x0000_i1038" DrawAspect="Content" ObjectID="_1436010427" r:id="rId34"/>
              </w:object>
            </w:r>
          </w:p>
        </w:tc>
        <w:tc>
          <w:tcPr>
            <w:tcW w:w="7753" w:type="dxa"/>
            <w:gridSpan w:val="2"/>
          </w:tcPr>
          <w:p w:rsidR="002813ED" w:rsidRPr="005635D8" w:rsidRDefault="002813ED" w:rsidP="002813ED">
            <w:pPr>
              <w:tabs>
                <w:tab w:val="center" w:pos="4536"/>
                <w:tab w:val="right" w:pos="9072"/>
              </w:tabs>
              <w:autoSpaceDE w:val="0"/>
              <w:autoSpaceDN w:val="0"/>
              <w:adjustRightInd w:val="0"/>
              <w:spacing w:after="100" w:afterAutospacing="1" w:line="360" w:lineRule="auto"/>
              <w:rPr>
                <w:rFonts w:ascii="Calibri" w:hAnsi="Calibri"/>
                <w:lang w:val="en-GB"/>
              </w:rPr>
            </w:pPr>
            <w:r w:rsidRPr="005635D8">
              <w:rPr>
                <w:rFonts w:ascii="Calibri" w:hAnsi="Calibri"/>
                <w:bCs/>
                <w:lang w:val="en-GB"/>
              </w:rPr>
              <w:t xml:space="preserve">firm </w:t>
            </w:r>
            <w:r w:rsidRPr="005635D8">
              <w:rPr>
                <w:rFonts w:ascii="Calibri" w:hAnsi="Calibri"/>
                <w:i/>
                <w:iCs/>
                <w:position w:val="-6"/>
                <w:lang w:val="en-GB"/>
              </w:rPr>
              <w:object w:dxaOrig="139" w:dyaOrig="260">
                <v:shape id="_x0000_i1039" type="#_x0000_t75" style="width:6.75pt;height:12.75pt" o:ole="">
                  <v:imagedata r:id="rId15" o:title=""/>
                </v:shape>
                <o:OLEObject Type="Embed" ProgID="Equation.3" ShapeID="_x0000_i1039" DrawAspect="Content" ObjectID="_1436010428" r:id="rId35"/>
              </w:object>
            </w:r>
            <w:r w:rsidRPr="005635D8">
              <w:rPr>
                <w:rFonts w:ascii="Calibri" w:hAnsi="Calibri"/>
                <w:lang w:val="en-GB"/>
              </w:rPr>
              <w:t xml:space="preserve">’s change in short-term debt in year </w:t>
            </w:r>
            <w:r w:rsidRPr="005635D8">
              <w:rPr>
                <w:rFonts w:ascii="Calibri" w:hAnsi="Calibri"/>
                <w:i/>
                <w:iCs/>
                <w:position w:val="-6"/>
                <w:lang w:val="en-GB"/>
              </w:rPr>
              <w:object w:dxaOrig="139" w:dyaOrig="240">
                <v:shape id="_x0000_i1040" type="#_x0000_t75" style="width:6.75pt;height:12pt" o:ole="">
                  <v:imagedata r:id="rId27" o:title=""/>
                </v:shape>
                <o:OLEObject Type="Embed" ProgID="Equation.3" ShapeID="_x0000_i1040" DrawAspect="Content" ObjectID="_1436010429" r:id="rId36"/>
              </w:object>
            </w:r>
            <w:r w:rsidRPr="005635D8">
              <w:rPr>
                <w:rFonts w:ascii="Calibri" w:hAnsi="Calibri"/>
                <w:lang w:val="en-GB"/>
              </w:rPr>
              <w:t>;</w:t>
            </w:r>
          </w:p>
        </w:tc>
      </w:tr>
      <w:tr w:rsidR="002813ED" w:rsidRPr="00182CC2" w:rsidTr="002813ED">
        <w:tc>
          <w:tcPr>
            <w:tcW w:w="1427" w:type="dxa"/>
          </w:tcPr>
          <w:p w:rsidR="002813ED" w:rsidRPr="005635D8" w:rsidRDefault="002813ED" w:rsidP="002813ED">
            <w:pPr>
              <w:tabs>
                <w:tab w:val="center" w:pos="4536"/>
                <w:tab w:val="right" w:pos="9072"/>
              </w:tabs>
              <w:autoSpaceDE w:val="0"/>
              <w:autoSpaceDN w:val="0"/>
              <w:adjustRightInd w:val="0"/>
              <w:spacing w:after="0" w:line="360" w:lineRule="auto"/>
              <w:rPr>
                <w:rFonts w:ascii="Calibri" w:hAnsi="Calibri"/>
                <w:lang w:val="en-GB"/>
              </w:rPr>
            </w:pPr>
            <w:r w:rsidRPr="005635D8">
              <w:rPr>
                <w:rFonts w:ascii="Calibri" w:hAnsi="Calibri"/>
                <w:position w:val="-12"/>
                <w:lang w:val="en-GB"/>
              </w:rPr>
              <w:object w:dxaOrig="820" w:dyaOrig="360">
                <v:shape id="_x0000_i1041" type="#_x0000_t75" style="width:40.5pt;height:18.75pt" o:ole="">
                  <v:imagedata r:id="rId37" o:title=""/>
                </v:shape>
                <o:OLEObject Type="Embed" ProgID="Equation.3" ShapeID="_x0000_i1041" DrawAspect="Content" ObjectID="_1436010430" r:id="rId38"/>
              </w:object>
            </w:r>
          </w:p>
        </w:tc>
        <w:tc>
          <w:tcPr>
            <w:tcW w:w="7753" w:type="dxa"/>
            <w:gridSpan w:val="2"/>
          </w:tcPr>
          <w:p w:rsidR="002813ED" w:rsidRPr="005635D8" w:rsidRDefault="002813ED" w:rsidP="002813ED">
            <w:pPr>
              <w:keepNext/>
              <w:tabs>
                <w:tab w:val="center" w:pos="4536"/>
                <w:tab w:val="right" w:pos="9072"/>
              </w:tabs>
              <w:autoSpaceDE w:val="0"/>
              <w:autoSpaceDN w:val="0"/>
              <w:adjustRightInd w:val="0"/>
              <w:spacing w:after="0" w:line="360" w:lineRule="auto"/>
              <w:rPr>
                <w:rFonts w:ascii="Calibri" w:hAnsi="Calibri"/>
                <w:lang w:val="en-GB"/>
              </w:rPr>
            </w:pPr>
            <w:r w:rsidRPr="005635D8">
              <w:rPr>
                <w:rFonts w:ascii="Calibri" w:hAnsi="Calibri"/>
                <w:bCs/>
                <w:lang w:val="en-GB"/>
              </w:rPr>
              <w:t xml:space="preserve">firm </w:t>
            </w:r>
            <w:r w:rsidRPr="005635D8">
              <w:rPr>
                <w:rFonts w:ascii="Calibri" w:hAnsi="Calibri"/>
                <w:i/>
                <w:iCs/>
                <w:position w:val="-6"/>
                <w:lang w:val="en-GB"/>
              </w:rPr>
              <w:object w:dxaOrig="139" w:dyaOrig="260">
                <v:shape id="_x0000_i1042" type="#_x0000_t75" style="width:6.75pt;height:12.75pt" o:ole="">
                  <v:imagedata r:id="rId15" o:title=""/>
                </v:shape>
                <o:OLEObject Type="Embed" ProgID="Equation.3" ShapeID="_x0000_i1042" DrawAspect="Content" ObjectID="_1436010431" r:id="rId39"/>
              </w:object>
            </w:r>
            <w:r w:rsidRPr="005635D8">
              <w:rPr>
                <w:rFonts w:ascii="Calibri" w:hAnsi="Calibri"/>
                <w:lang w:val="en-GB"/>
              </w:rPr>
              <w:t xml:space="preserve">’s depreciation and amortization expense in year </w:t>
            </w:r>
            <w:r w:rsidRPr="005635D8">
              <w:rPr>
                <w:rFonts w:ascii="Calibri" w:hAnsi="Calibri"/>
                <w:i/>
                <w:iCs/>
                <w:position w:val="-6"/>
                <w:lang w:val="en-GB"/>
              </w:rPr>
              <w:object w:dxaOrig="139" w:dyaOrig="240">
                <v:shape id="_x0000_i1043" type="#_x0000_t75" style="width:6.75pt;height:12pt" o:ole="">
                  <v:imagedata r:id="rId27" o:title=""/>
                </v:shape>
                <o:OLEObject Type="Embed" ProgID="Equation.3" ShapeID="_x0000_i1043" DrawAspect="Content" ObjectID="_1436010432" r:id="rId40"/>
              </w:object>
            </w:r>
            <w:r w:rsidRPr="005635D8">
              <w:rPr>
                <w:rFonts w:ascii="Calibri" w:hAnsi="Calibri"/>
                <w:lang w:val="en-GB"/>
              </w:rPr>
              <w:t>.</w:t>
            </w:r>
          </w:p>
        </w:tc>
      </w:tr>
    </w:tbl>
    <w:p w:rsidR="002813ED" w:rsidRPr="005635D8" w:rsidRDefault="002813ED" w:rsidP="00621ABD">
      <w:pPr>
        <w:pStyle w:val="Heading1"/>
        <w:rPr>
          <w:sz w:val="22"/>
          <w:szCs w:val="22"/>
        </w:rPr>
      </w:pPr>
    </w:p>
    <w:p w:rsidR="00D16AC0" w:rsidRPr="005635D8" w:rsidRDefault="00D16AC0" w:rsidP="003E752C">
      <w:pPr>
        <w:jc w:val="both"/>
        <w:rPr>
          <w:rFonts w:ascii="Calibri" w:hAnsi="Calibri" w:cs="TrebuchetMS"/>
          <w:iCs/>
          <w:lang w:val="en-GB"/>
        </w:rPr>
      </w:pPr>
      <w:r w:rsidRPr="005635D8">
        <w:rPr>
          <w:rFonts w:ascii="Calibri" w:hAnsi="Calibri" w:cs="TrebuchetMS"/>
          <w:iCs/>
          <w:lang w:val="en-GB"/>
        </w:rPr>
        <w:t xml:space="preserve">The variables </w:t>
      </w:r>
      <w:r w:rsidR="00E14F90" w:rsidRPr="005635D8">
        <w:rPr>
          <w:rFonts w:ascii="Calibri" w:hAnsi="Calibri" w:cs="TrebuchetMS"/>
          <w:iCs/>
          <w:lang w:val="en-GB"/>
        </w:rPr>
        <w:t xml:space="preserve">in this equitation </w:t>
      </w:r>
      <w:r w:rsidRPr="005635D8">
        <w:rPr>
          <w:rFonts w:ascii="Calibri" w:hAnsi="Calibri" w:cs="TrebuchetMS"/>
          <w:iCs/>
          <w:lang w:val="en-GB"/>
        </w:rPr>
        <w:t xml:space="preserve">are constructed using information from the balance sheet and income statement, as is common in the earnings management literature (Dechow et al, 1995). </w:t>
      </w:r>
      <w:r w:rsidR="00E14F90" w:rsidRPr="005635D8">
        <w:rPr>
          <w:rFonts w:ascii="Calibri" w:hAnsi="Calibri" w:cs="TrebuchetMS"/>
          <w:iCs/>
          <w:lang w:val="en-GB"/>
        </w:rPr>
        <w:t xml:space="preserve">Two specific types of balance sheet items are excluded from this formula. Debt in current liabilities is not taken to be an accrual because it relates to financing transactions as opposed to operating transactions. </w:t>
      </w:r>
      <w:r w:rsidR="00323D4C" w:rsidRPr="005635D8">
        <w:rPr>
          <w:rFonts w:ascii="Calibri" w:hAnsi="Calibri" w:cs="TrebuchetMS"/>
          <w:iCs/>
          <w:lang w:val="en-GB"/>
        </w:rPr>
        <w:t>In addition</w:t>
      </w:r>
      <w:r w:rsidR="00E14F90" w:rsidRPr="005635D8">
        <w:rPr>
          <w:rFonts w:ascii="Calibri" w:hAnsi="Calibri" w:cs="TrebuchetMS"/>
          <w:iCs/>
          <w:lang w:val="en-GB"/>
        </w:rPr>
        <w:t xml:space="preserve"> income taxes that have to be paid are not seen as an accrual for reasons of consistency with the definition of earnings employed in most empirical tests </w:t>
      </w:r>
      <w:r w:rsidR="003E752C" w:rsidRPr="005635D8">
        <w:rPr>
          <w:rFonts w:ascii="Calibri" w:hAnsi="Calibri" w:cs="TrebuchetMS"/>
          <w:iCs/>
          <w:lang w:val="en-GB"/>
        </w:rPr>
        <w:t>(Sloan 1996).</w:t>
      </w:r>
    </w:p>
    <w:p w:rsidR="007A20B0" w:rsidRPr="005635D8" w:rsidRDefault="007A20B0" w:rsidP="001E4C5D">
      <w:pPr>
        <w:pStyle w:val="Heading3"/>
        <w:rPr>
          <w:lang w:val="en-GB"/>
        </w:rPr>
      </w:pPr>
      <w:bookmarkStart w:id="45" w:name="_Toc277013613"/>
      <w:bookmarkStart w:id="46" w:name="_Toc277013614"/>
    </w:p>
    <w:p w:rsidR="003E752C" w:rsidRPr="005635D8" w:rsidRDefault="00923DD9" w:rsidP="001E4C5D">
      <w:pPr>
        <w:pStyle w:val="Heading3"/>
        <w:rPr>
          <w:lang w:val="en-GB"/>
        </w:rPr>
      </w:pPr>
      <w:bookmarkStart w:id="47" w:name="_Toc362267281"/>
      <w:r w:rsidRPr="005635D8">
        <w:rPr>
          <w:lang w:val="en-GB"/>
        </w:rPr>
        <w:t>5</w:t>
      </w:r>
      <w:r w:rsidR="00EF5958" w:rsidRPr="005635D8">
        <w:rPr>
          <w:lang w:val="en-GB"/>
        </w:rPr>
        <w:t xml:space="preserve">.4 </w:t>
      </w:r>
      <w:r w:rsidR="003E752C" w:rsidRPr="005635D8">
        <w:rPr>
          <w:lang w:val="en-GB"/>
        </w:rPr>
        <w:t>The Healy model</w:t>
      </w:r>
      <w:bookmarkEnd w:id="45"/>
      <w:bookmarkEnd w:id="47"/>
    </w:p>
    <w:p w:rsidR="00E250DE" w:rsidRPr="005635D8" w:rsidRDefault="00FC6293" w:rsidP="00215935">
      <w:pPr>
        <w:jc w:val="both"/>
        <w:rPr>
          <w:rFonts w:ascii="Calibri" w:hAnsi="Calibri"/>
          <w:lang w:val="en-GB"/>
        </w:rPr>
      </w:pPr>
      <w:bookmarkStart w:id="48" w:name="_Toc359925032"/>
      <w:r w:rsidRPr="005635D8">
        <w:rPr>
          <w:rFonts w:ascii="Calibri" w:hAnsi="Calibri"/>
          <w:lang w:val="en-GB"/>
        </w:rPr>
        <w:t>The first serious attempt to measure earnings management is made by Healy (1985). He tries to estimate earnings management by estimating deviations from normal levels of accruals. In his model he does not actually</w:t>
      </w:r>
      <w:r w:rsidR="00E250DE" w:rsidRPr="005635D8">
        <w:rPr>
          <w:rFonts w:ascii="Calibri" w:hAnsi="Calibri"/>
          <w:lang w:val="en-GB"/>
        </w:rPr>
        <w:t xml:space="preserve"> test</w:t>
      </w:r>
      <w:r w:rsidRPr="005635D8">
        <w:rPr>
          <w:rFonts w:ascii="Calibri" w:hAnsi="Calibri"/>
          <w:lang w:val="en-GB"/>
        </w:rPr>
        <w:t xml:space="preserve"> whether earnings management actually exist during the entire period under investigation; Healy assumes that earnings management occurs during the whole time interval under investigation. However, during some periods earnings will be managed upwards and during other periods earnings will be managed downwards. Systematic earnings management happens during both</w:t>
      </w:r>
      <w:r w:rsidR="00E250DE" w:rsidRPr="005635D8">
        <w:rPr>
          <w:rFonts w:ascii="Calibri" w:hAnsi="Calibri"/>
          <w:lang w:val="en-GB"/>
        </w:rPr>
        <w:t xml:space="preserve"> of</w:t>
      </w:r>
      <w:r w:rsidRPr="005635D8">
        <w:rPr>
          <w:rFonts w:ascii="Calibri" w:hAnsi="Calibri"/>
          <w:lang w:val="en-GB"/>
        </w:rPr>
        <w:t xml:space="preserve"> these periods. </w:t>
      </w:r>
      <w:r w:rsidR="00E250DE" w:rsidRPr="005635D8">
        <w:rPr>
          <w:rFonts w:ascii="Calibri" w:hAnsi="Calibri"/>
          <w:lang w:val="en-GB"/>
        </w:rPr>
        <w:t>Further, the model assumes that accruals are a constant fraction of lagged assets. Any deviation from the average value of total accruals is seen as earnings management. The positively and negatively managed earnings balance each other out in the mean score of normal levels of accruals (Dechow et al 1995, 197</w:t>
      </w:r>
      <w:r w:rsidR="000F29DC" w:rsidRPr="005635D8">
        <w:rPr>
          <w:rFonts w:ascii="Calibri" w:hAnsi="Calibri"/>
          <w:lang w:val="en-GB"/>
        </w:rPr>
        <w:t>; Van Praag 2001, 56</w:t>
      </w:r>
      <w:r w:rsidR="00E250DE" w:rsidRPr="005635D8">
        <w:rPr>
          <w:rFonts w:ascii="Calibri" w:hAnsi="Calibri"/>
          <w:lang w:val="en-GB"/>
        </w:rPr>
        <w:t>).</w:t>
      </w:r>
      <w:bookmarkEnd w:id="48"/>
      <w:r w:rsidR="00E250DE" w:rsidRPr="005635D8">
        <w:rPr>
          <w:rFonts w:ascii="Calibri" w:hAnsi="Calibri"/>
          <w:lang w:val="en-GB"/>
        </w:rPr>
        <w:t xml:space="preserve"> </w:t>
      </w:r>
    </w:p>
    <w:p w:rsidR="00215935" w:rsidRPr="005635D8" w:rsidRDefault="00215935" w:rsidP="000F29DC">
      <w:pPr>
        <w:jc w:val="both"/>
        <w:rPr>
          <w:rFonts w:ascii="Calibri" w:hAnsi="Calibri" w:cs="TrebuchetMS"/>
          <w:iCs/>
          <w:lang w:val="en-GB"/>
        </w:rPr>
      </w:pPr>
    </w:p>
    <w:p w:rsidR="00E250DE" w:rsidRPr="005635D8" w:rsidRDefault="00E250DE" w:rsidP="000F29DC">
      <w:pPr>
        <w:jc w:val="both"/>
        <w:rPr>
          <w:rFonts w:ascii="Calibri" w:hAnsi="Calibri" w:cs="TrebuchetMS"/>
          <w:iCs/>
          <w:lang w:val="en-GB"/>
        </w:rPr>
      </w:pPr>
      <w:r w:rsidRPr="005635D8">
        <w:rPr>
          <w:rFonts w:ascii="Calibri" w:hAnsi="Calibri" w:cs="TrebuchetMS"/>
          <w:iCs/>
          <w:lang w:val="en-GB"/>
        </w:rPr>
        <w:t>The procedure to measure earnings management</w:t>
      </w:r>
      <w:r w:rsidR="000F29DC" w:rsidRPr="005635D8">
        <w:rPr>
          <w:rFonts w:ascii="Calibri" w:hAnsi="Calibri" w:cs="TrebuchetMS"/>
          <w:iCs/>
          <w:lang w:val="en-GB"/>
        </w:rPr>
        <w:t xml:space="preserve"> in the Healy model</w:t>
      </w:r>
      <w:r w:rsidRPr="005635D8">
        <w:rPr>
          <w:rFonts w:ascii="Calibri" w:hAnsi="Calibri" w:cs="TrebuchetMS"/>
          <w:iCs/>
          <w:lang w:val="en-GB"/>
        </w:rPr>
        <w:t xml:space="preserve"> start</w:t>
      </w:r>
      <w:r w:rsidR="000F29DC" w:rsidRPr="005635D8">
        <w:rPr>
          <w:rFonts w:ascii="Calibri" w:hAnsi="Calibri" w:cs="TrebuchetMS"/>
          <w:iCs/>
          <w:lang w:val="en-GB"/>
        </w:rPr>
        <w:t>s</w:t>
      </w:r>
      <w:r w:rsidRPr="005635D8">
        <w:rPr>
          <w:rFonts w:ascii="Calibri" w:hAnsi="Calibri" w:cs="TrebuchetMS"/>
          <w:iCs/>
          <w:lang w:val="en-GB"/>
        </w:rPr>
        <w:t xml:space="preserve"> from the</w:t>
      </w:r>
      <w:r w:rsidR="000F29DC" w:rsidRPr="005635D8">
        <w:rPr>
          <w:rFonts w:ascii="Calibri" w:hAnsi="Calibri" w:cs="TrebuchetMS"/>
          <w:iCs/>
          <w:lang w:val="en-GB"/>
        </w:rPr>
        <w:t xml:space="preserve"> common statement that the difference between the total accruals and the non-discretionary accruals leaves the discretionary accruals.</w:t>
      </w:r>
      <w:r w:rsidRPr="005635D8">
        <w:rPr>
          <w:rFonts w:ascii="Calibri" w:hAnsi="Calibri" w:cs="TrebuchetMS"/>
          <w:iCs/>
          <w:lang w:val="en-GB"/>
        </w:rPr>
        <w:t xml:space="preserve"> Healy (1985) defined the total accruals in a year by the following formula that slightly deviates from the previously </w:t>
      </w:r>
      <w:r w:rsidR="00D76CAE" w:rsidRPr="005635D8">
        <w:rPr>
          <w:rFonts w:ascii="Calibri" w:hAnsi="Calibri" w:cs="TrebuchetMS"/>
          <w:iCs/>
          <w:lang w:val="en-GB"/>
        </w:rPr>
        <w:t>signalled</w:t>
      </w:r>
      <w:r w:rsidRPr="005635D8">
        <w:rPr>
          <w:rFonts w:ascii="Calibri" w:hAnsi="Calibri" w:cs="TrebuchetMS"/>
          <w:iCs/>
          <w:lang w:val="en-GB"/>
        </w:rPr>
        <w:t xml:space="preserve"> formula for total accruals: </w:t>
      </w:r>
    </w:p>
    <w:p w:rsidR="00E250DE" w:rsidRPr="005635D8" w:rsidRDefault="00E250DE" w:rsidP="00E250DE">
      <w:pPr>
        <w:spacing w:line="360" w:lineRule="auto"/>
        <w:ind w:left="567" w:firstLine="567"/>
        <w:jc w:val="both"/>
        <w:rPr>
          <w:rFonts w:ascii="Calibri" w:hAnsi="Calibri" w:cs="TrebuchetMS"/>
          <w:iCs/>
          <w:sz w:val="24"/>
          <w:szCs w:val="24"/>
          <w:lang w:val="en-GB"/>
        </w:rPr>
      </w:pPr>
      <w:r w:rsidRPr="005635D8">
        <w:rPr>
          <w:rFonts w:ascii="Calibri" w:hAnsi="Calibri" w:cs="TrebuchetMS"/>
          <w:iCs/>
          <w:noProof/>
          <w:sz w:val="24"/>
          <w:szCs w:val="24"/>
          <w:lang w:val="en-US"/>
        </w:rPr>
        <w:drawing>
          <wp:inline distT="0" distB="0" distL="0" distR="0">
            <wp:extent cx="3648075" cy="400050"/>
            <wp:effectExtent l="0" t="0" r="9525" b="0"/>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48075" cy="400050"/>
                    </a:xfrm>
                    <a:prstGeom prst="rect">
                      <a:avLst/>
                    </a:prstGeom>
                    <a:noFill/>
                    <a:ln>
                      <a:noFill/>
                    </a:ln>
                  </pic:spPr>
                </pic:pic>
              </a:graphicData>
            </a:graphic>
          </wp:inline>
        </w:drawing>
      </w:r>
    </w:p>
    <w:p w:rsidR="00E250DE" w:rsidRPr="005635D8" w:rsidRDefault="00E250DE" w:rsidP="00E250DE">
      <w:pPr>
        <w:spacing w:line="360" w:lineRule="auto"/>
        <w:jc w:val="both"/>
        <w:rPr>
          <w:rFonts w:ascii="Calibri" w:hAnsi="Calibri" w:cs="TrebuchetMS"/>
          <w:iCs/>
          <w:sz w:val="24"/>
          <w:szCs w:val="24"/>
          <w:lang w:val="en-GB"/>
        </w:rPr>
      </w:pPr>
    </w:p>
    <w:p w:rsidR="00FC6293" w:rsidRPr="005635D8" w:rsidRDefault="00E250DE" w:rsidP="000F29DC">
      <w:pPr>
        <w:spacing w:line="360" w:lineRule="auto"/>
        <w:jc w:val="both"/>
        <w:rPr>
          <w:rFonts w:ascii="Calibri" w:hAnsi="Calibri" w:cs="TrebuchetMS"/>
          <w:iCs/>
          <w:sz w:val="24"/>
          <w:szCs w:val="24"/>
          <w:lang w:val="en-GB"/>
        </w:rPr>
      </w:pPr>
      <w:r w:rsidRPr="005635D8">
        <w:rPr>
          <w:rFonts w:ascii="Calibri" w:hAnsi="Calibri" w:cs="TrebuchetMS"/>
          <w:iCs/>
          <w:noProof/>
          <w:sz w:val="24"/>
          <w:szCs w:val="24"/>
          <w:lang w:val="en-US"/>
        </w:rPr>
        <w:drawing>
          <wp:inline distT="0" distB="0" distL="0" distR="0">
            <wp:extent cx="4848225" cy="2152650"/>
            <wp:effectExtent l="19050" t="0" r="9525"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48225" cy="2152650"/>
                    </a:xfrm>
                    <a:prstGeom prst="rect">
                      <a:avLst/>
                    </a:prstGeom>
                    <a:noFill/>
                    <a:ln>
                      <a:noFill/>
                    </a:ln>
                  </pic:spPr>
                </pic:pic>
              </a:graphicData>
            </a:graphic>
          </wp:inline>
        </w:drawing>
      </w:r>
    </w:p>
    <w:p w:rsidR="00E14F90" w:rsidRPr="005635D8" w:rsidRDefault="00E14F90" w:rsidP="00307963">
      <w:pPr>
        <w:autoSpaceDE w:val="0"/>
        <w:autoSpaceDN w:val="0"/>
        <w:adjustRightInd w:val="0"/>
        <w:spacing w:after="0" w:line="240" w:lineRule="auto"/>
        <w:rPr>
          <w:rFonts w:ascii="Calibri" w:hAnsi="Calibri" w:cs="TimesNewRomanPSMT"/>
          <w:sz w:val="24"/>
          <w:szCs w:val="24"/>
          <w:lang w:val="en-GB"/>
        </w:rPr>
      </w:pPr>
    </w:p>
    <w:p w:rsidR="00FC6293" w:rsidRPr="005635D8" w:rsidRDefault="00F41D2A" w:rsidP="00B86705">
      <w:pPr>
        <w:autoSpaceDE w:val="0"/>
        <w:autoSpaceDN w:val="0"/>
        <w:adjustRightInd w:val="0"/>
        <w:spacing w:after="0" w:line="240" w:lineRule="auto"/>
        <w:jc w:val="both"/>
        <w:rPr>
          <w:rFonts w:ascii="Calibri" w:hAnsi="Calibri" w:cs="TrebuchetMS"/>
          <w:iCs/>
          <w:lang w:val="en-GB"/>
        </w:rPr>
      </w:pPr>
      <w:r w:rsidRPr="005635D8">
        <w:rPr>
          <w:rFonts w:ascii="Calibri" w:hAnsi="Calibri" w:cs="TrebuchetMS"/>
          <w:iCs/>
          <w:lang w:val="en-GB"/>
        </w:rPr>
        <w:t xml:space="preserve">The Healy </w:t>
      </w:r>
      <w:r w:rsidR="000F29DC" w:rsidRPr="005635D8">
        <w:rPr>
          <w:rFonts w:ascii="Calibri" w:hAnsi="Calibri" w:cs="TrebuchetMS"/>
          <w:iCs/>
          <w:lang w:val="en-GB"/>
        </w:rPr>
        <w:t>Model use</w:t>
      </w:r>
      <w:r w:rsidR="00B23A55" w:rsidRPr="005635D8">
        <w:rPr>
          <w:rFonts w:ascii="Calibri" w:hAnsi="Calibri" w:cs="TrebuchetMS"/>
          <w:iCs/>
          <w:lang w:val="en-GB"/>
        </w:rPr>
        <w:t>s the mean of total accruals</w:t>
      </w:r>
      <w:r w:rsidR="000F29DC" w:rsidRPr="005635D8">
        <w:rPr>
          <w:rFonts w:ascii="Calibri" w:hAnsi="Calibri" w:cs="TrebuchetMS"/>
          <w:iCs/>
          <w:lang w:val="en-GB"/>
        </w:rPr>
        <w:t xml:space="preserve"> scaled by lagged total</w:t>
      </w:r>
      <w:r w:rsidR="00B23A55" w:rsidRPr="005635D8">
        <w:rPr>
          <w:rFonts w:ascii="Calibri" w:hAnsi="Calibri" w:cs="TrebuchetMS"/>
          <w:iCs/>
          <w:lang w:val="en-GB"/>
        </w:rPr>
        <w:t xml:space="preserve"> assets</w:t>
      </w:r>
      <w:r w:rsidR="000F29DC" w:rsidRPr="005635D8">
        <w:rPr>
          <w:rFonts w:ascii="Calibri" w:hAnsi="Calibri" w:cs="TrebuchetMS"/>
          <w:iCs/>
          <w:lang w:val="en-GB"/>
        </w:rPr>
        <w:t xml:space="preserve"> from the estimation period as the measure of non</w:t>
      </w:r>
      <w:r w:rsidR="00EF5958" w:rsidRPr="005635D8">
        <w:rPr>
          <w:rFonts w:ascii="Calibri" w:hAnsi="Calibri" w:cs="TrebuchetMS"/>
          <w:iCs/>
          <w:lang w:val="en-GB"/>
        </w:rPr>
        <w:t>-</w:t>
      </w:r>
      <w:r w:rsidR="000F29DC" w:rsidRPr="005635D8">
        <w:rPr>
          <w:rFonts w:ascii="Calibri" w:hAnsi="Calibri" w:cs="TrebuchetMS"/>
          <w:iCs/>
          <w:lang w:val="en-GB"/>
        </w:rPr>
        <w:t>discretionary accruals (Dechow</w:t>
      </w:r>
      <w:r w:rsidR="00FC6293" w:rsidRPr="005635D8">
        <w:rPr>
          <w:rFonts w:ascii="Calibri" w:hAnsi="Calibri" w:cs="TrebuchetMS"/>
          <w:iCs/>
          <w:lang w:val="en-GB"/>
        </w:rPr>
        <w:t xml:space="preserve"> et al. 1995</w:t>
      </w:r>
      <w:r w:rsidR="000F29DC" w:rsidRPr="005635D8">
        <w:rPr>
          <w:rFonts w:ascii="Calibri" w:hAnsi="Calibri" w:cs="TrebuchetMS"/>
          <w:iCs/>
          <w:lang w:val="en-GB"/>
        </w:rPr>
        <w:t>, 19</w:t>
      </w:r>
      <w:r w:rsidR="00B86705" w:rsidRPr="005635D8">
        <w:rPr>
          <w:rFonts w:ascii="Calibri" w:hAnsi="Calibri" w:cs="TrebuchetMS"/>
          <w:iCs/>
          <w:lang w:val="en-GB"/>
        </w:rPr>
        <w:t>7</w:t>
      </w:r>
      <w:r w:rsidR="00FC6293" w:rsidRPr="005635D8">
        <w:rPr>
          <w:rFonts w:ascii="Calibri" w:hAnsi="Calibri" w:cs="TrebuchetMS"/>
          <w:iCs/>
          <w:lang w:val="en-GB"/>
        </w:rPr>
        <w:t>)</w:t>
      </w:r>
      <w:r w:rsidRPr="005635D8">
        <w:rPr>
          <w:rFonts w:ascii="Calibri" w:hAnsi="Calibri" w:cs="TrebuchetMS"/>
          <w:iCs/>
          <w:lang w:val="en-GB"/>
        </w:rPr>
        <w:t>.</w:t>
      </w:r>
      <w:r w:rsidR="00FC6293" w:rsidRPr="005635D8">
        <w:rPr>
          <w:rFonts w:ascii="Calibri" w:hAnsi="Calibri" w:cs="TrebuchetMS"/>
          <w:iCs/>
          <w:lang w:val="en-GB"/>
        </w:rPr>
        <w:t xml:space="preserve"> </w:t>
      </w:r>
      <w:r w:rsidR="000F29DC" w:rsidRPr="005635D8">
        <w:rPr>
          <w:rFonts w:ascii="Calibri" w:hAnsi="Calibri" w:cs="TrebuchetMS"/>
          <w:iCs/>
          <w:lang w:val="en-GB"/>
        </w:rPr>
        <w:t xml:space="preserve">It is then </w:t>
      </w:r>
      <w:r w:rsidR="00FC6293" w:rsidRPr="005635D8">
        <w:rPr>
          <w:rFonts w:ascii="Calibri" w:hAnsi="Calibri" w:cs="TrebuchetMS"/>
          <w:iCs/>
          <w:lang w:val="en-GB"/>
        </w:rPr>
        <w:t>stated that the next formula for estimating the nondiscre</w:t>
      </w:r>
      <w:r w:rsidRPr="005635D8">
        <w:rPr>
          <w:rFonts w:ascii="Calibri" w:hAnsi="Calibri" w:cs="TrebuchetMS"/>
          <w:iCs/>
          <w:lang w:val="en-GB"/>
        </w:rPr>
        <w:t>tionary accruals can be derived:</w:t>
      </w:r>
    </w:p>
    <w:p w:rsidR="00FC6293" w:rsidRPr="005635D8" w:rsidRDefault="00FC6293" w:rsidP="000F29DC">
      <w:pPr>
        <w:spacing w:line="360" w:lineRule="auto"/>
        <w:ind w:firstLine="567"/>
        <w:jc w:val="both"/>
        <w:rPr>
          <w:rFonts w:ascii="Calibri" w:hAnsi="Calibri"/>
          <w:lang w:val="en-GB"/>
        </w:rPr>
      </w:pPr>
      <w:r w:rsidRPr="005635D8">
        <w:rPr>
          <w:rFonts w:ascii="Calibri" w:hAnsi="Calibri"/>
          <w:noProof/>
          <w:lang w:val="en-US"/>
        </w:rPr>
        <w:drawing>
          <wp:inline distT="0" distB="0" distL="0" distR="0">
            <wp:extent cx="1619250" cy="771525"/>
            <wp:effectExtent l="0" t="0" r="0" b="9525"/>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19250" cy="771525"/>
                    </a:xfrm>
                    <a:prstGeom prst="rect">
                      <a:avLst/>
                    </a:prstGeom>
                    <a:noFill/>
                    <a:ln>
                      <a:noFill/>
                    </a:ln>
                  </pic:spPr>
                </pic:pic>
              </a:graphicData>
            </a:graphic>
          </wp:inline>
        </w:drawing>
      </w:r>
    </w:p>
    <w:p w:rsidR="00061A64" w:rsidRPr="005635D8" w:rsidRDefault="00FC6293" w:rsidP="00061A64">
      <w:pPr>
        <w:rPr>
          <w:rFonts w:ascii="Calibri" w:hAnsi="Calibri"/>
          <w:lang w:val="en-GB"/>
        </w:rPr>
      </w:pPr>
      <w:r w:rsidRPr="005635D8">
        <w:rPr>
          <w:rFonts w:ascii="Calibri" w:hAnsi="Calibri"/>
          <w:noProof/>
          <w:lang w:val="en-US"/>
        </w:rPr>
        <w:drawing>
          <wp:inline distT="0" distB="0" distL="0" distR="0">
            <wp:extent cx="4476750" cy="1381125"/>
            <wp:effectExtent l="0" t="0" r="0" b="9525"/>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76750" cy="1381125"/>
                    </a:xfrm>
                    <a:prstGeom prst="rect">
                      <a:avLst/>
                    </a:prstGeom>
                    <a:noFill/>
                    <a:ln>
                      <a:noFill/>
                    </a:ln>
                  </pic:spPr>
                </pic:pic>
              </a:graphicData>
            </a:graphic>
          </wp:inline>
        </w:drawing>
      </w:r>
    </w:p>
    <w:p w:rsidR="005A5964" w:rsidRPr="005635D8" w:rsidRDefault="005A5964" w:rsidP="00061A64">
      <w:pPr>
        <w:pStyle w:val="Caption"/>
        <w:rPr>
          <w:rFonts w:ascii="Calibri" w:eastAsia="PMingLiU" w:hAnsi="Calibri"/>
          <w:sz w:val="22"/>
          <w:szCs w:val="22"/>
          <w:lang w:val="en-GB" w:eastAsia="zh-TW"/>
        </w:rPr>
      </w:pPr>
    </w:p>
    <w:p w:rsidR="005A5964" w:rsidRPr="005635D8" w:rsidRDefault="005A5964" w:rsidP="00061A64">
      <w:pPr>
        <w:pStyle w:val="Caption"/>
        <w:rPr>
          <w:rFonts w:ascii="Calibri" w:eastAsia="PMingLiU" w:hAnsi="Calibri"/>
          <w:sz w:val="28"/>
          <w:szCs w:val="28"/>
          <w:lang w:val="en-GB" w:eastAsia="zh-TW"/>
        </w:rPr>
      </w:pPr>
    </w:p>
    <w:p w:rsidR="00012087" w:rsidRPr="005635D8" w:rsidRDefault="00923DD9" w:rsidP="001E4C5D">
      <w:pPr>
        <w:pStyle w:val="Heading3"/>
        <w:rPr>
          <w:lang w:val="en-GB"/>
        </w:rPr>
      </w:pPr>
      <w:bookmarkStart w:id="49" w:name="_Toc362267282"/>
      <w:r w:rsidRPr="005635D8">
        <w:rPr>
          <w:lang w:val="en-GB"/>
        </w:rPr>
        <w:t>5</w:t>
      </w:r>
      <w:r w:rsidR="00EF5958" w:rsidRPr="005635D8">
        <w:rPr>
          <w:lang w:val="en-GB"/>
        </w:rPr>
        <w:t xml:space="preserve">.5 </w:t>
      </w:r>
      <w:r w:rsidR="00012087" w:rsidRPr="005635D8">
        <w:rPr>
          <w:lang w:val="en-GB"/>
        </w:rPr>
        <w:t>DeAngelo model</w:t>
      </w:r>
      <w:bookmarkEnd w:id="46"/>
      <w:bookmarkEnd w:id="49"/>
    </w:p>
    <w:p w:rsidR="00AD5B91" w:rsidRPr="005635D8" w:rsidRDefault="00F41D2A" w:rsidP="005A5964">
      <w:pPr>
        <w:autoSpaceDE w:val="0"/>
        <w:autoSpaceDN w:val="0"/>
        <w:adjustRightInd w:val="0"/>
        <w:spacing w:after="0"/>
        <w:jc w:val="both"/>
        <w:rPr>
          <w:rFonts w:ascii="Calibri" w:hAnsi="Calibri" w:cs="TrebuchetMS"/>
          <w:iCs/>
          <w:lang w:val="en-GB"/>
        </w:rPr>
      </w:pPr>
      <w:r w:rsidRPr="005635D8">
        <w:rPr>
          <w:rFonts w:ascii="Calibri" w:hAnsi="Calibri" w:cs="TrebuchetMS"/>
          <w:iCs/>
          <w:lang w:val="en-GB"/>
        </w:rPr>
        <w:t xml:space="preserve">The DeAngelo </w:t>
      </w:r>
      <w:r w:rsidR="00B86705" w:rsidRPr="005635D8">
        <w:rPr>
          <w:rFonts w:ascii="Calibri" w:hAnsi="Calibri" w:cs="TrebuchetMS"/>
          <w:iCs/>
          <w:lang w:val="en-GB"/>
        </w:rPr>
        <w:t xml:space="preserve">(1986) </w:t>
      </w:r>
      <w:r w:rsidRPr="005635D8">
        <w:rPr>
          <w:rFonts w:ascii="Calibri" w:hAnsi="Calibri" w:cs="TrebuchetMS"/>
          <w:iCs/>
          <w:lang w:val="en-GB"/>
        </w:rPr>
        <w:t>model is just a special case of the Healy Model, in which the estimation period for nondiscretionary accrual is restricted to the previous year’s observation</w:t>
      </w:r>
      <w:r w:rsidR="000A0C89" w:rsidRPr="005635D8">
        <w:rPr>
          <w:rFonts w:ascii="Calibri" w:hAnsi="Calibri" w:cs="TrebuchetMS"/>
          <w:iCs/>
          <w:lang w:val="en-GB"/>
        </w:rPr>
        <w:t xml:space="preserve"> and not, as in the Healy Model to the average of the years in the estimation period</w:t>
      </w:r>
      <w:r w:rsidR="00B86705" w:rsidRPr="005635D8">
        <w:rPr>
          <w:rFonts w:ascii="Calibri" w:hAnsi="Calibri" w:cs="TrebuchetMS"/>
          <w:iCs/>
          <w:lang w:val="en-GB"/>
        </w:rPr>
        <w:t xml:space="preserve"> (Dechow et al. 1995, 198). Both models use total accruals from the estimation period to proxy for non</w:t>
      </w:r>
      <w:r w:rsidR="00EF5958" w:rsidRPr="005635D8">
        <w:rPr>
          <w:rFonts w:ascii="Calibri" w:hAnsi="Calibri" w:cs="TrebuchetMS"/>
          <w:iCs/>
          <w:lang w:val="en-GB"/>
        </w:rPr>
        <w:t>-</w:t>
      </w:r>
      <w:r w:rsidR="00B86705" w:rsidRPr="005635D8">
        <w:rPr>
          <w:rFonts w:ascii="Calibri" w:hAnsi="Calibri" w:cs="TrebuchetMS"/>
          <w:iCs/>
          <w:lang w:val="en-GB"/>
        </w:rPr>
        <w:t xml:space="preserve">discretionary accruals. </w:t>
      </w:r>
      <w:r w:rsidR="00323D4C" w:rsidRPr="005635D8">
        <w:rPr>
          <w:rFonts w:ascii="Calibri" w:hAnsi="Calibri" w:cs="TrebuchetMS"/>
          <w:iCs/>
          <w:lang w:val="en-GB"/>
        </w:rPr>
        <w:t>In addition</w:t>
      </w:r>
      <w:r w:rsidR="00B86705" w:rsidRPr="005635D8">
        <w:rPr>
          <w:rFonts w:ascii="Calibri" w:hAnsi="Calibri" w:cs="TrebuchetMS"/>
          <w:iCs/>
          <w:lang w:val="en-GB"/>
        </w:rPr>
        <w:t xml:space="preserve"> both models assume that nondiscretionary accruals are constant over time and </w:t>
      </w:r>
      <w:r w:rsidR="003D0453" w:rsidRPr="005635D8">
        <w:rPr>
          <w:rFonts w:ascii="Calibri" w:hAnsi="Calibri" w:cs="TrebuchetMS"/>
          <w:iCs/>
          <w:lang w:val="en-GB"/>
        </w:rPr>
        <w:t xml:space="preserve">discretionary accruals have a mean of zero in the estimation period. </w:t>
      </w:r>
      <w:r w:rsidR="00061A64" w:rsidRPr="005635D8">
        <w:rPr>
          <w:rFonts w:ascii="Calibri" w:hAnsi="Calibri" w:cs="TrebuchetMS"/>
          <w:iCs/>
          <w:lang w:val="en-GB"/>
        </w:rPr>
        <w:t>The supposed difference between the models has to do with the nature of the time-series process generating non</w:t>
      </w:r>
      <w:r w:rsidR="00EF5958" w:rsidRPr="005635D8">
        <w:rPr>
          <w:rFonts w:ascii="Calibri" w:hAnsi="Calibri" w:cs="TrebuchetMS"/>
          <w:iCs/>
          <w:lang w:val="en-GB"/>
        </w:rPr>
        <w:t>-</w:t>
      </w:r>
      <w:r w:rsidR="00061A64" w:rsidRPr="005635D8">
        <w:rPr>
          <w:rFonts w:ascii="Calibri" w:hAnsi="Calibri" w:cs="TrebuchetMS"/>
          <w:iCs/>
          <w:lang w:val="en-GB"/>
        </w:rPr>
        <w:t>discretionary accruals. The DeAngelo model is supposed to be a better model when non</w:t>
      </w:r>
      <w:r w:rsidR="00EF5958" w:rsidRPr="005635D8">
        <w:rPr>
          <w:rFonts w:ascii="Calibri" w:hAnsi="Calibri" w:cs="TrebuchetMS"/>
          <w:iCs/>
          <w:lang w:val="en-GB"/>
        </w:rPr>
        <w:t>-</w:t>
      </w:r>
      <w:r w:rsidR="00061A64" w:rsidRPr="005635D8">
        <w:rPr>
          <w:rFonts w:ascii="Calibri" w:hAnsi="Calibri" w:cs="TrebuchetMS"/>
          <w:iCs/>
          <w:lang w:val="en-GB"/>
        </w:rPr>
        <w:t>discretionary accruals follow a random walk instead of following a white noise process around a constant mean</w:t>
      </w:r>
      <w:r w:rsidR="00EF5958" w:rsidRPr="005635D8">
        <w:rPr>
          <w:rFonts w:ascii="Calibri" w:hAnsi="Calibri" w:cs="TrebuchetMS"/>
          <w:iCs/>
          <w:lang w:val="en-GB"/>
        </w:rPr>
        <w:t>,</w:t>
      </w:r>
      <w:r w:rsidR="00061A64" w:rsidRPr="005635D8">
        <w:rPr>
          <w:rFonts w:ascii="Calibri" w:hAnsi="Calibri" w:cs="TrebuchetMS"/>
          <w:iCs/>
          <w:lang w:val="en-GB"/>
        </w:rPr>
        <w:t xml:space="preserve"> as is the case in the Healy model. </w:t>
      </w:r>
      <w:r w:rsidR="00AD5B91" w:rsidRPr="005635D8">
        <w:rPr>
          <w:rFonts w:ascii="Calibri" w:hAnsi="Calibri" w:cs="TrebuchetMS"/>
          <w:iCs/>
          <w:lang w:val="en-GB"/>
        </w:rPr>
        <w:t>The DeAngelo (1986) Model uses the last period’s total accruals (TAt - 1) scaled by</w:t>
      </w:r>
      <w:r w:rsidR="00061A64" w:rsidRPr="005635D8">
        <w:rPr>
          <w:rFonts w:ascii="Calibri" w:hAnsi="Calibri" w:cs="TrebuchetMS"/>
          <w:iCs/>
          <w:lang w:val="en-GB"/>
        </w:rPr>
        <w:t xml:space="preserve"> </w:t>
      </w:r>
      <w:r w:rsidR="00AD5B91" w:rsidRPr="005635D8">
        <w:rPr>
          <w:rFonts w:ascii="Calibri" w:hAnsi="Calibri" w:cs="TrebuchetMS"/>
          <w:iCs/>
          <w:lang w:val="en-GB"/>
        </w:rPr>
        <w:t>lagged total assets (At-2) as the measure of non</w:t>
      </w:r>
      <w:r w:rsidR="00EF5958" w:rsidRPr="005635D8">
        <w:rPr>
          <w:rFonts w:ascii="Calibri" w:hAnsi="Calibri" w:cs="TrebuchetMS"/>
          <w:iCs/>
          <w:lang w:val="en-GB"/>
        </w:rPr>
        <w:t>-</w:t>
      </w:r>
      <w:r w:rsidR="00AD5B91" w:rsidRPr="005635D8">
        <w:rPr>
          <w:rFonts w:ascii="Calibri" w:hAnsi="Calibri" w:cs="TrebuchetMS"/>
          <w:iCs/>
          <w:lang w:val="en-GB"/>
        </w:rPr>
        <w:t>discretionary accruals</w:t>
      </w:r>
      <w:r w:rsidR="00CA778C" w:rsidRPr="005635D8">
        <w:rPr>
          <w:rFonts w:ascii="Calibri" w:hAnsi="Calibri" w:cs="TrebuchetMS"/>
          <w:iCs/>
          <w:lang w:val="en-GB"/>
        </w:rPr>
        <w:t>. The discretionary portion of accruals is the difference between total accruals in the event year t scaled by At-1 and NDAt</w:t>
      </w:r>
      <w:r w:rsidR="000A0C89" w:rsidRPr="005635D8">
        <w:rPr>
          <w:rFonts w:ascii="Calibri" w:hAnsi="Calibri" w:cs="TrebuchetMS"/>
          <w:iCs/>
          <w:lang w:val="en-GB"/>
        </w:rPr>
        <w:t xml:space="preserve"> (Bartov et al. 2000)</w:t>
      </w:r>
      <w:r w:rsidR="00AD5B91" w:rsidRPr="005635D8">
        <w:rPr>
          <w:rFonts w:ascii="Calibri" w:hAnsi="Calibri" w:cs="TrebuchetMS"/>
          <w:iCs/>
          <w:lang w:val="en-GB"/>
        </w:rPr>
        <w:t xml:space="preserve">. </w:t>
      </w:r>
      <w:r w:rsidR="00C456CE" w:rsidRPr="005635D8">
        <w:rPr>
          <w:rFonts w:ascii="Calibri" w:hAnsi="Calibri" w:cs="TrebuchetMS"/>
          <w:iCs/>
          <w:lang w:val="en-GB"/>
        </w:rPr>
        <w:t>Consequently</w:t>
      </w:r>
      <w:r w:rsidR="00AD5B91" w:rsidRPr="005635D8">
        <w:rPr>
          <w:rFonts w:ascii="Calibri" w:hAnsi="Calibri" w:cs="TrebuchetMS"/>
          <w:iCs/>
          <w:lang w:val="en-GB"/>
        </w:rPr>
        <w:t>, the model for</w:t>
      </w:r>
      <w:r w:rsidR="00061A64" w:rsidRPr="005635D8">
        <w:rPr>
          <w:rFonts w:ascii="Calibri" w:hAnsi="Calibri" w:cs="TrebuchetMS"/>
          <w:iCs/>
          <w:lang w:val="en-GB"/>
        </w:rPr>
        <w:t xml:space="preserve"> </w:t>
      </w:r>
      <w:r w:rsidR="00AD5B91" w:rsidRPr="005635D8">
        <w:rPr>
          <w:rFonts w:ascii="Calibri" w:hAnsi="Calibri" w:cs="TrebuchetMS"/>
          <w:iCs/>
          <w:lang w:val="en-GB"/>
        </w:rPr>
        <w:t>non</w:t>
      </w:r>
      <w:r w:rsidR="00EF5958" w:rsidRPr="005635D8">
        <w:rPr>
          <w:rFonts w:ascii="Calibri" w:hAnsi="Calibri" w:cs="TrebuchetMS"/>
          <w:iCs/>
          <w:lang w:val="en-GB"/>
        </w:rPr>
        <w:t>-</w:t>
      </w:r>
      <w:r w:rsidR="00AD5B91" w:rsidRPr="005635D8">
        <w:rPr>
          <w:rFonts w:ascii="Calibri" w:hAnsi="Calibri" w:cs="TrebuchetMS"/>
          <w:iCs/>
          <w:lang w:val="en-GB"/>
        </w:rPr>
        <w:t>discretionary accruals (NDAt) is:</w:t>
      </w:r>
    </w:p>
    <w:p w:rsidR="00AD5B91" w:rsidRPr="005635D8" w:rsidRDefault="00AD5B91" w:rsidP="00AD5B91">
      <w:pPr>
        <w:autoSpaceDE w:val="0"/>
        <w:autoSpaceDN w:val="0"/>
        <w:adjustRightInd w:val="0"/>
        <w:spacing w:after="0" w:line="240" w:lineRule="auto"/>
        <w:rPr>
          <w:rFonts w:ascii="Calibri" w:hAnsi="Calibri" w:cs="TimesNewRomanPSMT"/>
          <w:lang w:val="en-GB"/>
        </w:rPr>
      </w:pPr>
    </w:p>
    <w:p w:rsidR="00061A64" w:rsidRPr="005635D8" w:rsidRDefault="00061A64" w:rsidP="00AD5B91">
      <w:pPr>
        <w:autoSpaceDE w:val="0"/>
        <w:autoSpaceDN w:val="0"/>
        <w:adjustRightInd w:val="0"/>
        <w:spacing w:after="0" w:line="240" w:lineRule="auto"/>
        <w:rPr>
          <w:rFonts w:ascii="Calibri" w:hAnsi="Calibri" w:cs="TimesNewRomanPSMT"/>
          <w:lang w:val="en-GB"/>
        </w:rPr>
      </w:pPr>
      <w:r w:rsidRPr="005635D8">
        <w:rPr>
          <w:rFonts w:ascii="Calibri" w:hAnsi="Calibri"/>
          <w:noProof/>
          <w:highlight w:val="cyan"/>
          <w:lang w:val="en-US"/>
        </w:rPr>
        <w:drawing>
          <wp:inline distT="0" distB="0" distL="0" distR="0">
            <wp:extent cx="1219200" cy="381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9200" cy="381000"/>
                    </a:xfrm>
                    <a:prstGeom prst="rect">
                      <a:avLst/>
                    </a:prstGeom>
                    <a:noFill/>
                    <a:ln>
                      <a:noFill/>
                    </a:ln>
                  </pic:spPr>
                </pic:pic>
              </a:graphicData>
            </a:graphic>
          </wp:inline>
        </w:drawing>
      </w:r>
    </w:p>
    <w:p w:rsidR="00CA778C" w:rsidRPr="005635D8" w:rsidRDefault="00CA778C" w:rsidP="00AD5B91">
      <w:pPr>
        <w:autoSpaceDE w:val="0"/>
        <w:autoSpaceDN w:val="0"/>
        <w:adjustRightInd w:val="0"/>
        <w:spacing w:after="0" w:line="240" w:lineRule="auto"/>
        <w:rPr>
          <w:rFonts w:ascii="Calibri" w:hAnsi="Calibri" w:cs="TimesNewRomanPSMT"/>
          <w:lang w:val="en-GB"/>
        </w:rPr>
      </w:pPr>
    </w:p>
    <w:p w:rsidR="00061A64" w:rsidRPr="005635D8" w:rsidRDefault="00061A64" w:rsidP="00AD5B91">
      <w:pPr>
        <w:autoSpaceDE w:val="0"/>
        <w:autoSpaceDN w:val="0"/>
        <w:adjustRightInd w:val="0"/>
        <w:spacing w:after="0" w:line="240" w:lineRule="auto"/>
        <w:rPr>
          <w:rFonts w:ascii="Calibri" w:hAnsi="Calibri" w:cs="TimesNewRomanPSMT"/>
          <w:lang w:val="en-GB"/>
        </w:rPr>
      </w:pPr>
      <w:r w:rsidRPr="005635D8">
        <w:rPr>
          <w:rFonts w:ascii="Calibri" w:hAnsi="Calibri"/>
          <w:noProof/>
          <w:highlight w:val="cyan"/>
          <w:lang w:val="en-US"/>
        </w:rPr>
        <w:drawing>
          <wp:inline distT="0" distB="0" distL="0" distR="0">
            <wp:extent cx="4305300" cy="1257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05300" cy="1257300"/>
                    </a:xfrm>
                    <a:prstGeom prst="rect">
                      <a:avLst/>
                    </a:prstGeom>
                    <a:noFill/>
                    <a:ln>
                      <a:noFill/>
                    </a:ln>
                  </pic:spPr>
                </pic:pic>
              </a:graphicData>
            </a:graphic>
          </wp:inline>
        </w:drawing>
      </w:r>
    </w:p>
    <w:p w:rsidR="003D0453" w:rsidRPr="005635D8" w:rsidRDefault="003D0453" w:rsidP="00AD5B91">
      <w:pPr>
        <w:autoSpaceDE w:val="0"/>
        <w:autoSpaceDN w:val="0"/>
        <w:adjustRightInd w:val="0"/>
        <w:spacing w:after="0" w:line="240" w:lineRule="auto"/>
        <w:rPr>
          <w:rFonts w:ascii="Calibri" w:hAnsi="Calibri" w:cs="TimesNewRomanPSMT"/>
          <w:lang w:val="en-GB"/>
        </w:rPr>
      </w:pPr>
    </w:p>
    <w:p w:rsidR="00916616" w:rsidRPr="005635D8" w:rsidRDefault="00916616" w:rsidP="00AD5B91">
      <w:pPr>
        <w:autoSpaceDE w:val="0"/>
        <w:autoSpaceDN w:val="0"/>
        <w:adjustRightInd w:val="0"/>
        <w:spacing w:after="0" w:line="240" w:lineRule="auto"/>
        <w:rPr>
          <w:rFonts w:ascii="Calibri" w:hAnsi="Calibri" w:cs="TrebuchetMS"/>
          <w:iCs/>
          <w:lang w:val="en-GB"/>
        </w:rPr>
      </w:pPr>
    </w:p>
    <w:p w:rsidR="00624F80" w:rsidRPr="005635D8" w:rsidRDefault="000A0C89" w:rsidP="00624F80">
      <w:pPr>
        <w:jc w:val="both"/>
        <w:rPr>
          <w:rFonts w:ascii="Calibri" w:hAnsi="Calibri"/>
          <w:lang w:val="en-GB"/>
        </w:rPr>
      </w:pPr>
      <w:r w:rsidRPr="005635D8">
        <w:rPr>
          <w:rFonts w:ascii="Calibri" w:hAnsi="Calibri" w:cs="TrebuchetMS"/>
          <w:iCs/>
          <w:lang w:val="en-GB"/>
        </w:rPr>
        <w:t xml:space="preserve">Both the Healy Model as the </w:t>
      </w:r>
      <w:r w:rsidR="00F50068" w:rsidRPr="005635D8">
        <w:rPr>
          <w:rFonts w:ascii="Calibri" w:hAnsi="Calibri" w:cs="TrebuchetMS"/>
          <w:iCs/>
          <w:lang w:val="en-GB"/>
        </w:rPr>
        <w:t>DeAngelo model only measure non</w:t>
      </w:r>
      <w:r w:rsidR="00EF5958" w:rsidRPr="005635D8">
        <w:rPr>
          <w:rFonts w:ascii="Calibri" w:hAnsi="Calibri" w:cs="TrebuchetMS"/>
          <w:iCs/>
          <w:lang w:val="en-GB"/>
        </w:rPr>
        <w:t>-</w:t>
      </w:r>
      <w:r w:rsidRPr="005635D8">
        <w:rPr>
          <w:rFonts w:ascii="Calibri" w:hAnsi="Calibri" w:cs="TrebuchetMS"/>
          <w:iCs/>
          <w:lang w:val="en-GB"/>
        </w:rPr>
        <w:t xml:space="preserve">discretionary accruals without error if the assumptions hold that </w:t>
      </w:r>
      <w:r w:rsidR="00916616" w:rsidRPr="005635D8">
        <w:rPr>
          <w:rFonts w:ascii="Calibri" w:hAnsi="Calibri" w:cs="TrebuchetMS"/>
          <w:iCs/>
          <w:lang w:val="en-GB"/>
        </w:rPr>
        <w:t>non</w:t>
      </w:r>
      <w:r w:rsidR="00EF5958" w:rsidRPr="005635D8">
        <w:rPr>
          <w:rFonts w:ascii="Calibri" w:hAnsi="Calibri" w:cs="TrebuchetMS"/>
          <w:iCs/>
          <w:lang w:val="en-GB"/>
        </w:rPr>
        <w:t>-</w:t>
      </w:r>
      <w:r w:rsidR="00916616" w:rsidRPr="005635D8">
        <w:rPr>
          <w:rFonts w:ascii="Calibri" w:hAnsi="Calibri" w:cs="TrebuchetMS"/>
          <w:iCs/>
          <w:lang w:val="en-GB"/>
        </w:rPr>
        <w:t>discretionary accruals are constant over time and discretionary accruals have a mean o</w:t>
      </w:r>
      <w:r w:rsidR="00F50068" w:rsidRPr="005635D8">
        <w:rPr>
          <w:rFonts w:ascii="Calibri" w:hAnsi="Calibri" w:cs="TrebuchetMS"/>
          <w:iCs/>
          <w:lang w:val="en-GB"/>
        </w:rPr>
        <w:t>f zero in the estimation period. This can both lead to considerable errors in measurement if t</w:t>
      </w:r>
      <w:r w:rsidR="00624F80" w:rsidRPr="005635D8">
        <w:rPr>
          <w:rFonts w:ascii="Calibri" w:hAnsi="Calibri" w:cs="TrebuchetMS"/>
          <w:iCs/>
          <w:lang w:val="en-GB"/>
        </w:rPr>
        <w:t>hese assumptions do not hold (B</w:t>
      </w:r>
      <w:r w:rsidR="00624F80" w:rsidRPr="005635D8">
        <w:rPr>
          <w:rFonts w:ascii="Calibri" w:hAnsi="Calibri"/>
          <w:lang w:val="en-GB"/>
        </w:rPr>
        <w:t>ö</w:t>
      </w:r>
      <w:r w:rsidR="00F50068" w:rsidRPr="005635D8">
        <w:rPr>
          <w:rFonts w:ascii="Calibri" w:hAnsi="Calibri" w:cs="TrebuchetMS"/>
          <w:iCs/>
          <w:lang w:val="en-GB"/>
        </w:rPr>
        <w:t>cking et al. 2012, 14). It was often argued that it is unlikely that the argument that non</w:t>
      </w:r>
      <w:r w:rsidR="00EF5958" w:rsidRPr="005635D8">
        <w:rPr>
          <w:rFonts w:ascii="Calibri" w:hAnsi="Calibri" w:cs="TrebuchetMS"/>
          <w:iCs/>
          <w:lang w:val="en-GB"/>
        </w:rPr>
        <w:t>-</w:t>
      </w:r>
      <w:r w:rsidR="00F50068" w:rsidRPr="005635D8">
        <w:rPr>
          <w:rFonts w:ascii="Calibri" w:hAnsi="Calibri" w:cs="TrebuchetMS"/>
          <w:iCs/>
          <w:lang w:val="en-GB"/>
        </w:rPr>
        <w:t>discretionary accruals are constant over time is empirically sound. Kaplan (1985) argues that the level of non</w:t>
      </w:r>
      <w:r w:rsidR="00EF5958" w:rsidRPr="005635D8">
        <w:rPr>
          <w:rFonts w:ascii="Calibri" w:hAnsi="Calibri" w:cs="TrebuchetMS"/>
          <w:iCs/>
          <w:lang w:val="en-GB"/>
        </w:rPr>
        <w:t>-</w:t>
      </w:r>
      <w:r w:rsidR="00F50068" w:rsidRPr="005635D8">
        <w:rPr>
          <w:rFonts w:ascii="Calibri" w:hAnsi="Calibri" w:cs="TrebuchetMS"/>
          <w:iCs/>
          <w:lang w:val="en-GB"/>
        </w:rPr>
        <w:t xml:space="preserve">discretionary accruals should change in response to changing economic circumstances. </w:t>
      </w:r>
      <w:r w:rsidR="00CA778C" w:rsidRPr="005635D8">
        <w:rPr>
          <w:rFonts w:ascii="Calibri" w:hAnsi="Calibri" w:cs="TrebuchetMS"/>
          <w:iCs/>
          <w:lang w:val="en-GB"/>
        </w:rPr>
        <w:t xml:space="preserve">Jones (1991) will work this criticism further out and develops a new model. </w:t>
      </w:r>
      <w:r w:rsidR="00F41D2A" w:rsidRPr="005635D8">
        <w:rPr>
          <w:rFonts w:ascii="Calibri" w:hAnsi="Calibri"/>
          <w:lang w:val="en-GB"/>
        </w:rPr>
        <w:t>Another point of criticism besides the simplified assumptions is the disregard of company-specific circumstances like com</w:t>
      </w:r>
      <w:r w:rsidR="00CA778C" w:rsidRPr="005635D8">
        <w:rPr>
          <w:rFonts w:ascii="Calibri" w:hAnsi="Calibri"/>
          <w:lang w:val="en-GB"/>
        </w:rPr>
        <w:t>pany size, cash flows or growth</w:t>
      </w:r>
      <w:r w:rsidR="00F41D2A" w:rsidRPr="005635D8">
        <w:rPr>
          <w:rFonts w:ascii="Calibri" w:hAnsi="Calibri"/>
          <w:lang w:val="en-GB"/>
        </w:rPr>
        <w:t xml:space="preserve"> </w:t>
      </w:r>
      <w:r w:rsidR="00624F80" w:rsidRPr="005635D8">
        <w:rPr>
          <w:rFonts w:ascii="Calibri" w:hAnsi="Calibri"/>
          <w:lang w:val="en-GB"/>
        </w:rPr>
        <w:t>(Bö</w:t>
      </w:r>
      <w:r w:rsidR="00F41D2A" w:rsidRPr="005635D8">
        <w:rPr>
          <w:rFonts w:ascii="Calibri" w:hAnsi="Calibri"/>
          <w:lang w:val="en-GB"/>
        </w:rPr>
        <w:t>cking et al</w:t>
      </w:r>
      <w:r w:rsidR="00F50068" w:rsidRPr="005635D8">
        <w:rPr>
          <w:rFonts w:ascii="Calibri" w:hAnsi="Calibri"/>
          <w:lang w:val="en-GB"/>
        </w:rPr>
        <w:t>.</w:t>
      </w:r>
      <w:r w:rsidR="00F41D2A" w:rsidRPr="005635D8">
        <w:rPr>
          <w:rFonts w:ascii="Calibri" w:hAnsi="Calibri"/>
          <w:lang w:val="en-GB"/>
        </w:rPr>
        <w:t xml:space="preserve"> 2012, 14)</w:t>
      </w:r>
      <w:r w:rsidR="00CA778C" w:rsidRPr="005635D8">
        <w:rPr>
          <w:rFonts w:ascii="Calibri" w:hAnsi="Calibri"/>
          <w:lang w:val="en-GB"/>
        </w:rPr>
        <w:t>.</w:t>
      </w:r>
      <w:bookmarkStart w:id="50" w:name="_Toc277013615"/>
    </w:p>
    <w:p w:rsidR="00624F80" w:rsidRPr="005635D8" w:rsidRDefault="00624F80" w:rsidP="00624F80">
      <w:pPr>
        <w:jc w:val="both"/>
        <w:rPr>
          <w:rFonts w:ascii="Calibri" w:hAnsi="Calibri"/>
          <w:sz w:val="24"/>
          <w:szCs w:val="24"/>
          <w:lang w:val="en-GB"/>
        </w:rPr>
      </w:pPr>
    </w:p>
    <w:p w:rsidR="00624F80" w:rsidRPr="005635D8" w:rsidRDefault="00923DD9" w:rsidP="001E4C5D">
      <w:pPr>
        <w:pStyle w:val="Heading3"/>
        <w:rPr>
          <w:lang w:val="en-GB"/>
        </w:rPr>
      </w:pPr>
      <w:bookmarkStart w:id="51" w:name="_Toc362267283"/>
      <w:r w:rsidRPr="005635D8">
        <w:rPr>
          <w:lang w:val="en-GB"/>
        </w:rPr>
        <w:t>5</w:t>
      </w:r>
      <w:r w:rsidR="00EF5958" w:rsidRPr="005635D8">
        <w:rPr>
          <w:lang w:val="en-GB"/>
        </w:rPr>
        <w:t xml:space="preserve">.6 </w:t>
      </w:r>
      <w:r w:rsidR="00012087" w:rsidRPr="005635D8">
        <w:rPr>
          <w:lang w:val="en-GB"/>
        </w:rPr>
        <w:t>Jones-model</w:t>
      </w:r>
      <w:bookmarkStart w:id="52" w:name="_Toc277013616"/>
      <w:bookmarkEnd w:id="50"/>
      <w:bookmarkEnd w:id="51"/>
    </w:p>
    <w:p w:rsidR="00086D0C" w:rsidRPr="005635D8" w:rsidRDefault="00624F80" w:rsidP="001471B4">
      <w:pPr>
        <w:jc w:val="both"/>
        <w:rPr>
          <w:rFonts w:ascii="Calibri" w:hAnsi="Calibri"/>
          <w:lang w:val="en-GB"/>
        </w:rPr>
      </w:pPr>
      <w:r w:rsidRPr="005635D8">
        <w:rPr>
          <w:rFonts w:ascii="Calibri" w:hAnsi="Calibri"/>
          <w:lang w:val="en-GB"/>
        </w:rPr>
        <w:t xml:space="preserve">Based on the criticism upon the static assumptions of the early models to measure earnings management, </w:t>
      </w:r>
      <w:r w:rsidR="00086D0C" w:rsidRPr="005635D8">
        <w:rPr>
          <w:rFonts w:ascii="Calibri" w:hAnsi="Calibri"/>
          <w:lang w:val="en-GB"/>
        </w:rPr>
        <w:t xml:space="preserve">a number of studies </w:t>
      </w:r>
      <w:r w:rsidRPr="005635D8">
        <w:rPr>
          <w:rFonts w:ascii="Calibri" w:hAnsi="Calibri"/>
          <w:lang w:val="en-GB"/>
        </w:rPr>
        <w:t xml:space="preserve">started to develop regression-based models which encompass the variability of accruals over time. Jones (1991) designed a model that has become </w:t>
      </w:r>
      <w:r w:rsidR="001471B4" w:rsidRPr="005635D8">
        <w:rPr>
          <w:rFonts w:ascii="Calibri" w:hAnsi="Calibri"/>
          <w:lang w:val="en-GB"/>
        </w:rPr>
        <w:t xml:space="preserve">the basis for </w:t>
      </w:r>
      <w:r w:rsidRPr="005635D8">
        <w:rPr>
          <w:rFonts w:ascii="Calibri" w:hAnsi="Calibri"/>
          <w:lang w:val="en-GB"/>
        </w:rPr>
        <w:t xml:space="preserve">one of the most influential models in the earnings management literature. The Jones-Model incorporates the influence of gross property, plant, equipment and the change in revenues on the magnitude of non-discretionary accruals. Doing </w:t>
      </w:r>
      <w:r w:rsidR="00F71079" w:rsidRPr="005635D8">
        <w:rPr>
          <w:rFonts w:ascii="Calibri" w:hAnsi="Calibri"/>
          <w:lang w:val="en-GB"/>
        </w:rPr>
        <w:t>consequently</w:t>
      </w:r>
      <w:r w:rsidR="00E6531D" w:rsidRPr="005635D8">
        <w:rPr>
          <w:rFonts w:ascii="Calibri" w:hAnsi="Calibri"/>
          <w:lang w:val="en-GB"/>
        </w:rPr>
        <w:t>,</w:t>
      </w:r>
      <w:r w:rsidRPr="005635D8">
        <w:rPr>
          <w:rFonts w:ascii="Calibri" w:hAnsi="Calibri"/>
          <w:lang w:val="en-GB"/>
        </w:rPr>
        <w:t xml:space="preserve"> it allows variation of the amount of non</w:t>
      </w:r>
      <w:r w:rsidR="00EF5958" w:rsidRPr="005635D8">
        <w:rPr>
          <w:rFonts w:ascii="Calibri" w:hAnsi="Calibri"/>
          <w:lang w:val="en-GB"/>
        </w:rPr>
        <w:t>-</w:t>
      </w:r>
      <w:r w:rsidRPr="005635D8">
        <w:rPr>
          <w:rFonts w:ascii="Calibri" w:hAnsi="Calibri"/>
          <w:lang w:val="en-GB"/>
        </w:rPr>
        <w:t xml:space="preserve">discretionary accruals in the model. </w:t>
      </w:r>
      <w:r w:rsidR="00086D0C" w:rsidRPr="005635D8">
        <w:rPr>
          <w:rFonts w:ascii="Calibri" w:hAnsi="Calibri"/>
          <w:lang w:val="en-GB"/>
        </w:rPr>
        <w:t xml:space="preserve">The non-discretionary accruals </w:t>
      </w:r>
      <w:r w:rsidR="005E0D99" w:rsidRPr="005635D8">
        <w:rPr>
          <w:rFonts w:ascii="Calibri" w:hAnsi="Calibri"/>
          <w:lang w:val="en-GB"/>
        </w:rPr>
        <w:t>are determined through a regres</w:t>
      </w:r>
      <w:r w:rsidR="00086D0C" w:rsidRPr="005635D8">
        <w:rPr>
          <w:rFonts w:ascii="Calibri" w:hAnsi="Calibri"/>
          <w:lang w:val="en-GB"/>
        </w:rPr>
        <w:t>s</w:t>
      </w:r>
      <w:r w:rsidRPr="005635D8">
        <w:rPr>
          <w:rFonts w:ascii="Calibri" w:hAnsi="Calibri"/>
          <w:lang w:val="en-GB"/>
        </w:rPr>
        <w:t>ion using the time-series model (Bö</w:t>
      </w:r>
      <w:r w:rsidR="00086D0C" w:rsidRPr="005635D8">
        <w:rPr>
          <w:rFonts w:ascii="Calibri" w:hAnsi="Calibri"/>
          <w:lang w:val="en-GB"/>
        </w:rPr>
        <w:t>cking et al 2012, 14)</w:t>
      </w:r>
      <w:r w:rsidRPr="005635D8">
        <w:rPr>
          <w:rFonts w:ascii="Calibri" w:hAnsi="Calibri"/>
          <w:lang w:val="en-GB"/>
        </w:rPr>
        <w:t xml:space="preserve">. </w:t>
      </w:r>
      <w:r w:rsidR="001471B4" w:rsidRPr="005635D8">
        <w:rPr>
          <w:rFonts w:ascii="Calibri" w:hAnsi="Calibri"/>
          <w:lang w:val="en-GB"/>
        </w:rPr>
        <w:t>As reported in Dechow et al. (1995, 198) the Jones model for non</w:t>
      </w:r>
      <w:r w:rsidR="00EF5958" w:rsidRPr="005635D8">
        <w:rPr>
          <w:rFonts w:ascii="Calibri" w:hAnsi="Calibri"/>
          <w:lang w:val="en-GB"/>
        </w:rPr>
        <w:t>-</w:t>
      </w:r>
      <w:r w:rsidR="001471B4" w:rsidRPr="005635D8">
        <w:rPr>
          <w:rFonts w:ascii="Calibri" w:hAnsi="Calibri"/>
          <w:lang w:val="en-GB"/>
        </w:rPr>
        <w:t>discretionary accruals in the event year is:</w:t>
      </w:r>
    </w:p>
    <w:p w:rsidR="001471B4" w:rsidRPr="005635D8" w:rsidRDefault="001471B4" w:rsidP="001471B4">
      <w:pPr>
        <w:spacing w:line="360" w:lineRule="auto"/>
        <w:jc w:val="both"/>
        <w:rPr>
          <w:rFonts w:ascii="Calibri" w:hAnsi="Calibri"/>
          <w:lang w:val="en-GB"/>
        </w:rPr>
      </w:pPr>
    </w:p>
    <w:p w:rsidR="001471B4" w:rsidRPr="005635D8" w:rsidRDefault="001471B4" w:rsidP="001471B4">
      <w:pPr>
        <w:spacing w:line="360" w:lineRule="auto"/>
        <w:ind w:left="1134"/>
        <w:jc w:val="both"/>
        <w:rPr>
          <w:rFonts w:ascii="Calibri" w:hAnsi="Calibri"/>
          <w:lang w:val="en-GB"/>
        </w:rPr>
      </w:pPr>
      <w:r w:rsidRPr="005635D8">
        <w:rPr>
          <w:rFonts w:ascii="Calibri" w:hAnsi="Calibri"/>
          <w:noProof/>
          <w:lang w:val="en-US"/>
        </w:rPr>
        <w:drawing>
          <wp:inline distT="0" distB="0" distL="0" distR="0">
            <wp:extent cx="2924175" cy="5238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24175" cy="523875"/>
                    </a:xfrm>
                    <a:prstGeom prst="rect">
                      <a:avLst/>
                    </a:prstGeom>
                    <a:noFill/>
                    <a:ln>
                      <a:noFill/>
                    </a:ln>
                  </pic:spPr>
                </pic:pic>
              </a:graphicData>
            </a:graphic>
          </wp:inline>
        </w:drawing>
      </w:r>
    </w:p>
    <w:p w:rsidR="001471B4" w:rsidRPr="005635D8" w:rsidRDefault="001471B4" w:rsidP="001471B4">
      <w:pPr>
        <w:spacing w:line="360" w:lineRule="auto"/>
        <w:jc w:val="both"/>
        <w:rPr>
          <w:rFonts w:ascii="Calibri" w:hAnsi="Calibri"/>
          <w:lang w:val="en-GB"/>
        </w:rPr>
      </w:pPr>
      <w:r w:rsidRPr="005635D8">
        <w:rPr>
          <w:rFonts w:ascii="Calibri" w:hAnsi="Calibri"/>
          <w:noProof/>
          <w:lang w:val="en-US"/>
        </w:rPr>
        <w:drawing>
          <wp:inline distT="0" distB="0" distL="0" distR="0">
            <wp:extent cx="4819650" cy="11620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19650" cy="1162050"/>
                    </a:xfrm>
                    <a:prstGeom prst="rect">
                      <a:avLst/>
                    </a:prstGeom>
                    <a:noFill/>
                    <a:ln>
                      <a:noFill/>
                    </a:ln>
                  </pic:spPr>
                </pic:pic>
              </a:graphicData>
            </a:graphic>
          </wp:inline>
        </w:drawing>
      </w:r>
    </w:p>
    <w:p w:rsidR="001471B4" w:rsidRPr="005635D8" w:rsidRDefault="001471B4" w:rsidP="001471B4">
      <w:pPr>
        <w:spacing w:line="360" w:lineRule="auto"/>
        <w:jc w:val="both"/>
        <w:rPr>
          <w:rFonts w:ascii="Calibri" w:hAnsi="Calibri"/>
          <w:lang w:val="en-GB"/>
        </w:rPr>
      </w:pPr>
      <w:r w:rsidRPr="005635D8">
        <w:rPr>
          <w:rFonts w:ascii="Calibri" w:hAnsi="Calibri"/>
          <w:lang w:val="en-GB"/>
        </w:rPr>
        <w:t xml:space="preserve">The following formula is used in the estimation period in order to generate the firm-specific parameters: </w:t>
      </w:r>
    </w:p>
    <w:p w:rsidR="001471B4" w:rsidRPr="005635D8" w:rsidRDefault="001471B4" w:rsidP="001471B4">
      <w:pPr>
        <w:spacing w:line="360" w:lineRule="auto"/>
        <w:ind w:left="567" w:firstLine="567"/>
        <w:jc w:val="both"/>
        <w:rPr>
          <w:rFonts w:ascii="Calibri" w:hAnsi="Calibri"/>
          <w:lang w:val="en-GB"/>
        </w:rPr>
      </w:pPr>
      <w:r w:rsidRPr="005635D8">
        <w:rPr>
          <w:rFonts w:ascii="Calibri" w:hAnsi="Calibri"/>
          <w:noProof/>
          <w:lang w:val="en-US"/>
        </w:rPr>
        <w:drawing>
          <wp:inline distT="0" distB="0" distL="0" distR="0">
            <wp:extent cx="2562225" cy="3429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62225" cy="342900"/>
                    </a:xfrm>
                    <a:prstGeom prst="rect">
                      <a:avLst/>
                    </a:prstGeom>
                    <a:noFill/>
                    <a:ln>
                      <a:noFill/>
                    </a:ln>
                  </pic:spPr>
                </pic:pic>
              </a:graphicData>
            </a:graphic>
          </wp:inline>
        </w:drawing>
      </w:r>
    </w:p>
    <w:p w:rsidR="001471B4" w:rsidRPr="005635D8" w:rsidRDefault="001471B4" w:rsidP="001471B4">
      <w:pPr>
        <w:spacing w:line="360" w:lineRule="auto"/>
        <w:jc w:val="both"/>
        <w:rPr>
          <w:rFonts w:ascii="Calibri" w:hAnsi="Calibri"/>
          <w:lang w:val="en-GB"/>
        </w:rPr>
      </w:pPr>
      <w:r w:rsidRPr="005635D8">
        <w:rPr>
          <w:rFonts w:ascii="Calibri" w:hAnsi="Calibri"/>
          <w:noProof/>
          <w:lang w:val="en-US"/>
        </w:rPr>
        <w:drawing>
          <wp:inline distT="0" distB="0" distL="0" distR="0">
            <wp:extent cx="3514725" cy="10858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14725" cy="1085850"/>
                    </a:xfrm>
                    <a:prstGeom prst="rect">
                      <a:avLst/>
                    </a:prstGeom>
                    <a:noFill/>
                    <a:ln>
                      <a:noFill/>
                    </a:ln>
                  </pic:spPr>
                </pic:pic>
              </a:graphicData>
            </a:graphic>
          </wp:inline>
        </w:drawing>
      </w:r>
    </w:p>
    <w:p w:rsidR="00EF5958" w:rsidRPr="005635D8" w:rsidRDefault="001471B4" w:rsidP="0087545A">
      <w:pPr>
        <w:autoSpaceDE w:val="0"/>
        <w:autoSpaceDN w:val="0"/>
        <w:adjustRightInd w:val="0"/>
        <w:spacing w:after="0"/>
        <w:jc w:val="both"/>
        <w:rPr>
          <w:rFonts w:ascii="Calibri" w:hAnsi="Calibri" w:cs="TimesNewRomanPSMT"/>
          <w:lang w:val="en-GB"/>
        </w:rPr>
      </w:pPr>
      <w:r w:rsidRPr="005635D8">
        <w:rPr>
          <w:rFonts w:ascii="Calibri" w:hAnsi="Calibri"/>
          <w:lang w:val="en-GB"/>
        </w:rPr>
        <w:t xml:space="preserve">In this last equation </w:t>
      </w:r>
      <w:r w:rsidR="0044135B" w:rsidRPr="005635D8">
        <w:rPr>
          <w:rFonts w:ascii="Calibri" w:hAnsi="Calibri"/>
          <w:lang w:val="en-GB"/>
        </w:rPr>
        <w:t>v</w:t>
      </w:r>
      <w:r w:rsidR="0044135B" w:rsidRPr="005635D8">
        <w:rPr>
          <w:rFonts w:ascii="Calibri" w:hAnsi="Calibri" w:cs="TimesNewRomanPSMT"/>
          <w:lang w:val="en-GB"/>
        </w:rPr>
        <w:t xml:space="preserve">t </w:t>
      </w:r>
      <w:r w:rsidR="0044135B" w:rsidRPr="005635D8">
        <w:rPr>
          <w:rFonts w:ascii="Calibri" w:hAnsi="Calibri"/>
          <w:lang w:val="en-GB"/>
        </w:rPr>
        <w:t xml:space="preserve">is the </w:t>
      </w:r>
      <w:r w:rsidR="00E6531D" w:rsidRPr="005635D8">
        <w:rPr>
          <w:rFonts w:ascii="Calibri" w:hAnsi="Calibri"/>
          <w:lang w:val="en-GB"/>
        </w:rPr>
        <w:t>residual, which represents the firm-specific discretionary portion</w:t>
      </w:r>
      <w:r w:rsidR="00E6531D" w:rsidRPr="005635D8">
        <w:rPr>
          <w:rFonts w:ascii="Calibri" w:hAnsi="Calibri" w:cs="TimesNewRomanPSMT"/>
          <w:lang w:val="en-GB"/>
        </w:rPr>
        <w:t xml:space="preserve"> </w:t>
      </w:r>
      <w:r w:rsidR="00E6531D" w:rsidRPr="005635D8">
        <w:rPr>
          <w:rFonts w:ascii="Calibri" w:hAnsi="Calibri"/>
          <w:lang w:val="en-GB"/>
        </w:rPr>
        <w:t xml:space="preserve">of total accruals. </w:t>
      </w:r>
      <w:r w:rsidR="00C557F9" w:rsidRPr="005635D8">
        <w:rPr>
          <w:rFonts w:ascii="Calibri" w:hAnsi="Calibri"/>
          <w:lang w:val="en-GB"/>
        </w:rPr>
        <w:t>This model was supposed to be successful at explaining around one quarter of the variance in total accruals (Dechow et al. 1995, 199).</w:t>
      </w:r>
      <w:r w:rsidR="00EA35DC" w:rsidRPr="005635D8">
        <w:rPr>
          <w:rFonts w:ascii="Calibri" w:hAnsi="Calibri"/>
          <w:lang w:val="en-GB"/>
        </w:rPr>
        <w:t xml:space="preserve"> However,</w:t>
      </w:r>
      <w:r w:rsidR="0087545A" w:rsidRPr="005635D8">
        <w:rPr>
          <w:rFonts w:ascii="Calibri" w:hAnsi="Calibri"/>
          <w:lang w:val="en-GB"/>
        </w:rPr>
        <w:t xml:space="preserve"> it is assumed by</w:t>
      </w:r>
      <w:r w:rsidR="00EA35DC" w:rsidRPr="005635D8">
        <w:rPr>
          <w:rFonts w:ascii="Calibri" w:hAnsi="Calibri"/>
          <w:lang w:val="en-GB"/>
        </w:rPr>
        <w:t xml:space="preserve"> the Jones model that revenues are non</w:t>
      </w:r>
      <w:r w:rsidR="00EF5958" w:rsidRPr="005635D8">
        <w:rPr>
          <w:rFonts w:ascii="Calibri" w:hAnsi="Calibri"/>
          <w:lang w:val="en-GB"/>
        </w:rPr>
        <w:t>-</w:t>
      </w:r>
      <w:r w:rsidR="00EA35DC" w:rsidRPr="005635D8">
        <w:rPr>
          <w:rFonts w:ascii="Calibri" w:hAnsi="Calibri"/>
          <w:lang w:val="en-GB"/>
        </w:rPr>
        <w:t>discretionary. But managements have always the opportunities to manage some accruals discretionary. “If earnings are managed through discretionary revenues then the Jones model will not accurately reflect parts of the managed earnings through the discretionary accruals proxy” (1995, 199). There is a tenden</w:t>
      </w:r>
      <w:r w:rsidR="0087545A" w:rsidRPr="005635D8">
        <w:rPr>
          <w:rFonts w:ascii="Calibri" w:hAnsi="Calibri"/>
          <w:lang w:val="en-GB"/>
        </w:rPr>
        <w:t>cy in the Jones model that</w:t>
      </w:r>
      <w:r w:rsidR="00EA35DC" w:rsidRPr="005635D8">
        <w:rPr>
          <w:rFonts w:ascii="Calibri" w:hAnsi="Calibri"/>
          <w:lang w:val="en-GB"/>
        </w:rPr>
        <w:t xml:space="preserve"> discretionary accruals</w:t>
      </w:r>
      <w:r w:rsidR="0087545A" w:rsidRPr="005635D8">
        <w:rPr>
          <w:rFonts w:ascii="Calibri" w:hAnsi="Calibri"/>
          <w:lang w:val="en-GB"/>
        </w:rPr>
        <w:t xml:space="preserve"> are not accurately </w:t>
      </w:r>
      <w:r w:rsidR="00996161" w:rsidRPr="005635D8">
        <w:rPr>
          <w:rFonts w:ascii="Calibri" w:hAnsi="Calibri"/>
          <w:lang w:val="en-GB"/>
        </w:rPr>
        <w:t>measured when</w:t>
      </w:r>
      <w:r w:rsidR="00EA35DC" w:rsidRPr="005635D8">
        <w:rPr>
          <w:rFonts w:ascii="Calibri" w:hAnsi="Calibri"/>
          <w:lang w:val="en-GB"/>
        </w:rPr>
        <w:t xml:space="preserve"> discretion is exercised over revenues recognition (Bartov et al. 2000, 9).</w:t>
      </w:r>
      <w:r w:rsidR="00C557F9" w:rsidRPr="005635D8">
        <w:rPr>
          <w:rFonts w:ascii="Calibri" w:hAnsi="Calibri"/>
          <w:lang w:val="en-GB"/>
        </w:rPr>
        <w:t xml:space="preserve"> </w:t>
      </w:r>
      <w:r w:rsidR="000D440A" w:rsidRPr="005635D8">
        <w:rPr>
          <w:rFonts w:ascii="Calibri" w:hAnsi="Calibri"/>
          <w:lang w:val="en-GB"/>
        </w:rPr>
        <w:t>To overcome this limitation the first Jones’s model was developed further into the modified Jones model</w:t>
      </w:r>
      <w:r w:rsidR="000D440A" w:rsidRPr="005635D8">
        <w:rPr>
          <w:rFonts w:ascii="Calibri" w:hAnsi="Calibri" w:cs="TimesNewRomanPSMT"/>
          <w:lang w:val="en-GB"/>
        </w:rPr>
        <w:t xml:space="preserve">. </w:t>
      </w:r>
      <w:r w:rsidR="00C557F9" w:rsidRPr="005635D8">
        <w:rPr>
          <w:rFonts w:ascii="Calibri" w:hAnsi="Calibri" w:cs="TimesNewRomanPSMT"/>
          <w:lang w:val="en-GB"/>
        </w:rPr>
        <w:t xml:space="preserve"> </w:t>
      </w:r>
    </w:p>
    <w:p w:rsidR="00EF5958" w:rsidRPr="005635D8" w:rsidRDefault="00EF5958" w:rsidP="00EF5958">
      <w:pPr>
        <w:autoSpaceDE w:val="0"/>
        <w:autoSpaceDN w:val="0"/>
        <w:adjustRightInd w:val="0"/>
        <w:spacing w:after="0" w:line="240" w:lineRule="auto"/>
        <w:jc w:val="both"/>
        <w:rPr>
          <w:rFonts w:ascii="Calibri" w:hAnsi="Calibri" w:cs="TimesNewRomanPSMT"/>
          <w:sz w:val="24"/>
          <w:szCs w:val="24"/>
          <w:lang w:val="en-GB"/>
        </w:rPr>
      </w:pPr>
    </w:p>
    <w:p w:rsidR="00012087" w:rsidRPr="005635D8" w:rsidRDefault="00923DD9" w:rsidP="001E4C5D">
      <w:pPr>
        <w:pStyle w:val="Heading3"/>
        <w:rPr>
          <w:lang w:val="en-GB"/>
        </w:rPr>
      </w:pPr>
      <w:bookmarkStart w:id="53" w:name="_Toc362267284"/>
      <w:r w:rsidRPr="005635D8">
        <w:rPr>
          <w:lang w:val="en-GB"/>
        </w:rPr>
        <w:t>5</w:t>
      </w:r>
      <w:r w:rsidR="00EF5958" w:rsidRPr="005635D8">
        <w:rPr>
          <w:lang w:val="en-GB"/>
        </w:rPr>
        <w:t xml:space="preserve">.7 </w:t>
      </w:r>
      <w:r w:rsidR="00012087" w:rsidRPr="005635D8">
        <w:rPr>
          <w:lang w:val="en-GB"/>
        </w:rPr>
        <w:t>Modified Jones model</w:t>
      </w:r>
      <w:bookmarkEnd w:id="52"/>
      <w:bookmarkEnd w:id="53"/>
    </w:p>
    <w:p w:rsidR="007E2665" w:rsidRPr="005635D8" w:rsidRDefault="007E2665" w:rsidP="00A5758B">
      <w:pPr>
        <w:jc w:val="both"/>
        <w:rPr>
          <w:rFonts w:ascii="Calibri" w:hAnsi="Calibri"/>
          <w:lang w:val="en-GB"/>
        </w:rPr>
      </w:pPr>
      <w:r w:rsidRPr="005635D8">
        <w:rPr>
          <w:rFonts w:ascii="Calibri" w:hAnsi="Calibri"/>
          <w:lang w:val="en-GB"/>
        </w:rPr>
        <w:t>Dechow, Sloan and Sweeney (1995</w:t>
      </w:r>
      <w:r w:rsidR="00552269" w:rsidRPr="005635D8">
        <w:rPr>
          <w:rFonts w:ascii="Calibri" w:hAnsi="Calibri"/>
          <w:lang w:val="en-GB"/>
        </w:rPr>
        <w:t>, 199</w:t>
      </w:r>
      <w:r w:rsidRPr="005635D8">
        <w:rPr>
          <w:rFonts w:ascii="Calibri" w:hAnsi="Calibri"/>
          <w:lang w:val="en-GB"/>
        </w:rPr>
        <w:t xml:space="preserve">) developed the modified Jones model in order to overcome the assumptions that all revenues are nondiscretionary. </w:t>
      </w:r>
      <w:r w:rsidR="00552269" w:rsidRPr="005635D8">
        <w:rPr>
          <w:rFonts w:ascii="Calibri" w:hAnsi="Calibri"/>
          <w:lang w:val="en-GB"/>
        </w:rPr>
        <w:t>They clarify that when managers want to adjust their revenue, it is easier to manage the credit sales instead of t</w:t>
      </w:r>
      <w:r w:rsidR="0087545A" w:rsidRPr="005635D8">
        <w:rPr>
          <w:rFonts w:ascii="Calibri" w:hAnsi="Calibri"/>
          <w:lang w:val="en-GB"/>
        </w:rPr>
        <w:t>he cash sales. Consequently, it is assumed by the</w:t>
      </w:r>
      <w:r w:rsidR="00552269" w:rsidRPr="005635D8">
        <w:rPr>
          <w:rFonts w:ascii="Calibri" w:hAnsi="Calibri"/>
          <w:lang w:val="en-GB"/>
        </w:rPr>
        <w:t xml:space="preserve"> Modified J</w:t>
      </w:r>
      <w:r w:rsidR="0087545A" w:rsidRPr="005635D8">
        <w:rPr>
          <w:rFonts w:ascii="Calibri" w:hAnsi="Calibri"/>
          <w:lang w:val="en-GB"/>
        </w:rPr>
        <w:t>ones Model</w:t>
      </w:r>
      <w:r w:rsidR="00552269" w:rsidRPr="005635D8">
        <w:rPr>
          <w:rFonts w:ascii="Calibri" w:hAnsi="Calibri"/>
          <w:lang w:val="en-GB"/>
        </w:rPr>
        <w:t xml:space="preserve"> that all variations in </w:t>
      </w:r>
      <w:r w:rsidR="0087545A" w:rsidRPr="005635D8">
        <w:rPr>
          <w:rFonts w:ascii="Calibri" w:hAnsi="Calibri"/>
          <w:lang w:val="en-GB"/>
        </w:rPr>
        <w:t xml:space="preserve">the variable </w:t>
      </w:r>
      <w:r w:rsidR="00552269" w:rsidRPr="005635D8">
        <w:rPr>
          <w:rFonts w:ascii="Calibri" w:hAnsi="Calibri"/>
          <w:lang w:val="en-GB"/>
        </w:rPr>
        <w:t xml:space="preserve">credit sales are attributable to earnings management. </w:t>
      </w:r>
      <w:r w:rsidRPr="005635D8">
        <w:rPr>
          <w:rFonts w:ascii="Calibri" w:hAnsi="Calibri"/>
          <w:lang w:val="en-GB"/>
        </w:rPr>
        <w:t>The change in receivables is as an independent variable added in the regression.</w:t>
      </w:r>
      <w:r w:rsidR="00C660AF" w:rsidRPr="005635D8">
        <w:rPr>
          <w:rFonts w:ascii="Calibri" w:hAnsi="Calibri"/>
          <w:lang w:val="en-GB"/>
        </w:rPr>
        <w:t xml:space="preserve"> To compute this variable the change in borrowers (</w:t>
      </w:r>
      <w:r w:rsidR="00C660AF" w:rsidRPr="005635D8">
        <w:rPr>
          <w:rFonts w:ascii="Calibri" w:hAnsi="Calibri"/>
          <w:position w:val="-6"/>
          <w:lang w:val="en-GB"/>
        </w:rPr>
        <w:object w:dxaOrig="680" w:dyaOrig="279">
          <v:shape id="_x0000_i1044" type="#_x0000_t75" style="width:34.5pt;height:14.25pt" o:ole="">
            <v:imagedata r:id="rId51" o:title=""/>
          </v:shape>
          <o:OLEObject Type="Embed" ProgID="Equation.3" ShapeID="_x0000_i1044" DrawAspect="Content" ObjectID="_1436010433" r:id="rId52"/>
        </w:object>
      </w:r>
      <w:r w:rsidR="00C660AF" w:rsidRPr="005635D8">
        <w:rPr>
          <w:rFonts w:ascii="Calibri" w:hAnsi="Calibri"/>
          <w:lang w:val="en-GB"/>
        </w:rPr>
        <w:t>) is subtracted from the change in revenues</w:t>
      </w:r>
      <w:r w:rsidR="0087545A" w:rsidRPr="005635D8">
        <w:rPr>
          <w:rFonts w:ascii="Calibri" w:hAnsi="Calibri"/>
          <w:lang w:val="en-GB"/>
        </w:rPr>
        <w:t xml:space="preserve"> </w:t>
      </w:r>
      <w:r w:rsidR="00C660AF" w:rsidRPr="005635D8">
        <w:rPr>
          <w:rFonts w:ascii="Calibri" w:hAnsi="Calibri"/>
          <w:position w:val="-6"/>
          <w:lang w:val="en-GB"/>
        </w:rPr>
        <w:object w:dxaOrig="700" w:dyaOrig="279">
          <v:shape id="_x0000_i1045" type="#_x0000_t75" style="width:35.25pt;height:14.25pt" o:ole="">
            <v:imagedata r:id="rId53" o:title=""/>
          </v:shape>
          <o:OLEObject Type="Embed" ProgID="Equation.3" ShapeID="_x0000_i1045" DrawAspect="Content" ObjectID="_1436010434" r:id="rId54"/>
        </w:object>
      </w:r>
      <w:r w:rsidR="00C660AF" w:rsidRPr="005635D8">
        <w:rPr>
          <w:rFonts w:ascii="Calibri" w:hAnsi="Calibri"/>
          <w:lang w:val="en-GB"/>
        </w:rPr>
        <w:t>.</w:t>
      </w:r>
      <w:r w:rsidR="00552269" w:rsidRPr="005635D8">
        <w:rPr>
          <w:rFonts w:ascii="Calibri" w:hAnsi="Calibri"/>
          <w:lang w:val="en-GB"/>
        </w:rPr>
        <w:t xml:space="preserve"> </w:t>
      </w:r>
      <w:r w:rsidRPr="005635D8">
        <w:rPr>
          <w:rFonts w:ascii="Calibri" w:hAnsi="Calibri"/>
          <w:lang w:val="en-GB"/>
        </w:rPr>
        <w:t xml:space="preserve">“The rationale for this is the expectation that an increase in revenues triggered by earnings management </w:t>
      </w:r>
      <w:r w:rsidR="00323D4C" w:rsidRPr="005635D8">
        <w:rPr>
          <w:rFonts w:ascii="Calibri" w:hAnsi="Calibri"/>
          <w:lang w:val="en-GB"/>
        </w:rPr>
        <w:t>in addition</w:t>
      </w:r>
      <w:r w:rsidRPr="005635D8">
        <w:rPr>
          <w:rFonts w:ascii="Calibri" w:hAnsi="Calibri"/>
          <w:lang w:val="en-GB"/>
        </w:rPr>
        <w:t xml:space="preserve"> increases the amount of receivables outstanding” (Bocking 2012, 14</w:t>
      </w:r>
      <w:r w:rsidR="00C660AF" w:rsidRPr="005635D8">
        <w:rPr>
          <w:rFonts w:ascii="Calibri" w:hAnsi="Calibri"/>
          <w:lang w:val="en-GB"/>
        </w:rPr>
        <w:t xml:space="preserve">). </w:t>
      </w:r>
      <w:r w:rsidR="008F02A7" w:rsidRPr="005635D8">
        <w:rPr>
          <w:rFonts w:ascii="Calibri" w:hAnsi="Calibri"/>
          <w:lang w:val="en-GB"/>
        </w:rPr>
        <w:t>First, total accruals will be measured using the familiar formula. Then, n</w:t>
      </w:r>
      <w:r w:rsidRPr="005635D8">
        <w:rPr>
          <w:rFonts w:ascii="Calibri" w:hAnsi="Calibri"/>
          <w:lang w:val="en-GB"/>
        </w:rPr>
        <w:t>ondiscretionary accruals are measured during the event period as:</w:t>
      </w:r>
      <w:r w:rsidR="00A5758B" w:rsidRPr="005635D8">
        <w:rPr>
          <w:rStyle w:val="CommentReference"/>
          <w:sz w:val="22"/>
          <w:szCs w:val="22"/>
          <w:lang w:val="en-GB"/>
        </w:rPr>
        <w:t xml:space="preserve"> </w:t>
      </w:r>
    </w:p>
    <w:p w:rsidR="007E2665" w:rsidRPr="005635D8" w:rsidRDefault="007E2665" w:rsidP="007E2665">
      <w:pPr>
        <w:spacing w:line="360" w:lineRule="auto"/>
        <w:jc w:val="both"/>
        <w:rPr>
          <w:rFonts w:ascii="Calibri" w:hAnsi="Calibri"/>
          <w:lang w:val="en-GB"/>
        </w:rPr>
      </w:pPr>
    </w:p>
    <w:p w:rsidR="007E2665" w:rsidRPr="005635D8" w:rsidRDefault="007E2665" w:rsidP="00C660AF">
      <w:pPr>
        <w:spacing w:line="360" w:lineRule="auto"/>
        <w:ind w:left="567" w:firstLine="567"/>
        <w:jc w:val="both"/>
        <w:rPr>
          <w:rFonts w:ascii="Calibri" w:hAnsi="Calibri"/>
          <w:lang w:val="en-GB"/>
        </w:rPr>
      </w:pPr>
      <w:r w:rsidRPr="005635D8">
        <w:rPr>
          <w:rFonts w:ascii="Calibri" w:hAnsi="Calibri"/>
          <w:noProof/>
          <w:lang w:val="en-US"/>
        </w:rPr>
        <w:drawing>
          <wp:inline distT="0" distB="0" distL="0" distR="0">
            <wp:extent cx="3000375" cy="4191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0375" cy="419100"/>
                    </a:xfrm>
                    <a:prstGeom prst="rect">
                      <a:avLst/>
                    </a:prstGeom>
                    <a:noFill/>
                    <a:ln>
                      <a:noFill/>
                    </a:ln>
                  </pic:spPr>
                </pic:pic>
              </a:graphicData>
            </a:graphic>
          </wp:inline>
        </w:drawing>
      </w:r>
    </w:p>
    <w:p w:rsidR="007E2665" w:rsidRPr="005635D8" w:rsidRDefault="007E2665" w:rsidP="00540452">
      <w:pPr>
        <w:spacing w:line="360" w:lineRule="auto"/>
        <w:jc w:val="both"/>
        <w:rPr>
          <w:rFonts w:ascii="Calibri" w:hAnsi="Calibri"/>
          <w:lang w:val="en-GB"/>
        </w:rPr>
      </w:pPr>
      <w:r w:rsidRPr="005635D8">
        <w:rPr>
          <w:rFonts w:ascii="Calibri" w:hAnsi="Calibri"/>
          <w:noProof/>
          <w:lang w:val="en-US"/>
        </w:rPr>
        <w:drawing>
          <wp:inline distT="0" distB="0" distL="0" distR="0">
            <wp:extent cx="5286375" cy="6381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86375" cy="638175"/>
                    </a:xfrm>
                    <a:prstGeom prst="rect">
                      <a:avLst/>
                    </a:prstGeom>
                    <a:noFill/>
                    <a:ln>
                      <a:noFill/>
                    </a:ln>
                  </pic:spPr>
                </pic:pic>
              </a:graphicData>
            </a:graphic>
          </wp:inline>
        </w:drawing>
      </w:r>
    </w:p>
    <w:p w:rsidR="00552269" w:rsidRPr="005635D8" w:rsidRDefault="00A5758B" w:rsidP="00A5758B">
      <w:pPr>
        <w:autoSpaceDE w:val="0"/>
        <w:autoSpaceDN w:val="0"/>
        <w:adjustRightInd w:val="0"/>
        <w:spacing w:after="0"/>
        <w:jc w:val="both"/>
        <w:rPr>
          <w:rFonts w:ascii="Calibri" w:hAnsi="Calibri"/>
          <w:lang w:val="en-GB"/>
        </w:rPr>
      </w:pPr>
      <w:r w:rsidRPr="005635D8">
        <w:rPr>
          <w:lang w:val="en-GB"/>
        </w:rPr>
        <w:t xml:space="preserve">Remember that the dependent variable and the second and third independent variables in the equation are in addition scaled by total assets at t-1. </w:t>
      </w:r>
      <w:r w:rsidR="00540452" w:rsidRPr="005635D8">
        <w:rPr>
          <w:rFonts w:ascii="Calibri" w:hAnsi="Calibri"/>
          <w:lang w:val="en-GB"/>
        </w:rPr>
        <w:t>The estimates of α1, α2</w:t>
      </w:r>
      <w:r w:rsidR="008F02A7" w:rsidRPr="005635D8">
        <w:rPr>
          <w:rFonts w:ascii="Calibri" w:hAnsi="Calibri"/>
          <w:lang w:val="en-GB"/>
        </w:rPr>
        <w:t>,</w:t>
      </w:r>
      <w:r w:rsidR="00540452" w:rsidRPr="005635D8">
        <w:rPr>
          <w:rFonts w:ascii="Calibri" w:hAnsi="Calibri"/>
          <w:lang w:val="en-GB"/>
        </w:rPr>
        <w:t xml:space="preserve"> α3</w:t>
      </w:r>
      <w:r w:rsidR="008F02A7" w:rsidRPr="005635D8">
        <w:rPr>
          <w:rFonts w:ascii="Calibri" w:hAnsi="Calibri"/>
          <w:lang w:val="en-GB"/>
        </w:rPr>
        <w:t xml:space="preserve"> and nondiscretionary accruals during the estimation period are those obtained from the original Jones model. The only adju</w:t>
      </w:r>
      <w:r w:rsidRPr="005635D8">
        <w:rPr>
          <w:rFonts w:ascii="Calibri" w:hAnsi="Calibri"/>
          <w:lang w:val="en-GB"/>
        </w:rPr>
        <w:t xml:space="preserve">stment relative to the original </w:t>
      </w:r>
      <w:r w:rsidR="008F02A7" w:rsidRPr="005635D8">
        <w:rPr>
          <w:rFonts w:ascii="Calibri" w:hAnsi="Calibri"/>
          <w:lang w:val="en-GB"/>
        </w:rPr>
        <w:t>Jones Model is that the</w:t>
      </w:r>
      <w:r w:rsidR="0087545A" w:rsidRPr="005635D8">
        <w:rPr>
          <w:rFonts w:ascii="Calibri" w:hAnsi="Calibri"/>
          <w:lang w:val="en-GB"/>
        </w:rPr>
        <w:t xml:space="preserve"> variable</w:t>
      </w:r>
      <w:r w:rsidR="008F02A7" w:rsidRPr="005635D8">
        <w:rPr>
          <w:rFonts w:ascii="Calibri" w:hAnsi="Calibri"/>
          <w:lang w:val="en-GB"/>
        </w:rPr>
        <w:t xml:space="preserve"> change in revenues is adjusted for the change in receivables in the event year (Dechow et al. 1995, 199)</w:t>
      </w:r>
      <w:r w:rsidR="00EF5958" w:rsidRPr="005635D8">
        <w:rPr>
          <w:rFonts w:ascii="Calibri" w:hAnsi="Calibri"/>
          <w:lang w:val="en-GB"/>
        </w:rPr>
        <w:t xml:space="preserve">. </w:t>
      </w:r>
      <w:r w:rsidR="00552269" w:rsidRPr="005635D8">
        <w:rPr>
          <w:rFonts w:ascii="Calibri" w:hAnsi="Calibri"/>
          <w:lang w:val="en-GB"/>
        </w:rPr>
        <w:t>Another way to note the whole process of the modified Jones model is given by the following three subsequent formulas. The model parameters are predicted by:</w:t>
      </w:r>
    </w:p>
    <w:p w:rsidR="00EF5958" w:rsidRPr="005635D8" w:rsidRDefault="00EF5958" w:rsidP="00EF5958">
      <w:pPr>
        <w:autoSpaceDE w:val="0"/>
        <w:autoSpaceDN w:val="0"/>
        <w:adjustRightInd w:val="0"/>
        <w:spacing w:after="0"/>
        <w:jc w:val="both"/>
        <w:rPr>
          <w:rFonts w:ascii="Calibri" w:hAnsi="Calibri"/>
          <w:lang w:val="en-GB"/>
        </w:rPr>
      </w:pPr>
    </w:p>
    <w:p w:rsidR="00EF5958" w:rsidRPr="005635D8" w:rsidRDefault="00EF5958" w:rsidP="00EF5958">
      <w:pPr>
        <w:autoSpaceDE w:val="0"/>
        <w:autoSpaceDN w:val="0"/>
        <w:adjustRightInd w:val="0"/>
        <w:spacing w:after="0"/>
        <w:jc w:val="both"/>
        <w:rPr>
          <w:rFonts w:ascii="Calibri" w:hAnsi="Calibri"/>
          <w:lang w:val="en-GB"/>
        </w:rPr>
      </w:pPr>
    </w:p>
    <w:tbl>
      <w:tblPr>
        <w:tblW w:w="0" w:type="auto"/>
        <w:tblInd w:w="108" w:type="dxa"/>
        <w:tblLook w:val="01E0"/>
      </w:tblPr>
      <w:tblGrid>
        <w:gridCol w:w="6910"/>
        <w:gridCol w:w="2268"/>
      </w:tblGrid>
      <w:tr w:rsidR="00552269" w:rsidRPr="005635D8" w:rsidTr="00552269">
        <w:tc>
          <w:tcPr>
            <w:tcW w:w="6948" w:type="dxa"/>
          </w:tcPr>
          <w:p w:rsidR="00552269" w:rsidRPr="005635D8" w:rsidRDefault="00552269" w:rsidP="00552269">
            <w:pPr>
              <w:jc w:val="right"/>
              <w:rPr>
                <w:rFonts w:ascii="Calibri" w:hAnsi="Calibri"/>
                <w:lang w:val="en-GB"/>
              </w:rPr>
            </w:pPr>
            <w:r w:rsidRPr="005635D8">
              <w:rPr>
                <w:rFonts w:ascii="Calibri" w:hAnsi="Calibri"/>
                <w:position w:val="-32"/>
                <w:lang w:val="en-GB"/>
              </w:rPr>
              <w:object w:dxaOrig="5840" w:dyaOrig="720">
                <v:shape id="_x0000_i1046" type="#_x0000_t75" style="width:288.75pt;height:36.75pt" o:ole="">
                  <v:imagedata r:id="rId57" o:title=""/>
                </v:shape>
                <o:OLEObject Type="Embed" ProgID="Equation.3" ShapeID="_x0000_i1046" DrawAspect="Content" ObjectID="_1436010435" r:id="rId58"/>
              </w:object>
            </w:r>
          </w:p>
        </w:tc>
        <w:tc>
          <w:tcPr>
            <w:tcW w:w="2340" w:type="dxa"/>
          </w:tcPr>
          <w:p w:rsidR="00552269" w:rsidRPr="005635D8" w:rsidRDefault="00552269" w:rsidP="00552269">
            <w:pPr>
              <w:pStyle w:val="Caption"/>
              <w:jc w:val="right"/>
              <w:rPr>
                <w:rFonts w:ascii="Calibri" w:hAnsi="Calibri"/>
                <w:b w:val="0"/>
                <w:sz w:val="22"/>
                <w:szCs w:val="22"/>
                <w:lang w:val="en-GB"/>
              </w:rPr>
            </w:pPr>
            <w:bookmarkStart w:id="54" w:name="_Ref310689391"/>
            <w:r w:rsidRPr="005635D8">
              <w:rPr>
                <w:rFonts w:ascii="Calibri" w:hAnsi="Calibri"/>
                <w:b w:val="0"/>
                <w:sz w:val="22"/>
                <w:szCs w:val="22"/>
                <w:lang w:val="en-GB"/>
              </w:rPr>
              <w:t xml:space="preserve">Eq. </w:t>
            </w:r>
            <w:r w:rsidR="004A2AB3" w:rsidRPr="005635D8">
              <w:rPr>
                <w:rFonts w:ascii="Calibri" w:hAnsi="Calibri"/>
                <w:b w:val="0"/>
                <w:sz w:val="22"/>
                <w:szCs w:val="22"/>
                <w:lang w:val="en-GB"/>
              </w:rPr>
              <w:fldChar w:fldCharType="begin"/>
            </w:r>
            <w:r w:rsidRPr="005635D8">
              <w:rPr>
                <w:rFonts w:ascii="Calibri" w:hAnsi="Calibri"/>
                <w:b w:val="0"/>
                <w:sz w:val="22"/>
                <w:szCs w:val="22"/>
                <w:lang w:val="en-GB"/>
              </w:rPr>
              <w:instrText xml:space="preserve"> SEQ Eq. \* ARABIC </w:instrText>
            </w:r>
            <w:r w:rsidR="004A2AB3" w:rsidRPr="005635D8">
              <w:rPr>
                <w:rFonts w:ascii="Calibri" w:hAnsi="Calibri"/>
                <w:b w:val="0"/>
                <w:sz w:val="22"/>
                <w:szCs w:val="22"/>
                <w:lang w:val="en-GB"/>
              </w:rPr>
              <w:fldChar w:fldCharType="separate"/>
            </w:r>
            <w:r w:rsidR="00C47BAC" w:rsidRPr="005635D8">
              <w:rPr>
                <w:rFonts w:ascii="Calibri" w:hAnsi="Calibri"/>
                <w:b w:val="0"/>
                <w:noProof/>
                <w:sz w:val="22"/>
                <w:szCs w:val="22"/>
                <w:lang w:val="en-GB"/>
              </w:rPr>
              <w:t>2</w:t>
            </w:r>
            <w:r w:rsidR="004A2AB3" w:rsidRPr="005635D8">
              <w:rPr>
                <w:rFonts w:ascii="Calibri" w:hAnsi="Calibri"/>
                <w:b w:val="0"/>
                <w:sz w:val="22"/>
                <w:szCs w:val="22"/>
                <w:lang w:val="en-GB"/>
              </w:rPr>
              <w:fldChar w:fldCharType="end"/>
            </w:r>
            <w:bookmarkEnd w:id="54"/>
          </w:p>
          <w:p w:rsidR="00552269" w:rsidRPr="005635D8" w:rsidRDefault="00552269" w:rsidP="00552269">
            <w:pPr>
              <w:keepNext/>
              <w:rPr>
                <w:rFonts w:ascii="Calibri" w:hAnsi="Calibri"/>
                <w:lang w:val="en-GB"/>
              </w:rPr>
            </w:pPr>
          </w:p>
        </w:tc>
      </w:tr>
    </w:tbl>
    <w:p w:rsidR="00552269" w:rsidRPr="005635D8" w:rsidRDefault="00552269" w:rsidP="00552269">
      <w:pPr>
        <w:ind w:firstLine="284"/>
        <w:rPr>
          <w:rFonts w:ascii="Calibri" w:hAnsi="Calibri"/>
          <w:lang w:val="en-GB"/>
        </w:rPr>
      </w:pPr>
      <w:r w:rsidRPr="005635D8">
        <w:rPr>
          <w:rFonts w:ascii="Calibri" w:hAnsi="Calibri"/>
          <w:lang w:val="en-GB"/>
        </w:rPr>
        <w:t>Where,</w:t>
      </w:r>
    </w:p>
    <w:tbl>
      <w:tblPr>
        <w:tblW w:w="0" w:type="auto"/>
        <w:tblInd w:w="38" w:type="dxa"/>
        <w:tblLook w:val="01E0"/>
      </w:tblPr>
      <w:tblGrid>
        <w:gridCol w:w="1216"/>
        <w:gridCol w:w="7974"/>
      </w:tblGrid>
      <w:tr w:rsidR="00552269" w:rsidRPr="00182CC2" w:rsidTr="00552269">
        <w:tc>
          <w:tcPr>
            <w:tcW w:w="1216" w:type="dxa"/>
          </w:tcPr>
          <w:p w:rsidR="00552269" w:rsidRPr="005635D8" w:rsidRDefault="00552269" w:rsidP="00552269">
            <w:pPr>
              <w:autoSpaceDE w:val="0"/>
              <w:autoSpaceDN w:val="0"/>
              <w:adjustRightInd w:val="0"/>
              <w:spacing w:after="0" w:line="360" w:lineRule="auto"/>
              <w:rPr>
                <w:rFonts w:ascii="Calibri" w:hAnsi="Calibri"/>
                <w:lang w:val="en-GB"/>
              </w:rPr>
            </w:pPr>
            <w:r w:rsidRPr="005635D8">
              <w:rPr>
                <w:rFonts w:ascii="Calibri" w:hAnsi="Calibri"/>
                <w:position w:val="-12"/>
                <w:lang w:val="en-GB"/>
              </w:rPr>
              <w:object w:dxaOrig="880" w:dyaOrig="360">
                <v:shape id="_x0000_i1047" type="#_x0000_t75" style="width:44.25pt;height:18.75pt" o:ole="">
                  <v:imagedata r:id="rId59" o:title=""/>
                </v:shape>
                <o:OLEObject Type="Embed" ProgID="Equation.3" ShapeID="_x0000_i1047" DrawAspect="Content" ObjectID="_1436010436" r:id="rId60"/>
              </w:object>
            </w:r>
          </w:p>
        </w:tc>
        <w:tc>
          <w:tcPr>
            <w:tcW w:w="7974" w:type="dxa"/>
          </w:tcPr>
          <w:p w:rsidR="00552269" w:rsidRPr="005635D8" w:rsidRDefault="00552269" w:rsidP="00552269">
            <w:pPr>
              <w:autoSpaceDE w:val="0"/>
              <w:autoSpaceDN w:val="0"/>
              <w:adjustRightInd w:val="0"/>
              <w:spacing w:after="0" w:line="360" w:lineRule="auto"/>
              <w:rPr>
                <w:rFonts w:ascii="Calibri" w:hAnsi="Calibri"/>
                <w:lang w:val="en-GB"/>
              </w:rPr>
            </w:pPr>
            <w:r w:rsidRPr="005635D8">
              <w:rPr>
                <w:rFonts w:ascii="Calibri" w:hAnsi="Calibri"/>
                <w:bCs/>
                <w:lang w:val="en-GB"/>
              </w:rPr>
              <w:t xml:space="preserve">firm </w:t>
            </w:r>
            <w:r w:rsidRPr="005635D8">
              <w:rPr>
                <w:rFonts w:ascii="Calibri" w:hAnsi="Calibri"/>
                <w:i/>
                <w:iCs/>
                <w:position w:val="-6"/>
                <w:lang w:val="en-GB"/>
              </w:rPr>
              <w:object w:dxaOrig="139" w:dyaOrig="260">
                <v:shape id="_x0000_i1048" type="#_x0000_t75" style="width:6.75pt;height:12.75pt" o:ole="">
                  <v:imagedata r:id="rId15" o:title=""/>
                </v:shape>
                <o:OLEObject Type="Embed" ProgID="Equation.3" ShapeID="_x0000_i1048" DrawAspect="Content" ObjectID="_1436010437" r:id="rId61"/>
              </w:object>
            </w:r>
            <w:r w:rsidRPr="005635D8">
              <w:rPr>
                <w:rFonts w:ascii="Calibri" w:hAnsi="Calibri"/>
                <w:bCs/>
                <w:lang w:val="en-GB"/>
              </w:rPr>
              <w:t xml:space="preserve">’s total accruals in year </w:t>
            </w:r>
            <w:r w:rsidRPr="005635D8">
              <w:rPr>
                <w:rFonts w:ascii="Calibri" w:hAnsi="Calibri"/>
                <w:i/>
                <w:iCs/>
                <w:position w:val="-6"/>
                <w:lang w:val="en-GB"/>
              </w:rPr>
              <w:object w:dxaOrig="139" w:dyaOrig="240">
                <v:shape id="_x0000_i1049" type="#_x0000_t75" style="width:6.75pt;height:12pt" o:ole="">
                  <v:imagedata r:id="rId17" o:title=""/>
                </v:shape>
                <o:OLEObject Type="Embed" ProgID="Equation.3" ShapeID="_x0000_i1049" DrawAspect="Content" ObjectID="_1436010438" r:id="rId62"/>
              </w:object>
            </w:r>
            <w:r w:rsidRPr="005635D8">
              <w:rPr>
                <w:rFonts w:ascii="Calibri" w:hAnsi="Calibri"/>
                <w:bCs/>
                <w:lang w:val="en-GB"/>
              </w:rPr>
              <w:t>;</w:t>
            </w:r>
          </w:p>
        </w:tc>
      </w:tr>
      <w:tr w:rsidR="00552269" w:rsidRPr="00182CC2" w:rsidTr="00552269">
        <w:tc>
          <w:tcPr>
            <w:tcW w:w="1216" w:type="dxa"/>
          </w:tcPr>
          <w:p w:rsidR="00552269" w:rsidRPr="005635D8" w:rsidRDefault="00552269" w:rsidP="00552269">
            <w:pPr>
              <w:autoSpaceDE w:val="0"/>
              <w:autoSpaceDN w:val="0"/>
              <w:adjustRightInd w:val="0"/>
              <w:spacing w:after="0" w:line="360" w:lineRule="auto"/>
              <w:rPr>
                <w:rFonts w:ascii="Calibri" w:hAnsi="Calibri"/>
                <w:lang w:val="en-GB"/>
              </w:rPr>
            </w:pPr>
            <w:r w:rsidRPr="005635D8">
              <w:rPr>
                <w:rFonts w:ascii="Calibri" w:hAnsi="Calibri"/>
                <w:position w:val="-14"/>
                <w:lang w:val="en-GB"/>
              </w:rPr>
              <w:object w:dxaOrig="720" w:dyaOrig="380">
                <v:shape id="_x0000_i1050" type="#_x0000_t75" style="width:36.75pt;height:18pt" o:ole="">
                  <v:imagedata r:id="rId63" o:title=""/>
                </v:shape>
                <o:OLEObject Type="Embed" ProgID="Equation.3" ShapeID="_x0000_i1050" DrawAspect="Content" ObjectID="_1436010439" r:id="rId64"/>
              </w:object>
            </w:r>
          </w:p>
        </w:tc>
        <w:tc>
          <w:tcPr>
            <w:tcW w:w="7974" w:type="dxa"/>
          </w:tcPr>
          <w:p w:rsidR="00552269" w:rsidRPr="005635D8" w:rsidRDefault="00552269" w:rsidP="00552269">
            <w:pPr>
              <w:autoSpaceDE w:val="0"/>
              <w:autoSpaceDN w:val="0"/>
              <w:adjustRightInd w:val="0"/>
              <w:spacing w:after="0" w:line="360" w:lineRule="auto"/>
              <w:rPr>
                <w:rFonts w:ascii="Calibri" w:hAnsi="Calibri"/>
                <w:lang w:val="en-GB"/>
              </w:rPr>
            </w:pPr>
            <w:r w:rsidRPr="005635D8">
              <w:rPr>
                <w:rFonts w:ascii="Calibri" w:hAnsi="Calibri"/>
                <w:bCs/>
                <w:lang w:val="en-GB"/>
              </w:rPr>
              <w:t xml:space="preserve">firm </w:t>
            </w:r>
            <w:r w:rsidRPr="005635D8">
              <w:rPr>
                <w:rFonts w:ascii="Calibri" w:hAnsi="Calibri"/>
                <w:i/>
                <w:iCs/>
                <w:position w:val="-6"/>
                <w:lang w:val="en-GB"/>
              </w:rPr>
              <w:object w:dxaOrig="139" w:dyaOrig="260">
                <v:shape id="_x0000_i1051" type="#_x0000_t75" style="width:6.75pt;height:12.75pt" o:ole="">
                  <v:imagedata r:id="rId15" o:title=""/>
                </v:shape>
                <o:OLEObject Type="Embed" ProgID="Equation.3" ShapeID="_x0000_i1051" DrawAspect="Content" ObjectID="_1436010440" r:id="rId65"/>
              </w:object>
            </w:r>
            <w:r w:rsidRPr="005635D8">
              <w:rPr>
                <w:rFonts w:ascii="Calibri" w:hAnsi="Calibri"/>
                <w:bCs/>
                <w:lang w:val="en-GB"/>
              </w:rPr>
              <w:t xml:space="preserve">’s total assets in year </w:t>
            </w:r>
            <w:r w:rsidRPr="005635D8">
              <w:rPr>
                <w:rFonts w:ascii="Calibri" w:hAnsi="Calibri"/>
                <w:i/>
                <w:iCs/>
                <w:position w:val="-6"/>
                <w:lang w:val="en-GB"/>
              </w:rPr>
              <w:object w:dxaOrig="460" w:dyaOrig="279">
                <v:shape id="_x0000_i1052" type="#_x0000_t75" style="width:22.5pt;height:14.25pt" o:ole="">
                  <v:imagedata r:id="rId66" o:title=""/>
                </v:shape>
                <o:OLEObject Type="Embed" ProgID="Equation.3" ShapeID="_x0000_i1052" DrawAspect="Content" ObjectID="_1436010441" r:id="rId67"/>
              </w:object>
            </w:r>
            <w:r w:rsidRPr="005635D8">
              <w:rPr>
                <w:rFonts w:ascii="Calibri" w:hAnsi="Calibri"/>
                <w:bCs/>
                <w:lang w:val="en-GB"/>
              </w:rPr>
              <w:t>;</w:t>
            </w:r>
          </w:p>
        </w:tc>
      </w:tr>
      <w:tr w:rsidR="00552269" w:rsidRPr="00182CC2" w:rsidTr="00552269">
        <w:tc>
          <w:tcPr>
            <w:tcW w:w="1216" w:type="dxa"/>
          </w:tcPr>
          <w:p w:rsidR="00552269" w:rsidRPr="005635D8" w:rsidRDefault="00552269" w:rsidP="00552269">
            <w:pPr>
              <w:autoSpaceDE w:val="0"/>
              <w:autoSpaceDN w:val="0"/>
              <w:adjustRightInd w:val="0"/>
              <w:spacing w:after="0" w:line="360" w:lineRule="auto"/>
              <w:rPr>
                <w:rFonts w:ascii="Calibri" w:hAnsi="Calibri"/>
                <w:lang w:val="en-GB"/>
              </w:rPr>
            </w:pPr>
            <w:r w:rsidRPr="005635D8">
              <w:rPr>
                <w:rFonts w:ascii="Calibri" w:hAnsi="Calibri"/>
                <w:position w:val="-12"/>
                <w:lang w:val="en-GB"/>
              </w:rPr>
              <w:object w:dxaOrig="880" w:dyaOrig="360">
                <v:shape id="_x0000_i1053" type="#_x0000_t75" style="width:44.25pt;height:18.75pt" o:ole="">
                  <v:imagedata r:id="rId68" o:title=""/>
                </v:shape>
                <o:OLEObject Type="Embed" ProgID="Equation.3" ShapeID="_x0000_i1053" DrawAspect="Content" ObjectID="_1436010442" r:id="rId69"/>
              </w:object>
            </w:r>
          </w:p>
        </w:tc>
        <w:tc>
          <w:tcPr>
            <w:tcW w:w="7974" w:type="dxa"/>
          </w:tcPr>
          <w:p w:rsidR="00552269" w:rsidRPr="005635D8" w:rsidRDefault="00552269" w:rsidP="00552269">
            <w:pPr>
              <w:autoSpaceDE w:val="0"/>
              <w:autoSpaceDN w:val="0"/>
              <w:adjustRightInd w:val="0"/>
              <w:spacing w:after="0" w:line="360" w:lineRule="auto"/>
              <w:rPr>
                <w:rFonts w:ascii="Calibri" w:hAnsi="Calibri"/>
                <w:lang w:val="en-GB"/>
              </w:rPr>
            </w:pPr>
            <w:r w:rsidRPr="005635D8">
              <w:rPr>
                <w:rFonts w:ascii="Calibri" w:hAnsi="Calibri"/>
                <w:bCs/>
                <w:lang w:val="en-GB"/>
              </w:rPr>
              <w:t xml:space="preserve">firm </w:t>
            </w:r>
            <w:r w:rsidRPr="005635D8">
              <w:rPr>
                <w:rFonts w:ascii="Calibri" w:hAnsi="Calibri"/>
                <w:i/>
                <w:iCs/>
                <w:position w:val="-6"/>
                <w:lang w:val="en-GB"/>
              </w:rPr>
              <w:object w:dxaOrig="139" w:dyaOrig="260">
                <v:shape id="_x0000_i1054" type="#_x0000_t75" style="width:6.75pt;height:12.75pt" o:ole="">
                  <v:imagedata r:id="rId15" o:title=""/>
                </v:shape>
                <o:OLEObject Type="Embed" ProgID="Equation.3" ShapeID="_x0000_i1054" DrawAspect="Content" ObjectID="_1436010443" r:id="rId70"/>
              </w:object>
            </w:r>
            <w:r w:rsidRPr="005635D8">
              <w:rPr>
                <w:rFonts w:ascii="Calibri" w:hAnsi="Calibri"/>
                <w:bCs/>
                <w:lang w:val="en-GB"/>
              </w:rPr>
              <w:t xml:space="preserve">’s change of the revenues in year </w:t>
            </w:r>
            <w:r w:rsidRPr="005635D8">
              <w:rPr>
                <w:rFonts w:ascii="Calibri" w:hAnsi="Calibri"/>
                <w:i/>
                <w:iCs/>
                <w:position w:val="-6"/>
                <w:lang w:val="en-GB"/>
              </w:rPr>
              <w:object w:dxaOrig="139" w:dyaOrig="240">
                <v:shape id="_x0000_i1055" type="#_x0000_t75" style="width:6.75pt;height:12pt" o:ole="">
                  <v:imagedata r:id="rId17" o:title=""/>
                </v:shape>
                <o:OLEObject Type="Embed" ProgID="Equation.3" ShapeID="_x0000_i1055" DrawAspect="Content" ObjectID="_1436010444" r:id="rId71"/>
              </w:object>
            </w:r>
            <w:r w:rsidRPr="005635D8">
              <w:rPr>
                <w:rFonts w:ascii="Calibri" w:hAnsi="Calibri"/>
                <w:bCs/>
                <w:lang w:val="en-GB"/>
              </w:rPr>
              <w:t>;</w:t>
            </w:r>
          </w:p>
        </w:tc>
      </w:tr>
      <w:tr w:rsidR="00552269" w:rsidRPr="00182CC2" w:rsidTr="00552269">
        <w:tc>
          <w:tcPr>
            <w:tcW w:w="1216" w:type="dxa"/>
          </w:tcPr>
          <w:p w:rsidR="00552269" w:rsidRPr="005635D8" w:rsidRDefault="00552269" w:rsidP="00552269">
            <w:pPr>
              <w:autoSpaceDE w:val="0"/>
              <w:autoSpaceDN w:val="0"/>
              <w:adjustRightInd w:val="0"/>
              <w:spacing w:after="0" w:line="360" w:lineRule="auto"/>
              <w:rPr>
                <w:rFonts w:ascii="Calibri" w:hAnsi="Calibri"/>
                <w:position w:val="-14"/>
                <w:lang w:val="en-GB"/>
              </w:rPr>
            </w:pPr>
            <w:r w:rsidRPr="005635D8">
              <w:rPr>
                <w:rFonts w:ascii="Calibri" w:hAnsi="Calibri"/>
                <w:position w:val="-12"/>
                <w:lang w:val="en-GB"/>
              </w:rPr>
              <w:object w:dxaOrig="900" w:dyaOrig="360">
                <v:shape id="_x0000_i1056" type="#_x0000_t75" style="width:47.25pt;height:18.75pt" o:ole="">
                  <v:imagedata r:id="rId72" o:title=""/>
                </v:shape>
                <o:OLEObject Type="Embed" ProgID="Equation.3" ShapeID="_x0000_i1056" DrawAspect="Content" ObjectID="_1436010445" r:id="rId73"/>
              </w:object>
            </w:r>
          </w:p>
        </w:tc>
        <w:tc>
          <w:tcPr>
            <w:tcW w:w="7974" w:type="dxa"/>
          </w:tcPr>
          <w:p w:rsidR="00552269" w:rsidRPr="005635D8" w:rsidRDefault="00552269" w:rsidP="00552269">
            <w:pPr>
              <w:autoSpaceDE w:val="0"/>
              <w:autoSpaceDN w:val="0"/>
              <w:adjustRightInd w:val="0"/>
              <w:spacing w:after="0" w:line="360" w:lineRule="auto"/>
              <w:rPr>
                <w:rFonts w:ascii="Calibri" w:hAnsi="Calibri"/>
                <w:bCs/>
                <w:lang w:val="en-GB"/>
              </w:rPr>
            </w:pPr>
            <w:r w:rsidRPr="005635D8">
              <w:rPr>
                <w:rFonts w:ascii="Calibri" w:hAnsi="Calibri"/>
                <w:bCs/>
                <w:lang w:val="en-GB"/>
              </w:rPr>
              <w:t xml:space="preserve">firm </w:t>
            </w:r>
            <w:r w:rsidRPr="005635D8">
              <w:rPr>
                <w:rFonts w:ascii="Calibri" w:hAnsi="Calibri"/>
                <w:i/>
                <w:iCs/>
                <w:position w:val="-6"/>
                <w:lang w:val="en-GB"/>
              </w:rPr>
              <w:object w:dxaOrig="139" w:dyaOrig="260">
                <v:shape id="_x0000_i1057" type="#_x0000_t75" style="width:6.75pt;height:12.75pt" o:ole="">
                  <v:imagedata r:id="rId15" o:title=""/>
                </v:shape>
                <o:OLEObject Type="Embed" ProgID="Equation.3" ShapeID="_x0000_i1057" DrawAspect="Content" ObjectID="_1436010446" r:id="rId74"/>
              </w:object>
            </w:r>
            <w:r w:rsidRPr="005635D8">
              <w:rPr>
                <w:rFonts w:ascii="Calibri" w:hAnsi="Calibri"/>
                <w:bCs/>
                <w:lang w:val="en-GB"/>
              </w:rPr>
              <w:t xml:space="preserve">’s change of the receivables in year </w:t>
            </w:r>
            <w:r w:rsidRPr="005635D8">
              <w:rPr>
                <w:rFonts w:ascii="Calibri" w:hAnsi="Calibri"/>
                <w:i/>
                <w:iCs/>
                <w:position w:val="-6"/>
                <w:lang w:val="en-GB"/>
              </w:rPr>
              <w:object w:dxaOrig="139" w:dyaOrig="240">
                <v:shape id="_x0000_i1058" type="#_x0000_t75" style="width:6.75pt;height:12pt" o:ole="">
                  <v:imagedata r:id="rId17" o:title=""/>
                </v:shape>
                <o:OLEObject Type="Embed" ProgID="Equation.3" ShapeID="_x0000_i1058" DrawAspect="Content" ObjectID="_1436010447" r:id="rId75"/>
              </w:object>
            </w:r>
            <w:r w:rsidRPr="005635D8">
              <w:rPr>
                <w:rFonts w:ascii="Calibri" w:hAnsi="Calibri"/>
                <w:bCs/>
                <w:lang w:val="en-GB"/>
              </w:rPr>
              <w:t>;</w:t>
            </w:r>
          </w:p>
        </w:tc>
      </w:tr>
      <w:tr w:rsidR="00552269" w:rsidRPr="00182CC2" w:rsidTr="00552269">
        <w:tc>
          <w:tcPr>
            <w:tcW w:w="1216" w:type="dxa"/>
          </w:tcPr>
          <w:p w:rsidR="00552269" w:rsidRPr="005635D8" w:rsidRDefault="00552269" w:rsidP="00552269">
            <w:pPr>
              <w:autoSpaceDE w:val="0"/>
              <w:autoSpaceDN w:val="0"/>
              <w:adjustRightInd w:val="0"/>
              <w:spacing w:after="0" w:line="360" w:lineRule="auto"/>
              <w:rPr>
                <w:rFonts w:ascii="Calibri" w:hAnsi="Calibri"/>
                <w:position w:val="-14"/>
                <w:lang w:val="en-GB"/>
              </w:rPr>
            </w:pPr>
            <w:r w:rsidRPr="005635D8">
              <w:rPr>
                <w:rFonts w:ascii="Calibri" w:hAnsi="Calibri"/>
                <w:position w:val="-12"/>
                <w:lang w:val="en-GB"/>
              </w:rPr>
              <w:object w:dxaOrig="740" w:dyaOrig="360">
                <v:shape id="_x0000_i1059" type="#_x0000_t75" style="width:36.75pt;height:18.75pt" o:ole="">
                  <v:imagedata r:id="rId76" o:title=""/>
                </v:shape>
                <o:OLEObject Type="Embed" ProgID="Equation.3" ShapeID="_x0000_i1059" DrawAspect="Content" ObjectID="_1436010448" r:id="rId77"/>
              </w:object>
            </w:r>
          </w:p>
        </w:tc>
        <w:tc>
          <w:tcPr>
            <w:tcW w:w="7974" w:type="dxa"/>
          </w:tcPr>
          <w:p w:rsidR="00552269" w:rsidRPr="005635D8" w:rsidRDefault="00552269" w:rsidP="00552269">
            <w:pPr>
              <w:autoSpaceDE w:val="0"/>
              <w:autoSpaceDN w:val="0"/>
              <w:adjustRightInd w:val="0"/>
              <w:spacing w:after="0" w:line="360" w:lineRule="auto"/>
              <w:rPr>
                <w:rFonts w:ascii="Calibri" w:hAnsi="Calibri"/>
                <w:lang w:val="en-GB"/>
              </w:rPr>
            </w:pPr>
            <w:r w:rsidRPr="005635D8">
              <w:rPr>
                <w:rFonts w:ascii="Calibri" w:hAnsi="Calibri"/>
                <w:bCs/>
                <w:lang w:val="en-GB"/>
              </w:rPr>
              <w:t xml:space="preserve">firm </w:t>
            </w:r>
            <w:r w:rsidRPr="005635D8">
              <w:rPr>
                <w:rFonts w:ascii="Calibri" w:hAnsi="Calibri"/>
                <w:i/>
                <w:iCs/>
                <w:position w:val="-6"/>
                <w:lang w:val="en-GB"/>
              </w:rPr>
              <w:object w:dxaOrig="139" w:dyaOrig="260">
                <v:shape id="_x0000_i1060" type="#_x0000_t75" style="width:6.75pt;height:12.75pt" o:ole="">
                  <v:imagedata r:id="rId15" o:title=""/>
                </v:shape>
                <o:OLEObject Type="Embed" ProgID="Equation.3" ShapeID="_x0000_i1060" DrawAspect="Content" ObjectID="_1436010449" r:id="rId78"/>
              </w:object>
            </w:r>
            <w:r w:rsidRPr="005635D8">
              <w:rPr>
                <w:rFonts w:ascii="Calibri" w:hAnsi="Calibri"/>
                <w:bCs/>
                <w:lang w:val="en-GB"/>
              </w:rPr>
              <w:t xml:space="preserve">’s </w:t>
            </w:r>
            <w:r w:rsidRPr="005635D8">
              <w:rPr>
                <w:rFonts w:ascii="Calibri" w:hAnsi="Calibri"/>
                <w:iCs/>
                <w:lang w:val="en-GB"/>
              </w:rPr>
              <w:t>properties, plants and equipment</w:t>
            </w:r>
            <w:r w:rsidRPr="005635D8">
              <w:rPr>
                <w:rFonts w:ascii="Calibri" w:hAnsi="Calibri"/>
                <w:bCs/>
                <w:lang w:val="en-GB"/>
              </w:rPr>
              <w:t xml:space="preserve"> in year </w:t>
            </w:r>
            <w:r w:rsidRPr="005635D8">
              <w:rPr>
                <w:rFonts w:ascii="Calibri" w:hAnsi="Calibri"/>
                <w:i/>
                <w:iCs/>
                <w:position w:val="-6"/>
                <w:lang w:val="en-GB"/>
              </w:rPr>
              <w:object w:dxaOrig="139" w:dyaOrig="240">
                <v:shape id="_x0000_i1061" type="#_x0000_t75" style="width:6.75pt;height:12pt" o:ole="">
                  <v:imagedata r:id="rId17" o:title=""/>
                </v:shape>
                <o:OLEObject Type="Embed" ProgID="Equation.3" ShapeID="_x0000_i1061" DrawAspect="Content" ObjectID="_1436010450" r:id="rId79"/>
              </w:object>
            </w:r>
            <w:r w:rsidRPr="005635D8">
              <w:rPr>
                <w:rFonts w:ascii="Calibri" w:hAnsi="Calibri"/>
                <w:bCs/>
                <w:lang w:val="en-GB"/>
              </w:rPr>
              <w:t>;</w:t>
            </w:r>
          </w:p>
        </w:tc>
      </w:tr>
      <w:tr w:rsidR="00552269" w:rsidRPr="00182CC2" w:rsidTr="00552269">
        <w:tc>
          <w:tcPr>
            <w:tcW w:w="1216" w:type="dxa"/>
          </w:tcPr>
          <w:p w:rsidR="00552269" w:rsidRPr="005635D8" w:rsidRDefault="00552269" w:rsidP="00552269">
            <w:pPr>
              <w:autoSpaceDE w:val="0"/>
              <w:autoSpaceDN w:val="0"/>
              <w:adjustRightInd w:val="0"/>
              <w:spacing w:after="0" w:line="360" w:lineRule="auto"/>
              <w:rPr>
                <w:rFonts w:ascii="Calibri" w:hAnsi="Calibri"/>
                <w:position w:val="-14"/>
                <w:lang w:val="en-GB"/>
              </w:rPr>
            </w:pPr>
            <w:r w:rsidRPr="005635D8">
              <w:rPr>
                <w:rFonts w:ascii="Calibri" w:hAnsi="Calibri"/>
                <w:position w:val="-12"/>
                <w:lang w:val="en-GB"/>
              </w:rPr>
              <w:object w:dxaOrig="420" w:dyaOrig="360">
                <v:shape id="_x0000_i1062" type="#_x0000_t75" style="width:20.25pt;height:18.75pt" o:ole="">
                  <v:imagedata r:id="rId80" o:title=""/>
                </v:shape>
                <o:OLEObject Type="Embed" ProgID="Equation.3" ShapeID="_x0000_i1062" DrawAspect="Content" ObjectID="_1436010451" r:id="rId81"/>
              </w:object>
            </w:r>
          </w:p>
        </w:tc>
        <w:tc>
          <w:tcPr>
            <w:tcW w:w="7974" w:type="dxa"/>
          </w:tcPr>
          <w:p w:rsidR="00552269" w:rsidRPr="005635D8" w:rsidRDefault="00552269" w:rsidP="00552269">
            <w:pPr>
              <w:autoSpaceDE w:val="0"/>
              <w:autoSpaceDN w:val="0"/>
              <w:adjustRightInd w:val="0"/>
              <w:spacing w:after="0" w:line="360" w:lineRule="auto"/>
              <w:rPr>
                <w:rFonts w:ascii="Calibri" w:hAnsi="Calibri"/>
                <w:lang w:val="en-GB"/>
              </w:rPr>
            </w:pPr>
            <w:r w:rsidRPr="005635D8">
              <w:rPr>
                <w:rFonts w:ascii="Calibri" w:hAnsi="Calibri"/>
                <w:bCs/>
                <w:lang w:val="en-GB"/>
              </w:rPr>
              <w:t xml:space="preserve">firm </w:t>
            </w:r>
            <w:r w:rsidRPr="005635D8">
              <w:rPr>
                <w:rFonts w:ascii="Calibri" w:hAnsi="Calibri"/>
                <w:i/>
                <w:iCs/>
                <w:position w:val="-6"/>
                <w:lang w:val="en-GB"/>
              </w:rPr>
              <w:object w:dxaOrig="139" w:dyaOrig="260">
                <v:shape id="_x0000_i1063" type="#_x0000_t75" style="width:6.75pt;height:12.75pt" o:ole="">
                  <v:imagedata r:id="rId15" o:title=""/>
                </v:shape>
                <o:OLEObject Type="Embed" ProgID="Equation.3" ShapeID="_x0000_i1063" DrawAspect="Content" ObjectID="_1436010452" r:id="rId82"/>
              </w:object>
            </w:r>
            <w:r w:rsidRPr="005635D8">
              <w:rPr>
                <w:rFonts w:ascii="Calibri" w:hAnsi="Calibri"/>
                <w:bCs/>
                <w:lang w:val="en-GB"/>
              </w:rPr>
              <w:t xml:space="preserve">’s error term in year </w:t>
            </w:r>
            <w:r w:rsidRPr="005635D8">
              <w:rPr>
                <w:rFonts w:ascii="Calibri" w:hAnsi="Calibri"/>
                <w:i/>
                <w:iCs/>
                <w:position w:val="-6"/>
                <w:lang w:val="en-GB"/>
              </w:rPr>
              <w:object w:dxaOrig="139" w:dyaOrig="240">
                <v:shape id="_x0000_i1064" type="#_x0000_t75" style="width:6.75pt;height:12pt" o:ole="">
                  <v:imagedata r:id="rId17" o:title=""/>
                </v:shape>
                <o:OLEObject Type="Embed" ProgID="Equation.3" ShapeID="_x0000_i1064" DrawAspect="Content" ObjectID="_1436010453" r:id="rId83"/>
              </w:object>
            </w:r>
            <w:r w:rsidRPr="005635D8">
              <w:rPr>
                <w:rFonts w:ascii="Calibri" w:hAnsi="Calibri"/>
                <w:bCs/>
                <w:lang w:val="en-GB"/>
              </w:rPr>
              <w:t>.</w:t>
            </w:r>
          </w:p>
        </w:tc>
      </w:tr>
    </w:tbl>
    <w:p w:rsidR="00552269" w:rsidRPr="005635D8" w:rsidRDefault="00552269" w:rsidP="00552269">
      <w:pPr>
        <w:rPr>
          <w:rFonts w:ascii="Calibri" w:hAnsi="Calibri"/>
          <w:lang w:val="en-GB"/>
        </w:rPr>
      </w:pPr>
    </w:p>
    <w:p w:rsidR="00552269" w:rsidRPr="005635D8" w:rsidRDefault="00552269" w:rsidP="00552269">
      <w:pPr>
        <w:spacing w:line="360" w:lineRule="auto"/>
        <w:ind w:firstLine="284"/>
        <w:rPr>
          <w:rFonts w:ascii="Calibri" w:hAnsi="Calibri"/>
          <w:lang w:val="en-GB"/>
        </w:rPr>
      </w:pPr>
      <w:r w:rsidRPr="005635D8">
        <w:rPr>
          <w:rFonts w:ascii="Calibri" w:hAnsi="Calibri"/>
          <w:position w:val="-12"/>
          <w:lang w:val="en-GB"/>
        </w:rPr>
        <w:object w:dxaOrig="980" w:dyaOrig="360">
          <v:shape id="_x0000_i1065" type="#_x0000_t75" style="width:49.5pt;height:18.75pt" o:ole="">
            <v:imagedata r:id="rId84" o:title=""/>
          </v:shape>
          <o:OLEObject Type="Embed" ProgID="Equation.3" ShapeID="_x0000_i1065" DrawAspect="Content" ObjectID="_1436010454" r:id="rId85"/>
        </w:object>
      </w:r>
      <w:r w:rsidRPr="005635D8">
        <w:rPr>
          <w:rFonts w:ascii="Calibri" w:hAnsi="Calibri"/>
          <w:lang w:val="en-GB"/>
        </w:rPr>
        <w:t xml:space="preserve"> is computed by the parameter estimations of the Modified Jones Model in </w:t>
      </w:r>
      <w:fldSimple w:instr=" REF _Ref310689391 \h  \* MERGEFORMAT ">
        <w:r w:rsidR="00C47BAC" w:rsidRPr="005635D8">
          <w:rPr>
            <w:rFonts w:ascii="Calibri" w:hAnsi="Calibri"/>
            <w:lang w:val="en-GB"/>
          </w:rPr>
          <w:t>Eq. 2</w:t>
        </w:r>
      </w:fldSimple>
      <w:r w:rsidRPr="005635D8">
        <w:rPr>
          <w:rFonts w:ascii="Calibri" w:hAnsi="Calibri"/>
          <w:lang w:val="en-GB"/>
        </w:rPr>
        <w:t>:</w:t>
      </w:r>
    </w:p>
    <w:p w:rsidR="00552269" w:rsidRPr="005635D8" w:rsidRDefault="00552269" w:rsidP="00552269">
      <w:pPr>
        <w:spacing w:line="360" w:lineRule="auto"/>
        <w:jc w:val="both"/>
        <w:rPr>
          <w:rFonts w:ascii="Calibri" w:hAnsi="Calibri"/>
          <w:lang w:val="en-GB"/>
        </w:rPr>
      </w:pPr>
    </w:p>
    <w:tbl>
      <w:tblPr>
        <w:tblW w:w="0" w:type="auto"/>
        <w:tblInd w:w="108" w:type="dxa"/>
        <w:tblLook w:val="01E0"/>
      </w:tblPr>
      <w:tblGrid>
        <w:gridCol w:w="6903"/>
        <w:gridCol w:w="2275"/>
      </w:tblGrid>
      <w:tr w:rsidR="00552269" w:rsidRPr="005635D8" w:rsidTr="00552269">
        <w:tc>
          <w:tcPr>
            <w:tcW w:w="6948" w:type="dxa"/>
          </w:tcPr>
          <w:p w:rsidR="00552269" w:rsidRPr="005635D8" w:rsidRDefault="00552269" w:rsidP="00552269">
            <w:pPr>
              <w:jc w:val="right"/>
              <w:rPr>
                <w:rFonts w:ascii="Calibri" w:hAnsi="Calibri"/>
                <w:lang w:val="en-GB"/>
              </w:rPr>
            </w:pPr>
            <w:r w:rsidRPr="005635D8">
              <w:rPr>
                <w:rFonts w:ascii="Calibri" w:hAnsi="Calibri"/>
                <w:position w:val="-32"/>
                <w:lang w:val="en-GB"/>
              </w:rPr>
              <w:object w:dxaOrig="5440" w:dyaOrig="720">
                <v:shape id="_x0000_i1066" type="#_x0000_t75" style="width:272.25pt;height:36.75pt" o:ole="">
                  <v:imagedata r:id="rId86" o:title=""/>
                </v:shape>
                <o:OLEObject Type="Embed" ProgID="Equation.3" ShapeID="_x0000_i1066" DrawAspect="Content" ObjectID="_1436010455" r:id="rId87"/>
              </w:object>
            </w:r>
          </w:p>
        </w:tc>
        <w:tc>
          <w:tcPr>
            <w:tcW w:w="2340" w:type="dxa"/>
          </w:tcPr>
          <w:p w:rsidR="00552269" w:rsidRPr="005635D8" w:rsidRDefault="00552269" w:rsidP="00552269">
            <w:pPr>
              <w:pStyle w:val="Caption"/>
              <w:jc w:val="right"/>
              <w:rPr>
                <w:rFonts w:ascii="Calibri" w:hAnsi="Calibri"/>
                <w:b w:val="0"/>
                <w:lang w:val="en-GB"/>
              </w:rPr>
            </w:pPr>
            <w:r w:rsidRPr="005635D8">
              <w:rPr>
                <w:rFonts w:ascii="Calibri" w:hAnsi="Calibri"/>
                <w:b w:val="0"/>
                <w:lang w:val="en-GB"/>
              </w:rPr>
              <w:t xml:space="preserve">   Eq. </w:t>
            </w:r>
            <w:r w:rsidR="004A2AB3" w:rsidRPr="005635D8">
              <w:rPr>
                <w:rFonts w:ascii="Calibri" w:hAnsi="Calibri"/>
                <w:b w:val="0"/>
                <w:lang w:val="en-GB"/>
              </w:rPr>
              <w:fldChar w:fldCharType="begin"/>
            </w:r>
            <w:r w:rsidRPr="005635D8">
              <w:rPr>
                <w:rFonts w:ascii="Calibri" w:hAnsi="Calibri"/>
                <w:b w:val="0"/>
                <w:lang w:val="en-GB"/>
              </w:rPr>
              <w:instrText xml:space="preserve"> SEQ Eq. \* ARABIC </w:instrText>
            </w:r>
            <w:r w:rsidR="004A2AB3" w:rsidRPr="005635D8">
              <w:rPr>
                <w:rFonts w:ascii="Calibri" w:hAnsi="Calibri"/>
                <w:b w:val="0"/>
                <w:lang w:val="en-GB"/>
              </w:rPr>
              <w:fldChar w:fldCharType="separate"/>
            </w:r>
            <w:r w:rsidR="00C47BAC" w:rsidRPr="005635D8">
              <w:rPr>
                <w:rFonts w:ascii="Calibri" w:hAnsi="Calibri"/>
                <w:b w:val="0"/>
                <w:noProof/>
                <w:lang w:val="en-GB"/>
              </w:rPr>
              <w:t>3</w:t>
            </w:r>
            <w:r w:rsidR="004A2AB3" w:rsidRPr="005635D8">
              <w:rPr>
                <w:rFonts w:ascii="Calibri" w:hAnsi="Calibri"/>
                <w:b w:val="0"/>
                <w:lang w:val="en-GB"/>
              </w:rPr>
              <w:fldChar w:fldCharType="end"/>
            </w:r>
          </w:p>
          <w:p w:rsidR="00552269" w:rsidRPr="005635D8" w:rsidRDefault="00552269" w:rsidP="00552269">
            <w:pPr>
              <w:keepNext/>
              <w:rPr>
                <w:rFonts w:ascii="Calibri" w:hAnsi="Calibri"/>
                <w:lang w:val="en-GB"/>
              </w:rPr>
            </w:pPr>
          </w:p>
        </w:tc>
      </w:tr>
    </w:tbl>
    <w:p w:rsidR="00552269" w:rsidRPr="005635D8" w:rsidRDefault="00552269" w:rsidP="00552269">
      <w:pPr>
        <w:spacing w:line="360" w:lineRule="auto"/>
        <w:jc w:val="both"/>
        <w:rPr>
          <w:rFonts w:ascii="Calibri" w:hAnsi="Calibri"/>
          <w:position w:val="-12"/>
          <w:lang w:val="en-GB"/>
        </w:rPr>
      </w:pPr>
    </w:p>
    <w:p w:rsidR="00552269" w:rsidRPr="005635D8" w:rsidRDefault="00552269" w:rsidP="00552269">
      <w:pPr>
        <w:spacing w:line="360" w:lineRule="auto"/>
        <w:ind w:firstLine="284"/>
        <w:rPr>
          <w:rFonts w:ascii="Calibri" w:hAnsi="Calibri"/>
          <w:lang w:val="en-GB"/>
        </w:rPr>
      </w:pPr>
      <w:r w:rsidRPr="005635D8">
        <w:rPr>
          <w:rFonts w:ascii="Calibri" w:hAnsi="Calibri"/>
          <w:position w:val="-12"/>
          <w:lang w:val="en-GB"/>
        </w:rPr>
        <w:object w:dxaOrig="1300" w:dyaOrig="360">
          <v:shape id="_x0000_i1067" type="#_x0000_t75" style="width:65.25pt;height:18.75pt" o:ole="">
            <v:imagedata r:id="rId88" o:title=""/>
          </v:shape>
          <o:OLEObject Type="Embed" ProgID="Equation.3" ShapeID="_x0000_i1067" DrawAspect="Content" ObjectID="_1436010456" r:id="rId89"/>
        </w:object>
      </w:r>
      <w:r w:rsidRPr="005635D8">
        <w:rPr>
          <w:rFonts w:ascii="Calibri" w:hAnsi="Calibri"/>
          <w:lang w:val="en-GB"/>
        </w:rPr>
        <w:t xml:space="preserve">are the coefficient estimates of </w:t>
      </w:r>
      <w:r w:rsidRPr="005635D8">
        <w:rPr>
          <w:rFonts w:ascii="Calibri" w:hAnsi="Calibri"/>
          <w:position w:val="-12"/>
          <w:lang w:val="en-GB"/>
        </w:rPr>
        <w:object w:dxaOrig="1380" w:dyaOrig="360">
          <v:shape id="_x0000_i1068" type="#_x0000_t75" style="width:69.75pt;height:18.75pt" o:ole="">
            <v:imagedata r:id="rId90" o:title=""/>
          </v:shape>
          <o:OLEObject Type="Embed" ProgID="Equation.3" ShapeID="_x0000_i1068" DrawAspect="Content" ObjectID="_1436010457" r:id="rId91"/>
        </w:object>
      </w:r>
      <w:r w:rsidRPr="005635D8">
        <w:rPr>
          <w:rFonts w:ascii="Calibri" w:hAnsi="Calibri"/>
          <w:lang w:val="en-GB"/>
        </w:rPr>
        <w:t xml:space="preserve"> in </w:t>
      </w:r>
      <w:fldSimple w:instr=" REF _Ref310689391 \h  \* MERGEFORMAT ">
        <w:r w:rsidR="00C47BAC" w:rsidRPr="005635D8">
          <w:rPr>
            <w:rFonts w:ascii="Calibri" w:hAnsi="Calibri"/>
            <w:lang w:val="en-GB"/>
          </w:rPr>
          <w:t>Eq. 2</w:t>
        </w:r>
      </w:fldSimple>
      <w:r w:rsidRPr="005635D8">
        <w:rPr>
          <w:rFonts w:ascii="Calibri" w:hAnsi="Calibri"/>
          <w:lang w:val="en-GB"/>
        </w:rPr>
        <w:t>.</w:t>
      </w:r>
    </w:p>
    <w:p w:rsidR="007A20B0" w:rsidRPr="005635D8" w:rsidRDefault="007A20B0" w:rsidP="00552269">
      <w:pPr>
        <w:spacing w:line="360" w:lineRule="auto"/>
        <w:ind w:firstLine="284"/>
        <w:rPr>
          <w:rFonts w:ascii="Calibri" w:hAnsi="Calibri"/>
          <w:lang w:val="en-GB"/>
        </w:rPr>
      </w:pPr>
    </w:p>
    <w:p w:rsidR="00552269" w:rsidRPr="005635D8" w:rsidRDefault="00552269" w:rsidP="00552269">
      <w:pPr>
        <w:spacing w:line="360" w:lineRule="auto"/>
        <w:ind w:firstLine="284"/>
        <w:rPr>
          <w:rFonts w:ascii="Calibri" w:hAnsi="Calibri"/>
          <w:lang w:val="en-GB"/>
        </w:rPr>
      </w:pPr>
      <w:r w:rsidRPr="005635D8">
        <w:rPr>
          <w:rFonts w:ascii="Calibri" w:hAnsi="Calibri"/>
          <w:lang w:val="en-GB"/>
        </w:rPr>
        <w:t>The discretionary accruals are then designed by the formulation:</w:t>
      </w:r>
    </w:p>
    <w:tbl>
      <w:tblPr>
        <w:tblW w:w="0" w:type="auto"/>
        <w:jc w:val="center"/>
        <w:tblInd w:w="38" w:type="dxa"/>
        <w:tblLook w:val="01E0"/>
      </w:tblPr>
      <w:tblGrid>
        <w:gridCol w:w="8340"/>
        <w:gridCol w:w="852"/>
      </w:tblGrid>
      <w:tr w:rsidR="00552269" w:rsidRPr="005635D8" w:rsidTr="00552269">
        <w:trPr>
          <w:jc w:val="center"/>
        </w:trPr>
        <w:tc>
          <w:tcPr>
            <w:tcW w:w="8340" w:type="dxa"/>
          </w:tcPr>
          <w:p w:rsidR="00552269" w:rsidRPr="005635D8" w:rsidRDefault="00552269" w:rsidP="00552269">
            <w:pPr>
              <w:spacing w:line="360" w:lineRule="auto"/>
              <w:jc w:val="center"/>
              <w:rPr>
                <w:rFonts w:ascii="Calibri" w:hAnsi="Calibri"/>
                <w:lang w:val="en-GB"/>
              </w:rPr>
            </w:pPr>
            <w:r w:rsidRPr="005635D8">
              <w:rPr>
                <w:rFonts w:ascii="Calibri" w:hAnsi="Calibri"/>
                <w:position w:val="-32"/>
                <w:lang w:val="en-GB"/>
              </w:rPr>
              <w:object w:dxaOrig="3120" w:dyaOrig="720">
                <v:shape id="_x0000_i1069" type="#_x0000_t75" style="width:156pt;height:36.75pt" o:ole="">
                  <v:imagedata r:id="rId92" o:title=""/>
                </v:shape>
                <o:OLEObject Type="Embed" ProgID="Equation.3" ShapeID="_x0000_i1069" DrawAspect="Content" ObjectID="_1436010458" r:id="rId93"/>
              </w:object>
            </w:r>
          </w:p>
        </w:tc>
        <w:tc>
          <w:tcPr>
            <w:tcW w:w="852" w:type="dxa"/>
          </w:tcPr>
          <w:p w:rsidR="00552269" w:rsidRPr="005635D8" w:rsidRDefault="00552269" w:rsidP="00552269">
            <w:pPr>
              <w:pStyle w:val="Caption"/>
              <w:jc w:val="right"/>
              <w:rPr>
                <w:rFonts w:ascii="Calibri" w:hAnsi="Calibri"/>
                <w:b w:val="0"/>
                <w:lang w:val="en-GB"/>
              </w:rPr>
            </w:pPr>
            <w:bookmarkStart w:id="55" w:name="_Ref313907432"/>
            <w:r w:rsidRPr="005635D8">
              <w:rPr>
                <w:rFonts w:ascii="Calibri" w:hAnsi="Calibri"/>
                <w:b w:val="0"/>
                <w:lang w:val="en-GB"/>
              </w:rPr>
              <w:t xml:space="preserve">Eq. </w:t>
            </w:r>
            <w:r w:rsidR="004A2AB3" w:rsidRPr="005635D8">
              <w:rPr>
                <w:rFonts w:ascii="Calibri" w:hAnsi="Calibri"/>
                <w:b w:val="0"/>
                <w:lang w:val="en-GB"/>
              </w:rPr>
              <w:fldChar w:fldCharType="begin"/>
            </w:r>
            <w:r w:rsidRPr="005635D8">
              <w:rPr>
                <w:rFonts w:ascii="Calibri" w:hAnsi="Calibri"/>
                <w:b w:val="0"/>
                <w:lang w:val="en-GB"/>
              </w:rPr>
              <w:instrText xml:space="preserve"> SEQ Eq. \* ARABIC </w:instrText>
            </w:r>
            <w:r w:rsidR="004A2AB3" w:rsidRPr="005635D8">
              <w:rPr>
                <w:rFonts w:ascii="Calibri" w:hAnsi="Calibri"/>
                <w:b w:val="0"/>
                <w:lang w:val="en-GB"/>
              </w:rPr>
              <w:fldChar w:fldCharType="separate"/>
            </w:r>
            <w:r w:rsidR="00C47BAC" w:rsidRPr="005635D8">
              <w:rPr>
                <w:rFonts w:ascii="Calibri" w:hAnsi="Calibri"/>
                <w:b w:val="0"/>
                <w:noProof/>
                <w:lang w:val="en-GB"/>
              </w:rPr>
              <w:t>4</w:t>
            </w:r>
            <w:r w:rsidR="004A2AB3" w:rsidRPr="005635D8">
              <w:rPr>
                <w:rFonts w:ascii="Calibri" w:hAnsi="Calibri"/>
                <w:b w:val="0"/>
                <w:lang w:val="en-GB"/>
              </w:rPr>
              <w:fldChar w:fldCharType="end"/>
            </w:r>
            <w:bookmarkEnd w:id="55"/>
          </w:p>
        </w:tc>
      </w:tr>
    </w:tbl>
    <w:p w:rsidR="005A5964" w:rsidRPr="005635D8" w:rsidRDefault="005A5964" w:rsidP="001E4C5D">
      <w:pPr>
        <w:pStyle w:val="Heading3"/>
        <w:rPr>
          <w:lang w:val="en-GB"/>
        </w:rPr>
      </w:pPr>
    </w:p>
    <w:p w:rsidR="00C20D52" w:rsidRPr="005635D8" w:rsidRDefault="00923DD9" w:rsidP="001E4C5D">
      <w:pPr>
        <w:pStyle w:val="Heading3"/>
        <w:rPr>
          <w:lang w:val="en-GB"/>
        </w:rPr>
      </w:pPr>
      <w:bookmarkStart w:id="56" w:name="_Toc362267285"/>
      <w:r w:rsidRPr="005635D8">
        <w:rPr>
          <w:lang w:val="en-GB"/>
        </w:rPr>
        <w:t>5</w:t>
      </w:r>
      <w:r w:rsidR="004653A6" w:rsidRPr="005635D8">
        <w:rPr>
          <w:lang w:val="en-GB"/>
        </w:rPr>
        <w:t>.8</w:t>
      </w:r>
      <w:r w:rsidR="005A5964" w:rsidRPr="005635D8">
        <w:rPr>
          <w:lang w:val="en-GB"/>
        </w:rPr>
        <w:t xml:space="preserve"> </w:t>
      </w:r>
      <w:r w:rsidR="00C20D52" w:rsidRPr="005635D8">
        <w:rPr>
          <w:lang w:val="en-GB"/>
        </w:rPr>
        <w:t>Cross sectional and time series analysis</w:t>
      </w:r>
      <w:bookmarkEnd w:id="56"/>
    </w:p>
    <w:p w:rsidR="00251940" w:rsidRPr="005635D8" w:rsidRDefault="002E50C9" w:rsidP="00A66D66">
      <w:pPr>
        <w:autoSpaceDE w:val="0"/>
        <w:autoSpaceDN w:val="0"/>
        <w:adjustRightInd w:val="0"/>
        <w:spacing w:after="0"/>
        <w:jc w:val="both"/>
        <w:rPr>
          <w:rFonts w:ascii="Calibri" w:hAnsi="Calibri"/>
          <w:lang w:val="en-GB"/>
        </w:rPr>
      </w:pPr>
      <w:r w:rsidRPr="005635D8">
        <w:rPr>
          <w:rFonts w:ascii="Calibri" w:hAnsi="Calibri"/>
          <w:lang w:val="en-GB"/>
        </w:rPr>
        <w:t xml:space="preserve">The Jones Model and the Modified Jones Model were originally developed as time-series models. Time-series require that the data is firm specific over all the years of measurement in the whole measurement period of the model. </w:t>
      </w:r>
      <w:r w:rsidR="00F71079" w:rsidRPr="005635D8">
        <w:rPr>
          <w:rFonts w:ascii="Calibri" w:hAnsi="Calibri"/>
          <w:lang w:val="en-GB"/>
        </w:rPr>
        <w:t>Consequently</w:t>
      </w:r>
      <w:r w:rsidRPr="005635D8">
        <w:rPr>
          <w:rFonts w:ascii="Calibri" w:hAnsi="Calibri"/>
          <w:lang w:val="en-GB"/>
        </w:rPr>
        <w:t>, data from all the years of the measurement period has to be available of every firm included in the sample. This approach is said to possibly reduce the sample size and can be subject to survivorship bias</w:t>
      </w:r>
      <w:r w:rsidR="001506F0" w:rsidRPr="005635D8">
        <w:rPr>
          <w:rFonts w:ascii="Calibri" w:hAnsi="Calibri"/>
          <w:lang w:val="en-GB"/>
        </w:rPr>
        <w:t xml:space="preserve"> (Bartov et al. 2000, 6)</w:t>
      </w:r>
      <w:r w:rsidRPr="005635D8">
        <w:rPr>
          <w:rFonts w:ascii="Calibri" w:hAnsi="Calibri"/>
          <w:lang w:val="en-GB"/>
        </w:rPr>
        <w:t xml:space="preserve">.  </w:t>
      </w:r>
      <w:r w:rsidR="001506F0" w:rsidRPr="005635D8">
        <w:rPr>
          <w:rFonts w:ascii="Calibri" w:hAnsi="Calibri"/>
          <w:lang w:val="en-GB"/>
        </w:rPr>
        <w:t xml:space="preserve">Recently </w:t>
      </w:r>
      <w:r w:rsidR="00323D4C" w:rsidRPr="005635D8">
        <w:rPr>
          <w:rFonts w:ascii="Calibri" w:hAnsi="Calibri"/>
          <w:lang w:val="en-GB"/>
        </w:rPr>
        <w:t>in addition</w:t>
      </w:r>
      <w:r w:rsidR="001506F0" w:rsidRPr="005635D8">
        <w:rPr>
          <w:rFonts w:ascii="Calibri" w:hAnsi="Calibri"/>
          <w:lang w:val="en-GB"/>
        </w:rPr>
        <w:t xml:space="preserve"> the Cross-Sectional Jones Model and the Cross-Sectional Modified Jones Model were used. Those cross sectional models only used data that were industry and year specific rather than firm specific. For every year an equal sample of firms from a specific industry can be used to obtain data from that year. </w:t>
      </w:r>
      <w:r w:rsidR="001506F0" w:rsidRPr="005635D8">
        <w:rPr>
          <w:rFonts w:ascii="Calibri" w:hAnsi="Calibri" w:cs="TrebuchetMS"/>
          <w:lang w:val="en-GB"/>
        </w:rPr>
        <w:t>Using the</w:t>
      </w:r>
      <w:r w:rsidR="0087545A" w:rsidRPr="005635D8">
        <w:rPr>
          <w:rFonts w:ascii="Calibri" w:hAnsi="Calibri" w:cs="TrebuchetMS"/>
          <w:lang w:val="en-GB"/>
        </w:rPr>
        <w:t xml:space="preserve"> cross-sectional model brings forth</w:t>
      </w:r>
      <w:r w:rsidR="00A66D66" w:rsidRPr="005635D8">
        <w:rPr>
          <w:rFonts w:ascii="Calibri" w:hAnsi="Calibri" w:cs="TrebuchetMS"/>
          <w:lang w:val="en-GB"/>
        </w:rPr>
        <w:t xml:space="preserve"> that a</w:t>
      </w:r>
      <w:r w:rsidR="001506F0" w:rsidRPr="005635D8">
        <w:rPr>
          <w:rFonts w:ascii="Calibri" w:hAnsi="Calibri" w:cs="TrebuchetMS"/>
          <w:lang w:val="en-GB"/>
        </w:rPr>
        <w:t xml:space="preserve"> larger sample size</w:t>
      </w:r>
      <w:r w:rsidR="00A66D66" w:rsidRPr="005635D8">
        <w:rPr>
          <w:rFonts w:ascii="Calibri" w:hAnsi="Calibri" w:cs="TrebuchetMS"/>
          <w:lang w:val="en-GB"/>
        </w:rPr>
        <w:t xml:space="preserve"> can be used in the analysis. A larger sample size improves</w:t>
      </w:r>
      <w:r w:rsidR="001506F0" w:rsidRPr="005635D8">
        <w:rPr>
          <w:rFonts w:ascii="Calibri" w:hAnsi="Calibri" w:cs="TrebuchetMS"/>
          <w:lang w:val="en-GB"/>
        </w:rPr>
        <w:t xml:space="preserve"> both the efficienc</w:t>
      </w:r>
      <w:r w:rsidR="00A66D66" w:rsidRPr="005635D8">
        <w:rPr>
          <w:rFonts w:ascii="Calibri" w:hAnsi="Calibri" w:cs="TrebuchetMS"/>
          <w:lang w:val="en-GB"/>
        </w:rPr>
        <w:t>y and reliability of the findings</w:t>
      </w:r>
      <w:r w:rsidR="001506F0" w:rsidRPr="005635D8">
        <w:rPr>
          <w:rFonts w:ascii="Calibri" w:hAnsi="Calibri" w:cs="TrebuchetMS"/>
          <w:lang w:val="en-GB"/>
        </w:rPr>
        <w:t xml:space="preserve"> (Lippens 2010, 89)</w:t>
      </w:r>
      <w:r w:rsidR="00251940" w:rsidRPr="005635D8">
        <w:rPr>
          <w:rFonts w:ascii="Calibri" w:hAnsi="Calibri"/>
          <w:lang w:val="en-GB"/>
        </w:rPr>
        <w:t xml:space="preserve">. </w:t>
      </w:r>
      <w:r w:rsidR="004566F7" w:rsidRPr="005635D8">
        <w:rPr>
          <w:rFonts w:ascii="Calibri" w:hAnsi="Calibri"/>
          <w:lang w:val="en-GB"/>
        </w:rPr>
        <w:t xml:space="preserve">Bartov et al. (2000, 6) claim that </w:t>
      </w:r>
      <w:r w:rsidR="00F7109E" w:rsidRPr="005635D8">
        <w:rPr>
          <w:rFonts w:ascii="Calibri" w:hAnsi="Calibri"/>
          <w:lang w:val="en-GB"/>
        </w:rPr>
        <w:t>the Cross-Sectional Jones</w:t>
      </w:r>
      <w:r w:rsidR="004566F7" w:rsidRPr="005635D8">
        <w:rPr>
          <w:rFonts w:ascii="Calibri" w:hAnsi="Calibri"/>
          <w:lang w:val="en-GB"/>
        </w:rPr>
        <w:t xml:space="preserve"> </w:t>
      </w:r>
      <w:r w:rsidR="00F7109E" w:rsidRPr="005635D8">
        <w:rPr>
          <w:rFonts w:ascii="Calibri" w:hAnsi="Calibri"/>
          <w:lang w:val="en-GB"/>
        </w:rPr>
        <w:t>Model and the Cross-</w:t>
      </w:r>
      <w:r w:rsidR="004566F7" w:rsidRPr="005635D8">
        <w:rPr>
          <w:rFonts w:ascii="Calibri" w:hAnsi="Calibri"/>
          <w:lang w:val="en-GB"/>
        </w:rPr>
        <w:t>Sectional Modified Jones Model</w:t>
      </w:r>
      <w:r w:rsidR="00F7109E" w:rsidRPr="005635D8">
        <w:rPr>
          <w:rFonts w:ascii="Calibri" w:hAnsi="Calibri"/>
          <w:lang w:val="en-GB"/>
        </w:rPr>
        <w:t xml:space="preserve"> perform</w:t>
      </w:r>
      <w:r w:rsidR="004566F7" w:rsidRPr="005635D8">
        <w:rPr>
          <w:rFonts w:ascii="Calibri" w:hAnsi="Calibri"/>
          <w:lang w:val="en-GB"/>
        </w:rPr>
        <w:t xml:space="preserve"> </w:t>
      </w:r>
      <w:r w:rsidR="00F7109E" w:rsidRPr="005635D8">
        <w:rPr>
          <w:rFonts w:ascii="Calibri" w:hAnsi="Calibri"/>
          <w:lang w:val="en-GB"/>
        </w:rPr>
        <w:t>better than their time-series counterparts in detecting ear</w:t>
      </w:r>
      <w:r w:rsidR="004566F7" w:rsidRPr="005635D8">
        <w:rPr>
          <w:rFonts w:ascii="Calibri" w:hAnsi="Calibri"/>
          <w:lang w:val="en-GB"/>
        </w:rPr>
        <w:t xml:space="preserve">nings management. As it is easier to increase the sample size using cross sectional data this finding is particularly important when data sources are small. </w:t>
      </w:r>
    </w:p>
    <w:p w:rsidR="00352E51" w:rsidRPr="005635D8" w:rsidRDefault="00352E51" w:rsidP="00251940">
      <w:pPr>
        <w:jc w:val="both"/>
        <w:rPr>
          <w:rFonts w:ascii="Calibri" w:hAnsi="Calibri"/>
          <w:lang w:val="en-GB"/>
        </w:rPr>
      </w:pPr>
    </w:p>
    <w:p w:rsidR="00251940" w:rsidRPr="005635D8" w:rsidRDefault="00251940" w:rsidP="004E199C">
      <w:pPr>
        <w:jc w:val="both"/>
        <w:rPr>
          <w:rFonts w:ascii="Calibri" w:hAnsi="Calibri" w:cs="TrebuchetMS"/>
          <w:lang w:val="en-GB"/>
        </w:rPr>
      </w:pPr>
      <w:r w:rsidRPr="005635D8">
        <w:rPr>
          <w:rFonts w:ascii="Calibri" w:hAnsi="Calibri" w:cs="TrebuchetMS"/>
          <w:lang w:val="en-GB"/>
        </w:rPr>
        <w:t xml:space="preserve">However, the cross sectional model </w:t>
      </w:r>
      <w:r w:rsidR="00323D4C" w:rsidRPr="005635D8">
        <w:rPr>
          <w:rFonts w:ascii="Calibri" w:hAnsi="Calibri" w:cs="TrebuchetMS"/>
          <w:lang w:val="en-GB"/>
        </w:rPr>
        <w:t>in addition</w:t>
      </w:r>
      <w:r w:rsidRPr="005635D8">
        <w:rPr>
          <w:rFonts w:ascii="Calibri" w:hAnsi="Calibri" w:cs="TrebuchetMS"/>
          <w:lang w:val="en-GB"/>
        </w:rPr>
        <w:t xml:space="preserve"> received criticism. </w:t>
      </w:r>
      <w:r w:rsidR="004566F7" w:rsidRPr="005635D8">
        <w:rPr>
          <w:rFonts w:ascii="Calibri" w:hAnsi="Calibri" w:cs="TrebuchetMS"/>
          <w:lang w:val="en-GB"/>
        </w:rPr>
        <w:t xml:space="preserve">In the case that the researchers </w:t>
      </w:r>
      <w:r w:rsidR="00996161" w:rsidRPr="005635D8">
        <w:rPr>
          <w:rFonts w:ascii="Calibri" w:hAnsi="Calibri" w:cs="TrebuchetMS"/>
          <w:lang w:val="en-GB"/>
        </w:rPr>
        <w:t>focuses</w:t>
      </w:r>
      <w:r w:rsidR="004566F7" w:rsidRPr="005635D8">
        <w:rPr>
          <w:rFonts w:ascii="Calibri" w:hAnsi="Calibri" w:cs="TrebuchetMS"/>
          <w:lang w:val="en-GB"/>
        </w:rPr>
        <w:t xml:space="preserve"> on the effect of the introduction of a certain measure on earnings management of the same group of firms before and after the event the time-series design will be more appropriate.</w:t>
      </w:r>
      <w:r w:rsidRPr="005635D8">
        <w:rPr>
          <w:rFonts w:ascii="Calibri" w:hAnsi="Calibri" w:cs="TrebuchetMS"/>
          <w:lang w:val="en-GB"/>
        </w:rPr>
        <w:t xml:space="preserve"> , The possible difference in results might be biased when the sample of the two periods is not the same. McNichols (2000, 324) </w:t>
      </w:r>
      <w:r w:rsidR="00A5758B" w:rsidRPr="005635D8">
        <w:rPr>
          <w:rFonts w:ascii="Calibri" w:hAnsi="Calibri" w:cs="TrebuchetMS"/>
          <w:lang w:val="en-GB"/>
        </w:rPr>
        <w:t>signalled</w:t>
      </w:r>
      <w:r w:rsidRPr="005635D8">
        <w:rPr>
          <w:rFonts w:ascii="Calibri" w:hAnsi="Calibri" w:cs="TrebuchetMS"/>
          <w:lang w:val="en-GB"/>
        </w:rPr>
        <w:t xml:space="preserve"> that the cross sectional model “may well overstate the magnitude of non-discretionary accruals and understate the magnitude of discretionary accruals, because industry-level controls include the average level of discretion exercised by the industry." </w:t>
      </w:r>
    </w:p>
    <w:p w:rsidR="005A5964" w:rsidRPr="005635D8" w:rsidRDefault="005A5964" w:rsidP="001E4C5D">
      <w:pPr>
        <w:pStyle w:val="Heading3"/>
        <w:rPr>
          <w:lang w:val="en-GB"/>
        </w:rPr>
      </w:pPr>
    </w:p>
    <w:p w:rsidR="00F70C0F" w:rsidRPr="005635D8" w:rsidRDefault="00923DD9" w:rsidP="001E4C5D">
      <w:pPr>
        <w:pStyle w:val="Heading3"/>
        <w:rPr>
          <w:lang w:val="en-GB"/>
        </w:rPr>
      </w:pPr>
      <w:bookmarkStart w:id="57" w:name="_Toc362267286"/>
      <w:r w:rsidRPr="005635D8">
        <w:rPr>
          <w:lang w:val="en-GB"/>
        </w:rPr>
        <w:t>5</w:t>
      </w:r>
      <w:r w:rsidR="004653A6" w:rsidRPr="005635D8">
        <w:rPr>
          <w:lang w:val="en-GB"/>
        </w:rPr>
        <w:t>.9</w:t>
      </w:r>
      <w:r w:rsidR="005A5964" w:rsidRPr="005635D8">
        <w:rPr>
          <w:lang w:val="en-GB"/>
        </w:rPr>
        <w:t xml:space="preserve"> </w:t>
      </w:r>
      <w:r w:rsidR="00F70C0F" w:rsidRPr="005635D8">
        <w:rPr>
          <w:lang w:val="en-GB"/>
        </w:rPr>
        <w:t>Explanatory power of the models</w:t>
      </w:r>
      <w:bookmarkEnd w:id="57"/>
    </w:p>
    <w:p w:rsidR="00F70C0F" w:rsidRPr="005635D8" w:rsidRDefault="00CB4ECC" w:rsidP="004E199C">
      <w:pPr>
        <w:autoSpaceDE w:val="0"/>
        <w:autoSpaceDN w:val="0"/>
        <w:adjustRightInd w:val="0"/>
        <w:spacing w:after="0"/>
        <w:jc w:val="both"/>
        <w:rPr>
          <w:rFonts w:ascii="Calibri" w:hAnsi="Calibri" w:cs="Times New Roman"/>
          <w:lang w:val="en-GB" w:eastAsia="zh-TW"/>
        </w:rPr>
      </w:pPr>
      <w:r w:rsidRPr="005635D8">
        <w:rPr>
          <w:rFonts w:ascii="Calibri" w:hAnsi="Calibri"/>
          <w:lang w:val="en-GB"/>
        </w:rPr>
        <w:t xml:space="preserve">Several studies tested differences between, or at least stated preferences for one of the models to measure discretionary accruals and </w:t>
      </w:r>
      <w:r w:rsidR="00C456CE" w:rsidRPr="005635D8">
        <w:rPr>
          <w:rFonts w:ascii="Calibri" w:hAnsi="Calibri"/>
          <w:lang w:val="en-GB"/>
        </w:rPr>
        <w:t>consequently</w:t>
      </w:r>
      <w:r w:rsidRPr="005635D8">
        <w:rPr>
          <w:rFonts w:ascii="Calibri" w:hAnsi="Calibri"/>
          <w:lang w:val="en-GB"/>
        </w:rPr>
        <w:t xml:space="preserve"> earnings management. Most articles argue in </w:t>
      </w:r>
      <w:r w:rsidR="00996161" w:rsidRPr="005635D8">
        <w:rPr>
          <w:rFonts w:ascii="Calibri" w:hAnsi="Calibri"/>
          <w:lang w:val="en-GB"/>
        </w:rPr>
        <w:t>favour</w:t>
      </w:r>
      <w:r w:rsidRPr="005635D8">
        <w:rPr>
          <w:rFonts w:ascii="Calibri" w:hAnsi="Calibri"/>
          <w:lang w:val="en-GB"/>
        </w:rPr>
        <w:t xml:space="preserve"> of the Modified Jones Model. Dechow et al. (1995) conclude that they cannot provide evidence that one particular model would be clearly preferable.  Instead, they conclude that the most fitting model would be either the modified Jones-Model. Bartov et al. (2000, 1) state that the Modified Jones Model provides the most powerful test of earnings management. Stolowy (2004) confirmed this by stating that the Modified-Jones-model has the most explanatory power.</w:t>
      </w:r>
      <w:r w:rsidR="004E199C" w:rsidRPr="005635D8">
        <w:rPr>
          <w:rFonts w:ascii="Calibri" w:hAnsi="Calibri"/>
          <w:lang w:val="en-GB" w:eastAsia="zh-TW"/>
        </w:rPr>
        <w:t xml:space="preserve"> </w:t>
      </w:r>
      <w:r w:rsidR="004E199C" w:rsidRPr="005635D8">
        <w:rPr>
          <w:rFonts w:ascii="Calibri" w:hAnsi="Calibri"/>
          <w:lang w:val="en-GB"/>
        </w:rPr>
        <w:t xml:space="preserve">Guay et al. </w:t>
      </w:r>
      <w:r w:rsidR="004E199C" w:rsidRPr="005635D8">
        <w:rPr>
          <w:rFonts w:ascii="Calibri" w:hAnsi="Calibri"/>
          <w:lang w:val="en-GB" w:eastAsia="zh-TW"/>
        </w:rPr>
        <w:t xml:space="preserve">(1996, </w:t>
      </w:r>
      <w:r w:rsidR="004E199C" w:rsidRPr="005635D8">
        <w:rPr>
          <w:rFonts w:ascii="Calibri" w:hAnsi="Calibri"/>
          <w:lang w:val="en-GB"/>
        </w:rPr>
        <w:t>104)</w:t>
      </w:r>
      <w:r w:rsidR="004E199C" w:rsidRPr="005635D8">
        <w:rPr>
          <w:rFonts w:ascii="Calibri" w:hAnsi="Calibri"/>
          <w:lang w:val="en-GB" w:eastAsia="zh-TW"/>
        </w:rPr>
        <w:t xml:space="preserve"> say that they cannot distinguish the Healy and the De Angelo model from a model that randomly splits accruals into discretionary and non-discretionary accruals. They conclude that only the Jones model and the Modified Jones model </w:t>
      </w:r>
      <w:r w:rsidR="004E199C" w:rsidRPr="005635D8">
        <w:rPr>
          <w:rFonts w:ascii="Calibri" w:hAnsi="Calibri" w:cs="Times New Roman"/>
          <w:lang w:val="en-GB"/>
        </w:rPr>
        <w:t>appear to</w:t>
      </w:r>
      <w:r w:rsidR="004E199C" w:rsidRPr="005635D8">
        <w:rPr>
          <w:rFonts w:ascii="Calibri" w:hAnsi="Calibri" w:cs="Times New Roman"/>
          <w:lang w:val="en-GB" w:eastAsia="zh-TW"/>
        </w:rPr>
        <w:t xml:space="preserve"> </w:t>
      </w:r>
      <w:r w:rsidR="004E199C" w:rsidRPr="005635D8">
        <w:rPr>
          <w:rFonts w:ascii="Calibri" w:hAnsi="Calibri" w:cs="Times New Roman"/>
          <w:lang w:val="en-GB"/>
        </w:rPr>
        <w:t>have the potential to provide reliable estimates of discretionary accruals</w:t>
      </w:r>
      <w:r w:rsidR="004E199C" w:rsidRPr="005635D8">
        <w:rPr>
          <w:rFonts w:ascii="Calibri" w:hAnsi="Calibri" w:cs="Times New Roman"/>
          <w:lang w:val="en-GB" w:eastAsia="zh-TW"/>
        </w:rPr>
        <w:t>.</w:t>
      </w:r>
    </w:p>
    <w:p w:rsidR="00F70C0F" w:rsidRPr="005635D8" w:rsidRDefault="00F70C0F" w:rsidP="00621ABD">
      <w:pPr>
        <w:pStyle w:val="Heading2"/>
        <w:rPr>
          <w:lang w:val="en-GB"/>
        </w:rPr>
      </w:pPr>
    </w:p>
    <w:p w:rsidR="00C20D52" w:rsidRPr="005635D8" w:rsidRDefault="00923DD9" w:rsidP="001E4C5D">
      <w:pPr>
        <w:pStyle w:val="Heading3"/>
        <w:rPr>
          <w:lang w:val="en-GB"/>
        </w:rPr>
      </w:pPr>
      <w:bookmarkStart w:id="58" w:name="_Toc362267287"/>
      <w:r w:rsidRPr="005635D8">
        <w:rPr>
          <w:lang w:val="en-GB"/>
        </w:rPr>
        <w:t>5</w:t>
      </w:r>
      <w:r w:rsidR="004653A6" w:rsidRPr="005635D8">
        <w:rPr>
          <w:lang w:val="en-GB"/>
        </w:rPr>
        <w:t>.10</w:t>
      </w:r>
      <w:r w:rsidR="004E199C" w:rsidRPr="005635D8">
        <w:rPr>
          <w:lang w:val="en-GB"/>
        </w:rPr>
        <w:t xml:space="preserve"> </w:t>
      </w:r>
      <w:r w:rsidR="00C20D52" w:rsidRPr="005635D8">
        <w:rPr>
          <w:lang w:val="en-GB"/>
        </w:rPr>
        <w:t>Summary</w:t>
      </w:r>
      <w:bookmarkEnd w:id="58"/>
      <w:r w:rsidR="00C20D52" w:rsidRPr="005635D8">
        <w:rPr>
          <w:lang w:val="en-GB"/>
        </w:rPr>
        <w:t xml:space="preserve"> </w:t>
      </w:r>
    </w:p>
    <w:p w:rsidR="00F275B9" w:rsidRPr="005635D8" w:rsidRDefault="00820827" w:rsidP="00FB3B32">
      <w:pPr>
        <w:autoSpaceDE w:val="0"/>
        <w:autoSpaceDN w:val="0"/>
        <w:adjustRightInd w:val="0"/>
        <w:spacing w:after="0"/>
        <w:jc w:val="both"/>
        <w:rPr>
          <w:rFonts w:ascii="Calibri" w:hAnsi="Calibri" w:cs="Times New Roman"/>
          <w:lang w:val="en-GB"/>
        </w:rPr>
      </w:pPr>
      <w:r w:rsidRPr="005635D8">
        <w:rPr>
          <w:rFonts w:ascii="Calibri" w:hAnsi="Calibri" w:cs="Times New Roman"/>
          <w:lang w:val="en-GB"/>
        </w:rPr>
        <w:t xml:space="preserve">This chapter started with an explanation of the concept of accruals on which accruals-based earnings management is based. </w:t>
      </w:r>
      <w:r w:rsidR="00F275B9" w:rsidRPr="005635D8">
        <w:rPr>
          <w:rFonts w:ascii="Calibri" w:hAnsi="Calibri" w:cs="Times New Roman"/>
          <w:lang w:val="en-GB"/>
        </w:rPr>
        <w:t>Accruals are accounts on a balance sheet that represent liabilities and non-cash-based assets.</w:t>
      </w:r>
      <w:r w:rsidRPr="005635D8">
        <w:rPr>
          <w:rFonts w:ascii="Calibri" w:hAnsi="Calibri" w:cs="Times New Roman"/>
          <w:lang w:val="en-GB"/>
        </w:rPr>
        <w:t xml:space="preserve"> </w:t>
      </w:r>
      <w:r w:rsidR="00F275B9" w:rsidRPr="005635D8">
        <w:rPr>
          <w:rFonts w:ascii="Calibri" w:hAnsi="Calibri" w:cs="Times New Roman"/>
          <w:lang w:val="en-GB"/>
        </w:rPr>
        <w:t>Accrual based accounting exists when there is a difference between the moment that a certain service is delivered and the moment of payment. As computing the change in accruals often involves great deal</w:t>
      </w:r>
      <w:r w:rsidR="00C456CE" w:rsidRPr="005635D8">
        <w:rPr>
          <w:rFonts w:ascii="Calibri" w:hAnsi="Calibri" w:cs="Times New Roman"/>
          <w:lang w:val="en-GB"/>
        </w:rPr>
        <w:t>s</w:t>
      </w:r>
      <w:r w:rsidR="00F275B9" w:rsidRPr="005635D8">
        <w:rPr>
          <w:rFonts w:ascii="Calibri" w:hAnsi="Calibri" w:cs="Times New Roman"/>
          <w:lang w:val="en-GB"/>
        </w:rPr>
        <w:t xml:space="preserve"> of discretion</w:t>
      </w:r>
      <w:r w:rsidR="007E1A16" w:rsidRPr="005635D8">
        <w:rPr>
          <w:rFonts w:ascii="Calibri" w:hAnsi="Calibri" w:cs="Times New Roman"/>
          <w:lang w:val="en-GB"/>
        </w:rPr>
        <w:t>,</w:t>
      </w:r>
      <w:r w:rsidR="00F275B9" w:rsidRPr="005635D8">
        <w:rPr>
          <w:rFonts w:ascii="Calibri" w:hAnsi="Calibri" w:cs="Times New Roman"/>
          <w:lang w:val="en-GB"/>
        </w:rPr>
        <w:t xml:space="preserve"> managers have the opportunities to influence the accruals and thereby engage themselves in earnings management. Especially discretionary accruals are subject to influence </w:t>
      </w:r>
      <w:r w:rsidR="007E1A16" w:rsidRPr="005635D8">
        <w:rPr>
          <w:rFonts w:ascii="Calibri" w:hAnsi="Calibri" w:cs="Times New Roman"/>
          <w:lang w:val="en-GB"/>
        </w:rPr>
        <w:t>practices by managers.</w:t>
      </w:r>
      <w:r w:rsidR="00F275B9" w:rsidRPr="005635D8">
        <w:rPr>
          <w:rFonts w:ascii="Calibri" w:hAnsi="Calibri" w:cs="Times New Roman"/>
          <w:lang w:val="en-GB"/>
        </w:rPr>
        <w:t xml:space="preserve"> Discretionary accruals are distinguished from non-discretionary accruals which are commonly resulting from business operations and the accrual-based accounting in general. The discretionary accruals are then the set of accounting decisions with regard to accruals selected by managers </w:t>
      </w:r>
    </w:p>
    <w:p w:rsidR="00F275B9" w:rsidRPr="005635D8" w:rsidRDefault="00F275B9" w:rsidP="00FB3B32">
      <w:pPr>
        <w:autoSpaceDE w:val="0"/>
        <w:autoSpaceDN w:val="0"/>
        <w:adjustRightInd w:val="0"/>
        <w:spacing w:after="0"/>
        <w:jc w:val="both"/>
        <w:rPr>
          <w:rFonts w:ascii="Calibri" w:hAnsi="Calibri" w:cs="Times New Roman"/>
          <w:lang w:val="en-GB"/>
        </w:rPr>
      </w:pPr>
    </w:p>
    <w:p w:rsidR="00F275B9" w:rsidRPr="005635D8" w:rsidRDefault="00F275B9" w:rsidP="00FB3B32">
      <w:pPr>
        <w:autoSpaceDE w:val="0"/>
        <w:autoSpaceDN w:val="0"/>
        <w:adjustRightInd w:val="0"/>
        <w:spacing w:after="0"/>
        <w:jc w:val="both"/>
        <w:rPr>
          <w:rFonts w:ascii="Calibri" w:hAnsi="Calibri" w:cs="Times New Roman"/>
          <w:lang w:val="en-GB"/>
        </w:rPr>
      </w:pPr>
      <w:r w:rsidRPr="005635D8">
        <w:rPr>
          <w:rFonts w:ascii="Calibri" w:hAnsi="Calibri" w:cs="Times New Roman"/>
          <w:lang w:val="en-GB"/>
        </w:rPr>
        <w:t xml:space="preserve">As discretionary accruals serve as a proxy for earnings management it is this concept that several models want to estimate in order to detect the use of earnings management. Discretionary accruals can be estimated by subtracting the non-discretionary accruals from the total accruals. The values for total accruals and </w:t>
      </w:r>
      <w:r w:rsidR="00E36067" w:rsidRPr="005635D8">
        <w:rPr>
          <w:rFonts w:ascii="Calibri" w:hAnsi="Calibri" w:cs="Times New Roman"/>
          <w:lang w:val="en-GB"/>
        </w:rPr>
        <w:t>non-discretionary accruals can be estimated on the basis of existing data on the financial parameters of the firms. The Healy model and the DeAngelo model estimate non-discretionary accruals</w:t>
      </w:r>
      <w:r w:rsidR="00E36067" w:rsidRPr="005635D8">
        <w:rPr>
          <w:rFonts w:ascii="Calibri" w:hAnsi="Calibri"/>
          <w:b/>
          <w:bCs/>
          <w:lang w:val="en-GB" w:eastAsia="zh-TW"/>
        </w:rPr>
        <w:t xml:space="preserve"> </w:t>
      </w:r>
      <w:r w:rsidR="00E36067" w:rsidRPr="005635D8">
        <w:rPr>
          <w:rFonts w:ascii="Calibri" w:hAnsi="Calibri" w:cs="Times New Roman"/>
          <w:lang w:val="en-GB"/>
        </w:rPr>
        <w:t xml:space="preserve">by estimating deviations from normal levels of accruals. However, those models are not considered to be accurate anymore as they assume that non-discretionary accruals are constant over time. The more recently developed Jones model overcame this problem by incorporating the influence of gross property, plant, equipment and the change in revenues on the magnitude of non-discretionary accruals. The Modified Jones Model further added the change in receivables to the equation. A cross sectional and a time series variant exist of the last two models. Both variants have advantages and disadvantages. The explanatory power of the Modified Jones Model is supposed to be most reliable according to some comparative studies on the performance of the different models. </w:t>
      </w:r>
      <w:r w:rsidRPr="005635D8">
        <w:rPr>
          <w:rFonts w:ascii="Calibri" w:hAnsi="Calibri" w:cs="Times New Roman"/>
          <w:lang w:val="en-GB"/>
        </w:rPr>
        <w:t xml:space="preserve"> </w:t>
      </w:r>
    </w:p>
    <w:p w:rsidR="00A009EF" w:rsidRPr="005635D8" w:rsidRDefault="00A009EF" w:rsidP="00FB3B32">
      <w:pPr>
        <w:autoSpaceDE w:val="0"/>
        <w:autoSpaceDN w:val="0"/>
        <w:adjustRightInd w:val="0"/>
        <w:spacing w:after="0"/>
        <w:jc w:val="both"/>
        <w:rPr>
          <w:rFonts w:ascii="Calibri" w:hAnsi="Calibri"/>
          <w:b/>
          <w:bCs/>
          <w:sz w:val="32"/>
          <w:szCs w:val="32"/>
          <w:lang w:val="en-GB"/>
        </w:rPr>
      </w:pPr>
      <w:r w:rsidRPr="005635D8">
        <w:rPr>
          <w:rFonts w:ascii="Calibri" w:hAnsi="Calibri" w:cs="Times New Roman"/>
          <w:sz w:val="24"/>
          <w:szCs w:val="24"/>
          <w:lang w:val="en-GB"/>
        </w:rPr>
        <w:br w:type="page"/>
      </w:r>
    </w:p>
    <w:p w:rsidR="00C20D52" w:rsidRPr="005635D8" w:rsidRDefault="00923DD9" w:rsidP="00FB3B32">
      <w:pPr>
        <w:pStyle w:val="Heading1"/>
      </w:pPr>
      <w:bookmarkStart w:id="59" w:name="_Toc362267288"/>
      <w:r w:rsidRPr="005635D8">
        <w:t>6</w:t>
      </w:r>
      <w:r w:rsidR="0098721B" w:rsidRPr="005635D8">
        <w:t xml:space="preserve"> </w:t>
      </w:r>
      <w:r w:rsidR="00C20D52" w:rsidRPr="005635D8">
        <w:t>Prior research</w:t>
      </w:r>
      <w:bookmarkEnd w:id="59"/>
    </w:p>
    <w:p w:rsidR="007A20B0" w:rsidRPr="005635D8" w:rsidRDefault="007A20B0" w:rsidP="00EC2EB9">
      <w:pPr>
        <w:jc w:val="both"/>
        <w:rPr>
          <w:rFonts w:ascii="Calibri" w:hAnsi="Calibri"/>
          <w:lang w:val="en-GB"/>
        </w:rPr>
      </w:pPr>
      <w:bookmarkStart w:id="60" w:name="_Toc359925042"/>
    </w:p>
    <w:p w:rsidR="00166423" w:rsidRPr="005635D8" w:rsidRDefault="00033379" w:rsidP="00EC2EB9">
      <w:pPr>
        <w:jc w:val="both"/>
        <w:rPr>
          <w:rFonts w:ascii="Calibri" w:hAnsi="Calibri"/>
          <w:lang w:val="en-GB"/>
        </w:rPr>
      </w:pPr>
      <w:r w:rsidRPr="005635D8">
        <w:rPr>
          <w:rFonts w:ascii="Calibri" w:hAnsi="Calibri"/>
          <w:lang w:val="en-GB"/>
        </w:rPr>
        <w:t xml:space="preserve">In this study the influence of the introduction of IFRS on earnings management among Dutch firms listed at the AEX </w:t>
      </w:r>
      <w:r w:rsidR="00597FF9" w:rsidRPr="005635D8">
        <w:rPr>
          <w:rFonts w:ascii="Calibri" w:hAnsi="Calibri"/>
          <w:lang w:val="en-GB"/>
        </w:rPr>
        <w:t xml:space="preserve">and AMX </w:t>
      </w:r>
      <w:r w:rsidRPr="005635D8">
        <w:rPr>
          <w:rFonts w:ascii="Calibri" w:hAnsi="Calibri"/>
          <w:lang w:val="en-GB"/>
        </w:rPr>
        <w:t xml:space="preserve">index will be studied. However, this will not be the first study that looks at the effect of the introduction of IFRS on levels of earnings management. This chapter provides an overview of prior empirical research investigating the effect of introducing IFRS on levels of earnings management. Doing </w:t>
      </w:r>
      <w:r w:rsidR="00F71079" w:rsidRPr="005635D8">
        <w:rPr>
          <w:rFonts w:ascii="Calibri" w:hAnsi="Calibri"/>
          <w:lang w:val="en-GB"/>
        </w:rPr>
        <w:t>consequently</w:t>
      </w:r>
      <w:r w:rsidRPr="005635D8">
        <w:rPr>
          <w:rFonts w:ascii="Calibri" w:hAnsi="Calibri"/>
          <w:lang w:val="en-GB"/>
        </w:rPr>
        <w:t xml:space="preserve"> will provide a further context wherein which the own results of this study can be placed. </w:t>
      </w:r>
      <w:r w:rsidR="00166423" w:rsidRPr="005635D8">
        <w:rPr>
          <w:rFonts w:ascii="Calibri" w:hAnsi="Calibri"/>
          <w:lang w:val="en-GB"/>
        </w:rPr>
        <w:t xml:space="preserve">Many extensive studies at the magnitude of the use of earnings management and the methods to estimate the use of earnings management exist. </w:t>
      </w:r>
      <w:r w:rsidR="00EC2EB9" w:rsidRPr="005635D8">
        <w:rPr>
          <w:rFonts w:ascii="Calibri" w:hAnsi="Calibri"/>
          <w:lang w:val="en-GB"/>
        </w:rPr>
        <w:t xml:space="preserve">However, as the central research question </w:t>
      </w:r>
      <w:r w:rsidR="00996161" w:rsidRPr="005635D8">
        <w:rPr>
          <w:rFonts w:ascii="Calibri" w:hAnsi="Calibri"/>
          <w:lang w:val="en-GB"/>
        </w:rPr>
        <w:t>focuses</w:t>
      </w:r>
      <w:r w:rsidR="00EC2EB9" w:rsidRPr="005635D8">
        <w:rPr>
          <w:rFonts w:ascii="Calibri" w:hAnsi="Calibri"/>
          <w:lang w:val="en-GB"/>
        </w:rPr>
        <w:t xml:space="preserve"> on the effect of adopting IFRS on the use of earnings management this literature overview </w:t>
      </w:r>
      <w:r w:rsidR="00996161" w:rsidRPr="005635D8">
        <w:rPr>
          <w:rFonts w:ascii="Calibri" w:hAnsi="Calibri"/>
          <w:lang w:val="en-GB"/>
        </w:rPr>
        <w:t>focuses</w:t>
      </w:r>
      <w:r w:rsidR="00EC2EB9" w:rsidRPr="005635D8">
        <w:rPr>
          <w:rFonts w:ascii="Calibri" w:hAnsi="Calibri"/>
          <w:lang w:val="en-GB"/>
        </w:rPr>
        <w:t xml:space="preserve"> explicitly on other studies who investigated this relationship. The objective of this literature review was to describe the objectives, sample, methods and findings of articles which are most similar to this study in terms of the object of study, period of study and methodology. </w:t>
      </w:r>
      <w:r w:rsidR="00C456CE" w:rsidRPr="005635D8">
        <w:rPr>
          <w:rFonts w:ascii="Calibri" w:hAnsi="Calibri"/>
          <w:lang w:val="en-GB"/>
        </w:rPr>
        <w:t xml:space="preserve">Based on </w:t>
      </w:r>
      <w:r w:rsidR="00EC2EB9" w:rsidRPr="005635D8">
        <w:rPr>
          <w:rFonts w:ascii="Calibri" w:hAnsi="Calibri"/>
          <w:lang w:val="en-GB"/>
        </w:rPr>
        <w:t>th</w:t>
      </w:r>
      <w:r w:rsidR="00640F0E" w:rsidRPr="005635D8">
        <w:rPr>
          <w:rFonts w:ascii="Calibri" w:hAnsi="Calibri"/>
          <w:lang w:val="en-GB"/>
        </w:rPr>
        <w:t xml:space="preserve">ese </w:t>
      </w:r>
      <w:r w:rsidR="00EC2EB9" w:rsidRPr="005635D8">
        <w:rPr>
          <w:rFonts w:ascii="Calibri" w:hAnsi="Calibri"/>
          <w:lang w:val="en-GB"/>
        </w:rPr>
        <w:t xml:space="preserve">specific studies the results of the empirical analysis of this </w:t>
      </w:r>
      <w:r w:rsidR="00640F0E" w:rsidRPr="005635D8">
        <w:rPr>
          <w:rFonts w:ascii="Calibri" w:hAnsi="Calibri"/>
          <w:lang w:val="en-GB"/>
        </w:rPr>
        <w:t xml:space="preserve">thesis are </w:t>
      </w:r>
      <w:r w:rsidR="00EC2EB9" w:rsidRPr="005635D8">
        <w:rPr>
          <w:rFonts w:ascii="Calibri" w:hAnsi="Calibri"/>
          <w:lang w:val="en-GB"/>
        </w:rPr>
        <w:t xml:space="preserve">comparable with previous findings. </w:t>
      </w:r>
    </w:p>
    <w:p w:rsidR="00033379" w:rsidRPr="005635D8" w:rsidRDefault="00EC2EB9" w:rsidP="00CA0507">
      <w:pPr>
        <w:jc w:val="both"/>
        <w:rPr>
          <w:rFonts w:ascii="Calibri" w:hAnsi="Calibri"/>
          <w:lang w:val="en-GB"/>
        </w:rPr>
      </w:pPr>
      <w:r w:rsidRPr="005635D8">
        <w:rPr>
          <w:rFonts w:ascii="Calibri" w:hAnsi="Calibri"/>
          <w:lang w:val="en-GB"/>
        </w:rPr>
        <w:t xml:space="preserve">The first criteria for articles to </w:t>
      </w:r>
      <w:r w:rsidR="00640F0E" w:rsidRPr="005635D8">
        <w:rPr>
          <w:rFonts w:ascii="Calibri" w:hAnsi="Calibri"/>
          <w:lang w:val="en-GB"/>
        </w:rPr>
        <w:t xml:space="preserve">use </w:t>
      </w:r>
      <w:r w:rsidRPr="005635D8">
        <w:rPr>
          <w:rFonts w:ascii="Calibri" w:hAnsi="Calibri"/>
          <w:lang w:val="en-GB"/>
        </w:rPr>
        <w:t xml:space="preserve">in this review </w:t>
      </w:r>
      <w:r w:rsidR="00640F0E" w:rsidRPr="005635D8">
        <w:rPr>
          <w:rFonts w:ascii="Calibri" w:hAnsi="Calibri"/>
          <w:lang w:val="en-GB"/>
        </w:rPr>
        <w:t xml:space="preserve">were </w:t>
      </w:r>
      <w:r w:rsidRPr="005635D8">
        <w:rPr>
          <w:rFonts w:ascii="Calibri" w:hAnsi="Calibri"/>
          <w:lang w:val="en-GB"/>
        </w:rPr>
        <w:t xml:space="preserve">that they especially focused on the mandatory introduction of IFRS in 2005 as </w:t>
      </w:r>
      <w:r w:rsidR="00640F0E" w:rsidRPr="005635D8">
        <w:rPr>
          <w:rFonts w:ascii="Calibri" w:hAnsi="Calibri"/>
          <w:lang w:val="en-GB"/>
        </w:rPr>
        <w:t xml:space="preserve">in addition is in </w:t>
      </w:r>
      <w:r w:rsidRPr="005635D8">
        <w:rPr>
          <w:rFonts w:ascii="Calibri" w:hAnsi="Calibri"/>
          <w:lang w:val="en-GB"/>
        </w:rPr>
        <w:t xml:space="preserve">this </w:t>
      </w:r>
      <w:r w:rsidR="009B2F53" w:rsidRPr="005635D8">
        <w:rPr>
          <w:rFonts w:ascii="Calibri" w:hAnsi="Calibri"/>
          <w:lang w:val="en-GB"/>
        </w:rPr>
        <w:t>thesis</w:t>
      </w:r>
      <w:r w:rsidRPr="005635D8">
        <w:rPr>
          <w:rFonts w:ascii="Calibri" w:hAnsi="Calibri"/>
          <w:lang w:val="en-GB"/>
        </w:rPr>
        <w:t xml:space="preserve">. However, only a  limited number of articles reported findings regarding the mandatory introduction of IFRS in 2005. All </w:t>
      </w:r>
      <w:r w:rsidR="00640F0E" w:rsidRPr="005635D8">
        <w:rPr>
          <w:rFonts w:ascii="Calibri" w:hAnsi="Calibri"/>
          <w:lang w:val="en-GB"/>
        </w:rPr>
        <w:t xml:space="preserve">these </w:t>
      </w:r>
      <w:r w:rsidRPr="005635D8">
        <w:rPr>
          <w:rFonts w:ascii="Calibri" w:hAnsi="Calibri"/>
          <w:lang w:val="en-GB"/>
        </w:rPr>
        <w:t xml:space="preserve">articles are included in the review. </w:t>
      </w:r>
      <w:r w:rsidR="00CA0507" w:rsidRPr="005635D8">
        <w:rPr>
          <w:rFonts w:ascii="Calibri" w:hAnsi="Calibri"/>
          <w:lang w:val="en-GB"/>
        </w:rPr>
        <w:t xml:space="preserve">Those articles are supplemented by a couple of articles </w:t>
      </w:r>
      <w:r w:rsidR="0098240C" w:rsidRPr="005635D8">
        <w:rPr>
          <w:rFonts w:ascii="Calibri" w:hAnsi="Calibri"/>
          <w:lang w:val="en-GB"/>
        </w:rPr>
        <w:t>based</w:t>
      </w:r>
      <w:r w:rsidR="00CA0507" w:rsidRPr="005635D8">
        <w:rPr>
          <w:rFonts w:ascii="Calibri" w:hAnsi="Calibri"/>
          <w:lang w:val="en-GB"/>
        </w:rPr>
        <w:t xml:space="preserve"> </w:t>
      </w:r>
      <w:r w:rsidR="00C33B55" w:rsidRPr="005635D8">
        <w:rPr>
          <w:rFonts w:ascii="Calibri" w:hAnsi="Calibri"/>
          <w:lang w:val="en-GB"/>
        </w:rPr>
        <w:t xml:space="preserve">on </w:t>
      </w:r>
      <w:r w:rsidR="00CA0507" w:rsidRPr="005635D8">
        <w:rPr>
          <w:rFonts w:ascii="Calibri" w:hAnsi="Calibri"/>
          <w:lang w:val="en-GB"/>
        </w:rPr>
        <w:t xml:space="preserve">the effect of voluntary early adoption of IFRS on earnings management. </w:t>
      </w:r>
      <w:r w:rsidR="00640F0E" w:rsidRPr="005635D8">
        <w:rPr>
          <w:rFonts w:ascii="Calibri" w:hAnsi="Calibri"/>
          <w:lang w:val="en-GB"/>
        </w:rPr>
        <w:t xml:space="preserve">Because they used a comparable methodology as this thesis intent or because they focused on a single case (mostly Germany) which is comparable with this study which solely </w:t>
      </w:r>
      <w:r w:rsidR="00996161" w:rsidRPr="005635D8">
        <w:rPr>
          <w:rFonts w:ascii="Calibri" w:hAnsi="Calibri"/>
          <w:lang w:val="en-GB"/>
        </w:rPr>
        <w:t>focuses</w:t>
      </w:r>
      <w:r w:rsidR="00640F0E" w:rsidRPr="005635D8">
        <w:rPr>
          <w:rFonts w:ascii="Calibri" w:hAnsi="Calibri"/>
          <w:lang w:val="en-GB"/>
        </w:rPr>
        <w:t xml:space="preserve"> on the Dutch case, t</w:t>
      </w:r>
      <w:r w:rsidR="00CA0507" w:rsidRPr="005635D8">
        <w:rPr>
          <w:rFonts w:ascii="Calibri" w:hAnsi="Calibri"/>
          <w:lang w:val="en-GB"/>
        </w:rPr>
        <w:t>hose articles were selected. The articles presented in this overview were not primarily selected on the basis of their findings. Nevertheless it is decided to represent four articles reporting decreasing levels of earnings management after IFRS adoption in the overview and four articles that report increasing levels of earnings management. This will reflect  well that the findings in earnings management research are  mixed up to this moment.</w:t>
      </w:r>
      <w:r w:rsidR="00033379" w:rsidRPr="005635D8">
        <w:rPr>
          <w:rFonts w:ascii="Calibri" w:hAnsi="Calibri"/>
          <w:lang w:val="en-GB"/>
        </w:rPr>
        <w:t xml:space="preserve"> </w:t>
      </w:r>
      <w:r w:rsidR="0060524D" w:rsidRPr="005635D8">
        <w:rPr>
          <w:rFonts w:ascii="Calibri" w:hAnsi="Calibri"/>
          <w:lang w:val="en-GB"/>
        </w:rPr>
        <w:t xml:space="preserve">In the first part of this chapter studies reporting a decreasing level of earnings management after the introduction of IFRS will be </w:t>
      </w:r>
      <w:r w:rsidR="00640F0E" w:rsidRPr="005635D8">
        <w:rPr>
          <w:rFonts w:ascii="Calibri" w:hAnsi="Calibri"/>
          <w:lang w:val="en-GB"/>
        </w:rPr>
        <w:t>commented</w:t>
      </w:r>
      <w:r w:rsidR="0060524D" w:rsidRPr="005635D8">
        <w:rPr>
          <w:rFonts w:ascii="Calibri" w:hAnsi="Calibri"/>
          <w:lang w:val="en-GB"/>
        </w:rPr>
        <w:t>. The second part discusses studies that report an increasing level of earnings management after the introduction of IFRS.</w:t>
      </w:r>
      <w:bookmarkEnd w:id="60"/>
      <w:r w:rsidR="00033379" w:rsidRPr="005635D8">
        <w:rPr>
          <w:rFonts w:ascii="Calibri" w:hAnsi="Calibri"/>
          <w:lang w:val="en-GB"/>
        </w:rPr>
        <w:t xml:space="preserve">  </w:t>
      </w:r>
    </w:p>
    <w:p w:rsidR="00033379" w:rsidRPr="005635D8" w:rsidRDefault="00033379" w:rsidP="00621ABD">
      <w:pPr>
        <w:pStyle w:val="Heading2"/>
        <w:rPr>
          <w:lang w:val="en-GB"/>
        </w:rPr>
      </w:pPr>
    </w:p>
    <w:p w:rsidR="00033379" w:rsidRPr="005635D8" w:rsidRDefault="00923DD9" w:rsidP="001E4C5D">
      <w:pPr>
        <w:pStyle w:val="Heading3"/>
        <w:rPr>
          <w:lang w:val="en-GB"/>
        </w:rPr>
      </w:pPr>
      <w:bookmarkStart w:id="61" w:name="_Toc362267289"/>
      <w:r w:rsidRPr="005635D8">
        <w:rPr>
          <w:lang w:val="en-GB"/>
        </w:rPr>
        <w:t>6</w:t>
      </w:r>
      <w:r w:rsidR="00B02B6E" w:rsidRPr="005635D8">
        <w:rPr>
          <w:lang w:val="en-GB"/>
        </w:rPr>
        <w:t xml:space="preserve">.1 </w:t>
      </w:r>
      <w:r w:rsidR="00033379" w:rsidRPr="005635D8">
        <w:rPr>
          <w:lang w:val="en-GB"/>
        </w:rPr>
        <w:t>Decrease in earnings management</w:t>
      </w:r>
      <w:bookmarkEnd w:id="61"/>
    </w:p>
    <w:p w:rsidR="007575B0" w:rsidRPr="005635D8" w:rsidRDefault="0060524D" w:rsidP="00DD1177">
      <w:pPr>
        <w:spacing w:after="120"/>
        <w:jc w:val="both"/>
        <w:rPr>
          <w:rFonts w:ascii="Calibri" w:eastAsiaTheme="majorEastAsia" w:hAnsi="Calibri" w:cstheme="majorBidi"/>
          <w:lang w:val="en-GB"/>
        </w:rPr>
      </w:pPr>
      <w:r w:rsidRPr="005635D8">
        <w:rPr>
          <w:rFonts w:ascii="Calibri" w:eastAsiaTheme="majorEastAsia" w:hAnsi="Calibri" w:cstheme="majorBidi"/>
          <w:lang w:val="en-GB"/>
        </w:rPr>
        <w:t>The central assumption behind the introduction of IFRS is that it improves the quality of the reported informatio</w:t>
      </w:r>
      <w:r w:rsidR="00C72622" w:rsidRPr="005635D8">
        <w:rPr>
          <w:rFonts w:ascii="Calibri" w:eastAsiaTheme="majorEastAsia" w:hAnsi="Calibri" w:cstheme="majorBidi"/>
          <w:lang w:val="en-GB"/>
        </w:rPr>
        <w:t xml:space="preserve">n and that it will require that firms provide more information in their reports. People in </w:t>
      </w:r>
      <w:r w:rsidR="00996161" w:rsidRPr="005635D8">
        <w:rPr>
          <w:rFonts w:ascii="Calibri" w:eastAsiaTheme="majorEastAsia" w:hAnsi="Calibri" w:cstheme="majorBidi"/>
          <w:lang w:val="en-GB"/>
        </w:rPr>
        <w:t>favour</w:t>
      </w:r>
      <w:r w:rsidR="00C72622" w:rsidRPr="005635D8">
        <w:rPr>
          <w:rFonts w:ascii="Calibri" w:eastAsiaTheme="majorEastAsia" w:hAnsi="Calibri" w:cstheme="majorBidi"/>
          <w:lang w:val="en-GB"/>
        </w:rPr>
        <w:t xml:space="preserve"> of IFRS </w:t>
      </w:r>
      <w:r w:rsidR="00C456CE" w:rsidRPr="005635D8">
        <w:rPr>
          <w:rFonts w:ascii="Calibri" w:eastAsiaTheme="majorEastAsia" w:hAnsi="Calibri" w:cstheme="majorBidi"/>
          <w:lang w:val="en-GB"/>
        </w:rPr>
        <w:t>consequently</w:t>
      </w:r>
      <w:r w:rsidR="00C72622" w:rsidRPr="005635D8">
        <w:rPr>
          <w:rFonts w:ascii="Calibri" w:eastAsiaTheme="majorEastAsia" w:hAnsi="Calibri" w:cstheme="majorBidi"/>
          <w:lang w:val="en-GB"/>
        </w:rPr>
        <w:t xml:space="preserve"> assume that </w:t>
      </w:r>
      <w:r w:rsidR="005D7DD1" w:rsidRPr="005635D8">
        <w:rPr>
          <w:rFonts w:ascii="Calibri" w:eastAsiaTheme="majorEastAsia" w:hAnsi="Calibri" w:cstheme="majorBidi"/>
          <w:lang w:val="en-GB"/>
        </w:rPr>
        <w:t xml:space="preserve">earnings management </w:t>
      </w:r>
      <w:r w:rsidR="00C72622" w:rsidRPr="005635D8">
        <w:rPr>
          <w:rFonts w:ascii="Calibri" w:eastAsiaTheme="majorEastAsia" w:hAnsi="Calibri" w:cstheme="majorBidi"/>
          <w:lang w:val="en-GB"/>
        </w:rPr>
        <w:t>will decrease af</w:t>
      </w:r>
      <w:r w:rsidR="00AC3890" w:rsidRPr="005635D8">
        <w:rPr>
          <w:rFonts w:ascii="Calibri" w:eastAsiaTheme="majorEastAsia" w:hAnsi="Calibri" w:cstheme="majorBidi"/>
          <w:lang w:val="en-GB"/>
        </w:rPr>
        <w:t xml:space="preserve">ter the introduction of IFRS. </w:t>
      </w:r>
    </w:p>
    <w:p w:rsidR="00B02B6E" w:rsidRPr="005635D8" w:rsidRDefault="00B02B6E" w:rsidP="007575B0">
      <w:pPr>
        <w:autoSpaceDE w:val="0"/>
        <w:autoSpaceDN w:val="0"/>
        <w:adjustRightInd w:val="0"/>
        <w:spacing w:after="0"/>
        <w:jc w:val="both"/>
        <w:rPr>
          <w:rFonts w:ascii="Calibri" w:eastAsiaTheme="majorEastAsia" w:hAnsi="Calibri" w:cstheme="majorBidi"/>
          <w:sz w:val="24"/>
          <w:szCs w:val="24"/>
          <w:lang w:val="en-GB"/>
        </w:rPr>
      </w:pPr>
    </w:p>
    <w:p w:rsidR="00F24049" w:rsidRPr="005635D8" w:rsidRDefault="00F24049" w:rsidP="005D7DD1">
      <w:pPr>
        <w:spacing w:after="120" w:line="360" w:lineRule="auto"/>
        <w:jc w:val="both"/>
        <w:rPr>
          <w:rFonts w:eastAsiaTheme="minorHAnsi"/>
          <w:b/>
          <w:bCs/>
          <w:sz w:val="24"/>
          <w:szCs w:val="24"/>
          <w:lang w:val="en-GB"/>
        </w:rPr>
      </w:pPr>
      <w:r w:rsidRPr="005635D8">
        <w:rPr>
          <w:rFonts w:eastAsiaTheme="minorHAnsi"/>
          <w:b/>
          <w:bCs/>
          <w:sz w:val="24"/>
          <w:szCs w:val="24"/>
          <w:lang w:val="en-GB"/>
        </w:rPr>
        <w:t xml:space="preserve">6.1.1 Barth, Landsman and Lang </w:t>
      </w:r>
    </w:p>
    <w:p w:rsidR="005A65C5" w:rsidRPr="005635D8" w:rsidRDefault="007575B0" w:rsidP="00F40B39">
      <w:pPr>
        <w:spacing w:after="120"/>
        <w:jc w:val="both"/>
        <w:rPr>
          <w:rFonts w:ascii="Calibri" w:eastAsiaTheme="majorEastAsia" w:hAnsi="Calibri" w:cstheme="majorBidi"/>
          <w:lang w:val="en-GB"/>
        </w:rPr>
      </w:pPr>
      <w:r w:rsidRPr="005635D8">
        <w:rPr>
          <w:rFonts w:ascii="Calibri" w:eastAsiaTheme="majorEastAsia" w:hAnsi="Calibri" w:cstheme="majorBidi"/>
          <w:lang w:val="en-GB"/>
        </w:rPr>
        <w:t>Barth, Lan</w:t>
      </w:r>
      <w:r w:rsidR="00483A29" w:rsidRPr="005635D8">
        <w:rPr>
          <w:rFonts w:ascii="Calibri" w:eastAsiaTheme="majorEastAsia" w:hAnsi="Calibri" w:cstheme="majorBidi"/>
          <w:lang w:val="en-GB"/>
        </w:rPr>
        <w:t>dsman and Lang (2006; 2008)</w:t>
      </w:r>
      <w:r w:rsidRPr="005635D8">
        <w:rPr>
          <w:rFonts w:ascii="Calibri" w:eastAsiaTheme="majorEastAsia" w:hAnsi="Calibri" w:cstheme="majorBidi"/>
          <w:lang w:val="en-GB"/>
        </w:rPr>
        <w:t xml:space="preserve"> looked at an international sample of firms from 21 countries that voluntarily adopted IFRS (or its predecessor IAS) from 1994 up to 2003.</w:t>
      </w:r>
      <w:r w:rsidR="00483A29" w:rsidRPr="005635D8">
        <w:rPr>
          <w:rFonts w:ascii="Calibri" w:eastAsiaTheme="majorEastAsia" w:hAnsi="Calibri" w:cstheme="majorBidi"/>
          <w:lang w:val="en-GB"/>
        </w:rPr>
        <w:t xml:space="preserve"> The total sample comprises 1,896 ﬁrm-year observations for 327 ﬁrms.</w:t>
      </w:r>
      <w:r w:rsidRPr="005635D8">
        <w:rPr>
          <w:rFonts w:ascii="Calibri" w:eastAsiaTheme="majorEastAsia" w:hAnsi="Calibri" w:cstheme="majorBidi"/>
          <w:lang w:val="en-GB"/>
        </w:rPr>
        <w:t xml:space="preserve"> They especially looked at the effects on earnings smoothing and managing towards positive earnings. They hypothesized that adoption of IAS limits management’s discretion to report earnings that are less reflective of the firm’s economic performance (2008, 475).</w:t>
      </w:r>
      <w:r w:rsidR="00483A29" w:rsidRPr="005635D8">
        <w:rPr>
          <w:rFonts w:ascii="Calibri" w:eastAsiaTheme="majorEastAsia" w:hAnsi="Calibri" w:cstheme="majorBidi"/>
          <w:lang w:val="en-GB"/>
        </w:rPr>
        <w:t xml:space="preserve"> In order to test their main hypothesis they compared metrics for ﬁrms applying IAS and ﬁrms applying non-U.S. domestic standards. Matching procedures were used to select a sample of firms that did not adopt IAS. The metric for measuring earnings variability is the variance of the residuals from the regression of change in net income on variables identiﬁed in prior research as controls for these factors. Among those control variables are the size of the firm, growth,</w:t>
      </w:r>
      <w:r w:rsidR="00F40B39" w:rsidRPr="005635D8">
        <w:rPr>
          <w:rFonts w:ascii="Calibri" w:eastAsiaTheme="majorEastAsia" w:hAnsi="Calibri" w:cstheme="majorBidi"/>
          <w:lang w:val="en-GB"/>
        </w:rPr>
        <w:t xml:space="preserve"> percentage of change in total liabilities, the auditor of the firm and many others. T</w:t>
      </w:r>
      <w:r w:rsidRPr="005635D8">
        <w:rPr>
          <w:rFonts w:ascii="Calibri" w:eastAsiaTheme="majorEastAsia" w:hAnsi="Calibri" w:cstheme="majorBidi"/>
          <w:lang w:val="en-GB"/>
        </w:rPr>
        <w:t>he study finds that applying IFRS generally provide higher quality in accounting, i.e. less earnings management, more timely loss recognition and more value relevance of accounting amounts than a matched sample of non-U.S.-firms that do not apply IFRS.</w:t>
      </w:r>
      <w:r w:rsidR="00483A29" w:rsidRPr="005635D8">
        <w:rPr>
          <w:rFonts w:ascii="Calibri" w:eastAsiaTheme="majorEastAsia" w:hAnsi="Calibri" w:cstheme="majorBidi"/>
          <w:lang w:val="en-GB"/>
        </w:rPr>
        <w:t xml:space="preserve"> </w:t>
      </w:r>
      <w:r w:rsidR="00F40B39" w:rsidRPr="005635D8">
        <w:rPr>
          <w:rFonts w:ascii="Calibri" w:eastAsiaTheme="majorEastAsia" w:hAnsi="Calibri" w:cstheme="majorBidi"/>
          <w:lang w:val="en-GB"/>
        </w:rPr>
        <w:t>However, the authors note that they cannot be sure that their</w:t>
      </w:r>
      <w:r w:rsidR="005A65C5" w:rsidRPr="005635D8">
        <w:rPr>
          <w:rFonts w:ascii="Calibri" w:eastAsiaTheme="majorEastAsia" w:hAnsi="Calibri" w:cstheme="majorBidi"/>
          <w:lang w:val="en-GB"/>
        </w:rPr>
        <w:t xml:space="preserve"> ﬁndings are attributabl</w:t>
      </w:r>
      <w:r w:rsidR="00F40B39" w:rsidRPr="005635D8">
        <w:rPr>
          <w:rFonts w:ascii="Calibri" w:eastAsiaTheme="majorEastAsia" w:hAnsi="Calibri" w:cstheme="majorBidi"/>
          <w:lang w:val="en-GB"/>
        </w:rPr>
        <w:t xml:space="preserve">e to the change in the ﬁnancial </w:t>
      </w:r>
      <w:r w:rsidR="005A65C5" w:rsidRPr="005635D8">
        <w:rPr>
          <w:rFonts w:ascii="Calibri" w:eastAsiaTheme="majorEastAsia" w:hAnsi="Calibri" w:cstheme="majorBidi"/>
          <w:lang w:val="en-GB"/>
        </w:rPr>
        <w:t>reporting system rather than to changes in ﬁrms’ incentives and the economic</w:t>
      </w:r>
      <w:r w:rsidR="00F40B39" w:rsidRPr="005635D8">
        <w:rPr>
          <w:rFonts w:ascii="Calibri" w:eastAsiaTheme="majorEastAsia" w:hAnsi="Calibri" w:cstheme="majorBidi"/>
          <w:lang w:val="en-GB"/>
        </w:rPr>
        <w:t xml:space="preserve"> E</w:t>
      </w:r>
      <w:r w:rsidR="005A65C5" w:rsidRPr="005635D8">
        <w:rPr>
          <w:rFonts w:ascii="Calibri" w:eastAsiaTheme="majorEastAsia" w:hAnsi="Calibri" w:cstheme="majorBidi"/>
          <w:lang w:val="en-GB"/>
        </w:rPr>
        <w:t>nvironment</w:t>
      </w:r>
      <w:r w:rsidR="00F40B39" w:rsidRPr="005635D8">
        <w:rPr>
          <w:rFonts w:ascii="Calibri" w:eastAsiaTheme="majorEastAsia" w:hAnsi="Calibri" w:cstheme="majorBidi"/>
          <w:lang w:val="en-GB"/>
        </w:rPr>
        <w:t>.</w:t>
      </w:r>
    </w:p>
    <w:p w:rsidR="005A65C5" w:rsidRPr="005635D8" w:rsidRDefault="005A65C5" w:rsidP="003F3D80">
      <w:pPr>
        <w:spacing w:after="120" w:line="360" w:lineRule="auto"/>
        <w:jc w:val="both"/>
        <w:rPr>
          <w:rFonts w:ascii="Calibri" w:eastAsiaTheme="majorEastAsia" w:hAnsi="Calibri" w:cstheme="majorBidi"/>
          <w:sz w:val="24"/>
          <w:szCs w:val="24"/>
          <w:lang w:val="en-GB"/>
        </w:rPr>
      </w:pPr>
    </w:p>
    <w:p w:rsidR="00F24049" w:rsidRPr="005635D8" w:rsidRDefault="00F24049" w:rsidP="003F3D80">
      <w:pPr>
        <w:spacing w:after="120" w:line="360" w:lineRule="auto"/>
        <w:jc w:val="both"/>
        <w:rPr>
          <w:rFonts w:eastAsiaTheme="minorHAnsi"/>
          <w:b/>
          <w:bCs/>
          <w:sz w:val="24"/>
          <w:szCs w:val="24"/>
          <w:lang w:val="en-GB"/>
        </w:rPr>
      </w:pPr>
      <w:r w:rsidRPr="005635D8">
        <w:rPr>
          <w:rFonts w:eastAsiaTheme="minorHAnsi"/>
          <w:b/>
          <w:bCs/>
          <w:sz w:val="24"/>
          <w:szCs w:val="24"/>
          <w:lang w:val="en-GB"/>
        </w:rPr>
        <w:t>6.1.2 Gassen and Sellhorn</w:t>
      </w:r>
    </w:p>
    <w:p w:rsidR="006D04EC" w:rsidRPr="005635D8" w:rsidRDefault="00A40986" w:rsidP="00FA5E09">
      <w:pPr>
        <w:autoSpaceDE w:val="0"/>
        <w:autoSpaceDN w:val="0"/>
        <w:adjustRightInd w:val="0"/>
        <w:spacing w:after="0"/>
        <w:jc w:val="both"/>
        <w:rPr>
          <w:rFonts w:ascii="Calibri" w:eastAsiaTheme="majorEastAsia" w:hAnsi="Calibri" w:cstheme="majorBidi"/>
          <w:lang w:val="en-GB"/>
        </w:rPr>
      </w:pPr>
      <w:r w:rsidRPr="005635D8">
        <w:rPr>
          <w:rFonts w:ascii="Calibri" w:eastAsiaTheme="majorEastAsia" w:hAnsi="Calibri" w:cstheme="majorBidi"/>
          <w:lang w:val="en-GB"/>
        </w:rPr>
        <w:t>Gassen and Sellhorn (2006) studied what the determinants were of voluntary IFRS adoption by publicly traded German firms during the period 1998-2004.</w:t>
      </w:r>
      <w:r w:rsidR="00FA5E09" w:rsidRPr="005635D8">
        <w:rPr>
          <w:rFonts w:ascii="Calibri" w:eastAsiaTheme="majorEastAsia" w:hAnsi="Calibri" w:cstheme="majorBidi"/>
          <w:lang w:val="en-GB"/>
        </w:rPr>
        <w:t xml:space="preserve"> Various sources to obtain time-series information on the accounting standards followed by German public firms were used. </w:t>
      </w:r>
      <w:r w:rsidR="00906721" w:rsidRPr="005635D8">
        <w:rPr>
          <w:rFonts w:ascii="Calibri" w:eastAsiaTheme="majorEastAsia" w:hAnsi="Calibri" w:cstheme="majorBidi"/>
          <w:lang w:val="en-GB"/>
        </w:rPr>
        <w:t>Their final sample consist of 1176 firm year observations of firms reporting under German GAAP and 630 firm year observations of firms that voluntarily adopted IFRS.</w:t>
      </w:r>
      <w:r w:rsidR="006D04EC" w:rsidRPr="005635D8">
        <w:rPr>
          <w:rFonts w:ascii="Calibri" w:eastAsiaTheme="majorEastAsia" w:hAnsi="Calibri" w:cstheme="majorBidi"/>
          <w:lang w:val="en-GB"/>
        </w:rPr>
        <w:t xml:space="preserve"> </w:t>
      </w:r>
      <w:r w:rsidR="00906721" w:rsidRPr="005635D8">
        <w:rPr>
          <w:rFonts w:ascii="Calibri" w:eastAsiaTheme="majorEastAsia" w:hAnsi="Calibri" w:cstheme="majorBidi"/>
          <w:lang w:val="en-GB"/>
        </w:rPr>
        <w:t>In the first part of the research they</w:t>
      </w:r>
      <w:r w:rsidR="006D04EC" w:rsidRPr="005635D8">
        <w:rPr>
          <w:rFonts w:ascii="Calibri" w:eastAsiaTheme="majorEastAsia" w:hAnsi="Calibri" w:cstheme="majorBidi"/>
          <w:lang w:val="en-GB"/>
        </w:rPr>
        <w:t xml:space="preserve"> conclude on the basis of descriptive statistics</w:t>
      </w:r>
      <w:r w:rsidRPr="005635D8">
        <w:rPr>
          <w:rFonts w:ascii="Calibri" w:eastAsiaTheme="majorEastAsia" w:hAnsi="Calibri" w:cstheme="majorBidi"/>
          <w:lang w:val="en-GB"/>
        </w:rPr>
        <w:t xml:space="preserve"> that size, international exposure, dispersion of ownership, and recent IPOs are important drivers of voluntarily adopting IFRS.</w:t>
      </w:r>
    </w:p>
    <w:p w:rsidR="006D04EC" w:rsidRPr="005635D8" w:rsidRDefault="006D04EC" w:rsidP="00B02B6E">
      <w:pPr>
        <w:autoSpaceDE w:val="0"/>
        <w:autoSpaceDN w:val="0"/>
        <w:adjustRightInd w:val="0"/>
        <w:spacing w:after="0"/>
        <w:jc w:val="both"/>
        <w:rPr>
          <w:rFonts w:ascii="Calibri" w:eastAsiaTheme="majorEastAsia" w:hAnsi="Calibri" w:cstheme="majorBidi"/>
          <w:lang w:val="en-GB"/>
        </w:rPr>
      </w:pPr>
    </w:p>
    <w:p w:rsidR="00A40986" w:rsidRPr="005635D8" w:rsidRDefault="006D04EC" w:rsidP="00FA5E09">
      <w:pPr>
        <w:autoSpaceDE w:val="0"/>
        <w:autoSpaceDN w:val="0"/>
        <w:adjustRightInd w:val="0"/>
        <w:spacing w:after="0"/>
        <w:jc w:val="both"/>
        <w:rPr>
          <w:rFonts w:ascii="Calibri" w:eastAsiaTheme="majorEastAsia" w:hAnsi="Calibri" w:cstheme="majorBidi"/>
          <w:lang w:val="en-GB"/>
        </w:rPr>
      </w:pPr>
      <w:r w:rsidRPr="005635D8">
        <w:rPr>
          <w:rFonts w:ascii="Calibri" w:eastAsiaTheme="majorEastAsia" w:hAnsi="Calibri" w:cstheme="majorBidi"/>
          <w:lang w:val="en-GB"/>
        </w:rPr>
        <w:t>In the</w:t>
      </w:r>
      <w:r w:rsidR="00A40986" w:rsidRPr="005635D8">
        <w:rPr>
          <w:rFonts w:ascii="Calibri" w:eastAsiaTheme="majorEastAsia" w:hAnsi="Calibri" w:cstheme="majorBidi"/>
          <w:lang w:val="en-GB"/>
        </w:rPr>
        <w:t xml:space="preserve"> </w:t>
      </w:r>
      <w:r w:rsidRPr="005635D8">
        <w:rPr>
          <w:rFonts w:ascii="Calibri" w:eastAsiaTheme="majorEastAsia" w:hAnsi="Calibri" w:cstheme="majorBidi"/>
          <w:lang w:val="en-GB"/>
        </w:rPr>
        <w:t xml:space="preserve">second part of the analysis the two samples are compared in order to test whether the change to IFRS altered the quality of the financial reporting information. </w:t>
      </w:r>
      <w:r w:rsidR="00FA5E09" w:rsidRPr="005635D8">
        <w:rPr>
          <w:rFonts w:ascii="Calibri" w:eastAsiaTheme="majorEastAsia" w:hAnsi="Calibri" w:cstheme="majorBidi"/>
          <w:lang w:val="en-GB"/>
        </w:rPr>
        <w:t>In this second step the researchers</w:t>
      </w:r>
      <w:r w:rsidR="00A40986" w:rsidRPr="005635D8">
        <w:rPr>
          <w:rFonts w:ascii="Calibri" w:eastAsiaTheme="majorEastAsia" w:hAnsi="Calibri" w:cstheme="majorBidi"/>
          <w:lang w:val="en-GB"/>
        </w:rPr>
        <w:t xml:space="preserve"> constructed propensity score-matched samples of IFRS and German-GAAP (HGB) firms.</w:t>
      </w:r>
      <w:r w:rsidR="00FA5E09" w:rsidRPr="005635D8">
        <w:rPr>
          <w:rFonts w:ascii="Calibri" w:eastAsiaTheme="majorEastAsia" w:hAnsi="Calibri" w:cstheme="majorBidi"/>
          <w:lang w:val="en-GB"/>
        </w:rPr>
        <w:t xml:space="preserve"> This is done to address the problem of self-selection bias. As the firms who voluntarily adopted IFRS selected these reporting standards by themselves it can be expected that those firms differ from firms who did not adopt IFRS. The propensity score-matched samples controls for this problem by matching firms </w:t>
      </w:r>
      <w:r w:rsidR="00F71079" w:rsidRPr="005635D8">
        <w:rPr>
          <w:rFonts w:ascii="Calibri" w:eastAsiaTheme="majorEastAsia" w:hAnsi="Calibri" w:cstheme="majorBidi"/>
          <w:lang w:val="en-GB"/>
        </w:rPr>
        <w:t>consequently</w:t>
      </w:r>
      <w:r w:rsidR="00FA5E09" w:rsidRPr="005635D8">
        <w:rPr>
          <w:rFonts w:ascii="Calibri" w:eastAsiaTheme="majorEastAsia" w:hAnsi="Calibri" w:cstheme="majorBidi"/>
          <w:lang w:val="en-GB"/>
        </w:rPr>
        <w:t xml:space="preserve"> that we can expect the matched firms to differ only in terms of the accounting standards followed and of the effects of this difference . Based on the new matched samples from these procedures</w:t>
      </w:r>
      <w:r w:rsidR="00A40986" w:rsidRPr="005635D8">
        <w:rPr>
          <w:rFonts w:ascii="Calibri" w:eastAsiaTheme="majorEastAsia" w:hAnsi="Calibri" w:cstheme="majorBidi"/>
          <w:lang w:val="en-GB"/>
        </w:rPr>
        <w:t xml:space="preserve"> they </w:t>
      </w:r>
      <w:r w:rsidR="00FA5E09" w:rsidRPr="005635D8">
        <w:rPr>
          <w:rFonts w:ascii="Calibri" w:eastAsiaTheme="majorEastAsia" w:hAnsi="Calibri" w:cstheme="majorBidi"/>
          <w:lang w:val="en-GB"/>
        </w:rPr>
        <w:t xml:space="preserve">then </w:t>
      </w:r>
      <w:r w:rsidR="00A40986" w:rsidRPr="005635D8">
        <w:rPr>
          <w:rFonts w:ascii="Calibri" w:eastAsiaTheme="majorEastAsia" w:hAnsi="Calibri" w:cstheme="majorBidi"/>
          <w:lang w:val="en-GB"/>
        </w:rPr>
        <w:t>perform the Dechow/Dichev (2002) measure of accrual quality which helps them to report “significant differences in terms of earnings quality: IFRS firms have more persistent, less predictable and more conditionally conservative earnings</w:t>
      </w:r>
      <w:r w:rsidRPr="005635D8">
        <w:rPr>
          <w:rFonts w:ascii="Calibri" w:eastAsiaTheme="majorEastAsia" w:hAnsi="Calibri" w:cstheme="majorBidi"/>
          <w:lang w:val="en-GB"/>
        </w:rPr>
        <w:t>” (2006, 1)</w:t>
      </w:r>
      <w:r w:rsidR="00A40986" w:rsidRPr="005635D8">
        <w:rPr>
          <w:rFonts w:ascii="Calibri" w:eastAsiaTheme="majorEastAsia" w:hAnsi="Calibri" w:cstheme="majorBidi"/>
          <w:lang w:val="en-GB"/>
        </w:rPr>
        <w:t>.</w:t>
      </w:r>
      <w:r w:rsidR="00B02B6E" w:rsidRPr="005635D8">
        <w:rPr>
          <w:rFonts w:ascii="Calibri" w:eastAsiaTheme="majorEastAsia" w:hAnsi="Calibri" w:cstheme="majorBidi"/>
          <w:lang w:val="en-GB"/>
        </w:rPr>
        <w:t xml:space="preserve"> </w:t>
      </w:r>
      <w:r w:rsidR="00FA5E09" w:rsidRPr="005635D8">
        <w:rPr>
          <w:rFonts w:ascii="Calibri" w:eastAsiaTheme="majorEastAsia" w:hAnsi="Calibri" w:cstheme="majorBidi"/>
          <w:lang w:val="en-GB"/>
        </w:rPr>
        <w:t xml:space="preserve">These are pooled results as the time series and samples are too small to estimate firm-specific or industry specific models. </w:t>
      </w:r>
    </w:p>
    <w:p w:rsidR="008B3FBC" w:rsidRPr="005635D8" w:rsidRDefault="008B3FBC" w:rsidP="00B02B6E">
      <w:pPr>
        <w:spacing w:after="120"/>
        <w:jc w:val="both"/>
        <w:rPr>
          <w:rFonts w:ascii="Calibri" w:eastAsiaTheme="majorEastAsia" w:hAnsi="Calibri" w:cstheme="majorBidi"/>
          <w:sz w:val="24"/>
          <w:szCs w:val="24"/>
          <w:lang w:val="en-GB"/>
        </w:rPr>
      </w:pPr>
    </w:p>
    <w:p w:rsidR="00F24049" w:rsidRPr="005635D8" w:rsidRDefault="00F24049" w:rsidP="00B02B6E">
      <w:pPr>
        <w:spacing w:after="120"/>
        <w:jc w:val="both"/>
        <w:rPr>
          <w:rFonts w:eastAsiaTheme="minorHAnsi"/>
          <w:b/>
          <w:bCs/>
          <w:sz w:val="24"/>
          <w:szCs w:val="24"/>
          <w:lang w:val="en-GB"/>
        </w:rPr>
      </w:pPr>
      <w:r w:rsidRPr="005635D8">
        <w:rPr>
          <w:rFonts w:eastAsiaTheme="minorHAnsi"/>
          <w:b/>
          <w:bCs/>
          <w:sz w:val="24"/>
          <w:szCs w:val="24"/>
          <w:lang w:val="en-GB"/>
        </w:rPr>
        <w:t>6.1.3 Cai, Courtenay and Rahman</w:t>
      </w:r>
    </w:p>
    <w:p w:rsidR="00C72622" w:rsidRPr="005635D8" w:rsidRDefault="00C72622" w:rsidP="00851171">
      <w:pPr>
        <w:spacing w:after="120"/>
        <w:jc w:val="both"/>
        <w:rPr>
          <w:rFonts w:ascii="Calibri" w:hAnsi="Calibri"/>
          <w:lang w:val="en-GB"/>
        </w:rPr>
      </w:pPr>
      <w:r w:rsidRPr="005635D8">
        <w:rPr>
          <w:rFonts w:ascii="Calibri" w:eastAsiaTheme="majorEastAsia" w:hAnsi="Calibri" w:cstheme="majorBidi"/>
          <w:lang w:val="en-GB"/>
        </w:rPr>
        <w:t>Cai, Courtenay and Rahman (2008) studied the effects of the introduction of IFRS</w:t>
      </w:r>
      <w:r w:rsidR="003A50BA" w:rsidRPr="005635D8">
        <w:rPr>
          <w:rFonts w:ascii="Calibri" w:eastAsiaTheme="majorEastAsia" w:hAnsi="Calibri" w:cstheme="majorBidi"/>
          <w:lang w:val="en-GB"/>
        </w:rPr>
        <w:t xml:space="preserve"> and its enforcement</w:t>
      </w:r>
      <w:r w:rsidRPr="005635D8">
        <w:rPr>
          <w:rFonts w:ascii="Calibri" w:eastAsiaTheme="majorEastAsia" w:hAnsi="Calibri" w:cstheme="majorBidi"/>
          <w:lang w:val="en-GB"/>
        </w:rPr>
        <w:t xml:space="preserve"> on earnings management in financial reporting using over 100,000 firm-year observations from 2000 to 2006 across 32 countries.</w:t>
      </w:r>
      <w:r w:rsidR="0084053D" w:rsidRPr="005635D8">
        <w:rPr>
          <w:rFonts w:ascii="Calibri" w:eastAsiaTheme="majorEastAsia" w:hAnsi="Calibri" w:cstheme="majorBidi"/>
          <w:lang w:val="en-GB"/>
        </w:rPr>
        <w:t xml:space="preserve"> With </w:t>
      </w:r>
      <w:r w:rsidR="0084053D" w:rsidRPr="005635D8">
        <w:rPr>
          <w:lang w:val="en-GB"/>
        </w:rPr>
        <w:t xml:space="preserve">mandatory IFRS adoption becoming a fairly common phenomenon, it is now possible to conduct comparative empirical tests on </w:t>
      </w:r>
      <w:r w:rsidR="00F57B55" w:rsidRPr="005635D8">
        <w:rPr>
          <w:lang w:val="en-GB"/>
        </w:rPr>
        <w:t>in which way</w:t>
      </w:r>
      <w:r w:rsidR="0084053D" w:rsidRPr="005635D8">
        <w:rPr>
          <w:lang w:val="en-GB"/>
        </w:rPr>
        <w:t xml:space="preserve"> enforcement plays a crucial role towards the effective implementation of IFRS.</w:t>
      </w:r>
      <w:r w:rsidR="003A50BA" w:rsidRPr="005635D8">
        <w:rPr>
          <w:rFonts w:ascii="Calibri" w:eastAsiaTheme="majorEastAsia" w:hAnsi="Calibri" w:cstheme="majorBidi"/>
          <w:lang w:val="en-GB"/>
        </w:rPr>
        <w:t xml:space="preserve"> This study is </w:t>
      </w:r>
      <w:r w:rsidR="00C456CE" w:rsidRPr="005635D8">
        <w:rPr>
          <w:rFonts w:ascii="Calibri" w:eastAsiaTheme="majorEastAsia" w:hAnsi="Calibri" w:cstheme="majorBidi"/>
          <w:lang w:val="en-GB"/>
        </w:rPr>
        <w:t>consequently</w:t>
      </w:r>
      <w:r w:rsidR="003A50BA" w:rsidRPr="005635D8">
        <w:rPr>
          <w:rFonts w:ascii="Calibri" w:eastAsiaTheme="majorEastAsia" w:hAnsi="Calibri" w:cstheme="majorBidi"/>
          <w:lang w:val="en-GB"/>
        </w:rPr>
        <w:t xml:space="preserve">  internationally oriented</w:t>
      </w:r>
      <w:r w:rsidR="0084053D" w:rsidRPr="005635D8">
        <w:rPr>
          <w:rFonts w:ascii="Calibri" w:eastAsiaTheme="majorEastAsia" w:hAnsi="Calibri" w:cstheme="majorBidi"/>
          <w:lang w:val="en-GB"/>
        </w:rPr>
        <w:t xml:space="preserve"> including firms from a broad range of countries</w:t>
      </w:r>
      <w:r w:rsidR="003A50BA" w:rsidRPr="005635D8">
        <w:rPr>
          <w:rFonts w:ascii="Calibri" w:eastAsiaTheme="majorEastAsia" w:hAnsi="Calibri" w:cstheme="majorBidi"/>
          <w:lang w:val="en-GB"/>
        </w:rPr>
        <w:t>.</w:t>
      </w:r>
      <w:r w:rsidRPr="005635D8">
        <w:rPr>
          <w:rFonts w:ascii="Calibri" w:eastAsiaTheme="majorEastAsia" w:hAnsi="Calibri" w:cstheme="majorBidi"/>
          <w:lang w:val="en-GB"/>
        </w:rPr>
        <w:t xml:space="preserve"> </w:t>
      </w:r>
      <w:r w:rsidR="00AC3890" w:rsidRPr="005635D8">
        <w:rPr>
          <w:rFonts w:ascii="Calibri" w:eastAsiaTheme="majorEastAsia" w:hAnsi="Calibri" w:cstheme="majorBidi"/>
          <w:lang w:val="en-GB"/>
        </w:rPr>
        <w:t xml:space="preserve">Their sample included firms who voluntarily adopted IFRS adoption as well as firms who had to adopt IFRS mandatorily. </w:t>
      </w:r>
      <w:r w:rsidR="009D1E1C" w:rsidRPr="005635D8">
        <w:rPr>
          <w:rFonts w:ascii="Calibri" w:eastAsiaTheme="majorEastAsia" w:hAnsi="Calibri" w:cstheme="majorBidi"/>
          <w:lang w:val="en-GB"/>
        </w:rPr>
        <w:t>The authors follow the formula developed by Dechow et al. (1995) to measure a</w:t>
      </w:r>
      <w:r w:rsidR="009D1E1C" w:rsidRPr="005635D8">
        <w:rPr>
          <w:lang w:val="en-GB"/>
        </w:rPr>
        <w:t xml:space="preserve">ccounting accruals and magnitude of accruals. </w:t>
      </w:r>
      <w:r w:rsidR="00AC3890" w:rsidRPr="005635D8">
        <w:rPr>
          <w:rFonts w:ascii="Calibri" w:eastAsiaTheme="majorEastAsia" w:hAnsi="Calibri" w:cstheme="majorBidi"/>
          <w:lang w:val="en-GB"/>
        </w:rPr>
        <w:t>Based on an examination by using a modified measure of enforcement developed by Hope (2003)</w:t>
      </w:r>
      <w:r w:rsidR="009D1E1C" w:rsidRPr="005635D8">
        <w:rPr>
          <w:rFonts w:ascii="Calibri" w:eastAsiaTheme="majorEastAsia" w:hAnsi="Calibri" w:cstheme="majorBidi"/>
          <w:lang w:val="en-GB"/>
        </w:rPr>
        <w:t xml:space="preserve"> the country specific level of enforcement of IFRS is </w:t>
      </w:r>
      <w:r w:rsidR="00640F0E" w:rsidRPr="005635D8">
        <w:rPr>
          <w:rFonts w:ascii="Calibri" w:eastAsiaTheme="majorEastAsia" w:hAnsi="Calibri" w:cstheme="majorBidi"/>
          <w:lang w:val="en-GB"/>
        </w:rPr>
        <w:t xml:space="preserve">calculated. </w:t>
      </w:r>
      <w:r w:rsidR="009D1E1C" w:rsidRPr="005635D8">
        <w:rPr>
          <w:rFonts w:ascii="Calibri" w:eastAsiaTheme="majorEastAsia" w:hAnsi="Calibri" w:cstheme="majorBidi"/>
          <w:lang w:val="en-GB"/>
        </w:rPr>
        <w:t xml:space="preserve">Financial market development, ownership structure, capital structure and tax systems are included as independent control variables. </w:t>
      </w:r>
      <w:r w:rsidR="0084053D" w:rsidRPr="005635D8">
        <w:rPr>
          <w:rFonts w:ascii="Calibri" w:eastAsiaTheme="majorEastAsia" w:hAnsi="Calibri" w:cstheme="majorBidi"/>
          <w:lang w:val="en-GB"/>
        </w:rPr>
        <w:t>T</w:t>
      </w:r>
      <w:r w:rsidR="009D1E1C" w:rsidRPr="005635D8">
        <w:rPr>
          <w:rFonts w:ascii="Calibri" w:eastAsiaTheme="majorEastAsia" w:hAnsi="Calibri" w:cstheme="majorBidi"/>
          <w:lang w:val="en-GB"/>
        </w:rPr>
        <w:t>he</w:t>
      </w:r>
      <w:r w:rsidRPr="005635D8">
        <w:rPr>
          <w:rFonts w:ascii="Calibri" w:eastAsiaTheme="majorEastAsia" w:hAnsi="Calibri" w:cstheme="majorBidi"/>
          <w:lang w:val="en-GB"/>
        </w:rPr>
        <w:t xml:space="preserve"> results </w:t>
      </w:r>
      <w:r w:rsidR="009D1E1C" w:rsidRPr="005635D8">
        <w:rPr>
          <w:rFonts w:ascii="Calibri" w:eastAsiaTheme="majorEastAsia" w:hAnsi="Calibri" w:cstheme="majorBidi"/>
          <w:lang w:val="en-GB"/>
        </w:rPr>
        <w:t xml:space="preserve">of a final regression analyses </w:t>
      </w:r>
      <w:r w:rsidRPr="005635D8">
        <w:rPr>
          <w:rFonts w:ascii="Calibri" w:eastAsiaTheme="majorEastAsia" w:hAnsi="Calibri" w:cstheme="majorBidi"/>
          <w:lang w:val="en-GB"/>
        </w:rPr>
        <w:t>indicate that earnings management in IFRS adoption countries has been decreasing in recent years</w:t>
      </w:r>
      <w:r w:rsidR="00AC3890" w:rsidRPr="005635D8">
        <w:rPr>
          <w:rFonts w:ascii="Calibri" w:eastAsiaTheme="majorEastAsia" w:hAnsi="Calibri" w:cstheme="majorBidi"/>
          <w:lang w:val="en-GB"/>
        </w:rPr>
        <w:t>.</w:t>
      </w:r>
      <w:r w:rsidRPr="005635D8">
        <w:rPr>
          <w:rFonts w:ascii="Calibri" w:eastAsiaTheme="majorEastAsia" w:hAnsi="Calibri" w:cstheme="majorBidi"/>
          <w:lang w:val="en-GB"/>
        </w:rPr>
        <w:t xml:space="preserve"> </w:t>
      </w:r>
      <w:r w:rsidR="00AC3890" w:rsidRPr="005635D8">
        <w:rPr>
          <w:rFonts w:ascii="Calibri" w:eastAsiaTheme="majorEastAsia" w:hAnsi="Calibri" w:cstheme="majorBidi"/>
          <w:lang w:val="en-GB"/>
        </w:rPr>
        <w:t xml:space="preserve">Both voluntary and mandatory adoption of IFRS can reduce earnings management </w:t>
      </w:r>
      <w:r w:rsidRPr="005635D8">
        <w:rPr>
          <w:rFonts w:ascii="Calibri" w:eastAsiaTheme="majorEastAsia" w:hAnsi="Calibri" w:cstheme="majorBidi"/>
          <w:lang w:val="en-GB"/>
        </w:rPr>
        <w:t>(2008, 1</w:t>
      </w:r>
      <w:r w:rsidR="00AC3890" w:rsidRPr="005635D8">
        <w:rPr>
          <w:rFonts w:ascii="Calibri" w:eastAsiaTheme="majorEastAsia" w:hAnsi="Calibri" w:cstheme="majorBidi"/>
          <w:lang w:val="en-GB"/>
        </w:rPr>
        <w:t>9</w:t>
      </w:r>
      <w:r w:rsidRPr="005635D8">
        <w:rPr>
          <w:rFonts w:ascii="Calibri" w:eastAsiaTheme="majorEastAsia" w:hAnsi="Calibri" w:cstheme="majorBidi"/>
          <w:lang w:val="en-GB"/>
        </w:rPr>
        <w:t>)</w:t>
      </w:r>
      <w:r w:rsidR="00AC3890" w:rsidRPr="005635D8">
        <w:rPr>
          <w:rFonts w:ascii="Calibri" w:eastAsiaTheme="majorEastAsia" w:hAnsi="Calibri" w:cstheme="majorBidi"/>
          <w:lang w:val="en-GB"/>
        </w:rPr>
        <w:t xml:space="preserve">. However, those findings are intertwined with the fact that countries with stronger enforcement mechanisms have generally less earnings management. </w:t>
      </w:r>
      <w:r w:rsidR="00851171" w:rsidRPr="005635D8">
        <w:rPr>
          <w:rFonts w:ascii="Calibri" w:eastAsiaTheme="majorEastAsia" w:hAnsi="Calibri" w:cstheme="majorBidi"/>
          <w:lang w:val="en-GB"/>
        </w:rPr>
        <w:t xml:space="preserve">IFRS adoption and its enforcement </w:t>
      </w:r>
      <w:r w:rsidR="00640F0E" w:rsidRPr="005635D8">
        <w:rPr>
          <w:rFonts w:ascii="Calibri" w:eastAsiaTheme="majorEastAsia" w:hAnsi="Calibri" w:cstheme="majorBidi"/>
          <w:lang w:val="en-GB"/>
        </w:rPr>
        <w:t>explain</w:t>
      </w:r>
      <w:r w:rsidR="00851171" w:rsidRPr="005635D8">
        <w:rPr>
          <w:rFonts w:ascii="Calibri" w:eastAsiaTheme="majorEastAsia" w:hAnsi="Calibri" w:cstheme="majorBidi"/>
          <w:lang w:val="en-GB"/>
        </w:rPr>
        <w:t xml:space="preserve"> a substantial portion of the variation in earnings management.</w:t>
      </w:r>
      <w:r w:rsidR="00AC3890" w:rsidRPr="005635D8">
        <w:rPr>
          <w:rFonts w:ascii="Calibri" w:eastAsiaTheme="majorEastAsia" w:hAnsi="Calibri" w:cstheme="majorBidi"/>
          <w:lang w:val="en-GB"/>
        </w:rPr>
        <w:t xml:space="preserve"> Strong enforcement is an effective factor</w:t>
      </w:r>
      <w:r w:rsidR="00AC3890" w:rsidRPr="005635D8">
        <w:rPr>
          <w:rFonts w:ascii="Calibri" w:hAnsi="Calibri"/>
          <w:lang w:val="en-GB"/>
        </w:rPr>
        <w:t xml:space="preserve"> for reducing earnings management. Those findings are robust after controlling for countr</w:t>
      </w:r>
      <w:r w:rsidR="003F3D80" w:rsidRPr="005635D8">
        <w:rPr>
          <w:rFonts w:ascii="Calibri" w:hAnsi="Calibri"/>
          <w:lang w:val="en-GB"/>
        </w:rPr>
        <w:t>y specific variables such as a country’s financial market development, ownership structure, capital structure, and tax system.</w:t>
      </w:r>
      <w:r w:rsidR="0084053D" w:rsidRPr="005635D8">
        <w:rPr>
          <w:rFonts w:ascii="Calibri" w:hAnsi="Calibri"/>
          <w:lang w:val="en-GB"/>
        </w:rPr>
        <w:t xml:space="preserve"> The study </w:t>
      </w:r>
      <w:r w:rsidR="00C456CE" w:rsidRPr="005635D8">
        <w:rPr>
          <w:rFonts w:ascii="Calibri" w:hAnsi="Calibri"/>
          <w:lang w:val="en-GB"/>
        </w:rPr>
        <w:t>consequently</w:t>
      </w:r>
      <w:r w:rsidR="0084053D" w:rsidRPr="005635D8">
        <w:rPr>
          <w:rFonts w:ascii="Calibri" w:hAnsi="Calibri"/>
          <w:lang w:val="en-GB"/>
        </w:rPr>
        <w:t xml:space="preserve"> shows that </w:t>
      </w:r>
      <w:r w:rsidR="0084053D" w:rsidRPr="005635D8">
        <w:rPr>
          <w:lang w:val="en-GB"/>
        </w:rPr>
        <w:t>cross-country differences in accounting quality are likely to remain after IFRS adoption until all institutional differences are removed.</w:t>
      </w:r>
      <w:r w:rsidR="003F3D80" w:rsidRPr="005635D8">
        <w:rPr>
          <w:rFonts w:ascii="Calibri" w:hAnsi="Calibri"/>
          <w:lang w:val="en-GB"/>
        </w:rPr>
        <w:t xml:space="preserve"> It is suggested that future improvement of accounting quality should focus on the enforceability of IFRS (2008, 19). This seems to be in contradiction with the observation</w:t>
      </w:r>
      <w:r w:rsidR="0084053D" w:rsidRPr="005635D8">
        <w:rPr>
          <w:rFonts w:ascii="Calibri" w:hAnsi="Calibri"/>
          <w:lang w:val="en-GB"/>
        </w:rPr>
        <w:t xml:space="preserve"> made by previous studies</w:t>
      </w:r>
      <w:r w:rsidR="003F3D80" w:rsidRPr="005635D8">
        <w:rPr>
          <w:rFonts w:ascii="Calibri" w:hAnsi="Calibri"/>
          <w:lang w:val="en-GB"/>
        </w:rPr>
        <w:t xml:space="preserve"> that voluntary adoption of IFRS </w:t>
      </w:r>
      <w:r w:rsidR="00323D4C" w:rsidRPr="005635D8">
        <w:rPr>
          <w:rFonts w:ascii="Calibri" w:hAnsi="Calibri"/>
          <w:lang w:val="en-GB"/>
        </w:rPr>
        <w:t>in addition</w:t>
      </w:r>
      <w:r w:rsidR="003F3D80" w:rsidRPr="005635D8">
        <w:rPr>
          <w:rFonts w:ascii="Calibri" w:hAnsi="Calibri"/>
          <w:lang w:val="en-GB"/>
        </w:rPr>
        <w:t xml:space="preserve"> decreases earnings management.  </w:t>
      </w:r>
    </w:p>
    <w:p w:rsidR="00B02B6E" w:rsidRPr="005635D8" w:rsidRDefault="00B02B6E" w:rsidP="00B02B6E">
      <w:pPr>
        <w:autoSpaceDE w:val="0"/>
        <w:autoSpaceDN w:val="0"/>
        <w:adjustRightInd w:val="0"/>
        <w:spacing w:after="0" w:line="240" w:lineRule="auto"/>
        <w:jc w:val="both"/>
        <w:rPr>
          <w:rFonts w:ascii="Calibri" w:hAnsi="Calibri"/>
          <w:sz w:val="23"/>
          <w:szCs w:val="23"/>
          <w:lang w:val="en-GB"/>
        </w:rPr>
      </w:pPr>
    </w:p>
    <w:p w:rsidR="00F24049" w:rsidRPr="005635D8" w:rsidRDefault="00F24049" w:rsidP="00B02B6E">
      <w:pPr>
        <w:autoSpaceDE w:val="0"/>
        <w:autoSpaceDN w:val="0"/>
        <w:adjustRightInd w:val="0"/>
        <w:spacing w:after="0"/>
        <w:jc w:val="both"/>
        <w:rPr>
          <w:rFonts w:eastAsiaTheme="minorHAnsi"/>
          <w:b/>
          <w:bCs/>
          <w:sz w:val="24"/>
          <w:szCs w:val="24"/>
          <w:lang w:val="en-GB"/>
        </w:rPr>
      </w:pPr>
      <w:r w:rsidRPr="005635D8">
        <w:rPr>
          <w:rFonts w:eastAsiaTheme="minorHAnsi"/>
          <w:b/>
          <w:bCs/>
          <w:sz w:val="24"/>
          <w:szCs w:val="24"/>
          <w:lang w:val="en-GB"/>
        </w:rPr>
        <w:t xml:space="preserve">6.1.4 Christensen, Lee and Walker </w:t>
      </w:r>
      <w:r w:rsidR="00621153" w:rsidRPr="005635D8">
        <w:rPr>
          <w:rFonts w:eastAsiaTheme="minorHAnsi"/>
          <w:b/>
          <w:bCs/>
          <w:sz w:val="24"/>
          <w:szCs w:val="24"/>
          <w:lang w:val="en-GB"/>
        </w:rPr>
        <w:t>(2009)</w:t>
      </w:r>
      <w:r w:rsidRPr="005635D8">
        <w:rPr>
          <w:rFonts w:eastAsiaTheme="minorHAnsi"/>
          <w:b/>
          <w:bCs/>
          <w:sz w:val="24"/>
          <w:szCs w:val="24"/>
          <w:lang w:val="en-GB"/>
        </w:rPr>
        <w:t xml:space="preserve"> </w:t>
      </w:r>
    </w:p>
    <w:p w:rsidR="00B275A6" w:rsidRPr="005635D8" w:rsidRDefault="00B275A6" w:rsidP="00040CB5">
      <w:pPr>
        <w:autoSpaceDE w:val="0"/>
        <w:autoSpaceDN w:val="0"/>
        <w:adjustRightInd w:val="0"/>
        <w:spacing w:after="0"/>
        <w:jc w:val="both"/>
        <w:rPr>
          <w:rFonts w:ascii="Calibri" w:hAnsi="Calibri"/>
          <w:lang w:val="en-GB"/>
        </w:rPr>
      </w:pPr>
      <w:r w:rsidRPr="005635D8">
        <w:rPr>
          <w:rFonts w:ascii="Calibri" w:hAnsi="Calibri"/>
          <w:lang w:val="en-GB"/>
        </w:rPr>
        <w:t>In another study Christensen et al. (2009</w:t>
      </w:r>
      <w:r w:rsidR="00851171" w:rsidRPr="005635D8">
        <w:rPr>
          <w:rFonts w:ascii="Calibri" w:hAnsi="Calibri"/>
          <w:lang w:val="en-GB"/>
        </w:rPr>
        <w:t>) provide evidence from the U.K</w:t>
      </w:r>
      <w:r w:rsidRPr="005635D8">
        <w:rPr>
          <w:rFonts w:ascii="Calibri" w:hAnsi="Calibri"/>
          <w:lang w:val="en-GB"/>
        </w:rPr>
        <w:t>.</w:t>
      </w:r>
      <w:r w:rsidR="00851171" w:rsidRPr="005635D8">
        <w:rPr>
          <w:rFonts w:ascii="Calibri" w:hAnsi="Calibri"/>
          <w:lang w:val="en-GB"/>
        </w:rPr>
        <w:t>.</w:t>
      </w:r>
      <w:r w:rsidRPr="005635D8">
        <w:rPr>
          <w:rFonts w:ascii="Calibri" w:hAnsi="Calibri"/>
          <w:lang w:val="en-GB"/>
        </w:rPr>
        <w:t xml:space="preserve"> The U.K. is an interesting case as IFRS adoption became mandatory for </w:t>
      </w:r>
      <w:r w:rsidR="00851171" w:rsidRPr="005635D8">
        <w:rPr>
          <w:rFonts w:ascii="Calibri" w:hAnsi="Calibri"/>
          <w:lang w:val="en-GB"/>
        </w:rPr>
        <w:t>all U.K</w:t>
      </w:r>
      <w:r w:rsidRPr="005635D8">
        <w:rPr>
          <w:rFonts w:ascii="Calibri" w:hAnsi="Calibri"/>
          <w:lang w:val="en-GB"/>
        </w:rPr>
        <w:t xml:space="preserve">. firms at the same moment. There were almost no voluntary adopters </w:t>
      </w:r>
      <w:r w:rsidR="00F71079" w:rsidRPr="005635D8">
        <w:rPr>
          <w:rFonts w:ascii="Calibri" w:hAnsi="Calibri"/>
          <w:lang w:val="en-GB"/>
        </w:rPr>
        <w:t>consequently</w:t>
      </w:r>
      <w:r w:rsidRPr="005635D8">
        <w:rPr>
          <w:rFonts w:ascii="Calibri" w:hAnsi="Calibri"/>
          <w:lang w:val="en-GB"/>
        </w:rPr>
        <w:t xml:space="preserve"> there is no self-selection bias (2009, 1168). The technical changes involved in the transition to IFRS from U.K. GAAP may affect the distribution of wealth between managers and shareholders. The primary topic studied here is the effect of IFRS</w:t>
      </w:r>
      <w:r w:rsidR="001D1117" w:rsidRPr="005635D8">
        <w:rPr>
          <w:rFonts w:ascii="Calibri" w:hAnsi="Calibri"/>
          <w:lang w:val="en-GB"/>
        </w:rPr>
        <w:t xml:space="preserve"> on covenant violation. Using a </w:t>
      </w:r>
      <w:r w:rsidRPr="005635D8">
        <w:rPr>
          <w:rFonts w:ascii="Calibri" w:hAnsi="Calibri"/>
          <w:lang w:val="en-GB"/>
        </w:rPr>
        <w:t>sample of</w:t>
      </w:r>
      <w:r w:rsidR="001D1117" w:rsidRPr="005635D8">
        <w:rPr>
          <w:rFonts w:ascii="Calibri" w:hAnsi="Calibri"/>
          <w:lang w:val="en-GB"/>
        </w:rPr>
        <w:t xml:space="preserve"> 137</w:t>
      </w:r>
      <w:r w:rsidRPr="005635D8">
        <w:rPr>
          <w:rFonts w:ascii="Calibri" w:hAnsi="Calibri"/>
          <w:lang w:val="en-GB"/>
        </w:rPr>
        <w:t xml:space="preserve"> British firms observed between January and October 2005</w:t>
      </w:r>
      <w:r w:rsidR="001D1117" w:rsidRPr="005635D8">
        <w:rPr>
          <w:rFonts w:ascii="Calibri" w:hAnsi="Calibri"/>
          <w:lang w:val="en-GB"/>
        </w:rPr>
        <w:t xml:space="preserve"> market reactions on the adoption of IFRS are studied. Doing </w:t>
      </w:r>
      <w:r w:rsidR="00F71079" w:rsidRPr="005635D8">
        <w:rPr>
          <w:rFonts w:ascii="Calibri" w:hAnsi="Calibri"/>
          <w:lang w:val="en-GB"/>
        </w:rPr>
        <w:t>consequently</w:t>
      </w:r>
      <w:r w:rsidRPr="005635D8">
        <w:rPr>
          <w:rFonts w:ascii="Calibri" w:hAnsi="Calibri"/>
          <w:lang w:val="en-GB"/>
        </w:rPr>
        <w:t xml:space="preserve">, a different methodology is adopted than in the common earnings management studies. Christensen et al. link earnings reconciliations to market reactions. They test the hypothesis that “the news content in IFRS earnings reconciliations is positively associated with the change in shareholder wealth on the announcement day” (2005, 1170). </w:t>
      </w:r>
      <w:r w:rsidR="00040CB5" w:rsidRPr="005635D8">
        <w:rPr>
          <w:rFonts w:ascii="Calibri" w:hAnsi="Calibri"/>
          <w:lang w:val="en-GB"/>
        </w:rPr>
        <w:t>Using a normal OLS regression model to test the effects of IFRS reconciliations and contracting cost variables on market reactions t</w:t>
      </w:r>
      <w:r w:rsidRPr="005635D8">
        <w:rPr>
          <w:rFonts w:ascii="Calibri" w:hAnsi="Calibri"/>
          <w:lang w:val="en-GB"/>
        </w:rPr>
        <w:t xml:space="preserve">hey find that market reactions are greatest among those firms for whom covenant violations are expected to be most costly. This finding is supposed to support the assumption that both IFRS reconciliations change shareholder’s wealth and that the information content of these reconciliations is at least partly unanticipated by investors before </w:t>
      </w:r>
      <w:r w:rsidR="00C54C01" w:rsidRPr="005635D8">
        <w:rPr>
          <w:rFonts w:ascii="Calibri" w:hAnsi="Calibri"/>
          <w:lang w:val="en-GB"/>
        </w:rPr>
        <w:t xml:space="preserve">the </w:t>
      </w:r>
      <w:r w:rsidRPr="005635D8">
        <w:rPr>
          <w:rFonts w:ascii="Calibri" w:hAnsi="Calibri"/>
          <w:lang w:val="en-GB"/>
        </w:rPr>
        <w:t>announcement (1</w:t>
      </w:r>
      <w:r w:rsidR="00851171" w:rsidRPr="005635D8">
        <w:rPr>
          <w:rFonts w:ascii="Calibri" w:hAnsi="Calibri"/>
          <w:lang w:val="en-GB"/>
        </w:rPr>
        <w:t>177). The transitions from U.K.</w:t>
      </w:r>
      <w:r w:rsidRPr="005635D8">
        <w:rPr>
          <w:rFonts w:ascii="Calibri" w:hAnsi="Calibri"/>
          <w:lang w:val="en-GB"/>
        </w:rPr>
        <w:t xml:space="preserve"> GAAP to IFRS alter the likelihood of technical covenant violation. Firms expect higher costs of contract violations. </w:t>
      </w:r>
      <w:r w:rsidR="002B0FA1" w:rsidRPr="005635D8">
        <w:rPr>
          <w:rFonts w:ascii="Calibri" w:hAnsi="Calibri"/>
          <w:lang w:val="en-GB"/>
        </w:rPr>
        <w:t>Consequently</w:t>
      </w:r>
      <w:r w:rsidRPr="005635D8">
        <w:rPr>
          <w:rFonts w:ascii="Calibri" w:hAnsi="Calibri"/>
          <w:lang w:val="en-GB"/>
        </w:rPr>
        <w:t xml:space="preserve"> through contract violations the introduction of IFRS will </w:t>
      </w:r>
      <w:r w:rsidR="00323D4C" w:rsidRPr="005635D8">
        <w:rPr>
          <w:rFonts w:ascii="Calibri" w:hAnsi="Calibri"/>
          <w:lang w:val="en-GB"/>
        </w:rPr>
        <w:t>in addition</w:t>
      </w:r>
      <w:r w:rsidRPr="005635D8">
        <w:rPr>
          <w:rFonts w:ascii="Calibri" w:hAnsi="Calibri"/>
          <w:lang w:val="en-GB"/>
        </w:rPr>
        <w:t xml:space="preserve"> have an indirect</w:t>
      </w:r>
      <w:r w:rsidR="00040CB5" w:rsidRPr="005635D8">
        <w:rPr>
          <w:rFonts w:ascii="Calibri" w:hAnsi="Calibri"/>
          <w:lang w:val="en-GB"/>
        </w:rPr>
        <w:t xml:space="preserve"> negative</w:t>
      </w:r>
      <w:r w:rsidRPr="005635D8">
        <w:rPr>
          <w:rFonts w:ascii="Calibri" w:hAnsi="Calibri"/>
          <w:lang w:val="en-GB"/>
        </w:rPr>
        <w:t xml:space="preserve"> effect upon </w:t>
      </w:r>
      <w:r w:rsidR="00040CB5" w:rsidRPr="005635D8">
        <w:rPr>
          <w:rFonts w:ascii="Calibri" w:hAnsi="Calibri"/>
          <w:lang w:val="en-GB"/>
        </w:rPr>
        <w:t xml:space="preserve">the use of </w:t>
      </w:r>
      <w:r w:rsidRPr="005635D8">
        <w:rPr>
          <w:rFonts w:ascii="Calibri" w:hAnsi="Calibri"/>
          <w:lang w:val="en-GB"/>
        </w:rPr>
        <w:t>earnings management (1196)</w:t>
      </w:r>
      <w:r w:rsidR="00B02B6E" w:rsidRPr="005635D8">
        <w:rPr>
          <w:rFonts w:ascii="Calibri" w:hAnsi="Calibri"/>
          <w:lang w:val="en-GB"/>
        </w:rPr>
        <w:t>.</w:t>
      </w:r>
      <w:r w:rsidRPr="005635D8">
        <w:rPr>
          <w:rFonts w:ascii="Calibri" w:hAnsi="Calibri"/>
          <w:lang w:val="en-GB"/>
        </w:rPr>
        <w:t xml:space="preserve"> </w:t>
      </w:r>
    </w:p>
    <w:p w:rsidR="00A40986" w:rsidRPr="005635D8" w:rsidRDefault="00A40986" w:rsidP="00A40986">
      <w:pPr>
        <w:autoSpaceDE w:val="0"/>
        <w:autoSpaceDN w:val="0"/>
        <w:adjustRightInd w:val="0"/>
        <w:spacing w:after="0" w:line="240" w:lineRule="auto"/>
        <w:rPr>
          <w:rFonts w:ascii="Calibri" w:hAnsi="Calibri" w:cs="Times New Roman"/>
          <w:sz w:val="23"/>
          <w:szCs w:val="23"/>
          <w:lang w:val="en-GB"/>
        </w:rPr>
      </w:pPr>
    </w:p>
    <w:p w:rsidR="006036E8" w:rsidRPr="005635D8" w:rsidRDefault="00923DD9" w:rsidP="001E4C5D">
      <w:pPr>
        <w:pStyle w:val="Heading3"/>
        <w:rPr>
          <w:lang w:val="en-GB"/>
        </w:rPr>
      </w:pPr>
      <w:bookmarkStart w:id="62" w:name="_Toc362267290"/>
      <w:r w:rsidRPr="005635D8">
        <w:rPr>
          <w:lang w:val="en-GB"/>
        </w:rPr>
        <w:t>6</w:t>
      </w:r>
      <w:r w:rsidR="00B02B6E" w:rsidRPr="005635D8">
        <w:rPr>
          <w:lang w:val="en-GB"/>
        </w:rPr>
        <w:t xml:space="preserve">.2 </w:t>
      </w:r>
      <w:r w:rsidR="006036E8" w:rsidRPr="005635D8">
        <w:rPr>
          <w:lang w:val="en-GB"/>
        </w:rPr>
        <w:t>No decrease in earnings management</w:t>
      </w:r>
      <w:bookmarkEnd w:id="62"/>
      <w:r w:rsidR="006036E8" w:rsidRPr="005635D8">
        <w:rPr>
          <w:lang w:val="en-GB"/>
        </w:rPr>
        <w:t xml:space="preserve"> </w:t>
      </w:r>
    </w:p>
    <w:p w:rsidR="00CA0507" w:rsidRPr="005635D8" w:rsidRDefault="00CA0507" w:rsidP="00B02B6E">
      <w:pPr>
        <w:autoSpaceDE w:val="0"/>
        <w:autoSpaceDN w:val="0"/>
        <w:adjustRightInd w:val="0"/>
        <w:spacing w:after="0"/>
        <w:jc w:val="both"/>
        <w:rPr>
          <w:rFonts w:ascii="Calibri" w:hAnsi="Calibri"/>
          <w:sz w:val="24"/>
          <w:szCs w:val="24"/>
          <w:lang w:val="en-GB"/>
        </w:rPr>
      </w:pPr>
      <w:r w:rsidRPr="005635D8">
        <w:rPr>
          <w:rFonts w:ascii="Calibri" w:hAnsi="Calibri"/>
          <w:sz w:val="24"/>
          <w:szCs w:val="24"/>
          <w:lang w:val="en-GB"/>
        </w:rPr>
        <w:t>In this paragraph four studies reporting an increasing level of earnings management after the introduction of IFRS are reported.</w:t>
      </w:r>
    </w:p>
    <w:p w:rsidR="00621153" w:rsidRPr="005635D8" w:rsidRDefault="00621153" w:rsidP="00B02B6E">
      <w:pPr>
        <w:autoSpaceDE w:val="0"/>
        <w:autoSpaceDN w:val="0"/>
        <w:adjustRightInd w:val="0"/>
        <w:spacing w:after="0"/>
        <w:jc w:val="both"/>
        <w:rPr>
          <w:rFonts w:ascii="Calibri" w:hAnsi="Calibri"/>
          <w:sz w:val="24"/>
          <w:szCs w:val="24"/>
          <w:lang w:val="en-GB"/>
        </w:rPr>
      </w:pPr>
    </w:p>
    <w:p w:rsidR="00621153" w:rsidRPr="005635D8" w:rsidRDefault="00621153" w:rsidP="001E4C5D">
      <w:pPr>
        <w:pStyle w:val="Heading3"/>
        <w:rPr>
          <w:lang w:val="en-GB"/>
        </w:rPr>
      </w:pPr>
      <w:bookmarkStart w:id="63" w:name="_Toc362267291"/>
      <w:r w:rsidRPr="005635D8">
        <w:rPr>
          <w:lang w:val="en-GB"/>
        </w:rPr>
        <w:t>6.2.1 Tendeloo and Vanstraelen</w:t>
      </w:r>
      <w:bookmarkEnd w:id="63"/>
      <w:r w:rsidRPr="005635D8">
        <w:rPr>
          <w:lang w:val="en-GB"/>
        </w:rPr>
        <w:t xml:space="preserve"> </w:t>
      </w:r>
    </w:p>
    <w:p w:rsidR="000A5650" w:rsidRPr="005635D8" w:rsidRDefault="001807C8" w:rsidP="00B02B6E">
      <w:pPr>
        <w:autoSpaceDE w:val="0"/>
        <w:autoSpaceDN w:val="0"/>
        <w:adjustRightInd w:val="0"/>
        <w:spacing w:after="0"/>
        <w:jc w:val="both"/>
        <w:rPr>
          <w:rFonts w:ascii="Calibri" w:hAnsi="Calibri"/>
          <w:lang w:val="en-GB"/>
        </w:rPr>
      </w:pPr>
      <w:r w:rsidRPr="005635D8">
        <w:rPr>
          <w:rFonts w:ascii="Calibri" w:hAnsi="Calibri"/>
          <w:lang w:val="en-GB"/>
        </w:rPr>
        <w:t>Tendeloo and Vanst</w:t>
      </w:r>
      <w:r w:rsidR="00183F62" w:rsidRPr="005635D8">
        <w:rPr>
          <w:rFonts w:ascii="Calibri" w:hAnsi="Calibri"/>
          <w:lang w:val="en-GB"/>
        </w:rPr>
        <w:t xml:space="preserve">raelen (2005) </w:t>
      </w:r>
      <w:r w:rsidR="00864FFE" w:rsidRPr="005635D8">
        <w:rPr>
          <w:rFonts w:ascii="Calibri" w:hAnsi="Calibri"/>
          <w:lang w:val="en-GB"/>
        </w:rPr>
        <w:t xml:space="preserve">address the question whether voluntary adoption of International Financial Reporting Standards (IFRS) is associated with lower earnings management in Germany. They </w:t>
      </w:r>
      <w:r w:rsidR="00323D4C" w:rsidRPr="005635D8">
        <w:rPr>
          <w:rFonts w:ascii="Calibri" w:hAnsi="Calibri"/>
          <w:lang w:val="en-GB"/>
        </w:rPr>
        <w:t>in addition</w:t>
      </w:r>
      <w:r w:rsidR="00864FFE" w:rsidRPr="005635D8">
        <w:rPr>
          <w:rFonts w:ascii="Calibri" w:hAnsi="Calibri"/>
          <w:lang w:val="en-GB"/>
        </w:rPr>
        <w:t xml:space="preserve"> compare differences in the use of earnings management under German GAAP and IFRS. Their data contains 636 firm-year observations relating to the period 1999-2001. Financial institutions and utility companies were excluded from entering the sample. </w:t>
      </w:r>
      <w:r w:rsidR="000A5650" w:rsidRPr="005635D8">
        <w:rPr>
          <w:rFonts w:ascii="Calibri" w:hAnsi="Calibri"/>
          <w:lang w:val="en-GB"/>
        </w:rPr>
        <w:t xml:space="preserve">Using the cross-sectional Jones model (Jones, 1991) to estimate discretionary accruals the results suggest that IFRS-adopters do not present different earnings management </w:t>
      </w:r>
      <w:r w:rsidR="00CB5F64" w:rsidRPr="005635D8">
        <w:rPr>
          <w:rFonts w:ascii="Calibri" w:hAnsi="Calibri"/>
          <w:lang w:val="en-GB"/>
        </w:rPr>
        <w:t>behaviour</w:t>
      </w:r>
      <w:r w:rsidR="000A5650" w:rsidRPr="005635D8">
        <w:rPr>
          <w:rFonts w:ascii="Calibri" w:hAnsi="Calibri"/>
          <w:lang w:val="en-GB"/>
        </w:rPr>
        <w:t xml:space="preserve"> compared to compan</w:t>
      </w:r>
      <w:r w:rsidR="00486346" w:rsidRPr="005635D8">
        <w:rPr>
          <w:rFonts w:ascii="Calibri" w:hAnsi="Calibri"/>
          <w:lang w:val="en-GB"/>
        </w:rPr>
        <w:t>ies reporting under German GAAP</w:t>
      </w:r>
      <w:r w:rsidR="000A5650" w:rsidRPr="005635D8">
        <w:rPr>
          <w:rFonts w:ascii="Calibri" w:hAnsi="Calibri"/>
          <w:lang w:val="en-GB"/>
        </w:rPr>
        <w:t>. Voluntary adopters of IFRS in Germany cannot be associated with lower levels of earnings management. It is even claimed that without the possibility of using hidden reserves to manage earnings, IFRS-adopters turn more to discretionary accruals to manage their earnings.</w:t>
      </w:r>
      <w:r w:rsidR="00223E4E" w:rsidRPr="005635D8">
        <w:rPr>
          <w:rFonts w:ascii="Calibri" w:hAnsi="Calibri"/>
          <w:lang w:val="en-GB"/>
        </w:rPr>
        <w:t xml:space="preserve"> </w:t>
      </w:r>
      <w:r w:rsidR="000A5650" w:rsidRPr="005635D8">
        <w:rPr>
          <w:rFonts w:ascii="Calibri" w:hAnsi="Calibri"/>
          <w:lang w:val="en-GB"/>
        </w:rPr>
        <w:t>Only when a firm is under the supervision of one of the big 4 auditors in Germany, earnings smoothing is significantly reduced</w:t>
      </w:r>
      <w:r w:rsidR="00223E4E" w:rsidRPr="005635D8">
        <w:rPr>
          <w:rFonts w:ascii="Calibri" w:hAnsi="Calibri"/>
          <w:lang w:val="en-GB"/>
        </w:rPr>
        <w:t xml:space="preserve"> (2005, 177; Lippens 2010, 84)</w:t>
      </w:r>
      <w:r w:rsidR="000A5650" w:rsidRPr="005635D8">
        <w:rPr>
          <w:rFonts w:ascii="Calibri" w:hAnsi="Calibri"/>
          <w:lang w:val="en-GB"/>
        </w:rPr>
        <w:t>.</w:t>
      </w:r>
      <w:r w:rsidR="00223E4E" w:rsidRPr="005635D8">
        <w:rPr>
          <w:rFonts w:ascii="Calibri" w:hAnsi="Calibri"/>
          <w:lang w:val="en-GB"/>
        </w:rPr>
        <w:t xml:space="preserve"> The authors than claim that their findings</w:t>
      </w:r>
      <w:r w:rsidR="000A5650" w:rsidRPr="005635D8">
        <w:rPr>
          <w:rFonts w:ascii="Calibri" w:hAnsi="Calibri"/>
          <w:lang w:val="en-GB"/>
        </w:rPr>
        <w:t xml:space="preserve"> </w:t>
      </w:r>
      <w:r w:rsidR="00223E4E" w:rsidRPr="005635D8">
        <w:rPr>
          <w:rFonts w:ascii="Calibri" w:hAnsi="Calibri"/>
          <w:lang w:val="en-GB"/>
        </w:rPr>
        <w:t>contribute to the current debate on whether high quality standards are sufficient and effective</w:t>
      </w:r>
      <w:r w:rsidR="00486346" w:rsidRPr="005635D8">
        <w:rPr>
          <w:rFonts w:ascii="Calibri" w:hAnsi="Calibri"/>
          <w:lang w:val="en-GB"/>
        </w:rPr>
        <w:t xml:space="preserve"> measures to prevent earnings management</w:t>
      </w:r>
      <w:r w:rsidR="00223E4E" w:rsidRPr="005635D8">
        <w:rPr>
          <w:rFonts w:ascii="Calibri" w:hAnsi="Calibri"/>
          <w:lang w:val="en-GB"/>
        </w:rPr>
        <w:t xml:space="preserve"> in countries with weak investor protection rights such as Germany. They suggest that high quality standards are necessary but not sufficient</w:t>
      </w:r>
      <w:r w:rsidR="00486346" w:rsidRPr="005635D8">
        <w:rPr>
          <w:rFonts w:ascii="Calibri" w:hAnsi="Calibri"/>
          <w:lang w:val="en-GB"/>
        </w:rPr>
        <w:t xml:space="preserve"> measures</w:t>
      </w:r>
      <w:r w:rsidR="00223E4E" w:rsidRPr="005635D8">
        <w:rPr>
          <w:rFonts w:ascii="Calibri" w:hAnsi="Calibri"/>
          <w:lang w:val="en-GB"/>
        </w:rPr>
        <w:t xml:space="preserve">. However, their study does not offer a comparative perspective with other countries. Possibly the German earning management levels were comparable to other countries already quite high under German GAAP. This would leave little room for improvement under the introduction of IFRS. As an implementation </w:t>
      </w:r>
      <w:r w:rsidR="00486346" w:rsidRPr="005635D8">
        <w:rPr>
          <w:rFonts w:ascii="Calibri" w:hAnsi="Calibri"/>
          <w:lang w:val="en-GB"/>
        </w:rPr>
        <w:t>period of IFRS probably causes a</w:t>
      </w:r>
      <w:r w:rsidR="00223E4E" w:rsidRPr="005635D8">
        <w:rPr>
          <w:rFonts w:ascii="Calibri" w:hAnsi="Calibri"/>
          <w:lang w:val="en-GB"/>
        </w:rPr>
        <w:t xml:space="preserve"> short period of being unaccustomed with the new rules</w:t>
      </w:r>
      <w:r w:rsidR="00486346" w:rsidRPr="005635D8">
        <w:rPr>
          <w:rFonts w:ascii="Calibri" w:hAnsi="Calibri"/>
          <w:lang w:val="en-GB"/>
        </w:rPr>
        <w:t>,</w:t>
      </w:r>
      <w:r w:rsidR="00223E4E" w:rsidRPr="005635D8">
        <w:rPr>
          <w:rFonts w:ascii="Calibri" w:hAnsi="Calibri"/>
          <w:lang w:val="en-GB"/>
        </w:rPr>
        <w:t xml:space="preserve"> it is probably not strange that earnings management even increases during the transition period towards IFRS.</w:t>
      </w:r>
      <w:r w:rsidR="00486346" w:rsidRPr="005635D8">
        <w:rPr>
          <w:rFonts w:ascii="Calibri" w:hAnsi="Calibri"/>
          <w:lang w:val="en-GB"/>
        </w:rPr>
        <w:t xml:space="preserve"> Potentially a longer time interval should be studied. </w:t>
      </w:r>
      <w:r w:rsidR="00223E4E" w:rsidRPr="005635D8">
        <w:rPr>
          <w:rFonts w:ascii="Calibri" w:hAnsi="Calibri"/>
          <w:lang w:val="en-GB"/>
        </w:rPr>
        <w:t xml:space="preserve">   </w:t>
      </w:r>
      <w:r w:rsidR="000A5650" w:rsidRPr="005635D8">
        <w:rPr>
          <w:rFonts w:ascii="Calibri" w:hAnsi="Calibri"/>
          <w:lang w:val="en-GB"/>
        </w:rPr>
        <w:t xml:space="preserve"> </w:t>
      </w:r>
    </w:p>
    <w:p w:rsidR="000A5650" w:rsidRPr="005635D8" w:rsidRDefault="000A5650" w:rsidP="00B02B6E">
      <w:pPr>
        <w:autoSpaceDE w:val="0"/>
        <w:autoSpaceDN w:val="0"/>
        <w:adjustRightInd w:val="0"/>
        <w:spacing w:after="0"/>
        <w:jc w:val="both"/>
        <w:rPr>
          <w:rFonts w:ascii="Calibri" w:hAnsi="Calibri" w:cs="AdvPS6F00"/>
          <w:sz w:val="24"/>
          <w:szCs w:val="24"/>
          <w:lang w:val="en-GB"/>
        </w:rPr>
      </w:pPr>
    </w:p>
    <w:p w:rsidR="009E2091" w:rsidRPr="005635D8" w:rsidRDefault="00621153" w:rsidP="001E4C5D">
      <w:pPr>
        <w:pStyle w:val="Heading3"/>
        <w:rPr>
          <w:lang w:val="en-GB"/>
        </w:rPr>
      </w:pPr>
      <w:bookmarkStart w:id="64" w:name="_Toc362267292"/>
      <w:r w:rsidRPr="005635D8">
        <w:rPr>
          <w:lang w:val="en-GB"/>
        </w:rPr>
        <w:t>6.2.2 Christensen, Lee and Walker (2008)</w:t>
      </w:r>
      <w:bookmarkEnd w:id="64"/>
    </w:p>
    <w:p w:rsidR="0027288F" w:rsidRPr="005635D8" w:rsidRDefault="001807C8" w:rsidP="00DB613C">
      <w:pPr>
        <w:autoSpaceDE w:val="0"/>
        <w:autoSpaceDN w:val="0"/>
        <w:adjustRightInd w:val="0"/>
        <w:spacing w:after="0"/>
        <w:jc w:val="both"/>
        <w:rPr>
          <w:rFonts w:ascii="Calibri" w:hAnsi="Calibri"/>
          <w:lang w:val="en-GB"/>
        </w:rPr>
      </w:pPr>
      <w:r w:rsidRPr="005635D8">
        <w:rPr>
          <w:rFonts w:ascii="Calibri" w:hAnsi="Calibri"/>
          <w:lang w:val="en-GB"/>
        </w:rPr>
        <w:t xml:space="preserve">Christensen, Lee and Walker (2008) </w:t>
      </w:r>
      <w:r w:rsidR="00323D4C" w:rsidRPr="005635D8">
        <w:rPr>
          <w:rFonts w:ascii="Calibri" w:hAnsi="Calibri"/>
          <w:lang w:val="en-GB"/>
        </w:rPr>
        <w:t>in addition</w:t>
      </w:r>
      <w:r w:rsidRPr="005635D8">
        <w:rPr>
          <w:rFonts w:ascii="Calibri" w:hAnsi="Calibri"/>
          <w:lang w:val="en-GB"/>
        </w:rPr>
        <w:t xml:space="preserve"> turned their attention to the German case.</w:t>
      </w:r>
      <w:r w:rsidR="00D10BA2" w:rsidRPr="005635D8">
        <w:rPr>
          <w:rFonts w:ascii="Calibri" w:hAnsi="Calibri"/>
          <w:lang w:val="en-GB"/>
        </w:rPr>
        <w:t xml:space="preserve"> Their objective is </w:t>
      </w:r>
      <w:r w:rsidR="00323D4C" w:rsidRPr="005635D8">
        <w:rPr>
          <w:rFonts w:ascii="Calibri" w:hAnsi="Calibri"/>
          <w:lang w:val="en-GB"/>
        </w:rPr>
        <w:t>in addition</w:t>
      </w:r>
      <w:r w:rsidR="00D10BA2" w:rsidRPr="005635D8">
        <w:rPr>
          <w:rFonts w:ascii="Calibri" w:hAnsi="Calibri"/>
          <w:lang w:val="en-GB"/>
        </w:rPr>
        <w:t xml:space="preserve"> to test the effect of the introduction of IFRS on the use of earnings management.</w:t>
      </w:r>
      <w:r w:rsidRPr="005635D8">
        <w:rPr>
          <w:rFonts w:ascii="Calibri" w:hAnsi="Calibri"/>
          <w:lang w:val="en-GB"/>
        </w:rPr>
        <w:t xml:space="preserve"> But besides </w:t>
      </w:r>
      <w:r w:rsidR="0098240C" w:rsidRPr="005635D8">
        <w:rPr>
          <w:rFonts w:ascii="Calibri" w:hAnsi="Calibri"/>
          <w:lang w:val="en-GB"/>
        </w:rPr>
        <w:t>based</w:t>
      </w:r>
      <w:r w:rsidRPr="005635D8">
        <w:rPr>
          <w:rFonts w:ascii="Calibri" w:hAnsi="Calibri"/>
          <w:lang w:val="en-GB"/>
        </w:rPr>
        <w:t xml:space="preserve"> at firms voluntarily adopting IFRS before 2005 they </w:t>
      </w:r>
      <w:r w:rsidR="00323D4C" w:rsidRPr="005635D8">
        <w:rPr>
          <w:rFonts w:ascii="Calibri" w:hAnsi="Calibri"/>
          <w:lang w:val="en-GB"/>
        </w:rPr>
        <w:t>in addition</w:t>
      </w:r>
      <w:r w:rsidRPr="005635D8">
        <w:rPr>
          <w:rFonts w:ascii="Calibri" w:hAnsi="Calibri"/>
          <w:lang w:val="en-GB"/>
        </w:rPr>
        <w:t xml:space="preserve"> looked at firms that were forced to comply with IFRS as of 2005.</w:t>
      </w:r>
      <w:r w:rsidR="007D3A14" w:rsidRPr="005635D8">
        <w:rPr>
          <w:rFonts w:ascii="Calibri" w:hAnsi="Calibri"/>
          <w:lang w:val="en-GB"/>
        </w:rPr>
        <w:t xml:space="preserve"> This makes the Germa</w:t>
      </w:r>
      <w:r w:rsidR="00D10BA2" w:rsidRPr="005635D8">
        <w:rPr>
          <w:rFonts w:ascii="Calibri" w:hAnsi="Calibri"/>
          <w:lang w:val="en-GB"/>
        </w:rPr>
        <w:t>n setting unique. They consider</w:t>
      </w:r>
      <w:r w:rsidR="007D3A14" w:rsidRPr="005635D8">
        <w:rPr>
          <w:rFonts w:ascii="Calibri" w:hAnsi="Calibri"/>
          <w:lang w:val="en-GB"/>
        </w:rPr>
        <w:t xml:space="preserve"> firms only </w:t>
      </w:r>
      <w:r w:rsidRPr="005635D8">
        <w:rPr>
          <w:rFonts w:ascii="Calibri" w:hAnsi="Calibri"/>
          <w:lang w:val="en-GB"/>
        </w:rPr>
        <w:t>comply</w:t>
      </w:r>
      <w:r w:rsidR="007D3A14" w:rsidRPr="005635D8">
        <w:rPr>
          <w:rFonts w:ascii="Calibri" w:hAnsi="Calibri"/>
          <w:lang w:val="en-GB"/>
        </w:rPr>
        <w:t>ing at the moment IFRS became obligatory to be</w:t>
      </w:r>
      <w:r w:rsidRPr="005635D8">
        <w:rPr>
          <w:rFonts w:ascii="Calibri" w:hAnsi="Calibri"/>
          <w:lang w:val="en-GB"/>
        </w:rPr>
        <w:t xml:space="preserve"> firms that perceive no benefits of doing </w:t>
      </w:r>
      <w:r w:rsidR="00F71079" w:rsidRPr="005635D8">
        <w:rPr>
          <w:rFonts w:ascii="Calibri" w:hAnsi="Calibri"/>
          <w:lang w:val="en-GB"/>
        </w:rPr>
        <w:t>consequently</w:t>
      </w:r>
      <w:r w:rsidRPr="005635D8">
        <w:rPr>
          <w:rFonts w:ascii="Calibri" w:hAnsi="Calibri"/>
          <w:lang w:val="en-GB"/>
        </w:rPr>
        <w:t xml:space="preserve"> (2008,</w:t>
      </w:r>
      <w:r w:rsidR="00321121" w:rsidRPr="005635D8">
        <w:rPr>
          <w:rFonts w:ascii="Calibri" w:hAnsi="Calibri"/>
          <w:lang w:val="en-GB"/>
        </w:rPr>
        <w:t xml:space="preserve"> </w:t>
      </w:r>
      <w:r w:rsidRPr="005635D8">
        <w:rPr>
          <w:rFonts w:ascii="Calibri" w:hAnsi="Calibri"/>
          <w:lang w:val="en-GB"/>
        </w:rPr>
        <w:t>1)</w:t>
      </w:r>
      <w:r w:rsidR="007D3A14" w:rsidRPr="005635D8">
        <w:rPr>
          <w:rFonts w:ascii="Calibri" w:hAnsi="Calibri"/>
          <w:lang w:val="en-GB"/>
        </w:rPr>
        <w:t>.</w:t>
      </w:r>
      <w:r w:rsidRPr="005635D8">
        <w:rPr>
          <w:rFonts w:ascii="Calibri" w:hAnsi="Calibri"/>
          <w:lang w:val="en-GB"/>
        </w:rPr>
        <w:t xml:space="preserve"> </w:t>
      </w:r>
      <w:r w:rsidR="007D3A14" w:rsidRPr="005635D8">
        <w:rPr>
          <w:rFonts w:ascii="Calibri" w:hAnsi="Calibri"/>
          <w:lang w:val="en-GB"/>
        </w:rPr>
        <w:t xml:space="preserve">As they state </w:t>
      </w:r>
      <w:r w:rsidR="00640F0E" w:rsidRPr="005635D8">
        <w:rPr>
          <w:rFonts w:ascii="Calibri" w:hAnsi="Calibri"/>
          <w:lang w:val="en-GB"/>
        </w:rPr>
        <w:t>that German</w:t>
      </w:r>
      <w:r w:rsidR="007D3A14" w:rsidRPr="005635D8">
        <w:rPr>
          <w:rFonts w:ascii="Calibri" w:hAnsi="Calibri"/>
          <w:lang w:val="en-GB"/>
        </w:rPr>
        <w:t xml:space="preserve"> accounting regulation is generally perceived as</w:t>
      </w:r>
      <w:r w:rsidR="00542DCB" w:rsidRPr="005635D8">
        <w:rPr>
          <w:rFonts w:ascii="Calibri" w:hAnsi="Calibri"/>
          <w:lang w:val="en-GB"/>
        </w:rPr>
        <w:t xml:space="preserve"> </w:t>
      </w:r>
      <w:r w:rsidR="007D3A14" w:rsidRPr="005635D8">
        <w:rPr>
          <w:rFonts w:ascii="Calibri" w:hAnsi="Calibri"/>
          <w:lang w:val="en-GB"/>
        </w:rPr>
        <w:t>lower quality than IFRS given its code-law origin and insider orientation (</w:t>
      </w:r>
      <w:r w:rsidR="00542DCB" w:rsidRPr="005635D8">
        <w:rPr>
          <w:rFonts w:ascii="Calibri" w:hAnsi="Calibri"/>
          <w:lang w:val="en-GB"/>
        </w:rPr>
        <w:t>see Leuz and Wüstemann</w:t>
      </w:r>
      <w:r w:rsidR="007D3A14" w:rsidRPr="005635D8">
        <w:rPr>
          <w:rFonts w:ascii="Calibri" w:hAnsi="Calibri"/>
          <w:lang w:val="en-GB"/>
        </w:rPr>
        <w:t xml:space="preserve"> 2004), it can be expected that accounting quality will increase under IFRS and earnings management will decrease. </w:t>
      </w:r>
    </w:p>
    <w:p w:rsidR="0027288F" w:rsidRPr="005635D8" w:rsidRDefault="0027288F" w:rsidP="00DB613C">
      <w:pPr>
        <w:autoSpaceDE w:val="0"/>
        <w:autoSpaceDN w:val="0"/>
        <w:adjustRightInd w:val="0"/>
        <w:spacing w:after="0"/>
        <w:jc w:val="both"/>
        <w:rPr>
          <w:rFonts w:ascii="Calibri" w:hAnsi="Calibri"/>
          <w:lang w:val="en-GB"/>
        </w:rPr>
      </w:pPr>
    </w:p>
    <w:p w:rsidR="00542DCB" w:rsidRPr="005635D8" w:rsidRDefault="004F7474" w:rsidP="004F7474">
      <w:pPr>
        <w:autoSpaceDE w:val="0"/>
        <w:autoSpaceDN w:val="0"/>
        <w:adjustRightInd w:val="0"/>
        <w:spacing w:after="0"/>
        <w:jc w:val="both"/>
        <w:rPr>
          <w:rFonts w:ascii="Calibri" w:hAnsi="Calibri"/>
          <w:lang w:val="en-GB"/>
        </w:rPr>
      </w:pPr>
      <w:r w:rsidRPr="005635D8">
        <w:rPr>
          <w:rFonts w:ascii="Calibri" w:hAnsi="Calibri"/>
          <w:lang w:val="en-GB"/>
        </w:rPr>
        <w:t xml:space="preserve">Data was obtained from Datastream and all firms domiciled in Germany could potentially be included in the sample. After several selection criteria were applied to the data the final sample consist of 177 firms that did not adopt IFRS until 2005, and 133 firms that adopted IFRS voluntary before 2005. The total period under investigation runs from 1998 to 2005. </w:t>
      </w:r>
      <w:r w:rsidR="00D10BA2" w:rsidRPr="005635D8">
        <w:rPr>
          <w:rFonts w:ascii="Calibri" w:hAnsi="Calibri"/>
          <w:lang w:val="en-GB"/>
        </w:rPr>
        <w:t>The most important indicator for measuring earnings management in this study is earnings smoothing. Three constructs are used as a proxy for earnings smoothing</w:t>
      </w:r>
      <w:r w:rsidRPr="005635D8">
        <w:rPr>
          <w:rFonts w:ascii="Calibri" w:hAnsi="Calibri"/>
          <w:lang w:val="en-GB"/>
        </w:rPr>
        <w:t xml:space="preserve">: the variability of changes in earnings, the variability of changes in earnings relative to the variability of changes in cash flows and the negative correlation between accruals and cash flows. </w:t>
      </w:r>
      <w:r w:rsidR="00542DCB" w:rsidRPr="005635D8">
        <w:rPr>
          <w:rFonts w:ascii="Calibri" w:hAnsi="Calibri"/>
          <w:lang w:val="en-GB"/>
        </w:rPr>
        <w:t>Adopting the regression method</w:t>
      </w:r>
      <w:r w:rsidRPr="005635D8">
        <w:rPr>
          <w:rFonts w:ascii="Calibri" w:hAnsi="Calibri"/>
          <w:lang w:val="en-GB"/>
        </w:rPr>
        <w:t xml:space="preserve"> </w:t>
      </w:r>
      <w:r w:rsidR="00323D4C" w:rsidRPr="005635D8">
        <w:rPr>
          <w:rFonts w:ascii="Calibri" w:hAnsi="Calibri"/>
          <w:lang w:val="en-GB"/>
        </w:rPr>
        <w:t>in addition</w:t>
      </w:r>
      <w:r w:rsidRPr="005635D8">
        <w:rPr>
          <w:rFonts w:ascii="Calibri" w:hAnsi="Calibri"/>
          <w:lang w:val="en-GB"/>
        </w:rPr>
        <w:t xml:space="preserve"> used by Barth et al. (2008)</w:t>
      </w:r>
      <w:r w:rsidR="00D10BA2" w:rsidRPr="005635D8">
        <w:rPr>
          <w:rFonts w:ascii="Calibri" w:hAnsi="Calibri"/>
          <w:lang w:val="en-GB"/>
        </w:rPr>
        <w:t xml:space="preserve"> which estimates the effects of independent variables and control variables on change in net income of the firms</w:t>
      </w:r>
      <w:r w:rsidR="00542DCB" w:rsidRPr="005635D8">
        <w:rPr>
          <w:rFonts w:ascii="Calibri" w:hAnsi="Calibri"/>
          <w:lang w:val="en-GB"/>
        </w:rPr>
        <w:t xml:space="preserve"> (</w:t>
      </w:r>
      <w:r w:rsidR="00D10BA2" w:rsidRPr="005635D8">
        <w:rPr>
          <w:rFonts w:ascii="Calibri" w:hAnsi="Calibri"/>
          <w:lang w:val="en-GB"/>
        </w:rPr>
        <w:t xml:space="preserve">as reported in </w:t>
      </w:r>
      <w:r w:rsidR="00542DCB" w:rsidRPr="005635D8">
        <w:rPr>
          <w:rFonts w:ascii="Calibri" w:hAnsi="Calibri"/>
          <w:lang w:val="en-GB"/>
        </w:rPr>
        <w:t>Christensen et al. 2008)</w:t>
      </w:r>
      <w:r w:rsidRPr="005635D8">
        <w:rPr>
          <w:rFonts w:ascii="Calibri" w:hAnsi="Calibri"/>
          <w:lang w:val="en-GB"/>
        </w:rPr>
        <w:t>,</w:t>
      </w:r>
      <w:r w:rsidR="00542DCB" w:rsidRPr="005635D8">
        <w:rPr>
          <w:rFonts w:ascii="Calibri" w:hAnsi="Calibri"/>
          <w:lang w:val="en-GB"/>
        </w:rPr>
        <w:t xml:space="preserve"> the study reports some mixed findings. Consistent with prior literature and with the assumed effect of the introduction of IFRS Christensen et al. find </w:t>
      </w:r>
      <w:r w:rsidR="000A2F64" w:rsidRPr="005635D8">
        <w:rPr>
          <w:rFonts w:ascii="Calibri" w:hAnsi="Calibri"/>
          <w:lang w:val="en-GB"/>
        </w:rPr>
        <w:t>that voluntary adoption of IFRS is associated</w:t>
      </w:r>
      <w:r w:rsidR="00542DCB" w:rsidRPr="005635D8">
        <w:rPr>
          <w:rFonts w:ascii="Calibri" w:hAnsi="Calibri"/>
          <w:lang w:val="en-GB"/>
        </w:rPr>
        <w:t xml:space="preserve"> </w:t>
      </w:r>
      <w:r w:rsidR="000A2F64" w:rsidRPr="005635D8">
        <w:rPr>
          <w:rFonts w:ascii="Calibri" w:hAnsi="Calibri"/>
          <w:lang w:val="en-GB"/>
        </w:rPr>
        <w:t>with decreased earnings management and more timely loss recognition.</w:t>
      </w:r>
      <w:r w:rsidR="00542DCB" w:rsidRPr="005635D8">
        <w:rPr>
          <w:rFonts w:ascii="Calibri" w:hAnsi="Calibri"/>
          <w:lang w:val="en-GB"/>
        </w:rPr>
        <w:t xml:space="preserve"> “In stark </w:t>
      </w:r>
      <w:r w:rsidR="000A2F64" w:rsidRPr="005635D8">
        <w:rPr>
          <w:rFonts w:ascii="Calibri" w:hAnsi="Calibri"/>
          <w:lang w:val="en-GB"/>
        </w:rPr>
        <w:t>contrast, we find no evidence of such accounting qual</w:t>
      </w:r>
      <w:r w:rsidR="00542DCB" w:rsidRPr="005635D8">
        <w:rPr>
          <w:rFonts w:ascii="Calibri" w:hAnsi="Calibri"/>
          <w:lang w:val="en-GB"/>
        </w:rPr>
        <w:t xml:space="preserve">ity improvements for firms that </w:t>
      </w:r>
      <w:r w:rsidR="000A2F64" w:rsidRPr="005635D8">
        <w:rPr>
          <w:rFonts w:ascii="Calibri" w:hAnsi="Calibri"/>
          <w:lang w:val="en-GB"/>
        </w:rPr>
        <w:t>are forced to adopt IFRS</w:t>
      </w:r>
      <w:r w:rsidR="00542DCB" w:rsidRPr="005635D8">
        <w:rPr>
          <w:rFonts w:ascii="Calibri" w:hAnsi="Calibri"/>
          <w:lang w:val="en-GB"/>
        </w:rPr>
        <w:t>” (2008, 2)</w:t>
      </w:r>
      <w:r w:rsidR="000A2F64" w:rsidRPr="005635D8">
        <w:rPr>
          <w:rFonts w:ascii="Calibri" w:hAnsi="Calibri"/>
          <w:lang w:val="en-GB"/>
        </w:rPr>
        <w:t xml:space="preserve">. </w:t>
      </w:r>
      <w:r w:rsidR="00542DCB" w:rsidRPr="005635D8">
        <w:rPr>
          <w:rFonts w:ascii="Calibri" w:hAnsi="Calibri"/>
          <w:lang w:val="en-GB"/>
        </w:rPr>
        <w:t xml:space="preserve">It is supposed that flexibility embedded </w:t>
      </w:r>
      <w:r w:rsidR="00640F0E" w:rsidRPr="005635D8">
        <w:rPr>
          <w:rFonts w:ascii="Calibri" w:hAnsi="Calibri"/>
          <w:lang w:val="en-GB"/>
        </w:rPr>
        <w:t>in IFRS</w:t>
      </w:r>
      <w:r w:rsidR="00542DCB" w:rsidRPr="005635D8">
        <w:rPr>
          <w:rFonts w:ascii="Calibri" w:hAnsi="Calibri"/>
          <w:lang w:val="en-GB"/>
        </w:rPr>
        <w:t xml:space="preserve"> </w:t>
      </w:r>
      <w:r w:rsidR="00956BA9" w:rsidRPr="005635D8">
        <w:rPr>
          <w:rFonts w:ascii="Calibri" w:hAnsi="Calibri"/>
          <w:lang w:val="en-GB"/>
        </w:rPr>
        <w:t xml:space="preserve">gives firms that do not want to comply with it possibilities to avoid the supposed restrictions of earnings management. </w:t>
      </w:r>
      <w:r w:rsidR="00542DCB" w:rsidRPr="005635D8">
        <w:rPr>
          <w:rFonts w:ascii="Calibri" w:hAnsi="Calibri"/>
          <w:lang w:val="en-GB"/>
        </w:rPr>
        <w:t>It is claimed that among firms under</w:t>
      </w:r>
      <w:r w:rsidR="00956BA9" w:rsidRPr="005635D8">
        <w:rPr>
          <w:rFonts w:ascii="Calibri" w:hAnsi="Calibri"/>
          <w:lang w:val="en-GB"/>
        </w:rPr>
        <w:t xml:space="preserve"> the same institutional setting,</w:t>
      </w:r>
      <w:r w:rsidR="00542DCB" w:rsidRPr="005635D8">
        <w:rPr>
          <w:rFonts w:ascii="Calibri" w:hAnsi="Calibri"/>
          <w:lang w:val="en-GB"/>
        </w:rPr>
        <w:t xml:space="preserve"> incentives dominate accounting standards in determ</w:t>
      </w:r>
      <w:r w:rsidR="00321121" w:rsidRPr="005635D8">
        <w:rPr>
          <w:rFonts w:ascii="Calibri" w:hAnsi="Calibri"/>
          <w:lang w:val="en-GB"/>
        </w:rPr>
        <w:t xml:space="preserve">ining accounting quality (2008, </w:t>
      </w:r>
      <w:r w:rsidR="00542DCB" w:rsidRPr="005635D8">
        <w:rPr>
          <w:rFonts w:ascii="Calibri" w:hAnsi="Calibri"/>
          <w:lang w:val="en-GB"/>
        </w:rPr>
        <w:t>3)</w:t>
      </w:r>
      <w:r w:rsidR="00956BA9" w:rsidRPr="005635D8">
        <w:rPr>
          <w:rFonts w:ascii="Calibri" w:hAnsi="Calibri"/>
          <w:lang w:val="en-GB"/>
        </w:rPr>
        <w:t>.</w:t>
      </w:r>
      <w:r w:rsidR="00542DCB" w:rsidRPr="005635D8">
        <w:rPr>
          <w:rFonts w:ascii="Calibri" w:hAnsi="Calibri"/>
          <w:lang w:val="en-GB"/>
        </w:rPr>
        <w:t xml:space="preserve"> </w:t>
      </w:r>
      <w:r w:rsidR="00956BA9" w:rsidRPr="005635D8">
        <w:rPr>
          <w:rFonts w:ascii="Calibri" w:hAnsi="Calibri"/>
          <w:lang w:val="en-GB"/>
        </w:rPr>
        <w:t xml:space="preserve">Accounting standards should be coupled to an enforcement system. </w:t>
      </w:r>
    </w:p>
    <w:p w:rsidR="00542DCB" w:rsidRPr="005635D8" w:rsidRDefault="00542DCB" w:rsidP="000A2F64">
      <w:pPr>
        <w:autoSpaceDE w:val="0"/>
        <w:autoSpaceDN w:val="0"/>
        <w:adjustRightInd w:val="0"/>
        <w:spacing w:after="0" w:line="240" w:lineRule="auto"/>
        <w:rPr>
          <w:rFonts w:ascii="Calibri" w:hAnsi="Calibri" w:cs="Times New Roman"/>
          <w:lang w:val="en-GB"/>
        </w:rPr>
      </w:pPr>
    </w:p>
    <w:p w:rsidR="00D10BA2" w:rsidRPr="005635D8" w:rsidRDefault="00D10BA2" w:rsidP="000A2F64">
      <w:pPr>
        <w:autoSpaceDE w:val="0"/>
        <w:autoSpaceDN w:val="0"/>
        <w:adjustRightInd w:val="0"/>
        <w:spacing w:after="0" w:line="240" w:lineRule="auto"/>
        <w:rPr>
          <w:rFonts w:ascii="Calibri" w:hAnsi="Calibri" w:cs="Times New Roman"/>
          <w:lang w:val="en-GB"/>
        </w:rPr>
      </w:pPr>
    </w:p>
    <w:p w:rsidR="00621153" w:rsidRPr="005635D8" w:rsidRDefault="00FE2F7B" w:rsidP="001E4C5D">
      <w:pPr>
        <w:pStyle w:val="Heading3"/>
        <w:rPr>
          <w:lang w:val="en-GB"/>
        </w:rPr>
      </w:pPr>
      <w:bookmarkStart w:id="65" w:name="_Toc362267293"/>
      <w:r w:rsidRPr="005635D8">
        <w:rPr>
          <w:lang w:val="en-GB"/>
        </w:rPr>
        <w:t>6.2.3 Paananen and Lin</w:t>
      </w:r>
      <w:bookmarkEnd w:id="65"/>
      <w:r w:rsidRPr="005635D8">
        <w:rPr>
          <w:lang w:val="en-GB"/>
        </w:rPr>
        <w:t xml:space="preserve"> </w:t>
      </w:r>
    </w:p>
    <w:p w:rsidR="00472359" w:rsidRPr="005635D8" w:rsidRDefault="00A5618E" w:rsidP="00472359">
      <w:pPr>
        <w:autoSpaceDE w:val="0"/>
        <w:autoSpaceDN w:val="0"/>
        <w:adjustRightInd w:val="0"/>
        <w:spacing w:after="0"/>
        <w:jc w:val="both"/>
        <w:rPr>
          <w:lang w:val="en-GB"/>
        </w:rPr>
      </w:pPr>
      <w:r w:rsidRPr="005635D8">
        <w:rPr>
          <w:lang w:val="en-GB"/>
        </w:rPr>
        <w:t>However, Paananen and Lin (2008</w:t>
      </w:r>
      <w:r w:rsidR="00640F0E" w:rsidRPr="005635D8">
        <w:rPr>
          <w:lang w:val="en-GB"/>
        </w:rPr>
        <w:t>) compare</w:t>
      </w:r>
      <w:r w:rsidR="00FE2F7B" w:rsidRPr="005635D8">
        <w:rPr>
          <w:rFonts w:cs="Times-Roman"/>
          <w:lang w:val="en-GB"/>
        </w:rPr>
        <w:t xml:space="preserve"> the quality of accounting numbers under International Accounting Standards (IAS) during 2000-2002 with those under International Financial Reporting Standards (IFRS) during 2003-2006. The distinction between voluntary and mandatory adoption is </w:t>
      </w:r>
      <w:r w:rsidR="00323D4C" w:rsidRPr="005635D8">
        <w:rPr>
          <w:rFonts w:cs="Times-Roman"/>
          <w:lang w:val="en-GB"/>
        </w:rPr>
        <w:t>in addition</w:t>
      </w:r>
      <w:r w:rsidR="00FE2F7B" w:rsidRPr="005635D8">
        <w:rPr>
          <w:rFonts w:cs="Times-Roman"/>
          <w:lang w:val="en-GB"/>
        </w:rPr>
        <w:t xml:space="preserve"> brought within the research design.  They</w:t>
      </w:r>
      <w:r w:rsidR="00FE2F7B" w:rsidRPr="005635D8">
        <w:rPr>
          <w:lang w:val="en-GB"/>
        </w:rPr>
        <w:t xml:space="preserve"> conduct a</w:t>
      </w:r>
      <w:r w:rsidR="00472359" w:rsidRPr="005635D8">
        <w:rPr>
          <w:lang w:val="en-GB"/>
        </w:rPr>
        <w:t xml:space="preserve"> case</w:t>
      </w:r>
      <w:r w:rsidR="00FE2F7B" w:rsidRPr="005635D8">
        <w:rPr>
          <w:lang w:val="en-GB"/>
        </w:rPr>
        <w:t xml:space="preserve"> study of</w:t>
      </w:r>
      <w:r w:rsidRPr="005635D8">
        <w:rPr>
          <w:lang w:val="en-GB"/>
        </w:rPr>
        <w:t xml:space="preserve"> German companies reporting under IFRS and find a decrease in accounting quality after the mandatory EU-adoption in 2005. They show that this decrease is driven by the change of the IFRS-standards over time. Their analysis is based on a comparison of 107 German firms reporting in three different time periods. They studied firms reporting under IAS during 2000-2002, voluntarily reporting under IFRS during 2003-2004 and mandatory reporting under IFRS during 2005-2006. </w:t>
      </w:r>
      <w:r w:rsidR="00472359" w:rsidRPr="005635D8">
        <w:rPr>
          <w:lang w:val="en-GB"/>
        </w:rPr>
        <w:t xml:space="preserve">The study is limited to the German case in order to hold institutional factors that may confound the results constant. This strengthens the reliability of the results.   </w:t>
      </w:r>
    </w:p>
    <w:p w:rsidR="00472359" w:rsidRPr="005635D8" w:rsidRDefault="00472359" w:rsidP="00472359">
      <w:pPr>
        <w:autoSpaceDE w:val="0"/>
        <w:autoSpaceDN w:val="0"/>
        <w:adjustRightInd w:val="0"/>
        <w:spacing w:after="0"/>
        <w:jc w:val="both"/>
        <w:rPr>
          <w:lang w:val="en-GB"/>
        </w:rPr>
      </w:pPr>
    </w:p>
    <w:p w:rsidR="000F7562" w:rsidRPr="005635D8" w:rsidRDefault="00A5618E" w:rsidP="000F7562">
      <w:pPr>
        <w:autoSpaceDE w:val="0"/>
        <w:autoSpaceDN w:val="0"/>
        <w:adjustRightInd w:val="0"/>
        <w:spacing w:after="0"/>
        <w:jc w:val="both"/>
        <w:rPr>
          <w:rFonts w:cs="Times-Roman"/>
          <w:lang w:val="en-GB"/>
        </w:rPr>
      </w:pPr>
      <w:r w:rsidRPr="005635D8">
        <w:rPr>
          <w:lang w:val="en-GB"/>
        </w:rPr>
        <w:t xml:space="preserve">Using the variability of the change in net income scaled by total assets method developed by Barth et al. (2008), this study </w:t>
      </w:r>
      <w:r w:rsidR="00C456CE" w:rsidRPr="005635D8">
        <w:rPr>
          <w:lang w:val="en-GB"/>
        </w:rPr>
        <w:t>consequently</w:t>
      </w:r>
      <w:r w:rsidRPr="005635D8">
        <w:rPr>
          <w:lang w:val="en-GB"/>
        </w:rPr>
        <w:t xml:space="preserve"> reports that </w:t>
      </w:r>
      <w:r w:rsidRPr="005635D8">
        <w:rPr>
          <w:rFonts w:cs="Times-Roman"/>
          <w:lang w:val="en-GB"/>
        </w:rPr>
        <w:t>accounting quality has not improved but worsened over time. The main cause of this development is believed to be driven by changes of the standard of IFRS and not by new adopters. “Contrary to the intention with the adoption of the European adoption of IFRS, this makes it harder for investors to base their decisions on the IFRS financial reporting” (2008, 1)</w:t>
      </w:r>
      <w:r w:rsidR="00B33B5B" w:rsidRPr="005635D8">
        <w:rPr>
          <w:rFonts w:cs="Times-Roman"/>
          <w:lang w:val="en-GB"/>
        </w:rPr>
        <w:t>.</w:t>
      </w:r>
      <w:r w:rsidR="000F7562" w:rsidRPr="005635D8">
        <w:rPr>
          <w:rFonts w:cs="Times-Roman"/>
          <w:lang w:val="en-GB"/>
        </w:rPr>
        <w:t xml:space="preserve"> The comparison between the voluntary adopters in the period 2003-2004 and mandatory adopters in the period 2005-2006 showed only weak that the decrease in quality was caused by the mandatory adopters.</w:t>
      </w:r>
    </w:p>
    <w:p w:rsidR="003838FF" w:rsidRPr="005635D8" w:rsidRDefault="003838FF" w:rsidP="007E1A16">
      <w:pPr>
        <w:autoSpaceDE w:val="0"/>
        <w:autoSpaceDN w:val="0"/>
        <w:adjustRightInd w:val="0"/>
        <w:spacing w:after="0"/>
        <w:rPr>
          <w:rFonts w:ascii="Calibri" w:hAnsi="Calibri"/>
          <w:sz w:val="23"/>
          <w:szCs w:val="23"/>
          <w:lang w:val="en-GB"/>
        </w:rPr>
      </w:pPr>
    </w:p>
    <w:p w:rsidR="00621153" w:rsidRPr="005635D8" w:rsidRDefault="00C62633" w:rsidP="001E4C5D">
      <w:pPr>
        <w:pStyle w:val="Heading3"/>
        <w:rPr>
          <w:lang w:val="en-GB"/>
        </w:rPr>
      </w:pPr>
      <w:bookmarkStart w:id="66" w:name="_Toc362267294"/>
      <w:r w:rsidRPr="005635D8">
        <w:rPr>
          <w:lang w:val="en-GB"/>
        </w:rPr>
        <w:t>6.2.4</w:t>
      </w:r>
      <w:r w:rsidR="00621153" w:rsidRPr="005635D8">
        <w:rPr>
          <w:lang w:val="en-GB"/>
        </w:rPr>
        <w:t xml:space="preserve"> Lippens</w:t>
      </w:r>
      <w:bookmarkEnd w:id="66"/>
    </w:p>
    <w:p w:rsidR="005E2072" w:rsidRPr="005635D8" w:rsidRDefault="005E2072" w:rsidP="007E1A16">
      <w:pPr>
        <w:autoSpaceDE w:val="0"/>
        <w:autoSpaceDN w:val="0"/>
        <w:adjustRightInd w:val="0"/>
        <w:spacing w:after="0"/>
        <w:jc w:val="both"/>
        <w:rPr>
          <w:rFonts w:ascii="Calibri" w:hAnsi="Calibri" w:cs="Times-Roman"/>
          <w:lang w:val="en-GB"/>
        </w:rPr>
      </w:pPr>
      <w:r w:rsidRPr="005635D8">
        <w:rPr>
          <w:rFonts w:ascii="Calibri" w:hAnsi="Calibri" w:cs="Times-Roman"/>
          <w:lang w:val="en-GB"/>
        </w:rPr>
        <w:t xml:space="preserve">Lippens (2010) </w:t>
      </w:r>
      <w:r w:rsidR="00A65C5E" w:rsidRPr="005635D8">
        <w:rPr>
          <w:rFonts w:ascii="Calibri" w:hAnsi="Calibri" w:cs="Times-Roman"/>
          <w:lang w:val="en-GB"/>
        </w:rPr>
        <w:t>investigated whether the mandatory adoption of IFRS from 1 January</w:t>
      </w:r>
      <w:r w:rsidRPr="005635D8">
        <w:rPr>
          <w:rFonts w:ascii="Calibri" w:hAnsi="Calibri" w:cs="Times-Roman"/>
          <w:lang w:val="en-GB"/>
        </w:rPr>
        <w:t xml:space="preserve"> </w:t>
      </w:r>
      <w:r w:rsidR="00A65C5E" w:rsidRPr="005635D8">
        <w:rPr>
          <w:rFonts w:ascii="Calibri" w:hAnsi="Calibri" w:cs="Times-Roman"/>
          <w:lang w:val="en-GB"/>
        </w:rPr>
        <w:t>2005 by all listed companies in the European Union led to significantly lower levels of</w:t>
      </w:r>
      <w:r w:rsidRPr="005635D8">
        <w:rPr>
          <w:rFonts w:ascii="Calibri" w:hAnsi="Calibri" w:cs="Times-Roman"/>
          <w:lang w:val="en-GB"/>
        </w:rPr>
        <w:t xml:space="preserve"> earnings </w:t>
      </w:r>
      <w:r w:rsidR="00A65C5E" w:rsidRPr="005635D8">
        <w:rPr>
          <w:rFonts w:ascii="Calibri" w:hAnsi="Calibri" w:cs="Times-Roman"/>
          <w:lang w:val="en-GB"/>
        </w:rPr>
        <w:t>management.</w:t>
      </w:r>
      <w:r w:rsidRPr="005635D8">
        <w:rPr>
          <w:rFonts w:ascii="Calibri" w:hAnsi="Calibri" w:cs="Times-Roman"/>
          <w:lang w:val="en-GB"/>
        </w:rPr>
        <w:t xml:space="preserve"> Based on a sample of</w:t>
      </w:r>
      <w:r w:rsidR="0031063A" w:rsidRPr="005635D8">
        <w:rPr>
          <w:rFonts w:ascii="Calibri" w:hAnsi="Calibri" w:cs="Times-Roman"/>
          <w:lang w:val="en-GB"/>
        </w:rPr>
        <w:t xml:space="preserve"> listed</w:t>
      </w:r>
      <w:r w:rsidRPr="005635D8">
        <w:rPr>
          <w:rFonts w:ascii="Calibri" w:hAnsi="Calibri" w:cs="Times-Roman"/>
          <w:lang w:val="en-GB"/>
        </w:rPr>
        <w:t xml:space="preserve"> firms </w:t>
      </w:r>
      <w:r w:rsidR="00640F0E" w:rsidRPr="005635D8">
        <w:rPr>
          <w:rFonts w:ascii="Calibri" w:hAnsi="Calibri" w:cs="Times-Roman"/>
          <w:lang w:val="en-GB"/>
        </w:rPr>
        <w:t>from Belgium</w:t>
      </w:r>
      <w:r w:rsidRPr="005635D8">
        <w:rPr>
          <w:rFonts w:ascii="Calibri" w:hAnsi="Calibri" w:cs="Times-Roman"/>
          <w:lang w:val="en-GB"/>
        </w:rPr>
        <w:t>, Denmark, Finland, Italy, Sweden and The Netherlands he compares the pre-IFRS period from 2000-2004 with the post-IFRS period extending from 2005 through 2006.</w:t>
      </w:r>
      <w:r w:rsidR="0031063A" w:rsidRPr="005635D8">
        <w:rPr>
          <w:rFonts w:ascii="Calibri" w:hAnsi="Calibri" w:cs="Times-Roman"/>
          <w:lang w:val="en-GB"/>
        </w:rPr>
        <w:t xml:space="preserve"> A total number of almost 1200 firm year observations are used in the analyses. </w:t>
      </w:r>
      <w:r w:rsidRPr="005635D8">
        <w:rPr>
          <w:rFonts w:ascii="Calibri" w:hAnsi="Calibri" w:cs="Times-Roman"/>
          <w:lang w:val="en-GB"/>
        </w:rPr>
        <w:t xml:space="preserve">Besides </w:t>
      </w:r>
      <w:r w:rsidR="00640F0E" w:rsidRPr="005635D8">
        <w:rPr>
          <w:rFonts w:ascii="Calibri" w:hAnsi="Calibri" w:cs="Times-Roman"/>
          <w:lang w:val="en-GB"/>
        </w:rPr>
        <w:t xml:space="preserve">to investigate the use of </w:t>
      </w:r>
      <w:r w:rsidRPr="005635D8">
        <w:rPr>
          <w:rFonts w:ascii="Calibri" w:hAnsi="Calibri" w:cs="Times-Roman"/>
          <w:lang w:val="en-GB"/>
        </w:rPr>
        <w:t xml:space="preserve">accrual based management </w:t>
      </w:r>
      <w:r w:rsidR="00640F0E" w:rsidRPr="005635D8">
        <w:rPr>
          <w:rFonts w:ascii="Calibri" w:hAnsi="Calibri" w:cs="Times-Roman"/>
          <w:lang w:val="en-GB"/>
        </w:rPr>
        <w:t xml:space="preserve">in this thesis </w:t>
      </w:r>
      <w:r w:rsidR="00323D4C" w:rsidRPr="005635D8">
        <w:rPr>
          <w:rFonts w:ascii="Calibri" w:hAnsi="Calibri" w:cs="Times-Roman"/>
          <w:lang w:val="en-GB"/>
        </w:rPr>
        <w:t>in addition</w:t>
      </w:r>
      <w:r w:rsidRPr="005635D8">
        <w:rPr>
          <w:rFonts w:ascii="Calibri" w:hAnsi="Calibri" w:cs="Times-Roman"/>
          <w:lang w:val="en-GB"/>
        </w:rPr>
        <w:t xml:space="preserve"> </w:t>
      </w:r>
      <w:r w:rsidR="00640F0E" w:rsidRPr="005635D8">
        <w:rPr>
          <w:rFonts w:ascii="Calibri" w:hAnsi="Calibri" w:cs="Times-Roman"/>
          <w:lang w:val="en-GB"/>
        </w:rPr>
        <w:t xml:space="preserve">the use of </w:t>
      </w:r>
      <w:r w:rsidRPr="005635D8">
        <w:rPr>
          <w:rFonts w:ascii="Calibri" w:hAnsi="Calibri" w:cs="Times-Roman"/>
          <w:lang w:val="en-GB"/>
        </w:rPr>
        <w:t>real earnings management</w:t>
      </w:r>
      <w:r w:rsidR="00B90835" w:rsidRPr="005635D8">
        <w:rPr>
          <w:rFonts w:ascii="Calibri" w:hAnsi="Calibri" w:cs="Times-Roman"/>
          <w:lang w:val="en-GB"/>
        </w:rPr>
        <w:t xml:space="preserve"> was</w:t>
      </w:r>
      <w:r w:rsidR="00640F0E" w:rsidRPr="005635D8">
        <w:rPr>
          <w:rFonts w:ascii="Calibri" w:hAnsi="Calibri" w:cs="Times-Roman"/>
          <w:lang w:val="en-GB"/>
        </w:rPr>
        <w:t xml:space="preserve"> investigate</w:t>
      </w:r>
      <w:r w:rsidR="00B90835" w:rsidRPr="005635D8">
        <w:rPr>
          <w:rFonts w:ascii="Calibri" w:hAnsi="Calibri" w:cs="Times-Roman"/>
          <w:lang w:val="en-GB"/>
        </w:rPr>
        <w:t>d</w:t>
      </w:r>
      <w:r w:rsidRPr="005635D8">
        <w:rPr>
          <w:rFonts w:ascii="Calibri" w:hAnsi="Calibri" w:cs="Times-Roman"/>
          <w:lang w:val="en-GB"/>
        </w:rPr>
        <w:t>. It is hypothesized that accruals-based earnings management decreases and real earnings management increases as a consequence of the adoption of IFRS. Lippens assumes that there will be a substitution effect between both manifestations of earnings ma</w:t>
      </w:r>
      <w:r w:rsidR="00B33B5B" w:rsidRPr="005635D8">
        <w:rPr>
          <w:rFonts w:ascii="Calibri" w:hAnsi="Calibri" w:cs="Times-Roman"/>
          <w:lang w:val="en-GB"/>
        </w:rPr>
        <w:t>nagement as managements will tur</w:t>
      </w:r>
      <w:r w:rsidRPr="005635D8">
        <w:rPr>
          <w:rFonts w:ascii="Calibri" w:hAnsi="Calibri" w:cs="Times-Roman"/>
          <w:lang w:val="en-GB"/>
        </w:rPr>
        <w:t>n to other ways of managing accruals as a consequence of stricter standards.</w:t>
      </w:r>
      <w:r w:rsidR="00B33B5B" w:rsidRPr="005635D8">
        <w:rPr>
          <w:rFonts w:ascii="Calibri" w:hAnsi="Calibri" w:cs="Times-Roman"/>
          <w:lang w:val="en-GB"/>
        </w:rPr>
        <w:t xml:space="preserve"> Using different methodologies among which the Modified Jones Model, the results indicate that both accrual-based earnings management as well</w:t>
      </w:r>
      <w:r w:rsidR="00945521" w:rsidRPr="005635D8">
        <w:rPr>
          <w:rFonts w:ascii="Calibri" w:hAnsi="Calibri" w:cs="Times-Roman"/>
          <w:lang w:val="en-GB"/>
        </w:rPr>
        <w:t xml:space="preserve"> as real earnings management have</w:t>
      </w:r>
      <w:r w:rsidR="00B33B5B" w:rsidRPr="005635D8">
        <w:rPr>
          <w:rFonts w:ascii="Calibri" w:hAnsi="Calibri" w:cs="Times-Roman"/>
          <w:lang w:val="en-GB"/>
        </w:rPr>
        <w:t xml:space="preserve"> strictly increased after the adoption of IFRS (2010, 97). Some additional tests showed that there indeed is a substitution effect between the two types of earnings management despite the growing rate of both types. IFRS is concluded not to be successful in restricting earnings management. </w:t>
      </w:r>
      <w:r w:rsidRPr="005635D8">
        <w:rPr>
          <w:rFonts w:ascii="Calibri" w:hAnsi="Calibri" w:cs="Times-Roman"/>
          <w:lang w:val="en-GB"/>
        </w:rPr>
        <w:t xml:space="preserve"> </w:t>
      </w:r>
    </w:p>
    <w:p w:rsidR="005E2072" w:rsidRPr="005635D8" w:rsidRDefault="005E2072" w:rsidP="00A65C5E">
      <w:pPr>
        <w:autoSpaceDE w:val="0"/>
        <w:autoSpaceDN w:val="0"/>
        <w:adjustRightInd w:val="0"/>
        <w:spacing w:after="0" w:line="240" w:lineRule="auto"/>
        <w:rPr>
          <w:rFonts w:ascii="Calibri" w:hAnsi="Calibri" w:cs="TrebuchetMS"/>
          <w:lang w:val="en-GB"/>
        </w:rPr>
      </w:pPr>
    </w:p>
    <w:p w:rsidR="00CC671D" w:rsidRPr="005635D8" w:rsidRDefault="00923DD9" w:rsidP="001E4C5D">
      <w:pPr>
        <w:pStyle w:val="Heading3"/>
        <w:rPr>
          <w:lang w:val="en-GB"/>
        </w:rPr>
      </w:pPr>
      <w:bookmarkStart w:id="67" w:name="_Toc362267295"/>
      <w:r w:rsidRPr="005635D8">
        <w:rPr>
          <w:lang w:val="en-GB"/>
        </w:rPr>
        <w:t>6</w:t>
      </w:r>
      <w:r w:rsidR="007E1A16" w:rsidRPr="005635D8">
        <w:rPr>
          <w:lang w:val="en-GB"/>
        </w:rPr>
        <w:t xml:space="preserve">.3 </w:t>
      </w:r>
      <w:r w:rsidR="00CC671D" w:rsidRPr="005635D8">
        <w:rPr>
          <w:lang w:val="en-GB"/>
        </w:rPr>
        <w:t>Suggestions and support for a Dutch study</w:t>
      </w:r>
      <w:bookmarkEnd w:id="67"/>
    </w:p>
    <w:p w:rsidR="00367A96" w:rsidRPr="005635D8" w:rsidRDefault="007E1A16" w:rsidP="00367A96">
      <w:pPr>
        <w:autoSpaceDE w:val="0"/>
        <w:autoSpaceDN w:val="0"/>
        <w:adjustRightInd w:val="0"/>
        <w:spacing w:after="0"/>
        <w:jc w:val="both"/>
        <w:rPr>
          <w:rFonts w:ascii="Calibri" w:hAnsi="Calibri" w:cs="AdvPS6F00"/>
          <w:lang w:val="en-GB" w:eastAsia="zh-TW"/>
        </w:rPr>
      </w:pPr>
      <w:bookmarkStart w:id="68" w:name="_Toc297815450"/>
      <w:r w:rsidRPr="005635D8">
        <w:rPr>
          <w:rFonts w:ascii="Calibri" w:hAnsi="Calibri" w:cs="Times-Roman"/>
          <w:lang w:val="en-GB"/>
        </w:rPr>
        <w:t xml:space="preserve">The </w:t>
      </w:r>
      <w:r w:rsidRPr="005635D8">
        <w:rPr>
          <w:rFonts w:ascii="Calibri" w:hAnsi="Calibri" w:cs="Times-Roman"/>
          <w:lang w:val="en-GB" w:eastAsia="zh-TW"/>
        </w:rPr>
        <w:t>literature overview</w:t>
      </w:r>
      <w:r w:rsidRPr="005635D8">
        <w:rPr>
          <w:rStyle w:val="Heading2Char"/>
          <w:rFonts w:ascii="Calibri" w:eastAsia="PMingLiU" w:hAnsi="Calibri" w:cs="Times New Roman"/>
          <w:sz w:val="22"/>
          <w:szCs w:val="22"/>
          <w:lang w:val="en-GB" w:eastAsia="zh-TW"/>
        </w:rPr>
        <w:t xml:space="preserve"> shows that the evidence whether the mandatory introduction of IFRS decreased the level of earnings management is  mixed. However, the studies in the overview themselves are </w:t>
      </w:r>
      <w:r w:rsidR="00323D4C" w:rsidRPr="005635D8">
        <w:rPr>
          <w:rStyle w:val="Heading2Char"/>
          <w:rFonts w:ascii="Calibri" w:eastAsia="PMingLiU" w:hAnsi="Calibri" w:cs="Times New Roman"/>
          <w:sz w:val="22"/>
          <w:szCs w:val="22"/>
          <w:lang w:val="en-GB" w:eastAsia="zh-TW"/>
        </w:rPr>
        <w:t>in addition</w:t>
      </w:r>
      <w:r w:rsidRPr="005635D8">
        <w:rPr>
          <w:rStyle w:val="Heading2Char"/>
          <w:rFonts w:ascii="Calibri" w:eastAsia="PMingLiU" w:hAnsi="Calibri" w:cs="Times New Roman"/>
          <w:sz w:val="22"/>
          <w:szCs w:val="22"/>
          <w:lang w:val="en-GB" w:eastAsia="zh-TW"/>
        </w:rPr>
        <w:t xml:space="preserve">  mixed with regard to their methodology used to measure discretionary accruals, the cases on which their samples were based and whether they looked at the voluntary adoption of IFRS or the effects of mandatory adoption of IFRS.</w:t>
      </w:r>
      <w:r w:rsidR="00367A96" w:rsidRPr="005635D8">
        <w:rPr>
          <w:rFonts w:ascii="Calibri" w:hAnsi="Calibri" w:cs="AdvPS6F00"/>
          <w:lang w:val="en-GB"/>
        </w:rPr>
        <w:t xml:space="preserve">  Adopting a different methodological framework</w:t>
      </w:r>
      <w:r w:rsidR="00367A96" w:rsidRPr="005635D8">
        <w:rPr>
          <w:rFonts w:ascii="Calibri" w:hAnsi="Calibri" w:cs="AdvPS6F00"/>
          <w:lang w:val="en-GB" w:eastAsia="zh-TW"/>
        </w:rPr>
        <w:t>,</w:t>
      </w:r>
      <w:r w:rsidR="00367A96" w:rsidRPr="005635D8">
        <w:rPr>
          <w:rFonts w:ascii="Calibri" w:hAnsi="Calibri" w:cs="AdvPS6F00"/>
          <w:lang w:val="en-GB"/>
        </w:rPr>
        <w:t xml:space="preserve"> Tendeloo and Vanstraelen </w:t>
      </w:r>
      <w:r w:rsidR="00367A96" w:rsidRPr="005635D8">
        <w:rPr>
          <w:rFonts w:ascii="Calibri" w:hAnsi="Calibri" w:cs="AdvPS6F00"/>
          <w:lang w:val="en-GB" w:eastAsia="zh-TW"/>
        </w:rPr>
        <w:t>(2005) for example reach</w:t>
      </w:r>
      <w:r w:rsidR="00367A96" w:rsidRPr="005635D8">
        <w:rPr>
          <w:rFonts w:ascii="Calibri" w:hAnsi="Calibri" w:cs="AdvPS6F00"/>
          <w:lang w:val="en-GB"/>
        </w:rPr>
        <w:t xml:space="preserve"> the opposite conclusion as the conclusion reached by Gassen and Sellhorn</w:t>
      </w:r>
      <w:r w:rsidR="00367A96" w:rsidRPr="005635D8">
        <w:rPr>
          <w:rFonts w:ascii="Calibri" w:hAnsi="Calibri" w:cs="AdvPS6F00"/>
          <w:lang w:val="en-GB" w:eastAsia="zh-TW"/>
        </w:rPr>
        <w:t xml:space="preserve"> (2006) while </w:t>
      </w:r>
      <w:r w:rsidR="0098240C" w:rsidRPr="005635D8">
        <w:rPr>
          <w:rFonts w:ascii="Calibri" w:hAnsi="Calibri" w:cs="AdvPS6F00"/>
          <w:lang w:val="en-GB" w:eastAsia="zh-TW"/>
        </w:rPr>
        <w:t>based</w:t>
      </w:r>
      <w:r w:rsidR="00367A96" w:rsidRPr="005635D8">
        <w:rPr>
          <w:rFonts w:ascii="Calibri" w:hAnsi="Calibri" w:cs="AdvPS6F00"/>
          <w:lang w:val="en-GB" w:eastAsia="zh-TW"/>
        </w:rPr>
        <w:t xml:space="preserve"> at the same case</w:t>
      </w:r>
      <w:r w:rsidR="00367A96" w:rsidRPr="005635D8">
        <w:rPr>
          <w:rFonts w:ascii="Calibri" w:hAnsi="Calibri" w:cs="AdvPS6F00"/>
          <w:lang w:val="en-GB"/>
        </w:rPr>
        <w:t xml:space="preserve">. </w:t>
      </w:r>
      <w:r w:rsidR="00367A96" w:rsidRPr="005635D8">
        <w:rPr>
          <w:rFonts w:ascii="Calibri" w:hAnsi="Calibri" w:cs="AdvPS6F00"/>
          <w:lang w:val="en-GB" w:eastAsia="zh-TW"/>
        </w:rPr>
        <w:t xml:space="preserve">This mixed findings show that the debate whether the introduction of IFRS influences earnings management is far from settled. </w:t>
      </w:r>
    </w:p>
    <w:p w:rsidR="00367A96" w:rsidRPr="005635D8" w:rsidRDefault="00367A96" w:rsidP="00367A96">
      <w:pPr>
        <w:autoSpaceDE w:val="0"/>
        <w:autoSpaceDN w:val="0"/>
        <w:adjustRightInd w:val="0"/>
        <w:spacing w:after="0"/>
        <w:jc w:val="both"/>
        <w:rPr>
          <w:rFonts w:ascii="Calibri" w:hAnsi="Calibri" w:cs="AdvPS6F00"/>
          <w:lang w:val="en-GB" w:eastAsia="zh-TW"/>
        </w:rPr>
      </w:pPr>
    </w:p>
    <w:p w:rsidR="00367A96" w:rsidRPr="005635D8" w:rsidRDefault="00367A96" w:rsidP="00DC1785">
      <w:pPr>
        <w:autoSpaceDE w:val="0"/>
        <w:autoSpaceDN w:val="0"/>
        <w:adjustRightInd w:val="0"/>
        <w:spacing w:after="0"/>
        <w:jc w:val="both"/>
        <w:rPr>
          <w:rFonts w:ascii="Calibri" w:hAnsi="Calibri" w:cs="AdvPS6F00"/>
          <w:lang w:val="en-GB" w:eastAsia="zh-TW"/>
        </w:rPr>
      </w:pPr>
      <w:r w:rsidRPr="005635D8">
        <w:rPr>
          <w:rFonts w:ascii="Calibri" w:hAnsi="Calibri" w:cs="AdvPS6F00"/>
          <w:lang w:val="en-GB" w:eastAsia="zh-TW"/>
        </w:rPr>
        <w:t xml:space="preserve">Further study at the subject is </w:t>
      </w:r>
      <w:r w:rsidR="00C456CE" w:rsidRPr="005635D8">
        <w:rPr>
          <w:rFonts w:ascii="Calibri" w:hAnsi="Calibri" w:cs="AdvPS6F00"/>
          <w:lang w:val="en-GB" w:eastAsia="zh-TW"/>
        </w:rPr>
        <w:t>consequently</w:t>
      </w:r>
      <w:r w:rsidR="005876B6" w:rsidRPr="005635D8">
        <w:rPr>
          <w:rFonts w:ascii="Calibri" w:hAnsi="Calibri" w:cs="AdvPS6F00"/>
          <w:lang w:val="en-GB" w:eastAsia="zh-TW"/>
        </w:rPr>
        <w:t xml:space="preserve"> still</w:t>
      </w:r>
      <w:r w:rsidRPr="005635D8">
        <w:rPr>
          <w:rFonts w:ascii="Calibri" w:hAnsi="Calibri" w:cs="AdvPS6F00"/>
          <w:lang w:val="en-GB" w:eastAsia="zh-TW"/>
        </w:rPr>
        <w:t xml:space="preserve"> welcome. Adopting the most appropriate methods and specifically </w:t>
      </w:r>
      <w:r w:rsidR="0098240C" w:rsidRPr="005635D8">
        <w:rPr>
          <w:rFonts w:ascii="Calibri" w:hAnsi="Calibri" w:cs="AdvPS6F00"/>
          <w:lang w:val="en-GB" w:eastAsia="zh-TW"/>
        </w:rPr>
        <w:t>based</w:t>
      </w:r>
      <w:r w:rsidRPr="005635D8">
        <w:rPr>
          <w:rFonts w:ascii="Calibri" w:hAnsi="Calibri" w:cs="AdvPS6F00"/>
          <w:lang w:val="en-GB" w:eastAsia="zh-TW"/>
        </w:rPr>
        <w:t xml:space="preserve"> at the effect of mandatory adoption of IFRS on earnings management will provide extra evidence as an addition to some previous findings. </w:t>
      </w:r>
      <w:r w:rsidR="0098240C" w:rsidRPr="005635D8">
        <w:rPr>
          <w:rFonts w:ascii="Calibri" w:hAnsi="Calibri" w:cs="AdvPS6F00"/>
          <w:lang w:val="en-GB" w:eastAsia="zh-TW"/>
        </w:rPr>
        <w:t>Based</w:t>
      </w:r>
      <w:r w:rsidR="00DC1785" w:rsidRPr="005635D8">
        <w:rPr>
          <w:rFonts w:ascii="Calibri" w:hAnsi="Calibri" w:cs="AdvPS6F00"/>
          <w:lang w:val="en-GB" w:eastAsia="zh-TW"/>
        </w:rPr>
        <w:t xml:space="preserve"> </w:t>
      </w:r>
      <w:r w:rsidR="00C33B55" w:rsidRPr="005635D8">
        <w:rPr>
          <w:rFonts w:ascii="Calibri" w:hAnsi="Calibri" w:cs="AdvPS6F00"/>
          <w:lang w:val="en-GB" w:eastAsia="zh-TW"/>
        </w:rPr>
        <w:t xml:space="preserve">on </w:t>
      </w:r>
      <w:r w:rsidR="00DC1785" w:rsidRPr="005635D8">
        <w:rPr>
          <w:rFonts w:ascii="Calibri" w:hAnsi="Calibri" w:cs="AdvPS6F00"/>
          <w:lang w:val="en-GB" w:eastAsia="zh-TW"/>
        </w:rPr>
        <w:t xml:space="preserve">a new case </w:t>
      </w:r>
      <w:r w:rsidR="00323D4C" w:rsidRPr="005635D8">
        <w:rPr>
          <w:rFonts w:ascii="Calibri" w:hAnsi="Calibri" w:cs="AdvPS6F00"/>
          <w:lang w:val="en-GB" w:eastAsia="zh-TW"/>
        </w:rPr>
        <w:t>in addition</w:t>
      </w:r>
      <w:r w:rsidR="00DC1785" w:rsidRPr="005635D8">
        <w:rPr>
          <w:rFonts w:ascii="Calibri" w:hAnsi="Calibri" w:cs="AdvPS6F00"/>
          <w:lang w:val="en-GB" w:eastAsia="zh-TW"/>
        </w:rPr>
        <w:t xml:space="preserve"> </w:t>
      </w:r>
      <w:r w:rsidR="00C33B55" w:rsidRPr="005635D8">
        <w:rPr>
          <w:rFonts w:ascii="Calibri" w:hAnsi="Calibri" w:cs="AdvPS6F00"/>
          <w:lang w:val="en-GB" w:eastAsia="zh-TW"/>
        </w:rPr>
        <w:t xml:space="preserve">will </w:t>
      </w:r>
      <w:r w:rsidR="00DC1785" w:rsidRPr="005635D8">
        <w:rPr>
          <w:rFonts w:ascii="Calibri" w:hAnsi="Calibri" w:cs="AdvPS6F00"/>
          <w:lang w:val="en-GB" w:eastAsia="zh-TW"/>
        </w:rPr>
        <w:t>extent the current understanding as the effects of mandatory adoption are not extensively studied in all EU countries yet. The case of the Netherlands was only part of the sample of Lippens (2010), but is not yet analyzed as a case on its one with regard to the mandatory adoption of IFRS. Some of the specific country related factors make the Netherlands an interesting case to include in the set of countries in which the effect of mandatory adoption in 2005 is studied.</w:t>
      </w:r>
    </w:p>
    <w:p w:rsidR="00170D93" w:rsidRPr="005635D8" w:rsidRDefault="00170D93" w:rsidP="00DC1785">
      <w:pPr>
        <w:rPr>
          <w:rStyle w:val="Heading2Char"/>
          <w:rFonts w:ascii="Calibri" w:eastAsia="PMingLiU" w:hAnsi="Calibri" w:cs="Times New Roman"/>
          <w:sz w:val="22"/>
          <w:szCs w:val="22"/>
          <w:lang w:val="en-GB" w:eastAsia="zh-TW"/>
        </w:rPr>
      </w:pPr>
    </w:p>
    <w:p w:rsidR="004653A6" w:rsidRPr="005635D8" w:rsidRDefault="00DC1785" w:rsidP="006B001E">
      <w:pPr>
        <w:jc w:val="both"/>
        <w:rPr>
          <w:rFonts w:ascii="Calibri" w:hAnsi="Calibri" w:cs="AdvPS6F00"/>
          <w:lang w:val="en-GB"/>
        </w:rPr>
      </w:pPr>
      <w:r w:rsidRPr="005635D8">
        <w:rPr>
          <w:rFonts w:ascii="Calibri" w:hAnsi="Calibri" w:cs="AdvPS6F00"/>
          <w:lang w:val="en-GB"/>
        </w:rPr>
        <w:t xml:space="preserve">Soderstrom and Sun (2007) derive three </w:t>
      </w:r>
      <w:r w:rsidR="00640F0E" w:rsidRPr="005635D8">
        <w:rPr>
          <w:rFonts w:ascii="Calibri" w:hAnsi="Calibri" w:cs="AdvPS6F00"/>
          <w:lang w:val="en-GB"/>
        </w:rPr>
        <w:t>main country</w:t>
      </w:r>
      <w:r w:rsidRPr="005635D8">
        <w:rPr>
          <w:rFonts w:ascii="Calibri" w:hAnsi="Calibri" w:cs="AdvPS6F00"/>
          <w:lang w:val="en-GB"/>
        </w:rPr>
        <w:t xml:space="preserve"> related factors of importance: (1) the quality of the standards that were used before IFRS, (2) the country’s legal and political system and (3) the financial reporting incentives of companies in that co</w:t>
      </w:r>
      <w:r w:rsidR="00170D93" w:rsidRPr="005635D8">
        <w:rPr>
          <w:rFonts w:ascii="Calibri" w:hAnsi="Calibri" w:cs="AdvPS6F00"/>
          <w:lang w:val="en-GB"/>
        </w:rPr>
        <w:t xml:space="preserve">untry. As </w:t>
      </w:r>
      <w:r w:rsidR="00640F0E" w:rsidRPr="005635D8">
        <w:rPr>
          <w:rFonts w:ascii="Calibri" w:hAnsi="Calibri" w:cs="AdvPS6F00"/>
          <w:lang w:val="en-GB"/>
        </w:rPr>
        <w:t>commented</w:t>
      </w:r>
      <w:r w:rsidR="00170D93" w:rsidRPr="005635D8">
        <w:rPr>
          <w:rFonts w:ascii="Calibri" w:hAnsi="Calibri" w:cs="AdvPS6F00"/>
          <w:lang w:val="en-GB"/>
        </w:rPr>
        <w:t xml:space="preserve"> in paragraph 2.5.3 the quality of the Dutch standards used before the introduction of IFRS already </w:t>
      </w:r>
      <w:r w:rsidR="00640F0E" w:rsidRPr="005635D8">
        <w:rPr>
          <w:rFonts w:ascii="Calibri" w:hAnsi="Calibri" w:cs="AdvPS6F00"/>
          <w:lang w:val="en-GB"/>
        </w:rPr>
        <w:t xml:space="preserve">can </w:t>
      </w:r>
      <w:r w:rsidR="00170D93" w:rsidRPr="005635D8">
        <w:rPr>
          <w:rFonts w:ascii="Calibri" w:hAnsi="Calibri" w:cs="AdvPS6F00"/>
          <w:lang w:val="en-GB"/>
        </w:rPr>
        <w:t xml:space="preserve">be considered as high. </w:t>
      </w:r>
      <w:r w:rsidR="002B0FA1" w:rsidRPr="005635D8">
        <w:rPr>
          <w:rFonts w:ascii="Calibri" w:hAnsi="Calibri" w:cs="AdvPS6F00"/>
          <w:lang w:val="en-GB"/>
        </w:rPr>
        <w:t>Consequently</w:t>
      </w:r>
      <w:r w:rsidR="00170D93" w:rsidRPr="005635D8">
        <w:rPr>
          <w:rFonts w:ascii="Calibri" w:hAnsi="Calibri" w:cs="AdvPS6F00"/>
          <w:lang w:val="en-GB"/>
        </w:rPr>
        <w:t xml:space="preserve"> the effect of the introduction of IFRS on earnings management will probably be smaller or non-existent in comparison with other countries. This makes the Netherland an interesting case to see whether there is any effect at all. With regard to the second factor it can be said that the Netherlands is a French civil law country in which legal protection </w:t>
      </w:r>
      <w:r w:rsidR="00084663" w:rsidRPr="005635D8">
        <w:rPr>
          <w:rFonts w:ascii="Calibri" w:hAnsi="Calibri" w:cs="AdvPS6F00"/>
          <w:lang w:val="en-GB"/>
        </w:rPr>
        <w:t>of investors is commonly  low</w:t>
      </w:r>
      <w:r w:rsidR="00170D93" w:rsidRPr="005635D8">
        <w:rPr>
          <w:rFonts w:ascii="Calibri" w:hAnsi="Calibri" w:cs="AdvPS6F00"/>
          <w:lang w:val="en-GB"/>
        </w:rPr>
        <w:t xml:space="preserve"> </w:t>
      </w:r>
      <w:r w:rsidR="00084663" w:rsidRPr="005635D8">
        <w:rPr>
          <w:rFonts w:ascii="Calibri" w:hAnsi="Calibri" w:cs="AdvPS6F00"/>
          <w:lang w:val="en-GB"/>
        </w:rPr>
        <w:t xml:space="preserve">(La Porta et al. 2000). Such a system would let some room for earnings management as the importance that investors are well informed is lower than in common law countries. With regard to the financial reporting incentives in the Netherlands it can be said that the Netherlands is commonly believed to be a transparent country and companies are encouraged by regulations to deliver high quality financial information. Earnings management will </w:t>
      </w:r>
      <w:r w:rsidR="002B0FA1" w:rsidRPr="005635D8">
        <w:rPr>
          <w:rFonts w:ascii="Calibri" w:hAnsi="Calibri" w:cs="AdvPS6F00"/>
          <w:lang w:val="en-GB"/>
        </w:rPr>
        <w:t>consequently</w:t>
      </w:r>
      <w:r w:rsidR="00084663" w:rsidRPr="005635D8">
        <w:rPr>
          <w:rFonts w:ascii="Calibri" w:hAnsi="Calibri" w:cs="AdvPS6F00"/>
          <w:lang w:val="en-GB"/>
        </w:rPr>
        <w:t xml:space="preserve"> not be sky-high in the Dutch case. Nevertheless, earnings management</w:t>
      </w:r>
      <w:r w:rsidR="006B001E" w:rsidRPr="005635D8">
        <w:rPr>
          <w:rFonts w:ascii="Calibri" w:hAnsi="Calibri" w:cs="AdvPS6F00"/>
          <w:lang w:val="en-GB"/>
        </w:rPr>
        <w:t xml:space="preserve"> will exist and as this study looks for the relative levels before and after the introduction of IFRS this is not a problem. </w:t>
      </w:r>
    </w:p>
    <w:p w:rsidR="00DC1785" w:rsidRPr="005635D8" w:rsidRDefault="00DC1785" w:rsidP="006B001E">
      <w:pPr>
        <w:jc w:val="both"/>
        <w:rPr>
          <w:rStyle w:val="Heading2Char"/>
          <w:rFonts w:ascii="Calibri" w:eastAsia="PMingLiU" w:hAnsi="Calibri" w:cs="Times New Roman"/>
          <w:sz w:val="22"/>
          <w:szCs w:val="22"/>
          <w:lang w:val="en-GB" w:eastAsia="zh-TW"/>
        </w:rPr>
      </w:pPr>
    </w:p>
    <w:p w:rsidR="002F7CF3" w:rsidRPr="005635D8" w:rsidRDefault="00923DD9" w:rsidP="001E4C5D">
      <w:pPr>
        <w:pStyle w:val="Heading3"/>
        <w:rPr>
          <w:lang w:val="en-GB"/>
        </w:rPr>
      </w:pPr>
      <w:bookmarkStart w:id="69" w:name="_Toc362267296"/>
      <w:bookmarkEnd w:id="68"/>
      <w:r w:rsidRPr="005635D8">
        <w:rPr>
          <w:lang w:val="en-GB"/>
        </w:rPr>
        <w:t>6</w:t>
      </w:r>
      <w:r w:rsidR="002F7CF3" w:rsidRPr="005635D8">
        <w:rPr>
          <w:lang w:val="en-GB"/>
        </w:rPr>
        <w:t>.4 Summary</w:t>
      </w:r>
      <w:bookmarkEnd w:id="69"/>
      <w:r w:rsidR="002F7CF3" w:rsidRPr="005635D8">
        <w:rPr>
          <w:lang w:val="en-GB"/>
        </w:rPr>
        <w:t xml:space="preserve"> </w:t>
      </w:r>
    </w:p>
    <w:p w:rsidR="002F7CF3" w:rsidRPr="005635D8" w:rsidRDefault="002F7CF3" w:rsidP="002F7CF3">
      <w:pPr>
        <w:autoSpaceDE w:val="0"/>
        <w:autoSpaceDN w:val="0"/>
        <w:adjustRightInd w:val="0"/>
        <w:spacing w:after="0"/>
        <w:jc w:val="both"/>
        <w:rPr>
          <w:rStyle w:val="Heading2Char"/>
          <w:rFonts w:ascii="Calibri" w:hAnsi="Calibri" w:cs="Times New Roman"/>
          <w:sz w:val="22"/>
          <w:szCs w:val="22"/>
          <w:lang w:val="en-GB" w:eastAsia="zh-TW"/>
        </w:rPr>
      </w:pPr>
      <w:r w:rsidRPr="005635D8">
        <w:rPr>
          <w:rFonts w:ascii="Calibri" w:hAnsi="Calibri" w:cs="AdvPS6F00"/>
          <w:lang w:val="en-GB"/>
        </w:rPr>
        <w:t xml:space="preserve">This chapter provided an overview </w:t>
      </w:r>
      <w:r w:rsidRPr="005635D8">
        <w:rPr>
          <w:rFonts w:ascii="Calibri" w:hAnsi="Calibri"/>
          <w:lang w:val="en-GB"/>
        </w:rPr>
        <w:t xml:space="preserve">of prior empirical research investigating the effect of introducing IFRS on levels of earnings management. Based on this overview it can be concluded that the findings presented in the literature are  mixed. Some studies conclude that the introduction of IFRS indeed causes decreasing levels of earnings management as assumed, while many other studies observed an increasing level of earnings management after the introduction of IFRS. However, the existing studies </w:t>
      </w:r>
      <w:r w:rsidR="00323D4C" w:rsidRPr="005635D8">
        <w:rPr>
          <w:rFonts w:ascii="Calibri" w:hAnsi="Calibri"/>
          <w:lang w:val="en-GB"/>
        </w:rPr>
        <w:t>in addition</w:t>
      </w:r>
      <w:r w:rsidRPr="005635D8">
        <w:rPr>
          <w:rFonts w:ascii="Calibri" w:hAnsi="Calibri"/>
          <w:lang w:val="en-GB"/>
        </w:rPr>
        <w:t xml:space="preserve"> differ from each other regarding </w:t>
      </w:r>
      <w:r w:rsidRPr="005635D8">
        <w:rPr>
          <w:rStyle w:val="Heading2Char"/>
          <w:rFonts w:ascii="Calibri" w:hAnsi="Calibri" w:cs="Times New Roman"/>
          <w:sz w:val="22"/>
          <w:szCs w:val="22"/>
          <w:lang w:val="en-GB" w:eastAsia="zh-TW"/>
        </w:rPr>
        <w:t xml:space="preserve">the adopted methodology and models used to measure discretionary accruals, case selection, and whether they looked at the voluntary adoption of IFRS or the effects of mandatory adoption of IFRS. </w:t>
      </w:r>
    </w:p>
    <w:p w:rsidR="002F7CF3" w:rsidRPr="005635D8" w:rsidRDefault="002F7CF3" w:rsidP="002F7CF3">
      <w:pPr>
        <w:autoSpaceDE w:val="0"/>
        <w:autoSpaceDN w:val="0"/>
        <w:adjustRightInd w:val="0"/>
        <w:spacing w:after="0"/>
        <w:jc w:val="both"/>
        <w:rPr>
          <w:rStyle w:val="Heading2Char"/>
          <w:rFonts w:ascii="Calibri" w:hAnsi="Calibri" w:cs="Times New Roman"/>
          <w:sz w:val="22"/>
          <w:szCs w:val="22"/>
          <w:lang w:val="en-GB" w:eastAsia="zh-TW"/>
        </w:rPr>
      </w:pPr>
    </w:p>
    <w:p w:rsidR="002F7CF3" w:rsidRPr="005635D8" w:rsidRDefault="002F7CF3" w:rsidP="002F7CF3">
      <w:pPr>
        <w:autoSpaceDE w:val="0"/>
        <w:autoSpaceDN w:val="0"/>
        <w:adjustRightInd w:val="0"/>
        <w:spacing w:after="0"/>
        <w:jc w:val="both"/>
        <w:rPr>
          <w:rFonts w:ascii="Calibri" w:hAnsi="Calibri"/>
          <w:lang w:val="en-GB"/>
        </w:rPr>
      </w:pPr>
      <w:r w:rsidRPr="005635D8">
        <w:rPr>
          <w:rFonts w:ascii="Calibri" w:hAnsi="Calibri"/>
          <w:bCs/>
          <w:lang w:val="en-GB"/>
        </w:rPr>
        <w:t>Barth et al. (2006;</w:t>
      </w:r>
      <w:r w:rsidR="00640F0E" w:rsidRPr="005635D8">
        <w:rPr>
          <w:rFonts w:ascii="Calibri" w:hAnsi="Calibri"/>
          <w:bCs/>
          <w:lang w:val="en-GB"/>
        </w:rPr>
        <w:t xml:space="preserve"> </w:t>
      </w:r>
      <w:r w:rsidRPr="005635D8">
        <w:rPr>
          <w:rFonts w:ascii="Calibri" w:hAnsi="Calibri"/>
          <w:bCs/>
          <w:lang w:val="en-GB"/>
        </w:rPr>
        <w:t xml:space="preserve">2008) find that </w:t>
      </w:r>
      <w:r w:rsidRPr="005635D8">
        <w:rPr>
          <w:rFonts w:ascii="Calibri" w:hAnsi="Calibri"/>
          <w:lang w:val="en-GB"/>
        </w:rPr>
        <w:t xml:space="preserve">applying IFRS generally provide higher quality in accounting and less earnings management </w:t>
      </w:r>
      <w:r w:rsidR="0098240C" w:rsidRPr="005635D8">
        <w:rPr>
          <w:rFonts w:ascii="Calibri" w:hAnsi="Calibri"/>
          <w:lang w:val="en-GB"/>
        </w:rPr>
        <w:t>based</w:t>
      </w:r>
      <w:r w:rsidRPr="005635D8">
        <w:rPr>
          <w:rFonts w:ascii="Calibri" w:hAnsi="Calibri"/>
          <w:lang w:val="en-GB"/>
        </w:rPr>
        <w:t xml:space="preserve"> at firms from 21 countries who voluntarily adopted IFRS. Gassen and Sellhorn (2006) and Hung and Subramanyam (2007) </w:t>
      </w:r>
      <w:r w:rsidR="00323D4C" w:rsidRPr="005635D8">
        <w:rPr>
          <w:rFonts w:ascii="Calibri" w:hAnsi="Calibri"/>
          <w:lang w:val="en-GB"/>
        </w:rPr>
        <w:t>in addition</w:t>
      </w:r>
      <w:r w:rsidRPr="005635D8">
        <w:rPr>
          <w:rFonts w:ascii="Calibri" w:hAnsi="Calibri"/>
          <w:lang w:val="en-GB"/>
        </w:rPr>
        <w:t xml:space="preserve"> conclude that earnings management decreases after voluntary adoption of IFRS</w:t>
      </w:r>
      <w:r w:rsidRPr="005635D8">
        <w:rPr>
          <w:rFonts w:ascii="Calibri" w:eastAsiaTheme="majorEastAsia" w:hAnsi="Calibri" w:cstheme="majorBidi"/>
          <w:lang w:val="en-GB"/>
        </w:rPr>
        <w:t xml:space="preserve"> </w:t>
      </w:r>
      <w:r w:rsidR="0098240C" w:rsidRPr="005635D8">
        <w:rPr>
          <w:rFonts w:ascii="Calibri" w:eastAsiaTheme="majorEastAsia" w:hAnsi="Calibri" w:cstheme="majorBidi"/>
          <w:lang w:val="en-GB"/>
        </w:rPr>
        <w:t>based</w:t>
      </w:r>
      <w:r w:rsidRPr="005635D8">
        <w:rPr>
          <w:rFonts w:ascii="Calibri" w:eastAsiaTheme="majorEastAsia" w:hAnsi="Calibri" w:cstheme="majorBidi"/>
          <w:lang w:val="en-GB"/>
        </w:rPr>
        <w:t xml:space="preserve"> at a sample of German companies. The sample of companies studied by Cai, Courtenay and Rahman (2008) included besides voluntary adopters </w:t>
      </w:r>
      <w:r w:rsidR="00323D4C" w:rsidRPr="005635D8">
        <w:rPr>
          <w:rFonts w:ascii="Calibri" w:eastAsiaTheme="majorEastAsia" w:hAnsi="Calibri" w:cstheme="majorBidi"/>
          <w:lang w:val="en-GB"/>
        </w:rPr>
        <w:t>in addition</w:t>
      </w:r>
      <w:r w:rsidRPr="005635D8">
        <w:rPr>
          <w:rFonts w:ascii="Calibri" w:eastAsiaTheme="majorEastAsia" w:hAnsi="Calibri" w:cstheme="majorBidi"/>
          <w:lang w:val="en-GB"/>
        </w:rPr>
        <w:t xml:space="preserve"> firms </w:t>
      </w:r>
      <w:r w:rsidR="00640F0E" w:rsidRPr="005635D8">
        <w:rPr>
          <w:rFonts w:ascii="Calibri" w:eastAsiaTheme="majorEastAsia" w:hAnsi="Calibri" w:cstheme="majorBidi"/>
          <w:lang w:val="en-GB"/>
        </w:rPr>
        <w:t xml:space="preserve">that </w:t>
      </w:r>
      <w:r w:rsidRPr="005635D8">
        <w:rPr>
          <w:rFonts w:ascii="Calibri" w:eastAsiaTheme="majorEastAsia" w:hAnsi="Calibri" w:cstheme="majorBidi"/>
          <w:lang w:val="en-GB"/>
        </w:rPr>
        <w:t>mandatorily adopted IFRS. Based on a large sample of firms over 32 countries they find that b</w:t>
      </w:r>
      <w:r w:rsidRPr="005635D8">
        <w:rPr>
          <w:rFonts w:ascii="Calibri" w:hAnsi="Calibri"/>
          <w:lang w:val="en-GB"/>
        </w:rPr>
        <w:t xml:space="preserve">oth voluntary and mandatory adoption of IFRS can reduce earnings management. However, they acknowledge that the existence of strong enforcement mechanisms </w:t>
      </w:r>
      <w:r w:rsidR="00323D4C" w:rsidRPr="005635D8">
        <w:rPr>
          <w:rFonts w:ascii="Calibri" w:hAnsi="Calibri"/>
          <w:lang w:val="en-GB"/>
        </w:rPr>
        <w:t>in addition</w:t>
      </w:r>
      <w:r w:rsidRPr="005635D8">
        <w:rPr>
          <w:rFonts w:ascii="Calibri" w:hAnsi="Calibri"/>
          <w:lang w:val="en-GB"/>
        </w:rPr>
        <w:t xml:space="preserve"> play a strong role in decreasing earnings management. Finally Christensen et al. (2009) find in a study </w:t>
      </w:r>
      <w:r w:rsidR="0098240C" w:rsidRPr="005635D8">
        <w:rPr>
          <w:rFonts w:ascii="Calibri" w:hAnsi="Calibri"/>
          <w:lang w:val="en-GB"/>
        </w:rPr>
        <w:t>based</w:t>
      </w:r>
      <w:r w:rsidRPr="005635D8">
        <w:rPr>
          <w:rFonts w:ascii="Calibri" w:hAnsi="Calibri"/>
          <w:lang w:val="en-GB"/>
        </w:rPr>
        <w:t xml:space="preserve"> at mandatory adoption of IFRS in the U.K. that through the increased possibility of contract violations the introduction of IFRS will </w:t>
      </w:r>
      <w:r w:rsidR="00323D4C" w:rsidRPr="005635D8">
        <w:rPr>
          <w:rFonts w:ascii="Calibri" w:hAnsi="Calibri"/>
          <w:lang w:val="en-GB"/>
        </w:rPr>
        <w:t>in addition</w:t>
      </w:r>
      <w:r w:rsidRPr="005635D8">
        <w:rPr>
          <w:rFonts w:ascii="Calibri" w:hAnsi="Calibri"/>
          <w:lang w:val="en-GB"/>
        </w:rPr>
        <w:t xml:space="preserve"> have an indirect effect upon earnings management.</w:t>
      </w:r>
    </w:p>
    <w:p w:rsidR="002F7CF3" w:rsidRPr="005635D8" w:rsidRDefault="002F7CF3" w:rsidP="002F7CF3">
      <w:pPr>
        <w:autoSpaceDE w:val="0"/>
        <w:autoSpaceDN w:val="0"/>
        <w:adjustRightInd w:val="0"/>
        <w:spacing w:after="0"/>
        <w:jc w:val="both"/>
        <w:rPr>
          <w:rFonts w:ascii="Calibri" w:hAnsi="Calibri"/>
          <w:lang w:val="en-GB"/>
        </w:rPr>
      </w:pPr>
    </w:p>
    <w:p w:rsidR="002F7CF3" w:rsidRPr="005635D8" w:rsidRDefault="002F7CF3" w:rsidP="00473EB3">
      <w:pPr>
        <w:autoSpaceDE w:val="0"/>
        <w:autoSpaceDN w:val="0"/>
        <w:adjustRightInd w:val="0"/>
        <w:spacing w:after="0"/>
        <w:jc w:val="both"/>
        <w:rPr>
          <w:rFonts w:ascii="Calibri" w:hAnsi="Calibri" w:cs="AdvPS6F00"/>
          <w:lang w:val="en-GB"/>
        </w:rPr>
      </w:pPr>
      <w:r w:rsidRPr="005635D8">
        <w:rPr>
          <w:rFonts w:ascii="Calibri" w:hAnsi="Calibri"/>
          <w:lang w:val="en-GB"/>
        </w:rPr>
        <w:t>Against those studies that support the assumed effect of introducing IFRS on accounting quality and earnings management several other studies claim that the effect of IFRS works the other way around. Tendeloo and V</w:t>
      </w:r>
      <w:r w:rsidR="00473EB3" w:rsidRPr="005635D8">
        <w:rPr>
          <w:rFonts w:ascii="Calibri" w:hAnsi="Calibri"/>
          <w:lang w:val="en-GB"/>
        </w:rPr>
        <w:t>an</w:t>
      </w:r>
      <w:r w:rsidRPr="005635D8">
        <w:rPr>
          <w:rFonts w:ascii="Calibri" w:hAnsi="Calibri"/>
          <w:lang w:val="en-GB"/>
        </w:rPr>
        <w:t xml:space="preserve">straelen (2005) </w:t>
      </w:r>
      <w:r w:rsidR="00323D4C" w:rsidRPr="005635D8">
        <w:rPr>
          <w:rFonts w:ascii="Calibri" w:hAnsi="Calibri"/>
          <w:lang w:val="en-GB"/>
        </w:rPr>
        <w:t>in addition</w:t>
      </w:r>
      <w:r w:rsidRPr="005635D8">
        <w:rPr>
          <w:rFonts w:ascii="Calibri" w:hAnsi="Calibri"/>
          <w:lang w:val="en-GB"/>
        </w:rPr>
        <w:t xml:space="preserve"> looked at voluntary adoption of IFRS in the German case. Contrary to the previously presented findings they concluded that that IFRS-adopters do not present different earnings management </w:t>
      </w:r>
      <w:r w:rsidR="00CB5F64" w:rsidRPr="005635D8">
        <w:rPr>
          <w:rFonts w:ascii="Calibri" w:hAnsi="Calibri"/>
          <w:lang w:val="en-GB"/>
        </w:rPr>
        <w:t>behaviour</w:t>
      </w:r>
      <w:r w:rsidRPr="005635D8">
        <w:rPr>
          <w:rFonts w:ascii="Calibri" w:hAnsi="Calibri"/>
          <w:lang w:val="en-GB"/>
        </w:rPr>
        <w:t xml:space="preserve"> compared to companies reporting under German GAAP. Those findings were supported by Heemskerk and van der Tas (2006) who </w:t>
      </w:r>
      <w:r w:rsidR="00640F0E" w:rsidRPr="005635D8">
        <w:rPr>
          <w:rFonts w:ascii="Calibri" w:hAnsi="Calibri"/>
          <w:lang w:val="en-GB"/>
        </w:rPr>
        <w:t xml:space="preserve">investigate </w:t>
      </w:r>
      <w:r w:rsidRPr="005635D8">
        <w:rPr>
          <w:rFonts w:ascii="Calibri" w:hAnsi="Calibri"/>
          <w:lang w:val="en-GB"/>
        </w:rPr>
        <w:t xml:space="preserve">firms </w:t>
      </w:r>
      <w:r w:rsidR="00640F0E" w:rsidRPr="005635D8">
        <w:rPr>
          <w:rFonts w:ascii="Calibri" w:hAnsi="Calibri"/>
          <w:lang w:val="en-GB"/>
        </w:rPr>
        <w:t xml:space="preserve">in </w:t>
      </w:r>
      <w:r w:rsidRPr="005635D8">
        <w:rPr>
          <w:rFonts w:ascii="Calibri" w:hAnsi="Calibri"/>
          <w:lang w:val="en-GB"/>
        </w:rPr>
        <w:t xml:space="preserve">Germany and </w:t>
      </w:r>
      <w:r w:rsidR="00640F0E" w:rsidRPr="005635D8">
        <w:rPr>
          <w:rFonts w:ascii="Calibri" w:hAnsi="Calibri"/>
          <w:lang w:val="en-GB"/>
        </w:rPr>
        <w:t xml:space="preserve">in </w:t>
      </w:r>
      <w:r w:rsidRPr="005635D8">
        <w:rPr>
          <w:rFonts w:ascii="Calibri" w:hAnsi="Calibri"/>
          <w:lang w:val="en-GB"/>
        </w:rPr>
        <w:t xml:space="preserve">Switzerland. They even find that </w:t>
      </w:r>
      <w:r w:rsidRPr="005635D8">
        <w:rPr>
          <w:rFonts w:ascii="Calibri" w:hAnsi="Calibri" w:cs="TrebuchetMS"/>
          <w:lang w:val="en-GB"/>
        </w:rPr>
        <w:t xml:space="preserve">with the implementation of IFRS, the use of accruals to smooth earnings has even increased. Goncharov and Zimmerman (2006) expanded the German case with </w:t>
      </w:r>
      <w:r w:rsidR="00323D4C" w:rsidRPr="005635D8">
        <w:rPr>
          <w:rFonts w:ascii="Calibri" w:hAnsi="Calibri" w:cs="TrebuchetMS"/>
          <w:lang w:val="en-GB"/>
        </w:rPr>
        <w:t>in addition</w:t>
      </w:r>
      <w:r w:rsidRPr="005635D8">
        <w:rPr>
          <w:rFonts w:ascii="Calibri" w:hAnsi="Calibri" w:cs="TrebuchetMS"/>
          <w:lang w:val="en-GB"/>
        </w:rPr>
        <w:t xml:space="preserve"> firms </w:t>
      </w:r>
      <w:r w:rsidR="005876B6" w:rsidRPr="005635D8">
        <w:rPr>
          <w:rFonts w:ascii="Calibri" w:hAnsi="Calibri" w:cs="TrebuchetMS"/>
          <w:lang w:val="en-GB"/>
        </w:rPr>
        <w:t xml:space="preserve">based </w:t>
      </w:r>
      <w:r w:rsidRPr="005635D8">
        <w:rPr>
          <w:rFonts w:ascii="Calibri" w:hAnsi="Calibri" w:cs="TrebuchetMS"/>
          <w:lang w:val="en-GB"/>
        </w:rPr>
        <w:t xml:space="preserve">under US GAAP regulation. They conclude that US GAAP is more effective at mitigating earnings management than either German GAAP or IAS. Other studies by Christensen et al. (2008), Paananen and Lin (2008), Jeanjean and Stolowy (2008) and Lippens (2010) turned their attention to the mandatory adoption of IFRS in many different countries under EU regulation. Those studies all found that accrual-based earnings management has increased after the mandatory introduction of IFRS in 2005. Because of the mixed findings it is </w:t>
      </w:r>
      <w:r w:rsidR="00CB5F64" w:rsidRPr="005635D8">
        <w:rPr>
          <w:rFonts w:ascii="Calibri" w:hAnsi="Calibri" w:cs="TrebuchetMS"/>
          <w:lang w:val="en-GB"/>
        </w:rPr>
        <w:t>still valuable</w:t>
      </w:r>
      <w:r w:rsidRPr="005635D8">
        <w:rPr>
          <w:rFonts w:ascii="Calibri" w:hAnsi="Calibri" w:cs="TrebuchetMS"/>
          <w:lang w:val="en-GB"/>
        </w:rPr>
        <w:t xml:space="preserve"> to perform more research in this field by adopting the most up to date methods for estimating earnings management. </w:t>
      </w:r>
      <w:r w:rsidRPr="005635D8">
        <w:rPr>
          <w:rFonts w:ascii="Calibri" w:hAnsi="Calibri"/>
          <w:lang w:val="en-GB"/>
        </w:rPr>
        <w:t xml:space="preserve">   </w:t>
      </w:r>
      <w:r w:rsidRPr="005635D8">
        <w:rPr>
          <w:rFonts w:ascii="Calibri" w:eastAsiaTheme="majorEastAsia" w:hAnsi="Calibri" w:cstheme="majorBidi"/>
          <w:lang w:val="en-GB"/>
        </w:rPr>
        <w:t xml:space="preserve"> </w:t>
      </w:r>
      <w:r w:rsidRPr="005635D8">
        <w:rPr>
          <w:rStyle w:val="Heading2Char"/>
          <w:rFonts w:ascii="Calibri" w:hAnsi="Calibri" w:cs="Times New Roman"/>
          <w:sz w:val="22"/>
          <w:szCs w:val="22"/>
          <w:lang w:val="en-GB" w:eastAsia="zh-TW"/>
        </w:rPr>
        <w:t xml:space="preserve"> </w:t>
      </w:r>
      <w:r w:rsidRPr="005635D8">
        <w:rPr>
          <w:rFonts w:ascii="Calibri" w:hAnsi="Calibri"/>
          <w:lang w:val="en-GB"/>
        </w:rPr>
        <w:t xml:space="preserve"> </w:t>
      </w:r>
      <w:r w:rsidRPr="005635D8">
        <w:rPr>
          <w:rFonts w:ascii="Calibri" w:hAnsi="Calibri" w:cs="AdvPS6F00"/>
          <w:lang w:val="en-GB"/>
        </w:rPr>
        <w:t xml:space="preserve"> </w:t>
      </w:r>
    </w:p>
    <w:p w:rsidR="002F7CF3" w:rsidRPr="005635D8" w:rsidRDefault="002F7CF3" w:rsidP="002F7CF3">
      <w:pPr>
        <w:autoSpaceDE w:val="0"/>
        <w:autoSpaceDN w:val="0"/>
        <w:adjustRightInd w:val="0"/>
        <w:spacing w:after="0" w:line="360" w:lineRule="auto"/>
        <w:rPr>
          <w:rFonts w:ascii="Calibri" w:hAnsi="Calibri"/>
          <w:highlight w:val="yellow"/>
          <w:lang w:val="en-GB" w:eastAsia="zh-TW"/>
        </w:rPr>
      </w:pPr>
    </w:p>
    <w:p w:rsidR="002F7CF3" w:rsidRPr="005635D8" w:rsidRDefault="002F7CF3" w:rsidP="002F7CF3">
      <w:pPr>
        <w:rPr>
          <w:rFonts w:ascii="Calibri" w:hAnsi="Calibri"/>
          <w:b/>
          <w:bCs/>
          <w:lang w:val="en-GB" w:eastAsia="zh-TW"/>
        </w:rPr>
      </w:pPr>
      <w:r w:rsidRPr="005635D8">
        <w:rPr>
          <w:rFonts w:ascii="Calibri" w:hAnsi="Calibri"/>
          <w:lang w:val="en-GB" w:eastAsia="zh-TW"/>
        </w:rPr>
        <w:br w:type="page"/>
      </w:r>
      <w:bookmarkStart w:id="70" w:name="_Toc359925051"/>
    </w:p>
    <w:p w:rsidR="002F7CF3" w:rsidRPr="005635D8" w:rsidRDefault="00923DD9" w:rsidP="002F7CF3">
      <w:pPr>
        <w:pStyle w:val="Heading1"/>
      </w:pPr>
      <w:bookmarkStart w:id="71" w:name="_Toc362267297"/>
      <w:r w:rsidRPr="005635D8">
        <w:t>7</w:t>
      </w:r>
      <w:r w:rsidR="002F7CF3" w:rsidRPr="005635D8">
        <w:t xml:space="preserve"> Hypotheses</w:t>
      </w:r>
      <w:bookmarkEnd w:id="70"/>
      <w:bookmarkEnd w:id="71"/>
    </w:p>
    <w:p w:rsidR="005D7DD1" w:rsidRPr="005635D8" w:rsidRDefault="005D7DD1" w:rsidP="005D7DD1">
      <w:pPr>
        <w:rPr>
          <w:lang w:val="en-GB"/>
        </w:rPr>
      </w:pPr>
    </w:p>
    <w:p w:rsidR="002F7CF3" w:rsidRPr="005635D8" w:rsidRDefault="002F7CF3" w:rsidP="00271DF3">
      <w:pPr>
        <w:autoSpaceDE w:val="0"/>
        <w:autoSpaceDN w:val="0"/>
        <w:adjustRightInd w:val="0"/>
        <w:spacing w:after="0"/>
        <w:jc w:val="both"/>
        <w:rPr>
          <w:rFonts w:ascii="Calibri" w:hAnsi="Calibri" w:cs="AdvPS6F00"/>
          <w:lang w:val="en-GB"/>
        </w:rPr>
      </w:pPr>
      <w:bookmarkStart w:id="72" w:name="_Toc359925052"/>
      <w:r w:rsidRPr="005635D8">
        <w:rPr>
          <w:rFonts w:ascii="Calibri" w:hAnsi="Calibri" w:cs="AdvPS6F00"/>
          <w:lang w:val="en-GB"/>
        </w:rPr>
        <w:t xml:space="preserve">In this chapter the main hypotheses that will be tested in this study are presented. As stated earlier, the main goal of this </w:t>
      </w:r>
      <w:r w:rsidR="00F71079" w:rsidRPr="005635D8">
        <w:rPr>
          <w:rFonts w:ascii="Calibri" w:hAnsi="Calibri" w:cs="AdvPS6F00"/>
          <w:lang w:val="en-GB"/>
        </w:rPr>
        <w:t xml:space="preserve">thesis </w:t>
      </w:r>
      <w:r w:rsidRPr="005635D8">
        <w:rPr>
          <w:rFonts w:ascii="Calibri" w:hAnsi="Calibri" w:cs="AdvPS6F00"/>
          <w:lang w:val="en-GB"/>
        </w:rPr>
        <w:t xml:space="preserve">is to investigate whether </w:t>
      </w:r>
      <w:r w:rsidR="00F71079" w:rsidRPr="005635D8">
        <w:rPr>
          <w:rFonts w:ascii="Calibri" w:hAnsi="Calibri" w:cs="AdvPS6F00"/>
          <w:lang w:val="en-GB"/>
        </w:rPr>
        <w:t xml:space="preserve">the use of </w:t>
      </w:r>
      <w:r w:rsidRPr="005635D8">
        <w:rPr>
          <w:rFonts w:ascii="Calibri" w:hAnsi="Calibri" w:cs="AdvPS6F00"/>
          <w:lang w:val="en-GB"/>
        </w:rPr>
        <w:t xml:space="preserve">earnings management </w:t>
      </w:r>
      <w:r w:rsidR="00F71079" w:rsidRPr="005635D8">
        <w:rPr>
          <w:rFonts w:ascii="Calibri" w:hAnsi="Calibri" w:cs="AdvPS6F00"/>
          <w:lang w:val="en-GB"/>
        </w:rPr>
        <w:t xml:space="preserve">with the introduction of IFRS </w:t>
      </w:r>
      <w:r w:rsidRPr="005635D8">
        <w:rPr>
          <w:rFonts w:ascii="Calibri" w:hAnsi="Calibri" w:cs="AdvPS6F00"/>
          <w:lang w:val="en-GB"/>
        </w:rPr>
        <w:t>among Dutch stock-exchange listed firms</w:t>
      </w:r>
      <w:r w:rsidR="00F71079" w:rsidRPr="005635D8">
        <w:rPr>
          <w:rFonts w:ascii="Calibri" w:hAnsi="Calibri" w:cs="AdvPS6F00"/>
          <w:lang w:val="en-GB"/>
        </w:rPr>
        <w:t>’</w:t>
      </w:r>
      <w:r w:rsidRPr="005635D8">
        <w:rPr>
          <w:rFonts w:ascii="Calibri" w:hAnsi="Calibri" w:cs="AdvPS6F00"/>
          <w:lang w:val="en-GB"/>
        </w:rPr>
        <w:t xml:space="preserve"> declines. As it is assumed by the developers and supporters of IFRS that IFRS represent reporting standards of higher quality than previous standards it is assumed that financial reporting quality will improve and earnings management will decrease after the introduction of IFRS. I will </w:t>
      </w:r>
      <w:r w:rsidR="00C456CE" w:rsidRPr="005635D8">
        <w:rPr>
          <w:rFonts w:ascii="Calibri" w:hAnsi="Calibri" w:cs="AdvPS6F00"/>
          <w:lang w:val="en-GB"/>
        </w:rPr>
        <w:t>consequently</w:t>
      </w:r>
      <w:r w:rsidRPr="005635D8">
        <w:rPr>
          <w:rFonts w:ascii="Calibri" w:hAnsi="Calibri" w:cs="AdvPS6F00"/>
          <w:lang w:val="en-GB"/>
        </w:rPr>
        <w:t xml:space="preserve"> test whether companies that mandatorily adopted IFRS engage significantly less in earnings management after the adoption of IFRS compared to the period that they reported under Dutch GAAP. Earnings management is here measured trough discretionary accruals. It is hypothesized that: </w:t>
      </w:r>
    </w:p>
    <w:p w:rsidR="002F7CF3" w:rsidRPr="005635D8" w:rsidRDefault="002F7CF3" w:rsidP="002F7CF3">
      <w:pPr>
        <w:autoSpaceDE w:val="0"/>
        <w:autoSpaceDN w:val="0"/>
        <w:adjustRightInd w:val="0"/>
        <w:spacing w:after="0" w:line="240" w:lineRule="auto"/>
        <w:rPr>
          <w:rFonts w:ascii="Calibri" w:hAnsi="Calibri" w:cs="AdvPS6F00"/>
          <w:lang w:val="en-GB"/>
        </w:rPr>
      </w:pPr>
    </w:p>
    <w:bookmarkEnd w:id="72"/>
    <w:p w:rsidR="002F7CF3" w:rsidRPr="005635D8" w:rsidRDefault="002F7CF3" w:rsidP="002F7CF3">
      <w:pPr>
        <w:pStyle w:val="BodyText"/>
        <w:spacing w:after="0"/>
        <w:rPr>
          <w:rFonts w:ascii="Calibri" w:hAnsi="Calibri"/>
          <w:i/>
          <w:sz w:val="22"/>
          <w:szCs w:val="22"/>
          <w:highlight w:val="cyan"/>
          <w:lang w:val="en-GB"/>
        </w:rPr>
      </w:pPr>
    </w:p>
    <w:p w:rsidR="00DE32C2" w:rsidRPr="005635D8" w:rsidRDefault="002F7CF3" w:rsidP="002F7CF3">
      <w:pPr>
        <w:pStyle w:val="BodyText"/>
        <w:spacing w:after="0"/>
        <w:rPr>
          <w:rFonts w:ascii="Calibri" w:hAnsi="Calibri"/>
          <w:i/>
          <w:sz w:val="22"/>
          <w:szCs w:val="22"/>
          <w:lang w:val="en-GB"/>
        </w:rPr>
      </w:pPr>
      <w:r w:rsidRPr="005635D8">
        <w:rPr>
          <w:rFonts w:ascii="Calibri" w:hAnsi="Calibri"/>
          <w:i/>
          <w:sz w:val="22"/>
          <w:szCs w:val="22"/>
          <w:lang w:val="en-GB"/>
        </w:rPr>
        <w:t>Hypothesis 1</w:t>
      </w:r>
    </w:p>
    <w:p w:rsidR="002F7CF3" w:rsidRPr="005635D8" w:rsidRDefault="002F7CF3" w:rsidP="005876B6">
      <w:pPr>
        <w:pStyle w:val="BodyText"/>
        <w:spacing w:after="0"/>
        <w:rPr>
          <w:rFonts w:ascii="Calibri" w:hAnsi="Calibri"/>
          <w:i/>
          <w:sz w:val="22"/>
          <w:szCs w:val="22"/>
          <w:lang w:val="en-GB"/>
        </w:rPr>
      </w:pPr>
      <w:r w:rsidRPr="005635D8">
        <w:rPr>
          <w:rFonts w:ascii="Calibri" w:hAnsi="Calibri"/>
          <w:i/>
          <w:sz w:val="22"/>
          <w:szCs w:val="22"/>
          <w:lang w:val="en-GB"/>
        </w:rPr>
        <w:t>Dutch firms listed</w:t>
      </w:r>
      <w:r w:rsidR="005876B6" w:rsidRPr="005635D8">
        <w:rPr>
          <w:rFonts w:ascii="Calibri" w:hAnsi="Calibri"/>
          <w:i/>
          <w:sz w:val="22"/>
          <w:szCs w:val="22"/>
          <w:lang w:val="en-GB"/>
        </w:rPr>
        <w:t xml:space="preserve"> </w:t>
      </w:r>
      <w:r w:rsidR="00DE32C2" w:rsidRPr="005635D8">
        <w:rPr>
          <w:rFonts w:ascii="Calibri" w:hAnsi="Calibri"/>
          <w:i/>
          <w:sz w:val="22"/>
          <w:szCs w:val="22"/>
          <w:lang w:val="en-GB"/>
        </w:rPr>
        <w:t>on</w:t>
      </w:r>
      <w:r w:rsidRPr="005635D8">
        <w:rPr>
          <w:rFonts w:ascii="Calibri" w:hAnsi="Calibri"/>
          <w:i/>
          <w:sz w:val="22"/>
          <w:szCs w:val="22"/>
          <w:lang w:val="en-GB"/>
        </w:rPr>
        <w:t xml:space="preserve"> the AEX</w:t>
      </w:r>
      <w:r w:rsidR="00597FF9" w:rsidRPr="005635D8">
        <w:rPr>
          <w:rFonts w:ascii="Calibri" w:hAnsi="Calibri"/>
          <w:i/>
          <w:sz w:val="22"/>
          <w:szCs w:val="22"/>
          <w:lang w:val="en-GB"/>
        </w:rPr>
        <w:t xml:space="preserve"> and AMX</w:t>
      </w:r>
      <w:r w:rsidRPr="005635D8">
        <w:rPr>
          <w:rFonts w:ascii="Calibri" w:hAnsi="Calibri"/>
          <w:i/>
          <w:sz w:val="22"/>
          <w:szCs w:val="22"/>
          <w:lang w:val="en-GB"/>
        </w:rPr>
        <w:t xml:space="preserve"> engaged significantly less in earnings management after the introduction of IFRS.</w:t>
      </w:r>
    </w:p>
    <w:p w:rsidR="002F7CF3" w:rsidRPr="005635D8" w:rsidRDefault="002F7CF3" w:rsidP="002F7CF3">
      <w:pPr>
        <w:pStyle w:val="BodyText"/>
        <w:spacing w:after="0"/>
        <w:rPr>
          <w:rFonts w:ascii="Calibri" w:hAnsi="Calibri"/>
          <w:sz w:val="22"/>
          <w:szCs w:val="22"/>
          <w:highlight w:val="cyan"/>
          <w:lang w:val="en-GB"/>
        </w:rPr>
      </w:pPr>
    </w:p>
    <w:p w:rsidR="002F7CF3" w:rsidRPr="005635D8" w:rsidRDefault="002F7CF3" w:rsidP="00271DF3">
      <w:pPr>
        <w:pStyle w:val="BodyText"/>
        <w:spacing w:after="0" w:line="276" w:lineRule="auto"/>
        <w:jc w:val="both"/>
        <w:rPr>
          <w:rFonts w:ascii="Calibri" w:eastAsia="PMingLiU" w:hAnsi="Calibri" w:cs="AdvPS6F00"/>
          <w:sz w:val="22"/>
          <w:szCs w:val="22"/>
          <w:lang w:val="en-GB"/>
        </w:rPr>
      </w:pPr>
      <w:r w:rsidRPr="005635D8">
        <w:rPr>
          <w:rFonts w:ascii="Calibri" w:eastAsia="PMingLiU" w:hAnsi="Calibri" w:cs="AdvPS6F00"/>
          <w:sz w:val="22"/>
          <w:szCs w:val="22"/>
          <w:lang w:val="en-GB"/>
        </w:rPr>
        <w:t xml:space="preserve">Besides the standard accounting standards companies operating in particular industries have sometimes </w:t>
      </w:r>
      <w:r w:rsidR="00323D4C" w:rsidRPr="005635D8">
        <w:rPr>
          <w:rFonts w:ascii="Calibri" w:eastAsia="PMingLiU" w:hAnsi="Calibri" w:cs="AdvPS6F00"/>
          <w:sz w:val="22"/>
          <w:szCs w:val="22"/>
          <w:lang w:val="en-GB"/>
        </w:rPr>
        <w:t>in addition</w:t>
      </w:r>
      <w:r w:rsidRPr="005635D8">
        <w:rPr>
          <w:rFonts w:ascii="Calibri" w:eastAsia="PMingLiU" w:hAnsi="Calibri" w:cs="AdvPS6F00"/>
          <w:sz w:val="22"/>
          <w:szCs w:val="22"/>
          <w:lang w:val="en-GB"/>
        </w:rPr>
        <w:t xml:space="preserve"> </w:t>
      </w:r>
      <w:r w:rsidR="00F71079" w:rsidRPr="005635D8">
        <w:rPr>
          <w:rFonts w:ascii="Calibri" w:eastAsia="PMingLiU" w:hAnsi="Calibri" w:cs="AdvPS6F00"/>
          <w:sz w:val="22"/>
          <w:szCs w:val="22"/>
          <w:lang w:val="en-GB"/>
        </w:rPr>
        <w:t>to comply</w:t>
      </w:r>
      <w:r w:rsidRPr="005635D8">
        <w:rPr>
          <w:rFonts w:ascii="Calibri" w:eastAsia="PMingLiU" w:hAnsi="Calibri" w:cs="AdvPS6F00"/>
          <w:sz w:val="22"/>
          <w:szCs w:val="22"/>
          <w:lang w:val="en-GB"/>
        </w:rPr>
        <w:t xml:space="preserve"> with industry specific reporting requirements. </w:t>
      </w:r>
      <w:r w:rsidR="00323D4C" w:rsidRPr="005635D8">
        <w:rPr>
          <w:rFonts w:ascii="Calibri" w:eastAsia="PMingLiU" w:hAnsi="Calibri" w:cs="AdvPS6F00"/>
          <w:sz w:val="22"/>
          <w:szCs w:val="22"/>
          <w:lang w:val="en-GB"/>
        </w:rPr>
        <w:t>In addition</w:t>
      </w:r>
      <w:r w:rsidRPr="005635D8">
        <w:rPr>
          <w:rFonts w:ascii="Calibri" w:eastAsia="PMingLiU" w:hAnsi="Calibri" w:cs="AdvPS6F00"/>
          <w:sz w:val="22"/>
          <w:szCs w:val="22"/>
          <w:lang w:val="en-GB"/>
        </w:rPr>
        <w:t xml:space="preserve"> potential differences might exist between different particular industries and the effects of introducing IFRS. In order to control for a possible influence of different industries in which a firm operates on the effect of IFRS on earnings management the following null-hypothesis is added to this study: </w:t>
      </w:r>
    </w:p>
    <w:p w:rsidR="002F7CF3" w:rsidRPr="005635D8" w:rsidRDefault="002F7CF3" w:rsidP="002F7CF3">
      <w:pPr>
        <w:pStyle w:val="BodyText"/>
        <w:spacing w:after="0"/>
        <w:rPr>
          <w:rFonts w:ascii="Calibri" w:hAnsi="Calibri"/>
          <w:i/>
          <w:sz w:val="22"/>
          <w:szCs w:val="22"/>
          <w:highlight w:val="cyan"/>
          <w:lang w:val="en-GB"/>
        </w:rPr>
      </w:pPr>
    </w:p>
    <w:p w:rsidR="00DE32C2" w:rsidRPr="005635D8" w:rsidRDefault="002F7CF3" w:rsidP="002F7CF3">
      <w:pPr>
        <w:pStyle w:val="BodyText"/>
        <w:spacing w:after="0"/>
        <w:rPr>
          <w:rFonts w:ascii="Calibri" w:hAnsi="Calibri"/>
          <w:i/>
          <w:sz w:val="22"/>
          <w:szCs w:val="22"/>
          <w:lang w:val="en-GB"/>
        </w:rPr>
      </w:pPr>
      <w:r w:rsidRPr="005635D8">
        <w:rPr>
          <w:rFonts w:ascii="Calibri" w:hAnsi="Calibri"/>
          <w:i/>
          <w:sz w:val="22"/>
          <w:szCs w:val="22"/>
          <w:lang w:val="en-GB"/>
        </w:rPr>
        <w:t>Hypothesis 2</w:t>
      </w:r>
    </w:p>
    <w:p w:rsidR="002F7CF3" w:rsidRPr="005635D8" w:rsidRDefault="002F7CF3" w:rsidP="002F7CF3">
      <w:pPr>
        <w:pStyle w:val="BodyText"/>
        <w:spacing w:after="0"/>
        <w:rPr>
          <w:rFonts w:ascii="Calibri" w:hAnsi="Calibri"/>
          <w:sz w:val="22"/>
          <w:szCs w:val="22"/>
          <w:lang w:val="en-GB"/>
        </w:rPr>
      </w:pPr>
      <w:r w:rsidRPr="005635D8">
        <w:rPr>
          <w:rFonts w:ascii="Calibri" w:hAnsi="Calibri"/>
          <w:i/>
          <w:sz w:val="22"/>
          <w:szCs w:val="22"/>
          <w:lang w:val="en-GB"/>
        </w:rPr>
        <w:t>The industry in which a firm operates has no significant influence on the level of earnings management.</w:t>
      </w:r>
    </w:p>
    <w:p w:rsidR="002F7CF3" w:rsidRPr="005635D8" w:rsidRDefault="002F7CF3" w:rsidP="002F7CF3">
      <w:pPr>
        <w:pStyle w:val="BodyText"/>
        <w:spacing w:after="0"/>
        <w:rPr>
          <w:rFonts w:ascii="Calibri" w:hAnsi="Calibri"/>
          <w:color w:val="000000"/>
          <w:sz w:val="22"/>
          <w:szCs w:val="22"/>
          <w:highlight w:val="cyan"/>
          <w:lang w:val="en-GB"/>
        </w:rPr>
      </w:pPr>
    </w:p>
    <w:p w:rsidR="002F7CF3" w:rsidRPr="005635D8" w:rsidRDefault="002F7CF3" w:rsidP="002F7CF3">
      <w:pPr>
        <w:pStyle w:val="BodyText"/>
        <w:spacing w:after="0" w:line="276" w:lineRule="auto"/>
        <w:jc w:val="both"/>
        <w:rPr>
          <w:rFonts w:ascii="Calibri" w:eastAsia="PMingLiU" w:hAnsi="Calibri" w:cs="AdvPS6F00"/>
          <w:sz w:val="22"/>
          <w:szCs w:val="22"/>
          <w:lang w:val="en-GB"/>
        </w:rPr>
      </w:pPr>
      <w:r w:rsidRPr="005635D8">
        <w:rPr>
          <w:rFonts w:ascii="Calibri" w:eastAsia="PMingLiU" w:hAnsi="Calibri" w:cs="AdvPS6F00"/>
          <w:sz w:val="22"/>
          <w:szCs w:val="22"/>
          <w:lang w:val="en-GB"/>
        </w:rPr>
        <w:t xml:space="preserve">As </w:t>
      </w:r>
      <w:r w:rsidR="00D76CAE" w:rsidRPr="005635D8">
        <w:rPr>
          <w:rFonts w:ascii="Calibri" w:eastAsia="PMingLiU" w:hAnsi="Calibri" w:cs="AdvPS6F00"/>
          <w:sz w:val="22"/>
          <w:szCs w:val="22"/>
          <w:lang w:val="en-GB"/>
        </w:rPr>
        <w:t>signalled</w:t>
      </w:r>
      <w:r w:rsidRPr="005635D8">
        <w:rPr>
          <w:rFonts w:ascii="Calibri" w:eastAsia="PMingLiU" w:hAnsi="Calibri" w:cs="AdvPS6F00"/>
          <w:sz w:val="22"/>
          <w:szCs w:val="22"/>
          <w:lang w:val="en-GB"/>
        </w:rPr>
        <w:t xml:space="preserve"> in the second chapter the political cost hypothesis states that larger firms are more visible and </w:t>
      </w:r>
      <w:r w:rsidR="002B0FA1" w:rsidRPr="005635D8">
        <w:rPr>
          <w:rFonts w:ascii="Calibri" w:eastAsia="PMingLiU" w:hAnsi="Calibri" w:cs="AdvPS6F00"/>
          <w:sz w:val="22"/>
          <w:szCs w:val="22"/>
          <w:lang w:val="en-GB"/>
        </w:rPr>
        <w:t>consequently</w:t>
      </w:r>
      <w:r w:rsidRPr="005635D8">
        <w:rPr>
          <w:rFonts w:ascii="Calibri" w:eastAsia="PMingLiU" w:hAnsi="Calibri" w:cs="AdvPS6F00"/>
          <w:sz w:val="22"/>
          <w:szCs w:val="22"/>
          <w:lang w:val="en-GB"/>
        </w:rPr>
        <w:t xml:space="preserve"> more sensible to different kind of political pressures. </w:t>
      </w:r>
      <w:r w:rsidR="002B0FA1" w:rsidRPr="005635D8">
        <w:rPr>
          <w:rFonts w:ascii="Calibri" w:eastAsia="PMingLiU" w:hAnsi="Calibri" w:cs="AdvPS6F00"/>
          <w:sz w:val="22"/>
          <w:szCs w:val="22"/>
          <w:lang w:val="en-GB"/>
        </w:rPr>
        <w:t>Consequently</w:t>
      </w:r>
      <w:r w:rsidRPr="005635D8">
        <w:rPr>
          <w:rFonts w:ascii="Calibri" w:eastAsia="PMingLiU" w:hAnsi="Calibri" w:cs="AdvPS6F00"/>
          <w:sz w:val="22"/>
          <w:szCs w:val="22"/>
          <w:lang w:val="en-GB"/>
        </w:rPr>
        <w:t xml:space="preserve"> managers of large firms were expected to reduce reported incomes and smooth earnings in order to avoid political costs. Because firm size can be expected to influence the effect of the adoption of IFRS on the level of earnings management this potential effect will be controlled in this study by testing the political cost hypothesis:</w:t>
      </w:r>
    </w:p>
    <w:p w:rsidR="00C9580B" w:rsidRDefault="00C9580B" w:rsidP="002F7CF3">
      <w:pPr>
        <w:pStyle w:val="BodyText"/>
        <w:spacing w:after="0"/>
        <w:rPr>
          <w:rFonts w:ascii="Calibri" w:hAnsi="Calibri"/>
          <w:i/>
          <w:color w:val="000000" w:themeColor="text1"/>
          <w:sz w:val="22"/>
          <w:szCs w:val="22"/>
          <w:lang w:val="en-GB"/>
        </w:rPr>
      </w:pPr>
    </w:p>
    <w:p w:rsidR="00DE32C2" w:rsidRPr="005635D8" w:rsidRDefault="002F7CF3" w:rsidP="002F7CF3">
      <w:pPr>
        <w:pStyle w:val="BodyText"/>
        <w:spacing w:after="0"/>
        <w:rPr>
          <w:rFonts w:ascii="Calibri" w:hAnsi="Calibri"/>
          <w:i/>
          <w:color w:val="000000" w:themeColor="text1"/>
          <w:sz w:val="22"/>
          <w:szCs w:val="22"/>
          <w:lang w:val="en-GB"/>
        </w:rPr>
      </w:pPr>
      <w:r w:rsidRPr="005635D8">
        <w:rPr>
          <w:rFonts w:ascii="Calibri" w:hAnsi="Calibri"/>
          <w:i/>
          <w:color w:val="000000" w:themeColor="text1"/>
          <w:sz w:val="22"/>
          <w:szCs w:val="22"/>
          <w:lang w:val="en-GB"/>
        </w:rPr>
        <w:t>Hypothesis 3</w:t>
      </w:r>
    </w:p>
    <w:p w:rsidR="002F7CF3" w:rsidRPr="005635D8" w:rsidRDefault="002F7CF3" w:rsidP="002F7CF3">
      <w:pPr>
        <w:pStyle w:val="BodyText"/>
        <w:spacing w:after="0"/>
        <w:rPr>
          <w:rFonts w:ascii="Calibri" w:hAnsi="Calibri"/>
          <w:i/>
          <w:color w:val="000000" w:themeColor="text1"/>
          <w:sz w:val="22"/>
          <w:szCs w:val="22"/>
          <w:lang w:val="en-GB"/>
        </w:rPr>
      </w:pPr>
      <w:r w:rsidRPr="005635D8">
        <w:rPr>
          <w:rFonts w:ascii="Calibri" w:hAnsi="Calibri"/>
          <w:i/>
          <w:color w:val="000000" w:themeColor="text1"/>
          <w:sz w:val="22"/>
          <w:szCs w:val="22"/>
          <w:lang w:val="en-GB"/>
        </w:rPr>
        <w:t>The size of the firm has a significant influence on the level of earnings management.</w:t>
      </w:r>
    </w:p>
    <w:p w:rsidR="00C9580B" w:rsidRDefault="00C9580B">
      <w:pPr>
        <w:rPr>
          <w:rFonts w:ascii="Calibri" w:hAnsi="Calibri"/>
          <w:lang w:val="en-GB"/>
        </w:rPr>
      </w:pPr>
    </w:p>
    <w:p w:rsidR="00C9580B" w:rsidRDefault="00C9580B">
      <w:pPr>
        <w:rPr>
          <w:rFonts w:ascii="Calibri" w:hAnsi="Calibri"/>
          <w:lang w:val="en-GB"/>
        </w:rPr>
      </w:pPr>
      <w:r>
        <w:rPr>
          <w:rFonts w:ascii="Calibri" w:hAnsi="Calibri"/>
          <w:lang w:val="en-GB"/>
        </w:rPr>
        <w:t>The next chapter contain the research design</w:t>
      </w:r>
    </w:p>
    <w:p w:rsidR="00CF05B4" w:rsidRPr="005635D8" w:rsidRDefault="00CF05B4">
      <w:pPr>
        <w:rPr>
          <w:rFonts w:ascii="Calibri" w:hAnsi="Calibri"/>
          <w:lang w:val="en-GB"/>
        </w:rPr>
      </w:pPr>
      <w:r w:rsidRPr="005635D8">
        <w:rPr>
          <w:rFonts w:ascii="Calibri" w:hAnsi="Calibri"/>
          <w:lang w:val="en-GB"/>
        </w:rPr>
        <w:br w:type="page"/>
      </w:r>
    </w:p>
    <w:p w:rsidR="00CF05B4" w:rsidRPr="005635D8" w:rsidRDefault="00923DD9" w:rsidP="005D7DD1">
      <w:pPr>
        <w:pStyle w:val="Heading1"/>
      </w:pPr>
      <w:bookmarkStart w:id="73" w:name="_Toc362267298"/>
      <w:r w:rsidRPr="005635D8">
        <w:t>8</w:t>
      </w:r>
      <w:r w:rsidRPr="005635D8">
        <w:tab/>
      </w:r>
      <w:r w:rsidR="00CF05B4" w:rsidRPr="005635D8">
        <w:t>Research design</w:t>
      </w:r>
      <w:bookmarkEnd w:id="73"/>
    </w:p>
    <w:p w:rsidR="005D7DD1" w:rsidRPr="005635D8" w:rsidRDefault="005D7DD1" w:rsidP="005D7DD1">
      <w:pPr>
        <w:rPr>
          <w:lang w:val="en-GB"/>
        </w:rPr>
      </w:pPr>
    </w:p>
    <w:p w:rsidR="00C36140" w:rsidRPr="005635D8" w:rsidRDefault="0035418B" w:rsidP="005876B6">
      <w:pPr>
        <w:pStyle w:val="BodyTextIndent"/>
        <w:ind w:left="0"/>
        <w:jc w:val="both"/>
        <w:rPr>
          <w:rFonts w:ascii="Calibri" w:hAnsi="Calibri"/>
          <w:color w:val="000000"/>
          <w:lang w:val="en-GB"/>
        </w:rPr>
      </w:pPr>
      <w:r w:rsidRPr="005635D8">
        <w:rPr>
          <w:rFonts w:ascii="Calibri" w:hAnsi="Calibri"/>
          <w:color w:val="000000"/>
          <w:lang w:val="en-GB"/>
        </w:rPr>
        <w:t xml:space="preserve">This chapter describes </w:t>
      </w:r>
      <w:r w:rsidR="00F57B55" w:rsidRPr="005635D8">
        <w:rPr>
          <w:rFonts w:ascii="Calibri" w:hAnsi="Calibri"/>
          <w:color w:val="000000"/>
          <w:lang w:val="en-GB"/>
        </w:rPr>
        <w:t>in which way</w:t>
      </w:r>
      <w:r w:rsidRPr="005635D8">
        <w:rPr>
          <w:rFonts w:ascii="Calibri" w:hAnsi="Calibri"/>
          <w:color w:val="000000"/>
          <w:lang w:val="en-GB"/>
        </w:rPr>
        <w:t xml:space="preserve"> the empirical research that will provide an answer to the main research question in this thesis is performed. First it will be explained which type of approach this research has and what the general methodology is that will be used to perform the empirical research. Next it will be explained which model will be used and why this specific model is chosen to estimate the level of earnings management.</w:t>
      </w:r>
      <w:r w:rsidR="001F4CF3" w:rsidRPr="005635D8">
        <w:rPr>
          <w:lang w:val="en-GB"/>
        </w:rPr>
        <w:t xml:space="preserve"> </w:t>
      </w:r>
      <w:r w:rsidR="00F71079" w:rsidRPr="005635D8">
        <w:rPr>
          <w:lang w:val="en-GB"/>
        </w:rPr>
        <w:t>I</w:t>
      </w:r>
      <w:r w:rsidR="00F71079" w:rsidRPr="005635D8">
        <w:rPr>
          <w:rFonts w:ascii="Calibri" w:hAnsi="Calibri"/>
          <w:color w:val="000000"/>
          <w:lang w:val="en-GB"/>
        </w:rPr>
        <w:t>n order to determine the effect of a set of independent variables on the level of the use of discretionary accruals</w:t>
      </w:r>
      <w:r w:rsidRPr="005635D8">
        <w:rPr>
          <w:rFonts w:ascii="Calibri" w:hAnsi="Calibri"/>
          <w:color w:val="000000"/>
          <w:lang w:val="en-GB"/>
        </w:rPr>
        <w:t xml:space="preserve"> </w:t>
      </w:r>
      <w:r w:rsidR="00F71079" w:rsidRPr="005635D8">
        <w:rPr>
          <w:rFonts w:ascii="Calibri" w:hAnsi="Calibri"/>
          <w:color w:val="000000"/>
          <w:lang w:val="en-GB"/>
        </w:rPr>
        <w:t>t</w:t>
      </w:r>
      <w:r w:rsidRPr="005635D8">
        <w:rPr>
          <w:rFonts w:ascii="Calibri" w:hAnsi="Calibri"/>
          <w:color w:val="000000"/>
          <w:lang w:val="en-GB"/>
        </w:rPr>
        <w:t xml:space="preserve">he </w:t>
      </w:r>
      <w:r w:rsidR="00F71079" w:rsidRPr="005635D8">
        <w:rPr>
          <w:rFonts w:ascii="Calibri" w:hAnsi="Calibri"/>
          <w:color w:val="000000"/>
          <w:lang w:val="en-GB"/>
        </w:rPr>
        <w:t xml:space="preserve">next </w:t>
      </w:r>
      <w:r w:rsidRPr="005635D8">
        <w:rPr>
          <w:rFonts w:ascii="Calibri" w:hAnsi="Calibri"/>
          <w:color w:val="000000"/>
          <w:lang w:val="en-GB"/>
        </w:rPr>
        <w:t xml:space="preserve">paragraph </w:t>
      </w:r>
      <w:r w:rsidR="005876B6" w:rsidRPr="005635D8">
        <w:rPr>
          <w:rFonts w:ascii="Calibri" w:hAnsi="Calibri"/>
          <w:color w:val="000000"/>
          <w:lang w:val="en-GB"/>
        </w:rPr>
        <w:t xml:space="preserve">describes </w:t>
      </w:r>
      <w:r w:rsidRPr="005635D8">
        <w:rPr>
          <w:rFonts w:ascii="Calibri" w:hAnsi="Calibri"/>
          <w:color w:val="000000"/>
          <w:lang w:val="en-GB"/>
        </w:rPr>
        <w:t xml:space="preserve">the control variables included in the last step of the study. The fifth paragraph explains </w:t>
      </w:r>
      <w:r w:rsidR="00F57B55" w:rsidRPr="005635D8">
        <w:rPr>
          <w:rFonts w:ascii="Calibri" w:hAnsi="Calibri"/>
          <w:color w:val="000000"/>
          <w:lang w:val="en-GB"/>
        </w:rPr>
        <w:t>in which way</w:t>
      </w:r>
      <w:r w:rsidRPr="005635D8">
        <w:rPr>
          <w:rFonts w:ascii="Calibri" w:hAnsi="Calibri"/>
          <w:color w:val="000000"/>
          <w:lang w:val="en-GB"/>
        </w:rPr>
        <w:t xml:space="preserve"> the data for this study </w:t>
      </w:r>
      <w:r w:rsidR="00F71079" w:rsidRPr="005635D8">
        <w:rPr>
          <w:rFonts w:ascii="Calibri" w:hAnsi="Calibri"/>
          <w:color w:val="000000"/>
          <w:lang w:val="en-GB"/>
        </w:rPr>
        <w:t xml:space="preserve">will </w:t>
      </w:r>
      <w:r w:rsidR="005876B6" w:rsidRPr="005635D8">
        <w:rPr>
          <w:rFonts w:ascii="Calibri" w:hAnsi="Calibri"/>
          <w:color w:val="000000"/>
          <w:lang w:val="en-GB"/>
        </w:rPr>
        <w:t xml:space="preserve">be </w:t>
      </w:r>
      <w:r w:rsidRPr="005635D8">
        <w:rPr>
          <w:rFonts w:ascii="Calibri" w:hAnsi="Calibri"/>
          <w:color w:val="000000"/>
          <w:lang w:val="en-GB"/>
        </w:rPr>
        <w:t xml:space="preserve">obtained and </w:t>
      </w:r>
      <w:r w:rsidR="00F57B55" w:rsidRPr="005635D8">
        <w:rPr>
          <w:rFonts w:ascii="Calibri" w:hAnsi="Calibri"/>
          <w:color w:val="000000"/>
          <w:lang w:val="en-GB"/>
        </w:rPr>
        <w:t>in which way</w:t>
      </w:r>
      <w:r w:rsidRPr="005635D8">
        <w:rPr>
          <w:rFonts w:ascii="Calibri" w:hAnsi="Calibri"/>
          <w:color w:val="000000"/>
          <w:lang w:val="en-GB"/>
        </w:rPr>
        <w:t xml:space="preserve"> the final sample of companies included in the analysis is constructed.</w:t>
      </w:r>
    </w:p>
    <w:p w:rsidR="0035418B" w:rsidRPr="005635D8" w:rsidRDefault="0035418B" w:rsidP="0035418B">
      <w:pPr>
        <w:jc w:val="both"/>
        <w:rPr>
          <w:rFonts w:eastAsiaTheme="minorHAnsi"/>
          <w:sz w:val="24"/>
          <w:szCs w:val="24"/>
          <w:lang w:val="en-GB" w:eastAsia="nl-NL"/>
        </w:rPr>
      </w:pPr>
    </w:p>
    <w:p w:rsidR="00C36140" w:rsidRPr="005635D8" w:rsidRDefault="00C36140" w:rsidP="001E4C5D">
      <w:pPr>
        <w:pStyle w:val="Heading3"/>
        <w:rPr>
          <w:lang w:val="en-GB"/>
        </w:rPr>
      </w:pPr>
      <w:bookmarkStart w:id="74" w:name="_Toc362267299"/>
      <w:r w:rsidRPr="005635D8">
        <w:rPr>
          <w:lang w:val="en-GB"/>
        </w:rPr>
        <w:t>8.1 Research approach</w:t>
      </w:r>
      <w:bookmarkEnd w:id="74"/>
    </w:p>
    <w:p w:rsidR="00C36140" w:rsidRPr="005635D8" w:rsidRDefault="0035418B" w:rsidP="005D7DD1">
      <w:pPr>
        <w:pStyle w:val="BodyTextIndent"/>
        <w:ind w:left="0"/>
        <w:jc w:val="both"/>
        <w:rPr>
          <w:rFonts w:ascii="Calibri" w:hAnsi="Calibri"/>
          <w:color w:val="000000"/>
          <w:lang w:val="en-GB"/>
        </w:rPr>
      </w:pPr>
      <w:r w:rsidRPr="005635D8">
        <w:rPr>
          <w:rFonts w:ascii="Calibri" w:hAnsi="Calibri"/>
          <w:color w:val="000000"/>
          <w:lang w:val="en-GB"/>
        </w:rPr>
        <w:t xml:space="preserve">The first step in designing a research is to determine what type of research approach serves best the purpose of answering the research question. </w:t>
      </w:r>
      <w:r w:rsidR="00AD08CF" w:rsidRPr="005635D8">
        <w:rPr>
          <w:rFonts w:ascii="Calibri" w:hAnsi="Calibri"/>
          <w:color w:val="000000"/>
          <w:lang w:val="en-GB"/>
        </w:rPr>
        <w:t xml:space="preserve">Several different research approaches exist. The difference between normative theories who want to prescribe </w:t>
      </w:r>
      <w:r w:rsidR="00F57B55" w:rsidRPr="005635D8">
        <w:rPr>
          <w:rFonts w:ascii="Calibri" w:hAnsi="Calibri"/>
          <w:color w:val="000000"/>
          <w:lang w:val="en-GB"/>
        </w:rPr>
        <w:t>in which way</w:t>
      </w:r>
      <w:r w:rsidR="00AD08CF" w:rsidRPr="005635D8">
        <w:rPr>
          <w:rFonts w:ascii="Calibri" w:hAnsi="Calibri"/>
          <w:color w:val="000000"/>
          <w:lang w:val="en-GB"/>
        </w:rPr>
        <w:t xml:space="preserve"> things should be and positive empirical theories who describe </w:t>
      </w:r>
      <w:r w:rsidR="00F57B55" w:rsidRPr="005635D8">
        <w:rPr>
          <w:rFonts w:ascii="Calibri" w:hAnsi="Calibri"/>
          <w:color w:val="000000"/>
          <w:lang w:val="en-GB"/>
        </w:rPr>
        <w:t>in which way</w:t>
      </w:r>
      <w:r w:rsidR="00AD08CF" w:rsidRPr="005635D8">
        <w:rPr>
          <w:rFonts w:ascii="Calibri" w:hAnsi="Calibri"/>
          <w:color w:val="000000"/>
          <w:lang w:val="en-GB"/>
        </w:rPr>
        <w:t xml:space="preserve"> things are was already explained in paragraph 2.2 discussing the Positive Accounting theory. As the research question of this study want to explain </w:t>
      </w:r>
      <w:r w:rsidR="00F57B55" w:rsidRPr="005635D8">
        <w:rPr>
          <w:rFonts w:ascii="Calibri" w:hAnsi="Calibri"/>
          <w:color w:val="000000"/>
          <w:lang w:val="en-GB"/>
        </w:rPr>
        <w:t>in which way</w:t>
      </w:r>
      <w:r w:rsidR="00AD08CF" w:rsidRPr="005635D8">
        <w:rPr>
          <w:rFonts w:ascii="Calibri" w:hAnsi="Calibri"/>
          <w:color w:val="000000"/>
          <w:lang w:val="en-GB"/>
        </w:rPr>
        <w:t xml:space="preserve"> things are and not </w:t>
      </w:r>
      <w:r w:rsidR="00F57B55" w:rsidRPr="005635D8">
        <w:rPr>
          <w:rFonts w:ascii="Calibri" w:hAnsi="Calibri"/>
          <w:color w:val="000000"/>
          <w:lang w:val="en-GB"/>
        </w:rPr>
        <w:t>in which way</w:t>
      </w:r>
      <w:r w:rsidR="00AD08CF" w:rsidRPr="005635D8">
        <w:rPr>
          <w:rFonts w:ascii="Calibri" w:hAnsi="Calibri"/>
          <w:color w:val="000000"/>
          <w:lang w:val="en-GB"/>
        </w:rPr>
        <w:t xml:space="preserve"> they should be, and as studying the level of earnings management originates from the Positive accounting theory it is clear that the current study is a positive empirical research. </w:t>
      </w:r>
    </w:p>
    <w:p w:rsidR="00AD08CF" w:rsidRPr="005635D8" w:rsidRDefault="00AD08CF" w:rsidP="005D7DD1">
      <w:pPr>
        <w:pStyle w:val="BodyTextIndent"/>
        <w:ind w:left="0"/>
        <w:jc w:val="both"/>
        <w:rPr>
          <w:rFonts w:ascii="Calibri" w:hAnsi="Calibri"/>
          <w:color w:val="000000"/>
          <w:lang w:val="en-GB"/>
        </w:rPr>
      </w:pPr>
      <w:r w:rsidRPr="005635D8">
        <w:rPr>
          <w:rFonts w:ascii="Calibri" w:hAnsi="Calibri"/>
          <w:color w:val="000000"/>
          <w:lang w:val="en-GB"/>
        </w:rPr>
        <w:t>Within this type of research a further distinction can be made between qualitative and quantitative approaches. Qualitative research is more in depth research trying to identify the meaning, the concepts, and other descriptions of elements</w:t>
      </w:r>
      <w:r w:rsidR="006E4194" w:rsidRPr="005635D8">
        <w:rPr>
          <w:rFonts w:ascii="Calibri" w:hAnsi="Calibri"/>
          <w:color w:val="000000"/>
          <w:lang w:val="en-GB"/>
        </w:rPr>
        <w:t xml:space="preserve"> under investigation using a low number of </w:t>
      </w:r>
      <w:r w:rsidR="00F71079" w:rsidRPr="005635D8">
        <w:rPr>
          <w:rFonts w:ascii="Calibri" w:hAnsi="Calibri"/>
          <w:color w:val="000000"/>
          <w:lang w:val="en-GB"/>
        </w:rPr>
        <w:t>cases</w:t>
      </w:r>
      <w:r w:rsidR="006E4194" w:rsidRPr="005635D8">
        <w:rPr>
          <w:rFonts w:ascii="Calibri" w:hAnsi="Calibri"/>
          <w:color w:val="000000"/>
          <w:lang w:val="en-GB"/>
        </w:rPr>
        <w:t>. Quantitative research is more ‘hard’ science. Quantitative data collection involves the use of numbers and data is collected and a substantial number of observations in this type of research</w:t>
      </w:r>
      <w:r w:rsidR="00F71079" w:rsidRPr="005635D8">
        <w:rPr>
          <w:rFonts w:ascii="Calibri" w:hAnsi="Calibri"/>
          <w:color w:val="000000"/>
          <w:lang w:val="en-GB"/>
        </w:rPr>
        <w:t xml:space="preserve"> are used</w:t>
      </w:r>
      <w:r w:rsidR="006E4194" w:rsidRPr="005635D8">
        <w:rPr>
          <w:rFonts w:ascii="Calibri" w:hAnsi="Calibri"/>
          <w:color w:val="000000"/>
          <w:lang w:val="en-GB"/>
        </w:rPr>
        <w:t>. The obtained information can be evaluated using statistical analyses to look for further meaning and associations. This study is clearly a quantitative study as we look for answers on general research questions on the basis of large amounts of numbered data. This study tries to give meaning to the relations of several different variables involved in the determination of levels of earnings management.</w:t>
      </w:r>
      <w:r w:rsidR="00164028" w:rsidRPr="005635D8">
        <w:rPr>
          <w:rFonts w:ascii="Calibri" w:hAnsi="Calibri"/>
          <w:color w:val="000000"/>
          <w:lang w:val="en-GB"/>
        </w:rPr>
        <w:t xml:space="preserve"> </w:t>
      </w:r>
      <w:r w:rsidR="00F71079" w:rsidRPr="005635D8">
        <w:rPr>
          <w:rFonts w:ascii="Calibri" w:hAnsi="Calibri"/>
          <w:color w:val="000000"/>
          <w:lang w:val="en-GB"/>
        </w:rPr>
        <w:t>Consequently</w:t>
      </w:r>
      <w:r w:rsidR="00164028" w:rsidRPr="005635D8">
        <w:rPr>
          <w:rFonts w:ascii="Calibri" w:hAnsi="Calibri"/>
          <w:color w:val="000000"/>
          <w:lang w:val="en-GB"/>
        </w:rPr>
        <w:t xml:space="preserve"> we look for the relationship between one element (the independent variable) and another element (the dependent variable).</w:t>
      </w:r>
      <w:r w:rsidR="006E4194" w:rsidRPr="005635D8">
        <w:rPr>
          <w:rFonts w:ascii="Calibri" w:hAnsi="Calibri"/>
          <w:color w:val="000000"/>
          <w:lang w:val="en-GB"/>
        </w:rPr>
        <w:t xml:space="preserve"> Substantial numbers of observations are included in the obtained data.  </w:t>
      </w:r>
      <w:r w:rsidRPr="005635D8">
        <w:rPr>
          <w:rFonts w:ascii="Calibri" w:hAnsi="Calibri"/>
          <w:color w:val="000000"/>
          <w:lang w:val="en-GB"/>
        </w:rPr>
        <w:t xml:space="preserve">  </w:t>
      </w:r>
    </w:p>
    <w:p w:rsidR="00B2449D" w:rsidRPr="005635D8" w:rsidRDefault="00B2449D" w:rsidP="005D7DD1">
      <w:pPr>
        <w:pStyle w:val="BodyTextIndent"/>
        <w:ind w:left="0"/>
        <w:jc w:val="both"/>
        <w:rPr>
          <w:rFonts w:ascii="Calibri" w:hAnsi="Calibri"/>
          <w:color w:val="000000"/>
          <w:lang w:val="en-GB"/>
        </w:rPr>
      </w:pPr>
    </w:p>
    <w:p w:rsidR="0009145E" w:rsidRPr="005635D8" w:rsidRDefault="00164028" w:rsidP="0009145E">
      <w:pPr>
        <w:pStyle w:val="BodyTextIndent"/>
        <w:ind w:left="0"/>
        <w:jc w:val="both"/>
        <w:rPr>
          <w:rFonts w:ascii="Calibri" w:hAnsi="Calibri"/>
          <w:color w:val="000000"/>
          <w:lang w:val="en-GB"/>
        </w:rPr>
      </w:pPr>
      <w:r w:rsidRPr="005635D8">
        <w:rPr>
          <w:rFonts w:ascii="Calibri" w:hAnsi="Calibri"/>
          <w:color w:val="000000"/>
          <w:lang w:val="en-GB"/>
        </w:rPr>
        <w:t>Within the category of quantitative research a further distinction can be made between surveys and experiment (</w:t>
      </w:r>
      <w:r w:rsidR="00DC6642" w:rsidRPr="005635D8">
        <w:rPr>
          <w:rFonts w:ascii="Calibri" w:hAnsi="Calibri"/>
          <w:color w:val="000000"/>
          <w:lang w:val="en-GB"/>
        </w:rPr>
        <w:t>Verschuren and Doorewaard 2007)</w:t>
      </w:r>
      <w:r w:rsidRPr="005635D8">
        <w:rPr>
          <w:rFonts w:ascii="Calibri" w:hAnsi="Calibri"/>
          <w:color w:val="000000"/>
          <w:lang w:val="en-GB"/>
        </w:rPr>
        <w:t xml:space="preserve"> Survey</w:t>
      </w:r>
      <w:r w:rsidR="00B2449D" w:rsidRPr="005635D8">
        <w:rPr>
          <w:rFonts w:ascii="Calibri" w:hAnsi="Calibri"/>
          <w:color w:val="000000"/>
          <w:lang w:val="en-GB"/>
        </w:rPr>
        <w:t xml:space="preserve"> r</w:t>
      </w:r>
      <w:r w:rsidRPr="005635D8">
        <w:rPr>
          <w:rFonts w:ascii="Calibri" w:hAnsi="Calibri"/>
          <w:color w:val="000000"/>
          <w:lang w:val="en-GB"/>
        </w:rPr>
        <w:t xml:space="preserve">esearch is a method that collects data by doing interviews and sending questionnaires. </w:t>
      </w:r>
      <w:r w:rsidR="00B2449D" w:rsidRPr="005635D8">
        <w:rPr>
          <w:rFonts w:ascii="Calibri" w:hAnsi="Calibri"/>
          <w:color w:val="000000"/>
          <w:lang w:val="en-GB"/>
        </w:rPr>
        <w:t xml:space="preserve">Survey research tries to identify and interpret the </w:t>
      </w:r>
      <w:r w:rsidR="00CB5F64" w:rsidRPr="005635D8">
        <w:rPr>
          <w:rFonts w:ascii="Calibri" w:hAnsi="Calibri"/>
          <w:color w:val="000000"/>
          <w:lang w:val="en-GB"/>
        </w:rPr>
        <w:t>behaviour</w:t>
      </w:r>
      <w:r w:rsidR="00B2449D" w:rsidRPr="005635D8">
        <w:rPr>
          <w:rFonts w:ascii="Calibri" w:hAnsi="Calibri"/>
          <w:color w:val="000000"/>
          <w:lang w:val="en-GB"/>
        </w:rPr>
        <w:t xml:space="preserve">, beliefs and observations of specific groups of persons </w:t>
      </w:r>
      <w:r w:rsidRPr="005635D8">
        <w:rPr>
          <w:rFonts w:ascii="Calibri" w:hAnsi="Calibri"/>
          <w:color w:val="000000"/>
          <w:lang w:val="en-GB"/>
        </w:rPr>
        <w:t xml:space="preserve">(Babbie, 2007). </w:t>
      </w:r>
      <w:r w:rsidR="00B2449D" w:rsidRPr="005635D8">
        <w:rPr>
          <w:rFonts w:ascii="Calibri" w:hAnsi="Calibri"/>
          <w:color w:val="000000"/>
          <w:lang w:val="en-GB"/>
        </w:rPr>
        <w:t>However, survey research is not a feasible option for the measurement of</w:t>
      </w:r>
      <w:r w:rsidR="00B2449D" w:rsidRPr="005635D8">
        <w:rPr>
          <w:rFonts w:eastAsiaTheme="minorHAnsi"/>
          <w:lang w:val="en-GB" w:eastAsia="nl-NL"/>
        </w:rPr>
        <w:t xml:space="preserve"> </w:t>
      </w:r>
      <w:r w:rsidR="00B2449D" w:rsidRPr="005635D8">
        <w:rPr>
          <w:rFonts w:ascii="Calibri" w:hAnsi="Calibri"/>
          <w:color w:val="000000"/>
          <w:lang w:val="en-GB"/>
        </w:rPr>
        <w:t xml:space="preserve">discretionary accruals. Managers will not always be willing to admit that they engaged in earnings management and asking persons about earnings management will never be able to collect exact levels of earnings management. Survey research is </w:t>
      </w:r>
      <w:r w:rsidR="00323D4C" w:rsidRPr="005635D8">
        <w:rPr>
          <w:rFonts w:ascii="Calibri" w:hAnsi="Calibri"/>
          <w:color w:val="000000"/>
          <w:lang w:val="en-GB"/>
        </w:rPr>
        <w:t>in addition</w:t>
      </w:r>
      <w:r w:rsidR="00B2449D" w:rsidRPr="005635D8">
        <w:rPr>
          <w:rFonts w:ascii="Calibri" w:hAnsi="Calibri"/>
          <w:color w:val="000000"/>
          <w:lang w:val="en-GB"/>
        </w:rPr>
        <w:t xml:space="preserve"> expensive and time consuming when a large research sample is involved. A direct measurement of earnings management </w:t>
      </w:r>
      <w:r w:rsidR="00F05BFF" w:rsidRPr="005635D8">
        <w:rPr>
          <w:rFonts w:ascii="Calibri" w:hAnsi="Calibri"/>
          <w:color w:val="000000"/>
          <w:lang w:val="en-GB"/>
        </w:rPr>
        <w:t>through</w:t>
      </w:r>
      <w:r w:rsidR="00B2449D" w:rsidRPr="005635D8">
        <w:rPr>
          <w:rFonts w:ascii="Calibri" w:hAnsi="Calibri"/>
          <w:color w:val="000000"/>
          <w:lang w:val="en-GB"/>
        </w:rPr>
        <w:t xml:space="preserve"> a survey design is consequently not a  good research strategy for this study. Another type of research fitting within the quantitative research approach </w:t>
      </w:r>
      <w:r w:rsidR="00F71079" w:rsidRPr="005635D8">
        <w:rPr>
          <w:rFonts w:ascii="Calibri" w:hAnsi="Calibri"/>
          <w:color w:val="000000"/>
          <w:lang w:val="en-GB"/>
        </w:rPr>
        <w:t>is</w:t>
      </w:r>
      <w:r w:rsidR="00B2449D" w:rsidRPr="005635D8">
        <w:rPr>
          <w:rFonts w:ascii="Calibri" w:hAnsi="Calibri"/>
          <w:color w:val="000000"/>
          <w:lang w:val="en-GB"/>
        </w:rPr>
        <w:t xml:space="preserve"> experiments. Experiment</w:t>
      </w:r>
      <w:r w:rsidR="00F71079" w:rsidRPr="005635D8">
        <w:rPr>
          <w:rFonts w:ascii="Calibri" w:hAnsi="Calibri"/>
          <w:color w:val="000000"/>
          <w:lang w:val="en-GB"/>
        </w:rPr>
        <w:t>s</w:t>
      </w:r>
      <w:r w:rsidR="00B2449D" w:rsidRPr="005635D8">
        <w:rPr>
          <w:rFonts w:ascii="Calibri" w:hAnsi="Calibri"/>
          <w:color w:val="000000"/>
          <w:lang w:val="en-GB"/>
        </w:rPr>
        <w:t xml:space="preserve"> are used to establish causal relations between independent and dependent v</w:t>
      </w:r>
      <w:r w:rsidR="0009145E" w:rsidRPr="005635D8">
        <w:rPr>
          <w:rFonts w:ascii="Calibri" w:hAnsi="Calibri"/>
          <w:color w:val="000000"/>
          <w:lang w:val="en-GB"/>
        </w:rPr>
        <w:t>ariables. Most experimental design randomly assign</w:t>
      </w:r>
      <w:r w:rsidR="00996161">
        <w:rPr>
          <w:rFonts w:ascii="Calibri" w:hAnsi="Calibri"/>
          <w:color w:val="000000"/>
          <w:lang w:val="en-GB"/>
        </w:rPr>
        <w:t>s</w:t>
      </w:r>
      <w:r w:rsidR="0009145E" w:rsidRPr="005635D8">
        <w:rPr>
          <w:rFonts w:ascii="Calibri" w:hAnsi="Calibri"/>
          <w:color w:val="000000"/>
          <w:lang w:val="en-GB"/>
        </w:rPr>
        <w:t xml:space="preserve"> subjects to experimental conditions and then </w:t>
      </w:r>
      <w:r w:rsidR="00996161" w:rsidRPr="005635D8">
        <w:rPr>
          <w:rFonts w:ascii="Calibri" w:hAnsi="Calibri"/>
          <w:color w:val="000000"/>
          <w:lang w:val="en-GB"/>
        </w:rPr>
        <w:t>observes</w:t>
      </w:r>
      <w:r w:rsidR="0009145E" w:rsidRPr="005635D8">
        <w:rPr>
          <w:rFonts w:ascii="Calibri" w:hAnsi="Calibri"/>
          <w:color w:val="000000"/>
          <w:lang w:val="en-GB"/>
        </w:rPr>
        <w:t xml:space="preserve"> current or future </w:t>
      </w:r>
      <w:r w:rsidR="00B32D82" w:rsidRPr="005635D8">
        <w:rPr>
          <w:rFonts w:ascii="Calibri" w:hAnsi="Calibri"/>
          <w:color w:val="000000"/>
          <w:lang w:val="en-GB"/>
        </w:rPr>
        <w:t>behaviour</w:t>
      </w:r>
      <w:r w:rsidR="0009145E" w:rsidRPr="005635D8">
        <w:rPr>
          <w:rFonts w:ascii="Calibri" w:hAnsi="Calibri"/>
          <w:color w:val="000000"/>
          <w:lang w:val="en-GB"/>
        </w:rPr>
        <w:t xml:space="preserve"> of the subjects. However, investigating the use of earnings management looks at a phenomenon that happened in the past. This research works with existing groups of subjects and existing data and does not randomly assign subjects to experimental conditions.</w:t>
      </w:r>
      <w:r w:rsidR="0012048B" w:rsidRPr="005635D8">
        <w:rPr>
          <w:rFonts w:ascii="Calibri" w:hAnsi="Calibri"/>
          <w:color w:val="000000"/>
          <w:lang w:val="en-GB"/>
        </w:rPr>
        <w:t xml:space="preserve"> A third approach that can be used within quantitative analyses in which no new data is collected is the desk research approach. In desk research existing data will be gathered and used for analyses (Verschuren and Doorewaard 2007). As this thesis uses existing data from the annual financial reports of firms in order to perform causal analyses the applied method of this thesis is a desk research.</w:t>
      </w:r>
    </w:p>
    <w:p w:rsidR="0035418B" w:rsidRPr="005635D8" w:rsidRDefault="0035418B" w:rsidP="0035418B">
      <w:pPr>
        <w:pStyle w:val="Heading1"/>
        <w:rPr>
          <w:sz w:val="22"/>
          <w:szCs w:val="22"/>
          <w:lang w:eastAsia="nl-NL"/>
        </w:rPr>
      </w:pPr>
    </w:p>
    <w:p w:rsidR="00C36140" w:rsidRPr="005635D8" w:rsidRDefault="00C36140" w:rsidP="001E4C5D">
      <w:pPr>
        <w:pStyle w:val="Heading3"/>
        <w:rPr>
          <w:lang w:val="en-GB"/>
        </w:rPr>
      </w:pPr>
      <w:bookmarkStart w:id="75" w:name="_Toc362267300"/>
      <w:r w:rsidRPr="005635D8">
        <w:rPr>
          <w:lang w:val="en-GB"/>
        </w:rPr>
        <w:t>8.2 Research methodology</w:t>
      </w:r>
      <w:bookmarkEnd w:id="75"/>
    </w:p>
    <w:p w:rsidR="00B52297" w:rsidRPr="005635D8" w:rsidRDefault="00686BB7" w:rsidP="005D7DD1">
      <w:pPr>
        <w:pStyle w:val="BodyTextIndent"/>
        <w:ind w:left="0"/>
        <w:jc w:val="both"/>
        <w:rPr>
          <w:rFonts w:ascii="Calibri" w:hAnsi="Calibri"/>
          <w:color w:val="000000"/>
          <w:lang w:val="en-GB"/>
        </w:rPr>
      </w:pPr>
      <w:r w:rsidRPr="005635D8">
        <w:rPr>
          <w:rFonts w:ascii="Calibri" w:hAnsi="Calibri"/>
          <w:color w:val="000000"/>
          <w:lang w:val="en-GB"/>
        </w:rPr>
        <w:t>The previous paragraph established that thi</w:t>
      </w:r>
      <w:r w:rsidR="0012048B" w:rsidRPr="005635D8">
        <w:rPr>
          <w:rFonts w:ascii="Calibri" w:hAnsi="Calibri"/>
          <w:color w:val="000000"/>
          <w:lang w:val="en-GB"/>
        </w:rPr>
        <w:t>s research is a desk research</w:t>
      </w:r>
      <w:r w:rsidRPr="005635D8">
        <w:rPr>
          <w:rFonts w:ascii="Calibri" w:hAnsi="Calibri"/>
          <w:color w:val="000000"/>
          <w:lang w:val="en-GB"/>
        </w:rPr>
        <w:t xml:space="preserve"> using existing data sources to </w:t>
      </w:r>
      <w:r w:rsidR="00CB5F64" w:rsidRPr="005635D8">
        <w:rPr>
          <w:rFonts w:ascii="Calibri" w:hAnsi="Calibri"/>
          <w:color w:val="000000"/>
          <w:lang w:val="en-GB"/>
        </w:rPr>
        <w:t>analyse</w:t>
      </w:r>
      <w:r w:rsidRPr="005635D8">
        <w:rPr>
          <w:rFonts w:ascii="Calibri" w:hAnsi="Calibri"/>
          <w:color w:val="000000"/>
          <w:lang w:val="en-GB"/>
        </w:rPr>
        <w:t xml:space="preserve"> the cause-effect relationship between the introduction of IFRS and levels of earnings management. In order to follow the quantitative nature of this study</w:t>
      </w:r>
      <w:r w:rsidR="00B52297" w:rsidRPr="005635D8">
        <w:rPr>
          <w:rFonts w:ascii="Calibri" w:hAnsi="Calibri"/>
          <w:color w:val="000000"/>
          <w:lang w:val="en-GB"/>
        </w:rPr>
        <w:t xml:space="preserve"> </w:t>
      </w:r>
      <w:r w:rsidR="00F71079" w:rsidRPr="005635D8">
        <w:rPr>
          <w:rFonts w:ascii="Calibri" w:hAnsi="Calibri"/>
          <w:color w:val="000000"/>
          <w:lang w:val="en-GB"/>
        </w:rPr>
        <w:t>t</w:t>
      </w:r>
      <w:r w:rsidR="00B52297" w:rsidRPr="005635D8">
        <w:rPr>
          <w:rFonts w:ascii="Calibri" w:hAnsi="Calibri"/>
          <w:color w:val="000000"/>
          <w:lang w:val="en-GB"/>
        </w:rPr>
        <w:t xml:space="preserve">he next step is to determine what the most important concepts are in the study and </w:t>
      </w:r>
      <w:r w:rsidR="00F57B55" w:rsidRPr="005635D8">
        <w:rPr>
          <w:rFonts w:ascii="Calibri" w:hAnsi="Calibri"/>
          <w:color w:val="000000"/>
          <w:lang w:val="en-GB"/>
        </w:rPr>
        <w:t>in which way</w:t>
      </w:r>
      <w:r w:rsidR="00B52297" w:rsidRPr="005635D8">
        <w:rPr>
          <w:rFonts w:ascii="Calibri" w:hAnsi="Calibri"/>
          <w:color w:val="000000"/>
          <w:lang w:val="en-GB"/>
        </w:rPr>
        <w:t xml:space="preserve"> they can be operationalized in observable numbers. In chapter 5 it was signa</w:t>
      </w:r>
      <w:r w:rsidR="00B90835" w:rsidRPr="005635D8">
        <w:rPr>
          <w:rFonts w:ascii="Calibri" w:hAnsi="Calibri"/>
          <w:color w:val="000000"/>
          <w:lang w:val="en-GB"/>
        </w:rPr>
        <w:t>l</w:t>
      </w:r>
      <w:r w:rsidR="00B52297" w:rsidRPr="005635D8">
        <w:rPr>
          <w:rFonts w:ascii="Calibri" w:hAnsi="Calibri"/>
          <w:color w:val="000000"/>
          <w:lang w:val="en-GB"/>
        </w:rPr>
        <w:t>led that the concept of earnings management can best be observed by focusing on accruals. Accruals based earnings management is the specific type of earnings management which matches the classic description of earnings management best and which is used most often in the studies on the use of earnings management. The accruals method is consequently the standard in measuring earnings management. In order to make this study comparable to existing publications the accrual method is used in order to measure earnings management.</w:t>
      </w:r>
    </w:p>
    <w:p w:rsidR="00B52297" w:rsidRPr="005635D8" w:rsidRDefault="00B52297" w:rsidP="005D7DD1">
      <w:pPr>
        <w:pStyle w:val="BodyTextIndent"/>
        <w:ind w:left="0"/>
        <w:jc w:val="both"/>
        <w:rPr>
          <w:rFonts w:ascii="Calibri" w:hAnsi="Calibri"/>
          <w:color w:val="000000"/>
          <w:lang w:val="en-GB"/>
        </w:rPr>
      </w:pPr>
    </w:p>
    <w:p w:rsidR="00AB64A1" w:rsidRPr="005635D8" w:rsidRDefault="00B52297" w:rsidP="005D7DD1">
      <w:pPr>
        <w:pStyle w:val="BodyTextIndent"/>
        <w:ind w:left="0"/>
        <w:jc w:val="both"/>
        <w:rPr>
          <w:rFonts w:ascii="Calibri" w:hAnsi="Calibri"/>
          <w:color w:val="000000"/>
          <w:lang w:val="en-GB"/>
        </w:rPr>
      </w:pPr>
      <w:r w:rsidRPr="005635D8">
        <w:rPr>
          <w:rFonts w:ascii="Calibri" w:hAnsi="Calibri"/>
          <w:color w:val="000000"/>
          <w:lang w:val="en-GB"/>
        </w:rPr>
        <w:t xml:space="preserve">As </w:t>
      </w:r>
      <w:r w:rsidR="00D76CAE" w:rsidRPr="005635D8">
        <w:rPr>
          <w:rFonts w:ascii="Calibri" w:hAnsi="Calibri"/>
          <w:color w:val="000000"/>
          <w:lang w:val="en-GB"/>
        </w:rPr>
        <w:t>signalled</w:t>
      </w:r>
      <w:r w:rsidRPr="005635D8">
        <w:rPr>
          <w:rFonts w:ascii="Calibri" w:hAnsi="Calibri"/>
          <w:color w:val="000000"/>
          <w:lang w:val="en-GB"/>
        </w:rPr>
        <w:t xml:space="preserve"> is the chapter describing the models to detect the use of earnings management</w:t>
      </w:r>
      <w:r w:rsidR="00DD6197" w:rsidRPr="005635D8">
        <w:rPr>
          <w:rFonts w:ascii="Calibri" w:hAnsi="Calibri"/>
          <w:color w:val="000000"/>
          <w:lang w:val="en-GB"/>
        </w:rPr>
        <w:t>, this concept</w:t>
      </w:r>
      <w:r w:rsidRPr="005635D8">
        <w:rPr>
          <w:rFonts w:ascii="Calibri" w:hAnsi="Calibri"/>
          <w:color w:val="000000"/>
          <w:lang w:val="en-GB"/>
        </w:rPr>
        <w:t xml:space="preserve"> is best determined by using discretionary accruals as a proxy for earnings management. Discretionary accruals are estimated by </w:t>
      </w:r>
      <w:r w:rsidR="002D6FFD" w:rsidRPr="005635D8">
        <w:rPr>
          <w:rFonts w:ascii="Calibri" w:hAnsi="Calibri"/>
          <w:color w:val="000000"/>
          <w:lang w:val="en-GB"/>
        </w:rPr>
        <w:t xml:space="preserve">calculating the total accruals minus the non-discretionary accruals. Specific models using the accruals based approach to detect the use of earnings management evolved from the Healy (1985) and DeAngelo (1986) model to the Jones (1991) and modified Jones model (Dechow et al. 1995). </w:t>
      </w:r>
      <w:r w:rsidR="00DD6197" w:rsidRPr="005635D8">
        <w:rPr>
          <w:rFonts w:ascii="Calibri" w:hAnsi="Calibri"/>
          <w:color w:val="000000"/>
          <w:lang w:val="en-GB"/>
        </w:rPr>
        <w:t>The modified Jones model was developed in order to overcome a problematic assumption incorporated in the Jones model that all revenues are nondiscretionary. The modified Jones Model assumes that all variations in credit sales are attributable to earnings management. After its development by Dechow et al. (1995)</w:t>
      </w:r>
      <w:r w:rsidR="0093360F" w:rsidRPr="005635D8">
        <w:rPr>
          <w:rFonts w:ascii="Calibri" w:hAnsi="Calibri"/>
          <w:color w:val="000000"/>
          <w:lang w:val="en-GB"/>
        </w:rPr>
        <w:t xml:space="preserve"> </w:t>
      </w:r>
      <w:r w:rsidR="00DD6197" w:rsidRPr="005635D8">
        <w:rPr>
          <w:rFonts w:ascii="Calibri" w:hAnsi="Calibri"/>
          <w:color w:val="000000"/>
          <w:lang w:val="en-GB"/>
        </w:rPr>
        <w:t xml:space="preserve">the modified Jones model became quickly considered to be the most powerful method in measuring earnings management. </w:t>
      </w:r>
      <w:r w:rsidR="00AB64A1" w:rsidRPr="005635D8">
        <w:rPr>
          <w:rFonts w:ascii="Calibri" w:hAnsi="Calibri"/>
          <w:color w:val="000000"/>
          <w:lang w:val="en-GB"/>
        </w:rPr>
        <w:t>As was explained in paragraph 5.9, most researchers studying the comparative power and reliability of the different models to detest the use of earnings management concluded that the modified Jones model provides the most reliable estimates of discretionary accruals.</w:t>
      </w:r>
    </w:p>
    <w:p w:rsidR="00AB64A1" w:rsidRPr="005635D8" w:rsidRDefault="00AB64A1" w:rsidP="005D7DD1">
      <w:pPr>
        <w:pStyle w:val="BodyTextIndent"/>
        <w:ind w:left="0"/>
        <w:jc w:val="both"/>
        <w:rPr>
          <w:rFonts w:ascii="Calibri" w:hAnsi="Calibri"/>
          <w:color w:val="000000"/>
          <w:lang w:val="en-GB"/>
        </w:rPr>
      </w:pPr>
    </w:p>
    <w:p w:rsidR="003E503C" w:rsidRPr="005635D8" w:rsidRDefault="00AB64A1" w:rsidP="005D7DD1">
      <w:pPr>
        <w:pStyle w:val="BodyTextIndent"/>
        <w:ind w:left="0"/>
        <w:jc w:val="both"/>
        <w:rPr>
          <w:rFonts w:ascii="Calibri" w:hAnsi="Calibri"/>
          <w:color w:val="000000"/>
          <w:lang w:val="en-GB"/>
        </w:rPr>
      </w:pPr>
      <w:r w:rsidRPr="005635D8">
        <w:rPr>
          <w:rFonts w:ascii="Calibri" w:hAnsi="Calibri"/>
          <w:color w:val="000000"/>
          <w:lang w:val="en-GB"/>
        </w:rPr>
        <w:t>This thesis uses the Modified Jones model in order to estimate the discretionary accruals,</w:t>
      </w:r>
      <w:r w:rsidR="0043169A" w:rsidRPr="005635D8">
        <w:rPr>
          <w:rFonts w:ascii="Calibri" w:hAnsi="Calibri"/>
          <w:color w:val="000000"/>
          <w:lang w:val="en-GB"/>
        </w:rPr>
        <w:t xml:space="preserve"> which serves as a proxy </w:t>
      </w:r>
      <w:r w:rsidR="00D16F6A" w:rsidRPr="005635D8">
        <w:rPr>
          <w:rFonts w:ascii="Calibri" w:hAnsi="Calibri"/>
          <w:color w:val="000000"/>
          <w:lang w:val="en-GB"/>
        </w:rPr>
        <w:t>f</w:t>
      </w:r>
      <w:r w:rsidR="0043169A" w:rsidRPr="005635D8">
        <w:rPr>
          <w:rFonts w:ascii="Calibri" w:hAnsi="Calibri"/>
          <w:color w:val="000000"/>
          <w:lang w:val="en-GB"/>
        </w:rPr>
        <w:t>or the use of</w:t>
      </w:r>
      <w:r w:rsidR="00D16F6A" w:rsidRPr="005635D8">
        <w:rPr>
          <w:rFonts w:ascii="Calibri" w:hAnsi="Calibri"/>
          <w:color w:val="000000"/>
          <w:lang w:val="en-GB"/>
        </w:rPr>
        <w:t xml:space="preserve"> earnings management. </w:t>
      </w:r>
      <w:r w:rsidRPr="005635D8">
        <w:rPr>
          <w:rFonts w:ascii="Calibri" w:hAnsi="Calibri"/>
          <w:color w:val="000000"/>
          <w:lang w:val="en-GB"/>
        </w:rPr>
        <w:t xml:space="preserve">The most important reason for adopting this model is the abovementioned fact that this model is considered to be the most powerful method in measuring earnings management by estimating discretionary accruals. As this thesis </w:t>
      </w:r>
      <w:r w:rsidR="00996161" w:rsidRPr="005635D8">
        <w:rPr>
          <w:rFonts w:ascii="Calibri" w:hAnsi="Calibri"/>
          <w:color w:val="000000"/>
          <w:lang w:val="en-GB"/>
        </w:rPr>
        <w:t>focuses</w:t>
      </w:r>
      <w:r w:rsidRPr="005635D8">
        <w:rPr>
          <w:rFonts w:ascii="Calibri" w:hAnsi="Calibri"/>
          <w:color w:val="000000"/>
          <w:lang w:val="en-GB"/>
        </w:rPr>
        <w:t xml:space="preserve"> on the accrual based earnings management approach this is certainly the most appropriate method for this thesis. The obtained values for the discretionary accruals can be used as the dependent variable in order to test the effect of the introduction of IFRS. A second reason to choose this model is that several other recent publications on the use of earnings management used this model which makes comparison of the results with existing findings easier. A third reason to choose this model is that this model fits well with the compar</w:t>
      </w:r>
      <w:r w:rsidR="003E503C" w:rsidRPr="005635D8">
        <w:rPr>
          <w:rFonts w:ascii="Calibri" w:hAnsi="Calibri"/>
          <w:color w:val="000000"/>
          <w:lang w:val="en-GB"/>
        </w:rPr>
        <w:t>ison over time which this research intends to do</w:t>
      </w:r>
      <w:r w:rsidRPr="005635D8">
        <w:rPr>
          <w:rFonts w:ascii="Calibri" w:hAnsi="Calibri"/>
          <w:color w:val="000000"/>
          <w:lang w:val="en-GB"/>
        </w:rPr>
        <w:t>. As a period in which Dutch firms used NL GAAP and a period in which the same Dutch firms used IFRS will be compared the Time-Series variant of the modified Jones Model is i</w:t>
      </w:r>
      <w:r w:rsidR="003E503C" w:rsidRPr="005635D8">
        <w:rPr>
          <w:rFonts w:ascii="Calibri" w:hAnsi="Calibri"/>
          <w:color w:val="000000"/>
          <w:lang w:val="en-GB"/>
        </w:rPr>
        <w:t xml:space="preserve">n this study preferred over the cross-sectional model. As the use of earnings management by the same firms before and after the introduction of IFRS is the objective of the research the same firms have to remain in the sample over time. The aim of this research is </w:t>
      </w:r>
      <w:r w:rsidR="00C456CE" w:rsidRPr="005635D8">
        <w:rPr>
          <w:rFonts w:ascii="Calibri" w:hAnsi="Calibri"/>
          <w:color w:val="000000"/>
          <w:lang w:val="en-GB"/>
        </w:rPr>
        <w:t>consequently</w:t>
      </w:r>
      <w:r w:rsidR="003E503C" w:rsidRPr="005635D8">
        <w:rPr>
          <w:rFonts w:ascii="Calibri" w:hAnsi="Calibri"/>
          <w:color w:val="000000"/>
          <w:lang w:val="en-GB"/>
        </w:rPr>
        <w:t xml:space="preserve"> to measure the use of earnings management by specific firms over time. The time-series approach of the modified Jones model fits best with this objective. </w:t>
      </w:r>
    </w:p>
    <w:p w:rsidR="003E503C" w:rsidRPr="005635D8" w:rsidRDefault="003E503C" w:rsidP="005D7DD1">
      <w:pPr>
        <w:pStyle w:val="BodyTextIndent"/>
        <w:ind w:left="0"/>
        <w:jc w:val="both"/>
        <w:rPr>
          <w:rFonts w:ascii="Calibri" w:hAnsi="Calibri"/>
          <w:color w:val="000000"/>
          <w:lang w:val="en-GB"/>
        </w:rPr>
      </w:pPr>
    </w:p>
    <w:p w:rsidR="00D16F6A" w:rsidRPr="005635D8" w:rsidRDefault="003E503C" w:rsidP="005D7DD1">
      <w:pPr>
        <w:pStyle w:val="BodyTextIndent"/>
        <w:ind w:left="0"/>
        <w:jc w:val="both"/>
        <w:rPr>
          <w:rFonts w:ascii="Calibri" w:hAnsi="Calibri"/>
          <w:color w:val="000000"/>
          <w:lang w:val="en-GB"/>
        </w:rPr>
      </w:pPr>
      <w:r w:rsidRPr="005635D8">
        <w:rPr>
          <w:rFonts w:ascii="Calibri" w:hAnsi="Calibri"/>
          <w:color w:val="000000"/>
          <w:lang w:val="en-GB"/>
        </w:rPr>
        <w:t>Some authors criticized the modified Jones model. Especially when firms with large differences in financial performances are included in the sample the model will not work appropriately. However this criticism is supposed to be especially relevant for the cross-sectional variant of the model. This criticism is not really relevant for th</w:t>
      </w:r>
      <w:r w:rsidR="00DA28FE" w:rsidRPr="005635D8">
        <w:rPr>
          <w:rFonts w:ascii="Calibri" w:hAnsi="Calibri"/>
          <w:color w:val="000000"/>
          <w:lang w:val="en-GB"/>
        </w:rPr>
        <w:t xml:space="preserve">e time-series approach (Heemskerk and Van der Tas 2006). </w:t>
      </w:r>
      <w:r w:rsidR="00F71079" w:rsidRPr="005635D8">
        <w:rPr>
          <w:rFonts w:ascii="Calibri" w:hAnsi="Calibri"/>
          <w:color w:val="000000"/>
          <w:lang w:val="en-GB"/>
        </w:rPr>
        <w:t>Because firms that have no data available for all the years of observation have to be excluded, t</w:t>
      </w:r>
      <w:r w:rsidR="00DA28FE" w:rsidRPr="005635D8">
        <w:rPr>
          <w:rFonts w:ascii="Calibri" w:hAnsi="Calibri"/>
          <w:color w:val="000000"/>
          <w:lang w:val="en-GB"/>
        </w:rPr>
        <w:t>he most prominent</w:t>
      </w:r>
      <w:r w:rsidRPr="005635D8">
        <w:rPr>
          <w:rFonts w:ascii="Calibri" w:hAnsi="Calibri"/>
          <w:color w:val="000000"/>
          <w:lang w:val="en-GB"/>
        </w:rPr>
        <w:t xml:space="preserve"> problem with the time series approach is that</w:t>
      </w:r>
      <w:r w:rsidR="00DA28FE" w:rsidRPr="005635D8">
        <w:rPr>
          <w:rFonts w:ascii="Calibri" w:hAnsi="Calibri"/>
          <w:color w:val="000000"/>
          <w:lang w:val="en-GB"/>
        </w:rPr>
        <w:t xml:space="preserve"> </w:t>
      </w:r>
      <w:r w:rsidR="00F71079" w:rsidRPr="005635D8">
        <w:rPr>
          <w:rFonts w:ascii="Calibri" w:hAnsi="Calibri"/>
          <w:color w:val="000000"/>
          <w:lang w:val="en-GB"/>
        </w:rPr>
        <w:t xml:space="preserve">the </w:t>
      </w:r>
      <w:r w:rsidR="00DA28FE" w:rsidRPr="005635D8">
        <w:rPr>
          <w:rFonts w:ascii="Calibri" w:hAnsi="Calibri"/>
          <w:color w:val="000000"/>
          <w:lang w:val="en-GB"/>
        </w:rPr>
        <w:t xml:space="preserve">sample size can be </w:t>
      </w:r>
      <w:r w:rsidR="00C33B55" w:rsidRPr="005635D8">
        <w:rPr>
          <w:rFonts w:ascii="Calibri" w:hAnsi="Calibri"/>
          <w:color w:val="000000"/>
          <w:lang w:val="en-GB"/>
        </w:rPr>
        <w:t>too</w:t>
      </w:r>
      <w:r w:rsidR="00F71079" w:rsidRPr="005635D8">
        <w:rPr>
          <w:rFonts w:ascii="Calibri" w:hAnsi="Calibri"/>
          <w:color w:val="000000"/>
          <w:lang w:val="en-GB"/>
        </w:rPr>
        <w:t xml:space="preserve"> </w:t>
      </w:r>
      <w:r w:rsidR="00DA28FE" w:rsidRPr="005635D8">
        <w:rPr>
          <w:rFonts w:ascii="Calibri" w:hAnsi="Calibri"/>
          <w:color w:val="000000"/>
          <w:lang w:val="en-GB"/>
        </w:rPr>
        <w:t xml:space="preserve">small. But in this research most companies included in the sample have data available for all </w:t>
      </w:r>
      <w:r w:rsidR="00F71079" w:rsidRPr="005635D8">
        <w:rPr>
          <w:rFonts w:ascii="Calibri" w:hAnsi="Calibri"/>
          <w:color w:val="000000"/>
          <w:lang w:val="en-GB"/>
        </w:rPr>
        <w:t xml:space="preserve">the </w:t>
      </w:r>
      <w:r w:rsidR="00DA28FE" w:rsidRPr="005635D8">
        <w:rPr>
          <w:rFonts w:ascii="Calibri" w:hAnsi="Calibri"/>
          <w:color w:val="000000"/>
          <w:lang w:val="en-GB"/>
        </w:rPr>
        <w:t>years under investigation.</w:t>
      </w:r>
    </w:p>
    <w:p w:rsidR="00C84F6F" w:rsidRPr="005635D8" w:rsidRDefault="00C84F6F" w:rsidP="00C84F6F">
      <w:pPr>
        <w:autoSpaceDE w:val="0"/>
        <w:autoSpaceDN w:val="0"/>
        <w:adjustRightInd w:val="0"/>
        <w:spacing w:after="0" w:line="240" w:lineRule="auto"/>
        <w:rPr>
          <w:rFonts w:ascii="MinionPro-Regular" w:eastAsia="MinionPro-Regular" w:cs="MinionPro-Regular"/>
          <w:color w:val="000000"/>
          <w:sz w:val="20"/>
          <w:szCs w:val="20"/>
          <w:lang w:val="en-GB"/>
        </w:rPr>
      </w:pPr>
    </w:p>
    <w:p w:rsidR="00C36140" w:rsidRPr="005635D8" w:rsidRDefault="00C36140" w:rsidP="001E4C5D">
      <w:pPr>
        <w:pStyle w:val="Heading3"/>
        <w:rPr>
          <w:lang w:val="en-GB"/>
        </w:rPr>
      </w:pPr>
      <w:bookmarkStart w:id="76" w:name="_Toc362267301"/>
      <w:r w:rsidRPr="005635D8">
        <w:rPr>
          <w:lang w:val="en-GB"/>
        </w:rPr>
        <w:t>8.3 Measuring earnings management</w:t>
      </w:r>
      <w:bookmarkEnd w:id="76"/>
    </w:p>
    <w:p w:rsidR="000F53E9" w:rsidRPr="005635D8" w:rsidRDefault="00B50291" w:rsidP="000F53E9">
      <w:pPr>
        <w:jc w:val="both"/>
        <w:rPr>
          <w:rFonts w:eastAsiaTheme="minorHAnsi"/>
          <w:lang w:val="en-GB" w:eastAsia="nl-NL"/>
        </w:rPr>
      </w:pPr>
      <w:r w:rsidRPr="005635D8">
        <w:rPr>
          <w:color w:val="000000"/>
          <w:lang w:val="en-GB"/>
        </w:rPr>
        <w:t>The procedure to estimate the different type of accruals using the modified Jones Model was already set out in paragraph 5.7 and is repeated in this paragraph in exactly the way as the model is used in the empirical analysis to determine the discretionary accruals.</w:t>
      </w:r>
      <w:r w:rsidR="00DA28FE" w:rsidRPr="005635D8">
        <w:rPr>
          <w:color w:val="000000"/>
          <w:lang w:val="en-GB"/>
        </w:rPr>
        <w:t xml:space="preserve"> The</w:t>
      </w:r>
      <w:r w:rsidR="00DA28FE" w:rsidRPr="005635D8">
        <w:rPr>
          <w:rFonts w:eastAsiaTheme="minorHAnsi"/>
          <w:lang w:val="en-GB" w:eastAsia="nl-NL"/>
        </w:rPr>
        <w:t xml:space="preserve"> </w:t>
      </w:r>
      <w:r w:rsidR="00DA28FE" w:rsidRPr="005635D8">
        <w:rPr>
          <w:color w:val="000000"/>
          <w:lang w:val="en-GB"/>
        </w:rPr>
        <w:t xml:space="preserve">model distinguishes between total accruals, non-discretionary accruals and discretionary accruals. The first step is measuring the total accruals (TACC) using the next </w:t>
      </w:r>
      <w:r w:rsidR="00D802ED" w:rsidRPr="005635D8">
        <w:rPr>
          <w:color w:val="000000"/>
          <w:lang w:val="en-GB"/>
        </w:rPr>
        <w:t>formula</w:t>
      </w:r>
      <w:r w:rsidR="00DA28FE" w:rsidRPr="005635D8">
        <w:rPr>
          <w:color w:val="000000"/>
          <w:lang w:val="en-GB"/>
        </w:rPr>
        <w:t>:</w:t>
      </w:r>
      <w:r w:rsidR="00DA28FE" w:rsidRPr="005635D8">
        <w:rPr>
          <w:rFonts w:eastAsiaTheme="minorHAnsi"/>
          <w:lang w:val="en-GB" w:eastAsia="nl-NL"/>
        </w:rPr>
        <w:t xml:space="preserve"> </w:t>
      </w:r>
      <w:r w:rsidRPr="005635D8">
        <w:rPr>
          <w:rFonts w:eastAsiaTheme="minorHAnsi"/>
          <w:lang w:val="en-GB" w:eastAsia="nl-NL"/>
        </w:rPr>
        <w:t xml:space="preserve">  </w:t>
      </w:r>
    </w:p>
    <w:p w:rsidR="00B50291" w:rsidRPr="005635D8" w:rsidRDefault="00B50291" w:rsidP="000F53E9">
      <w:pPr>
        <w:jc w:val="both"/>
        <w:rPr>
          <w:lang w:val="en-GB"/>
        </w:rPr>
      </w:pPr>
    </w:p>
    <w:tbl>
      <w:tblPr>
        <w:tblW w:w="0" w:type="auto"/>
        <w:tblInd w:w="108" w:type="dxa"/>
        <w:tblLook w:val="01E0"/>
      </w:tblPr>
      <w:tblGrid>
        <w:gridCol w:w="1427"/>
        <w:gridCol w:w="7049"/>
        <w:gridCol w:w="702"/>
      </w:tblGrid>
      <w:tr w:rsidR="000F53E9" w:rsidRPr="005635D8" w:rsidTr="00087548">
        <w:trPr>
          <w:trHeight w:val="374"/>
        </w:trPr>
        <w:tc>
          <w:tcPr>
            <w:tcW w:w="8478" w:type="dxa"/>
            <w:gridSpan w:val="2"/>
          </w:tcPr>
          <w:p w:rsidR="000F53E9" w:rsidRPr="005635D8" w:rsidRDefault="000F53E9" w:rsidP="00087548">
            <w:pPr>
              <w:tabs>
                <w:tab w:val="center" w:pos="4536"/>
                <w:tab w:val="right" w:pos="9072"/>
              </w:tabs>
              <w:autoSpaceDE w:val="0"/>
              <w:autoSpaceDN w:val="0"/>
              <w:adjustRightInd w:val="0"/>
              <w:spacing w:line="360" w:lineRule="auto"/>
              <w:jc w:val="center"/>
              <w:rPr>
                <w:lang w:val="en-GB"/>
              </w:rPr>
            </w:pPr>
            <w:r w:rsidRPr="005635D8">
              <w:rPr>
                <w:position w:val="-12"/>
                <w:lang w:val="en-GB"/>
              </w:rPr>
              <w:object w:dxaOrig="5820" w:dyaOrig="360">
                <v:shape id="_x0000_i1070" type="#_x0000_t75" style="width:292.5pt;height:18.75pt" o:ole="">
                  <v:imagedata r:id="rId11" o:title=""/>
                </v:shape>
                <o:OLEObject Type="Embed" ProgID="Equation.3" ShapeID="_x0000_i1070" DrawAspect="Content" ObjectID="_1436010459" r:id="rId94"/>
              </w:object>
            </w:r>
          </w:p>
          <w:p w:rsidR="000F53E9" w:rsidRPr="005635D8" w:rsidRDefault="000F53E9" w:rsidP="00087548">
            <w:pPr>
              <w:tabs>
                <w:tab w:val="center" w:pos="4536"/>
                <w:tab w:val="right" w:pos="9072"/>
              </w:tabs>
              <w:autoSpaceDE w:val="0"/>
              <w:autoSpaceDN w:val="0"/>
              <w:adjustRightInd w:val="0"/>
              <w:spacing w:line="360" w:lineRule="auto"/>
              <w:rPr>
                <w:lang w:val="en-GB"/>
              </w:rPr>
            </w:pPr>
            <w:r w:rsidRPr="005635D8">
              <w:rPr>
                <w:lang w:val="en-GB"/>
              </w:rPr>
              <w:t>Where,</w:t>
            </w:r>
          </w:p>
        </w:tc>
        <w:tc>
          <w:tcPr>
            <w:tcW w:w="702" w:type="dxa"/>
          </w:tcPr>
          <w:p w:rsidR="000F53E9" w:rsidRPr="005635D8" w:rsidRDefault="00B37EE0" w:rsidP="00087548">
            <w:pPr>
              <w:pStyle w:val="Caption"/>
              <w:tabs>
                <w:tab w:val="center" w:pos="4536"/>
                <w:tab w:val="right" w:pos="9072"/>
              </w:tabs>
              <w:jc w:val="right"/>
              <w:rPr>
                <w:rFonts w:asciiTheme="minorHAnsi" w:hAnsiTheme="minorHAnsi"/>
                <w:b w:val="0"/>
                <w:sz w:val="22"/>
                <w:szCs w:val="22"/>
                <w:lang w:val="en-GB"/>
              </w:rPr>
            </w:pPr>
            <w:r w:rsidRPr="005635D8">
              <w:rPr>
                <w:rFonts w:asciiTheme="minorHAnsi" w:hAnsiTheme="minorHAnsi"/>
                <w:b w:val="0"/>
                <w:sz w:val="22"/>
                <w:szCs w:val="22"/>
                <w:lang w:val="en-GB"/>
              </w:rPr>
              <w:t>Eq.1</w:t>
            </w:r>
          </w:p>
          <w:p w:rsidR="000F53E9" w:rsidRPr="005635D8" w:rsidRDefault="000F53E9" w:rsidP="00087548">
            <w:pPr>
              <w:tabs>
                <w:tab w:val="center" w:pos="4536"/>
                <w:tab w:val="right" w:pos="9072"/>
              </w:tabs>
              <w:autoSpaceDE w:val="0"/>
              <w:autoSpaceDN w:val="0"/>
              <w:adjustRightInd w:val="0"/>
              <w:spacing w:line="360" w:lineRule="auto"/>
              <w:jc w:val="both"/>
              <w:rPr>
                <w:lang w:val="en-GB"/>
              </w:rPr>
            </w:pPr>
          </w:p>
        </w:tc>
      </w:tr>
      <w:tr w:rsidR="000F53E9" w:rsidRPr="00182CC2" w:rsidTr="00087548">
        <w:trPr>
          <w:trHeight w:val="374"/>
        </w:trPr>
        <w:tc>
          <w:tcPr>
            <w:tcW w:w="1427" w:type="dxa"/>
          </w:tcPr>
          <w:p w:rsidR="000F53E9" w:rsidRPr="005635D8" w:rsidRDefault="000F53E9" w:rsidP="00087548">
            <w:pPr>
              <w:tabs>
                <w:tab w:val="center" w:pos="4536"/>
                <w:tab w:val="right" w:pos="9072"/>
              </w:tabs>
              <w:autoSpaceDE w:val="0"/>
              <w:autoSpaceDN w:val="0"/>
              <w:adjustRightInd w:val="0"/>
              <w:spacing w:after="0" w:line="360" w:lineRule="auto"/>
              <w:rPr>
                <w:i/>
                <w:position w:val="-12"/>
                <w:lang w:val="en-GB"/>
              </w:rPr>
            </w:pPr>
            <w:r w:rsidRPr="005635D8">
              <w:rPr>
                <w:position w:val="-12"/>
                <w:lang w:val="en-GB"/>
              </w:rPr>
              <w:object w:dxaOrig="760" w:dyaOrig="360">
                <v:shape id="_x0000_i1071" type="#_x0000_t75" style="width:39.75pt;height:18.75pt" o:ole="">
                  <v:imagedata r:id="rId13" o:title=""/>
                </v:shape>
                <o:OLEObject Type="Embed" ProgID="Equation.3" ShapeID="_x0000_i1071" DrawAspect="Content" ObjectID="_1436010460" r:id="rId95"/>
              </w:object>
            </w:r>
          </w:p>
        </w:tc>
        <w:tc>
          <w:tcPr>
            <w:tcW w:w="7753" w:type="dxa"/>
            <w:gridSpan w:val="2"/>
          </w:tcPr>
          <w:p w:rsidR="000F53E9" w:rsidRPr="005635D8" w:rsidRDefault="000F53E9" w:rsidP="00087548">
            <w:pPr>
              <w:pStyle w:val="Caption"/>
              <w:tabs>
                <w:tab w:val="center" w:pos="4536"/>
                <w:tab w:val="right" w:pos="9072"/>
              </w:tabs>
              <w:rPr>
                <w:rFonts w:asciiTheme="minorHAnsi" w:hAnsiTheme="minorHAnsi"/>
                <w:b w:val="0"/>
                <w:bCs w:val="0"/>
                <w:sz w:val="22"/>
                <w:szCs w:val="22"/>
                <w:lang w:val="en-GB"/>
              </w:rPr>
            </w:pPr>
            <w:r w:rsidRPr="005635D8">
              <w:rPr>
                <w:rFonts w:asciiTheme="minorHAnsi" w:eastAsiaTheme="minorHAnsi" w:hAnsiTheme="minorHAnsi" w:cstheme="minorBidi"/>
                <w:b w:val="0"/>
                <w:sz w:val="22"/>
                <w:szCs w:val="22"/>
                <w:lang w:val="en-GB" w:eastAsia="en-US"/>
              </w:rPr>
              <w:t>firm</w:t>
            </w:r>
            <w:r w:rsidRPr="005635D8">
              <w:rPr>
                <w:rFonts w:asciiTheme="minorHAnsi" w:eastAsiaTheme="minorHAnsi" w:hAnsiTheme="minorHAnsi" w:cstheme="minorBidi"/>
                <w:b w:val="0"/>
                <w:bCs w:val="0"/>
                <w:i/>
                <w:iCs/>
                <w:position w:val="-6"/>
                <w:sz w:val="22"/>
                <w:szCs w:val="22"/>
                <w:lang w:val="en-GB" w:eastAsia="en-US"/>
              </w:rPr>
              <w:t xml:space="preserve"> </w:t>
            </w:r>
            <w:r w:rsidRPr="005635D8">
              <w:rPr>
                <w:rFonts w:asciiTheme="minorHAnsi" w:eastAsiaTheme="minorHAnsi" w:hAnsiTheme="minorHAnsi" w:cstheme="minorBidi"/>
                <w:b w:val="0"/>
                <w:bCs w:val="0"/>
                <w:i/>
                <w:iCs/>
                <w:position w:val="-6"/>
                <w:sz w:val="22"/>
                <w:szCs w:val="22"/>
                <w:lang w:val="en-GB" w:eastAsia="en-US"/>
              </w:rPr>
              <w:object w:dxaOrig="139" w:dyaOrig="260">
                <v:shape id="_x0000_i1072" type="#_x0000_t75" style="width:6.75pt;height:12.75pt" o:ole="">
                  <v:imagedata r:id="rId15" o:title=""/>
                </v:shape>
                <o:OLEObject Type="Embed" ProgID="Equation.3" ShapeID="_x0000_i1072" DrawAspect="Content" ObjectID="_1436010461" r:id="rId96"/>
              </w:object>
            </w:r>
            <w:r w:rsidRPr="005635D8">
              <w:rPr>
                <w:rFonts w:asciiTheme="minorHAnsi" w:eastAsiaTheme="minorHAnsi" w:hAnsiTheme="minorHAnsi" w:cstheme="minorBidi"/>
                <w:b w:val="0"/>
                <w:bCs w:val="0"/>
                <w:sz w:val="22"/>
                <w:szCs w:val="22"/>
                <w:lang w:val="en-GB" w:eastAsia="en-US"/>
              </w:rPr>
              <w:t xml:space="preserve">’s </w:t>
            </w:r>
            <w:r w:rsidRPr="005635D8">
              <w:rPr>
                <w:rFonts w:asciiTheme="minorHAnsi" w:eastAsiaTheme="minorHAnsi" w:hAnsiTheme="minorHAnsi" w:cstheme="minorBidi"/>
                <w:b w:val="0"/>
                <w:sz w:val="22"/>
                <w:szCs w:val="22"/>
                <w:lang w:val="en-GB" w:eastAsia="en-US"/>
              </w:rPr>
              <w:t xml:space="preserve">total accruals in year </w:t>
            </w:r>
            <w:r w:rsidRPr="005635D8">
              <w:rPr>
                <w:rFonts w:asciiTheme="minorHAnsi" w:eastAsiaTheme="minorHAnsi" w:hAnsiTheme="minorHAnsi" w:cstheme="minorBidi"/>
                <w:b w:val="0"/>
                <w:bCs w:val="0"/>
                <w:i/>
                <w:iCs/>
                <w:position w:val="-6"/>
                <w:sz w:val="22"/>
                <w:szCs w:val="22"/>
                <w:lang w:val="en-GB" w:eastAsia="en-US"/>
              </w:rPr>
              <w:object w:dxaOrig="139" w:dyaOrig="240">
                <v:shape id="_x0000_i1073" type="#_x0000_t75" style="width:6.75pt;height:12pt" o:ole="">
                  <v:imagedata r:id="rId17" o:title=""/>
                </v:shape>
                <o:OLEObject Type="Embed" ProgID="Equation.3" ShapeID="_x0000_i1073" DrawAspect="Content" ObjectID="_1436010462" r:id="rId97"/>
              </w:object>
            </w:r>
            <w:r w:rsidRPr="005635D8">
              <w:rPr>
                <w:rFonts w:asciiTheme="minorHAnsi" w:eastAsiaTheme="minorHAnsi" w:hAnsiTheme="minorHAnsi" w:cstheme="minorBidi"/>
                <w:b w:val="0"/>
                <w:bCs w:val="0"/>
                <w:i/>
                <w:iCs/>
                <w:position w:val="-6"/>
                <w:sz w:val="22"/>
                <w:szCs w:val="22"/>
                <w:lang w:val="en-GB" w:eastAsia="en-US"/>
              </w:rPr>
              <w:t>;</w:t>
            </w:r>
          </w:p>
        </w:tc>
      </w:tr>
      <w:tr w:rsidR="000F53E9" w:rsidRPr="00182CC2" w:rsidTr="00087548">
        <w:trPr>
          <w:trHeight w:val="396"/>
        </w:trPr>
        <w:tc>
          <w:tcPr>
            <w:tcW w:w="1427" w:type="dxa"/>
          </w:tcPr>
          <w:p w:rsidR="000F53E9" w:rsidRPr="005635D8" w:rsidRDefault="000F53E9" w:rsidP="00087548">
            <w:pPr>
              <w:tabs>
                <w:tab w:val="center" w:pos="4536"/>
                <w:tab w:val="right" w:pos="9072"/>
              </w:tabs>
              <w:autoSpaceDE w:val="0"/>
              <w:autoSpaceDN w:val="0"/>
              <w:adjustRightInd w:val="0"/>
              <w:spacing w:after="0" w:line="360" w:lineRule="auto"/>
              <w:rPr>
                <w:lang w:val="en-GB"/>
              </w:rPr>
            </w:pPr>
            <w:r w:rsidRPr="005635D8">
              <w:rPr>
                <w:position w:val="-12"/>
                <w:lang w:val="en-GB"/>
              </w:rPr>
              <w:object w:dxaOrig="600" w:dyaOrig="360">
                <v:shape id="_x0000_i1074" type="#_x0000_t75" style="width:30pt;height:18.75pt" o:ole="">
                  <v:imagedata r:id="rId19" o:title=""/>
                </v:shape>
                <o:OLEObject Type="Embed" ProgID="Equation.3" ShapeID="_x0000_i1074" DrawAspect="Content" ObjectID="_1436010463" r:id="rId98"/>
              </w:object>
            </w:r>
            <w:r w:rsidRPr="005635D8">
              <w:rPr>
                <w:lang w:val="en-GB"/>
              </w:rPr>
              <w:t xml:space="preserve">         </w:t>
            </w:r>
          </w:p>
        </w:tc>
        <w:tc>
          <w:tcPr>
            <w:tcW w:w="7753" w:type="dxa"/>
            <w:gridSpan w:val="2"/>
          </w:tcPr>
          <w:p w:rsidR="000F53E9" w:rsidRPr="005635D8" w:rsidRDefault="000F53E9" w:rsidP="00087548">
            <w:pPr>
              <w:tabs>
                <w:tab w:val="center" w:pos="4536"/>
                <w:tab w:val="right" w:pos="9072"/>
              </w:tabs>
              <w:autoSpaceDE w:val="0"/>
              <w:autoSpaceDN w:val="0"/>
              <w:adjustRightInd w:val="0"/>
              <w:spacing w:after="0" w:line="360" w:lineRule="auto"/>
              <w:rPr>
                <w:lang w:val="en-GB"/>
              </w:rPr>
            </w:pPr>
            <w:r w:rsidRPr="005635D8">
              <w:rPr>
                <w:bCs/>
                <w:lang w:val="en-GB"/>
              </w:rPr>
              <w:t xml:space="preserve">firm </w:t>
            </w:r>
            <w:r w:rsidRPr="005635D8">
              <w:rPr>
                <w:i/>
                <w:iCs/>
                <w:position w:val="-6"/>
                <w:lang w:val="en-GB"/>
              </w:rPr>
              <w:object w:dxaOrig="139" w:dyaOrig="260">
                <v:shape id="_x0000_i1075" type="#_x0000_t75" style="width:6.75pt;height:12.75pt" o:ole="">
                  <v:imagedata r:id="rId21" o:title=""/>
                </v:shape>
                <o:OLEObject Type="Embed" ProgID="Equation.3" ShapeID="_x0000_i1075" DrawAspect="Content" ObjectID="_1436010464" r:id="rId99"/>
              </w:object>
            </w:r>
            <w:r w:rsidRPr="005635D8">
              <w:rPr>
                <w:lang w:val="en-GB"/>
              </w:rPr>
              <w:t xml:space="preserve">’s change in current assets in year </w:t>
            </w:r>
            <w:r w:rsidRPr="005635D8">
              <w:rPr>
                <w:i/>
                <w:iCs/>
                <w:position w:val="-6"/>
                <w:lang w:val="en-GB"/>
              </w:rPr>
              <w:object w:dxaOrig="139" w:dyaOrig="240">
                <v:shape id="_x0000_i1076" type="#_x0000_t75" style="width:6.75pt;height:12pt" o:ole="">
                  <v:imagedata r:id="rId17" o:title=""/>
                </v:shape>
                <o:OLEObject Type="Embed" ProgID="Equation.3" ShapeID="_x0000_i1076" DrawAspect="Content" ObjectID="_1436010465" r:id="rId100"/>
              </w:object>
            </w:r>
            <w:r w:rsidRPr="005635D8">
              <w:rPr>
                <w:lang w:val="en-GB"/>
              </w:rPr>
              <w:t>;</w:t>
            </w:r>
          </w:p>
        </w:tc>
      </w:tr>
      <w:tr w:rsidR="000F53E9" w:rsidRPr="00182CC2" w:rsidTr="00087548">
        <w:tc>
          <w:tcPr>
            <w:tcW w:w="1427" w:type="dxa"/>
          </w:tcPr>
          <w:p w:rsidR="000F53E9" w:rsidRPr="005635D8" w:rsidRDefault="000F53E9" w:rsidP="00087548">
            <w:pPr>
              <w:tabs>
                <w:tab w:val="center" w:pos="4536"/>
                <w:tab w:val="right" w:pos="9072"/>
              </w:tabs>
              <w:autoSpaceDE w:val="0"/>
              <w:autoSpaceDN w:val="0"/>
              <w:adjustRightInd w:val="0"/>
              <w:spacing w:after="0" w:line="360" w:lineRule="auto"/>
              <w:rPr>
                <w:lang w:val="en-GB"/>
              </w:rPr>
            </w:pPr>
            <w:r w:rsidRPr="005635D8">
              <w:rPr>
                <w:position w:val="-12"/>
                <w:lang w:val="en-GB"/>
              </w:rPr>
              <w:object w:dxaOrig="600" w:dyaOrig="360">
                <v:shape id="_x0000_i1077" type="#_x0000_t75" style="width:30pt;height:18.75pt" o:ole="">
                  <v:imagedata r:id="rId24" o:title=""/>
                </v:shape>
                <o:OLEObject Type="Embed" ProgID="Equation.3" ShapeID="_x0000_i1077" DrawAspect="Content" ObjectID="_1436010466" r:id="rId101"/>
              </w:object>
            </w:r>
          </w:p>
        </w:tc>
        <w:tc>
          <w:tcPr>
            <w:tcW w:w="7753" w:type="dxa"/>
            <w:gridSpan w:val="2"/>
          </w:tcPr>
          <w:p w:rsidR="000F53E9" w:rsidRPr="005635D8" w:rsidRDefault="000F53E9" w:rsidP="00087548">
            <w:pPr>
              <w:tabs>
                <w:tab w:val="center" w:pos="4536"/>
                <w:tab w:val="right" w:pos="9072"/>
              </w:tabs>
              <w:autoSpaceDE w:val="0"/>
              <w:autoSpaceDN w:val="0"/>
              <w:adjustRightInd w:val="0"/>
              <w:spacing w:after="0" w:line="360" w:lineRule="auto"/>
              <w:rPr>
                <w:lang w:val="en-GB"/>
              </w:rPr>
            </w:pPr>
            <w:r w:rsidRPr="005635D8">
              <w:rPr>
                <w:bCs/>
                <w:lang w:val="en-GB"/>
              </w:rPr>
              <w:t xml:space="preserve">firm </w:t>
            </w:r>
            <w:r w:rsidRPr="005635D8">
              <w:rPr>
                <w:i/>
                <w:iCs/>
                <w:position w:val="-6"/>
                <w:lang w:val="en-GB"/>
              </w:rPr>
              <w:object w:dxaOrig="139" w:dyaOrig="260">
                <v:shape id="_x0000_i1078" type="#_x0000_t75" style="width:6.75pt;height:12.75pt" o:ole="">
                  <v:imagedata r:id="rId15" o:title=""/>
                </v:shape>
                <o:OLEObject Type="Embed" ProgID="Equation.3" ShapeID="_x0000_i1078" DrawAspect="Content" ObjectID="_1436010467" r:id="rId102"/>
              </w:object>
            </w:r>
            <w:r w:rsidRPr="005635D8">
              <w:rPr>
                <w:lang w:val="en-GB"/>
              </w:rPr>
              <w:t xml:space="preserve">’s change in current liabilities in year </w:t>
            </w:r>
            <w:r w:rsidRPr="005635D8">
              <w:rPr>
                <w:i/>
                <w:iCs/>
                <w:position w:val="-6"/>
                <w:lang w:val="en-GB"/>
              </w:rPr>
              <w:object w:dxaOrig="139" w:dyaOrig="240">
                <v:shape id="_x0000_i1079" type="#_x0000_t75" style="width:6.75pt;height:12pt" o:ole="">
                  <v:imagedata r:id="rId27" o:title=""/>
                </v:shape>
                <o:OLEObject Type="Embed" ProgID="Equation.3" ShapeID="_x0000_i1079" DrawAspect="Content" ObjectID="_1436010468" r:id="rId103"/>
              </w:object>
            </w:r>
            <w:r w:rsidRPr="005635D8">
              <w:rPr>
                <w:lang w:val="en-GB"/>
              </w:rPr>
              <w:t>;</w:t>
            </w:r>
          </w:p>
        </w:tc>
      </w:tr>
      <w:tr w:rsidR="000F53E9" w:rsidRPr="00182CC2" w:rsidTr="00087548">
        <w:tc>
          <w:tcPr>
            <w:tcW w:w="1427" w:type="dxa"/>
          </w:tcPr>
          <w:p w:rsidR="000F53E9" w:rsidRPr="005635D8" w:rsidRDefault="000F53E9" w:rsidP="00087548">
            <w:pPr>
              <w:tabs>
                <w:tab w:val="center" w:pos="4536"/>
                <w:tab w:val="right" w:pos="9072"/>
              </w:tabs>
              <w:autoSpaceDE w:val="0"/>
              <w:autoSpaceDN w:val="0"/>
              <w:adjustRightInd w:val="0"/>
              <w:spacing w:after="0" w:line="360" w:lineRule="auto"/>
              <w:rPr>
                <w:lang w:val="en-GB"/>
              </w:rPr>
            </w:pPr>
            <w:r w:rsidRPr="005635D8">
              <w:rPr>
                <w:position w:val="-12"/>
                <w:lang w:val="en-GB"/>
              </w:rPr>
              <w:object w:dxaOrig="940" w:dyaOrig="360">
                <v:shape id="_x0000_i1080" type="#_x0000_t75" style="width:47.25pt;height:18.75pt" o:ole="">
                  <v:imagedata r:id="rId29" o:title=""/>
                </v:shape>
                <o:OLEObject Type="Embed" ProgID="Equation.3" ShapeID="_x0000_i1080" DrawAspect="Content" ObjectID="_1436010469" r:id="rId104"/>
              </w:object>
            </w:r>
          </w:p>
        </w:tc>
        <w:tc>
          <w:tcPr>
            <w:tcW w:w="7753" w:type="dxa"/>
            <w:gridSpan w:val="2"/>
          </w:tcPr>
          <w:p w:rsidR="000F53E9" w:rsidRPr="005635D8" w:rsidRDefault="000F53E9" w:rsidP="00087548">
            <w:pPr>
              <w:tabs>
                <w:tab w:val="center" w:pos="4536"/>
                <w:tab w:val="right" w:pos="9072"/>
              </w:tabs>
              <w:autoSpaceDE w:val="0"/>
              <w:autoSpaceDN w:val="0"/>
              <w:adjustRightInd w:val="0"/>
              <w:spacing w:after="0" w:line="360" w:lineRule="auto"/>
              <w:rPr>
                <w:lang w:val="en-GB"/>
              </w:rPr>
            </w:pPr>
            <w:r w:rsidRPr="005635D8">
              <w:rPr>
                <w:bCs/>
                <w:lang w:val="en-GB"/>
              </w:rPr>
              <w:t xml:space="preserve">firm </w:t>
            </w:r>
            <w:r w:rsidRPr="005635D8">
              <w:rPr>
                <w:i/>
                <w:iCs/>
                <w:position w:val="-6"/>
                <w:lang w:val="en-GB"/>
              </w:rPr>
              <w:object w:dxaOrig="139" w:dyaOrig="260">
                <v:shape id="_x0000_i1081" type="#_x0000_t75" style="width:6.75pt;height:12.75pt" o:ole="">
                  <v:imagedata r:id="rId15" o:title=""/>
                </v:shape>
                <o:OLEObject Type="Embed" ProgID="Equation.3" ShapeID="_x0000_i1081" DrawAspect="Content" ObjectID="_1436010470" r:id="rId105"/>
              </w:object>
            </w:r>
            <w:r w:rsidRPr="005635D8">
              <w:rPr>
                <w:lang w:val="en-GB"/>
              </w:rPr>
              <w:t xml:space="preserve">’s change in cash in year </w:t>
            </w:r>
            <w:r w:rsidRPr="005635D8">
              <w:rPr>
                <w:i/>
                <w:iCs/>
                <w:position w:val="-6"/>
                <w:lang w:val="en-GB"/>
              </w:rPr>
              <w:object w:dxaOrig="139" w:dyaOrig="240">
                <v:shape id="_x0000_i1082" type="#_x0000_t75" style="width:6.75pt;height:12pt" o:ole="">
                  <v:imagedata r:id="rId27" o:title=""/>
                </v:shape>
                <o:OLEObject Type="Embed" ProgID="Equation.3" ShapeID="_x0000_i1082" DrawAspect="Content" ObjectID="_1436010471" r:id="rId106"/>
              </w:object>
            </w:r>
            <w:r w:rsidRPr="005635D8">
              <w:rPr>
                <w:lang w:val="en-GB"/>
              </w:rPr>
              <w:t>;</w:t>
            </w:r>
          </w:p>
        </w:tc>
      </w:tr>
      <w:tr w:rsidR="000F53E9" w:rsidRPr="00182CC2" w:rsidTr="00087548">
        <w:tc>
          <w:tcPr>
            <w:tcW w:w="1427" w:type="dxa"/>
          </w:tcPr>
          <w:p w:rsidR="000F53E9" w:rsidRPr="005635D8" w:rsidRDefault="000F53E9" w:rsidP="00087548">
            <w:pPr>
              <w:tabs>
                <w:tab w:val="center" w:pos="4536"/>
                <w:tab w:val="right" w:pos="9072"/>
              </w:tabs>
              <w:autoSpaceDE w:val="0"/>
              <w:autoSpaceDN w:val="0"/>
              <w:adjustRightInd w:val="0"/>
              <w:spacing w:after="0" w:line="360" w:lineRule="auto"/>
              <w:rPr>
                <w:lang w:val="en-GB"/>
              </w:rPr>
            </w:pPr>
            <w:r w:rsidRPr="005635D8">
              <w:rPr>
                <w:position w:val="-12"/>
                <w:lang w:val="en-GB"/>
              </w:rPr>
              <w:object w:dxaOrig="1160" w:dyaOrig="360">
                <v:shape id="_x0000_i1083" type="#_x0000_t75" style="width:57.75pt;height:18.75pt" o:ole="">
                  <v:imagedata r:id="rId33" o:title=""/>
                </v:shape>
                <o:OLEObject Type="Embed" ProgID="Equation.3" ShapeID="_x0000_i1083" DrawAspect="Content" ObjectID="_1436010472" r:id="rId107"/>
              </w:object>
            </w:r>
          </w:p>
        </w:tc>
        <w:tc>
          <w:tcPr>
            <w:tcW w:w="7753" w:type="dxa"/>
            <w:gridSpan w:val="2"/>
          </w:tcPr>
          <w:p w:rsidR="000F53E9" w:rsidRPr="005635D8" w:rsidRDefault="000F53E9" w:rsidP="00087548">
            <w:pPr>
              <w:tabs>
                <w:tab w:val="center" w:pos="4536"/>
                <w:tab w:val="right" w:pos="9072"/>
              </w:tabs>
              <w:autoSpaceDE w:val="0"/>
              <w:autoSpaceDN w:val="0"/>
              <w:adjustRightInd w:val="0"/>
              <w:spacing w:after="100" w:afterAutospacing="1" w:line="360" w:lineRule="auto"/>
              <w:rPr>
                <w:lang w:val="en-GB"/>
              </w:rPr>
            </w:pPr>
            <w:r w:rsidRPr="005635D8">
              <w:rPr>
                <w:bCs/>
                <w:lang w:val="en-GB"/>
              </w:rPr>
              <w:t xml:space="preserve">firm </w:t>
            </w:r>
            <w:r w:rsidRPr="005635D8">
              <w:rPr>
                <w:i/>
                <w:iCs/>
                <w:position w:val="-6"/>
                <w:lang w:val="en-GB"/>
              </w:rPr>
              <w:object w:dxaOrig="139" w:dyaOrig="260">
                <v:shape id="_x0000_i1084" type="#_x0000_t75" style="width:6.75pt;height:12.75pt" o:ole="">
                  <v:imagedata r:id="rId15" o:title=""/>
                </v:shape>
                <o:OLEObject Type="Embed" ProgID="Equation.3" ShapeID="_x0000_i1084" DrawAspect="Content" ObjectID="_1436010473" r:id="rId108"/>
              </w:object>
            </w:r>
            <w:r w:rsidRPr="005635D8">
              <w:rPr>
                <w:lang w:val="en-GB"/>
              </w:rPr>
              <w:t xml:space="preserve">’s change in short-term debt in year </w:t>
            </w:r>
            <w:r w:rsidRPr="005635D8">
              <w:rPr>
                <w:i/>
                <w:iCs/>
                <w:position w:val="-6"/>
                <w:lang w:val="en-GB"/>
              </w:rPr>
              <w:object w:dxaOrig="139" w:dyaOrig="240">
                <v:shape id="_x0000_i1085" type="#_x0000_t75" style="width:6.75pt;height:12pt" o:ole="">
                  <v:imagedata r:id="rId27" o:title=""/>
                </v:shape>
                <o:OLEObject Type="Embed" ProgID="Equation.3" ShapeID="_x0000_i1085" DrawAspect="Content" ObjectID="_1436010474" r:id="rId109"/>
              </w:object>
            </w:r>
            <w:r w:rsidRPr="005635D8">
              <w:rPr>
                <w:lang w:val="en-GB"/>
              </w:rPr>
              <w:t>;</w:t>
            </w:r>
          </w:p>
        </w:tc>
      </w:tr>
      <w:tr w:rsidR="000F53E9" w:rsidRPr="00182CC2" w:rsidTr="00087548">
        <w:tc>
          <w:tcPr>
            <w:tcW w:w="1427" w:type="dxa"/>
          </w:tcPr>
          <w:p w:rsidR="000F53E9" w:rsidRPr="005635D8" w:rsidRDefault="000F53E9" w:rsidP="00087548">
            <w:pPr>
              <w:tabs>
                <w:tab w:val="center" w:pos="4536"/>
                <w:tab w:val="right" w:pos="9072"/>
              </w:tabs>
              <w:autoSpaceDE w:val="0"/>
              <w:autoSpaceDN w:val="0"/>
              <w:adjustRightInd w:val="0"/>
              <w:spacing w:after="0" w:line="360" w:lineRule="auto"/>
              <w:rPr>
                <w:lang w:val="en-GB"/>
              </w:rPr>
            </w:pPr>
            <w:r w:rsidRPr="005635D8">
              <w:rPr>
                <w:position w:val="-12"/>
                <w:lang w:val="en-GB"/>
              </w:rPr>
              <w:object w:dxaOrig="820" w:dyaOrig="360">
                <v:shape id="_x0000_i1086" type="#_x0000_t75" style="width:40.5pt;height:18.75pt" o:ole="">
                  <v:imagedata r:id="rId37" o:title=""/>
                </v:shape>
                <o:OLEObject Type="Embed" ProgID="Equation.3" ShapeID="_x0000_i1086" DrawAspect="Content" ObjectID="_1436010475" r:id="rId110"/>
              </w:object>
            </w:r>
          </w:p>
        </w:tc>
        <w:tc>
          <w:tcPr>
            <w:tcW w:w="7753" w:type="dxa"/>
            <w:gridSpan w:val="2"/>
          </w:tcPr>
          <w:p w:rsidR="000F53E9" w:rsidRPr="005635D8" w:rsidRDefault="000F53E9" w:rsidP="00087548">
            <w:pPr>
              <w:keepNext/>
              <w:tabs>
                <w:tab w:val="center" w:pos="4536"/>
                <w:tab w:val="right" w:pos="9072"/>
              </w:tabs>
              <w:autoSpaceDE w:val="0"/>
              <w:autoSpaceDN w:val="0"/>
              <w:adjustRightInd w:val="0"/>
              <w:spacing w:after="0" w:line="360" w:lineRule="auto"/>
              <w:rPr>
                <w:lang w:val="en-GB"/>
              </w:rPr>
            </w:pPr>
            <w:r w:rsidRPr="005635D8">
              <w:rPr>
                <w:bCs/>
                <w:lang w:val="en-GB"/>
              </w:rPr>
              <w:t xml:space="preserve">firm </w:t>
            </w:r>
            <w:r w:rsidRPr="005635D8">
              <w:rPr>
                <w:i/>
                <w:iCs/>
                <w:position w:val="-6"/>
                <w:lang w:val="en-GB"/>
              </w:rPr>
              <w:object w:dxaOrig="139" w:dyaOrig="260">
                <v:shape id="_x0000_i1087" type="#_x0000_t75" style="width:6.75pt;height:12.75pt" o:ole="">
                  <v:imagedata r:id="rId15" o:title=""/>
                </v:shape>
                <o:OLEObject Type="Embed" ProgID="Equation.3" ShapeID="_x0000_i1087" DrawAspect="Content" ObjectID="_1436010476" r:id="rId111"/>
              </w:object>
            </w:r>
            <w:r w:rsidRPr="005635D8">
              <w:rPr>
                <w:lang w:val="en-GB"/>
              </w:rPr>
              <w:t xml:space="preserve">’s depreciation and amortization expense in year </w:t>
            </w:r>
            <w:r w:rsidRPr="005635D8">
              <w:rPr>
                <w:i/>
                <w:iCs/>
                <w:position w:val="-6"/>
                <w:lang w:val="en-GB"/>
              </w:rPr>
              <w:object w:dxaOrig="139" w:dyaOrig="240">
                <v:shape id="_x0000_i1088" type="#_x0000_t75" style="width:6.75pt;height:12pt" o:ole="">
                  <v:imagedata r:id="rId27" o:title=""/>
                </v:shape>
                <o:OLEObject Type="Embed" ProgID="Equation.3" ShapeID="_x0000_i1088" DrawAspect="Content" ObjectID="_1436010477" r:id="rId112"/>
              </w:object>
            </w:r>
            <w:r w:rsidRPr="005635D8">
              <w:rPr>
                <w:lang w:val="en-GB"/>
              </w:rPr>
              <w:t>.</w:t>
            </w:r>
          </w:p>
        </w:tc>
      </w:tr>
    </w:tbl>
    <w:p w:rsidR="000F53E9" w:rsidRPr="005635D8" w:rsidRDefault="000F53E9" w:rsidP="000F53E9">
      <w:pPr>
        <w:autoSpaceDE w:val="0"/>
        <w:autoSpaceDN w:val="0"/>
        <w:adjustRightInd w:val="0"/>
        <w:spacing w:after="0"/>
        <w:jc w:val="both"/>
        <w:rPr>
          <w:lang w:val="en-GB"/>
        </w:rPr>
      </w:pPr>
    </w:p>
    <w:p w:rsidR="000F53E9" w:rsidRPr="005635D8" w:rsidRDefault="00DA28FE" w:rsidP="005D7DD1">
      <w:pPr>
        <w:pStyle w:val="BodyTextIndent"/>
        <w:ind w:left="0"/>
        <w:jc w:val="both"/>
        <w:rPr>
          <w:color w:val="000000"/>
          <w:lang w:val="en-GB"/>
        </w:rPr>
      </w:pPr>
      <w:r w:rsidRPr="005635D8">
        <w:rPr>
          <w:color w:val="000000"/>
          <w:lang w:val="en-GB"/>
        </w:rPr>
        <w:t xml:space="preserve">When the total accruals are estimated the second step in the process is to estimate the firm-specific parameters for three variables that explain the amount of total accruals in a year scaled </w:t>
      </w:r>
      <w:r w:rsidR="00F71079" w:rsidRPr="005635D8">
        <w:rPr>
          <w:color w:val="000000"/>
          <w:lang w:val="en-GB"/>
        </w:rPr>
        <w:t>by firms</w:t>
      </w:r>
      <w:r w:rsidRPr="005635D8">
        <w:rPr>
          <w:color w:val="000000"/>
          <w:lang w:val="en-GB"/>
        </w:rPr>
        <w:t xml:space="preserve"> total assets reported in the previous year (lagged total assets t-1). As the value of the dependent variable </w:t>
      </w:r>
      <w:r w:rsidR="00D802ED" w:rsidRPr="005635D8">
        <w:rPr>
          <w:color w:val="000000"/>
          <w:lang w:val="en-GB"/>
        </w:rPr>
        <w:t>and the independent variables are known from the data or the first formula the firm-specific parameters can be obtained performing the next regression equation:</w:t>
      </w:r>
    </w:p>
    <w:p w:rsidR="000F53E9" w:rsidRPr="005635D8" w:rsidRDefault="000F53E9" w:rsidP="000F53E9">
      <w:pPr>
        <w:autoSpaceDE w:val="0"/>
        <w:autoSpaceDN w:val="0"/>
        <w:adjustRightInd w:val="0"/>
        <w:spacing w:after="0"/>
        <w:jc w:val="both"/>
        <w:rPr>
          <w:lang w:val="en-GB"/>
        </w:rPr>
      </w:pPr>
    </w:p>
    <w:tbl>
      <w:tblPr>
        <w:tblW w:w="0" w:type="auto"/>
        <w:tblInd w:w="108" w:type="dxa"/>
        <w:tblLook w:val="01E0"/>
      </w:tblPr>
      <w:tblGrid>
        <w:gridCol w:w="6909"/>
        <w:gridCol w:w="2269"/>
      </w:tblGrid>
      <w:tr w:rsidR="000F53E9" w:rsidRPr="005635D8" w:rsidTr="00087548">
        <w:tc>
          <w:tcPr>
            <w:tcW w:w="6948" w:type="dxa"/>
          </w:tcPr>
          <w:p w:rsidR="000F53E9" w:rsidRPr="005635D8" w:rsidRDefault="000F53E9" w:rsidP="00087548">
            <w:pPr>
              <w:jc w:val="right"/>
              <w:rPr>
                <w:lang w:val="en-GB"/>
              </w:rPr>
            </w:pPr>
            <w:r w:rsidRPr="005635D8">
              <w:rPr>
                <w:position w:val="-32"/>
                <w:lang w:val="en-GB"/>
              </w:rPr>
              <w:object w:dxaOrig="5840" w:dyaOrig="720">
                <v:shape id="_x0000_i1089" type="#_x0000_t75" style="width:288.75pt;height:36.75pt" o:ole="">
                  <v:imagedata r:id="rId57" o:title=""/>
                </v:shape>
                <o:OLEObject Type="Embed" ProgID="Equation.3" ShapeID="_x0000_i1089" DrawAspect="Content" ObjectID="_1436010478" r:id="rId113"/>
              </w:object>
            </w:r>
          </w:p>
        </w:tc>
        <w:tc>
          <w:tcPr>
            <w:tcW w:w="2340" w:type="dxa"/>
          </w:tcPr>
          <w:p w:rsidR="000F53E9" w:rsidRPr="005635D8" w:rsidRDefault="000F53E9" w:rsidP="00087548">
            <w:pPr>
              <w:pStyle w:val="Caption"/>
              <w:jc w:val="right"/>
              <w:rPr>
                <w:rFonts w:asciiTheme="minorHAnsi" w:hAnsiTheme="minorHAnsi"/>
                <w:b w:val="0"/>
                <w:sz w:val="22"/>
                <w:szCs w:val="22"/>
                <w:lang w:val="en-GB"/>
              </w:rPr>
            </w:pPr>
            <w:r w:rsidRPr="005635D8">
              <w:rPr>
                <w:rFonts w:asciiTheme="minorHAnsi" w:hAnsiTheme="minorHAnsi"/>
                <w:b w:val="0"/>
                <w:sz w:val="22"/>
                <w:szCs w:val="22"/>
                <w:lang w:val="en-GB"/>
              </w:rPr>
              <w:t>Eq.</w:t>
            </w:r>
            <w:r w:rsidR="00B37EE0" w:rsidRPr="005635D8">
              <w:rPr>
                <w:rFonts w:asciiTheme="minorHAnsi" w:hAnsiTheme="minorHAnsi"/>
                <w:b w:val="0"/>
                <w:sz w:val="22"/>
                <w:szCs w:val="22"/>
                <w:lang w:val="en-GB"/>
              </w:rPr>
              <w:t>2</w:t>
            </w:r>
          </w:p>
          <w:p w:rsidR="000F53E9" w:rsidRPr="005635D8" w:rsidRDefault="000F53E9" w:rsidP="00087548">
            <w:pPr>
              <w:keepNext/>
              <w:rPr>
                <w:lang w:val="en-GB"/>
              </w:rPr>
            </w:pPr>
          </w:p>
        </w:tc>
      </w:tr>
    </w:tbl>
    <w:p w:rsidR="000F53E9" w:rsidRPr="005635D8" w:rsidRDefault="000F53E9" w:rsidP="000F53E9">
      <w:pPr>
        <w:ind w:firstLine="284"/>
        <w:rPr>
          <w:lang w:val="en-GB"/>
        </w:rPr>
      </w:pPr>
      <w:r w:rsidRPr="005635D8">
        <w:rPr>
          <w:lang w:val="en-GB"/>
        </w:rPr>
        <w:t>Where,</w:t>
      </w:r>
    </w:p>
    <w:tbl>
      <w:tblPr>
        <w:tblW w:w="0" w:type="auto"/>
        <w:tblInd w:w="38" w:type="dxa"/>
        <w:tblLook w:val="01E0"/>
      </w:tblPr>
      <w:tblGrid>
        <w:gridCol w:w="1216"/>
        <w:gridCol w:w="7974"/>
      </w:tblGrid>
      <w:tr w:rsidR="000F53E9" w:rsidRPr="00182CC2" w:rsidTr="00087548">
        <w:tc>
          <w:tcPr>
            <w:tcW w:w="1216" w:type="dxa"/>
          </w:tcPr>
          <w:p w:rsidR="000F53E9" w:rsidRPr="005635D8" w:rsidRDefault="000F53E9" w:rsidP="00087548">
            <w:pPr>
              <w:autoSpaceDE w:val="0"/>
              <w:autoSpaceDN w:val="0"/>
              <w:adjustRightInd w:val="0"/>
              <w:spacing w:after="0" w:line="360" w:lineRule="auto"/>
              <w:rPr>
                <w:lang w:val="en-GB"/>
              </w:rPr>
            </w:pPr>
            <w:r w:rsidRPr="005635D8">
              <w:rPr>
                <w:position w:val="-12"/>
                <w:lang w:val="en-GB"/>
              </w:rPr>
              <w:object w:dxaOrig="880" w:dyaOrig="360">
                <v:shape id="_x0000_i1090" type="#_x0000_t75" style="width:44.25pt;height:18.75pt" o:ole="">
                  <v:imagedata r:id="rId59" o:title=""/>
                </v:shape>
                <o:OLEObject Type="Embed" ProgID="Equation.3" ShapeID="_x0000_i1090" DrawAspect="Content" ObjectID="_1436010479" r:id="rId114"/>
              </w:object>
            </w:r>
          </w:p>
        </w:tc>
        <w:tc>
          <w:tcPr>
            <w:tcW w:w="7974" w:type="dxa"/>
          </w:tcPr>
          <w:p w:rsidR="000F53E9" w:rsidRPr="005635D8" w:rsidRDefault="000F53E9" w:rsidP="00087548">
            <w:pPr>
              <w:autoSpaceDE w:val="0"/>
              <w:autoSpaceDN w:val="0"/>
              <w:adjustRightInd w:val="0"/>
              <w:spacing w:after="0" w:line="360" w:lineRule="auto"/>
              <w:rPr>
                <w:lang w:val="en-GB"/>
              </w:rPr>
            </w:pPr>
            <w:r w:rsidRPr="005635D8">
              <w:rPr>
                <w:bCs/>
                <w:lang w:val="en-GB"/>
              </w:rPr>
              <w:t xml:space="preserve">firm </w:t>
            </w:r>
            <w:r w:rsidRPr="005635D8">
              <w:rPr>
                <w:i/>
                <w:iCs/>
                <w:position w:val="-6"/>
                <w:lang w:val="en-GB"/>
              </w:rPr>
              <w:object w:dxaOrig="139" w:dyaOrig="260">
                <v:shape id="_x0000_i1091" type="#_x0000_t75" style="width:6.75pt;height:12.75pt" o:ole="">
                  <v:imagedata r:id="rId15" o:title=""/>
                </v:shape>
                <o:OLEObject Type="Embed" ProgID="Equation.3" ShapeID="_x0000_i1091" DrawAspect="Content" ObjectID="_1436010480" r:id="rId115"/>
              </w:object>
            </w:r>
            <w:r w:rsidRPr="005635D8">
              <w:rPr>
                <w:bCs/>
                <w:lang w:val="en-GB"/>
              </w:rPr>
              <w:t xml:space="preserve">’s total accruals in year </w:t>
            </w:r>
            <w:r w:rsidRPr="005635D8">
              <w:rPr>
                <w:i/>
                <w:iCs/>
                <w:position w:val="-6"/>
                <w:lang w:val="en-GB"/>
              </w:rPr>
              <w:object w:dxaOrig="139" w:dyaOrig="240">
                <v:shape id="_x0000_i1092" type="#_x0000_t75" style="width:6.75pt;height:12pt" o:ole="">
                  <v:imagedata r:id="rId17" o:title=""/>
                </v:shape>
                <o:OLEObject Type="Embed" ProgID="Equation.3" ShapeID="_x0000_i1092" DrawAspect="Content" ObjectID="_1436010481" r:id="rId116"/>
              </w:object>
            </w:r>
            <w:r w:rsidRPr="005635D8">
              <w:rPr>
                <w:bCs/>
                <w:lang w:val="en-GB"/>
              </w:rPr>
              <w:t>;</w:t>
            </w:r>
          </w:p>
        </w:tc>
      </w:tr>
      <w:tr w:rsidR="000F53E9" w:rsidRPr="00182CC2" w:rsidTr="00087548">
        <w:tc>
          <w:tcPr>
            <w:tcW w:w="1216" w:type="dxa"/>
          </w:tcPr>
          <w:p w:rsidR="000F53E9" w:rsidRPr="005635D8" w:rsidRDefault="000F53E9" w:rsidP="00087548">
            <w:pPr>
              <w:autoSpaceDE w:val="0"/>
              <w:autoSpaceDN w:val="0"/>
              <w:adjustRightInd w:val="0"/>
              <w:spacing w:after="0" w:line="360" w:lineRule="auto"/>
              <w:rPr>
                <w:lang w:val="en-GB"/>
              </w:rPr>
            </w:pPr>
            <w:r w:rsidRPr="005635D8">
              <w:rPr>
                <w:position w:val="-14"/>
                <w:lang w:val="en-GB"/>
              </w:rPr>
              <w:object w:dxaOrig="720" w:dyaOrig="380">
                <v:shape id="_x0000_i1093" type="#_x0000_t75" style="width:36.75pt;height:18pt" o:ole="">
                  <v:imagedata r:id="rId63" o:title=""/>
                </v:shape>
                <o:OLEObject Type="Embed" ProgID="Equation.3" ShapeID="_x0000_i1093" DrawAspect="Content" ObjectID="_1436010482" r:id="rId117"/>
              </w:object>
            </w:r>
          </w:p>
        </w:tc>
        <w:tc>
          <w:tcPr>
            <w:tcW w:w="7974" w:type="dxa"/>
          </w:tcPr>
          <w:p w:rsidR="000F53E9" w:rsidRPr="005635D8" w:rsidRDefault="000F53E9" w:rsidP="00087548">
            <w:pPr>
              <w:autoSpaceDE w:val="0"/>
              <w:autoSpaceDN w:val="0"/>
              <w:adjustRightInd w:val="0"/>
              <w:spacing w:after="0" w:line="360" w:lineRule="auto"/>
              <w:rPr>
                <w:lang w:val="en-GB"/>
              </w:rPr>
            </w:pPr>
            <w:r w:rsidRPr="005635D8">
              <w:rPr>
                <w:bCs/>
                <w:lang w:val="en-GB"/>
              </w:rPr>
              <w:t xml:space="preserve">firm </w:t>
            </w:r>
            <w:r w:rsidRPr="005635D8">
              <w:rPr>
                <w:i/>
                <w:iCs/>
                <w:position w:val="-6"/>
                <w:lang w:val="en-GB"/>
              </w:rPr>
              <w:object w:dxaOrig="139" w:dyaOrig="260">
                <v:shape id="_x0000_i1094" type="#_x0000_t75" style="width:6.75pt;height:12.75pt" o:ole="">
                  <v:imagedata r:id="rId15" o:title=""/>
                </v:shape>
                <o:OLEObject Type="Embed" ProgID="Equation.3" ShapeID="_x0000_i1094" DrawAspect="Content" ObjectID="_1436010483" r:id="rId118"/>
              </w:object>
            </w:r>
            <w:r w:rsidRPr="005635D8">
              <w:rPr>
                <w:bCs/>
                <w:lang w:val="en-GB"/>
              </w:rPr>
              <w:t xml:space="preserve">’s total assets in year </w:t>
            </w:r>
            <w:r w:rsidRPr="005635D8">
              <w:rPr>
                <w:i/>
                <w:iCs/>
                <w:position w:val="-6"/>
                <w:lang w:val="en-GB"/>
              </w:rPr>
              <w:object w:dxaOrig="460" w:dyaOrig="279">
                <v:shape id="_x0000_i1095" type="#_x0000_t75" style="width:22.5pt;height:14.25pt" o:ole="">
                  <v:imagedata r:id="rId66" o:title=""/>
                </v:shape>
                <o:OLEObject Type="Embed" ProgID="Equation.3" ShapeID="_x0000_i1095" DrawAspect="Content" ObjectID="_1436010484" r:id="rId119"/>
              </w:object>
            </w:r>
            <w:r w:rsidRPr="005635D8">
              <w:rPr>
                <w:bCs/>
                <w:lang w:val="en-GB"/>
              </w:rPr>
              <w:t>;</w:t>
            </w:r>
          </w:p>
        </w:tc>
      </w:tr>
      <w:tr w:rsidR="000F53E9" w:rsidRPr="00182CC2" w:rsidTr="00087548">
        <w:tc>
          <w:tcPr>
            <w:tcW w:w="1216" w:type="dxa"/>
          </w:tcPr>
          <w:p w:rsidR="000F53E9" w:rsidRPr="005635D8" w:rsidRDefault="000F53E9" w:rsidP="00087548">
            <w:pPr>
              <w:autoSpaceDE w:val="0"/>
              <w:autoSpaceDN w:val="0"/>
              <w:adjustRightInd w:val="0"/>
              <w:spacing w:after="0" w:line="360" w:lineRule="auto"/>
              <w:rPr>
                <w:lang w:val="en-GB"/>
              </w:rPr>
            </w:pPr>
            <w:r w:rsidRPr="005635D8">
              <w:rPr>
                <w:position w:val="-12"/>
                <w:lang w:val="en-GB"/>
              </w:rPr>
              <w:object w:dxaOrig="880" w:dyaOrig="360">
                <v:shape id="_x0000_i1096" type="#_x0000_t75" style="width:44.25pt;height:18.75pt" o:ole="">
                  <v:imagedata r:id="rId68" o:title=""/>
                </v:shape>
                <o:OLEObject Type="Embed" ProgID="Equation.3" ShapeID="_x0000_i1096" DrawAspect="Content" ObjectID="_1436010485" r:id="rId120"/>
              </w:object>
            </w:r>
          </w:p>
        </w:tc>
        <w:tc>
          <w:tcPr>
            <w:tcW w:w="7974" w:type="dxa"/>
          </w:tcPr>
          <w:p w:rsidR="000F53E9" w:rsidRPr="005635D8" w:rsidRDefault="000F53E9" w:rsidP="00087548">
            <w:pPr>
              <w:autoSpaceDE w:val="0"/>
              <w:autoSpaceDN w:val="0"/>
              <w:adjustRightInd w:val="0"/>
              <w:spacing w:after="0" w:line="360" w:lineRule="auto"/>
              <w:rPr>
                <w:lang w:val="en-GB"/>
              </w:rPr>
            </w:pPr>
            <w:r w:rsidRPr="005635D8">
              <w:rPr>
                <w:bCs/>
                <w:lang w:val="en-GB"/>
              </w:rPr>
              <w:t xml:space="preserve">firm </w:t>
            </w:r>
            <w:r w:rsidRPr="005635D8">
              <w:rPr>
                <w:i/>
                <w:iCs/>
                <w:position w:val="-6"/>
                <w:lang w:val="en-GB"/>
              </w:rPr>
              <w:object w:dxaOrig="139" w:dyaOrig="260">
                <v:shape id="_x0000_i1097" type="#_x0000_t75" style="width:6.75pt;height:12.75pt" o:ole="">
                  <v:imagedata r:id="rId15" o:title=""/>
                </v:shape>
                <o:OLEObject Type="Embed" ProgID="Equation.3" ShapeID="_x0000_i1097" DrawAspect="Content" ObjectID="_1436010486" r:id="rId121"/>
              </w:object>
            </w:r>
            <w:r w:rsidRPr="005635D8">
              <w:rPr>
                <w:bCs/>
                <w:lang w:val="en-GB"/>
              </w:rPr>
              <w:t xml:space="preserve">’s change of the revenues in year </w:t>
            </w:r>
            <w:r w:rsidRPr="005635D8">
              <w:rPr>
                <w:i/>
                <w:iCs/>
                <w:position w:val="-6"/>
                <w:lang w:val="en-GB"/>
              </w:rPr>
              <w:object w:dxaOrig="139" w:dyaOrig="240">
                <v:shape id="_x0000_i1098" type="#_x0000_t75" style="width:6.75pt;height:12pt" o:ole="">
                  <v:imagedata r:id="rId17" o:title=""/>
                </v:shape>
                <o:OLEObject Type="Embed" ProgID="Equation.3" ShapeID="_x0000_i1098" DrawAspect="Content" ObjectID="_1436010487" r:id="rId122"/>
              </w:object>
            </w:r>
            <w:r w:rsidRPr="005635D8">
              <w:rPr>
                <w:bCs/>
                <w:lang w:val="en-GB"/>
              </w:rPr>
              <w:t>;</w:t>
            </w:r>
          </w:p>
        </w:tc>
      </w:tr>
      <w:tr w:rsidR="000F53E9" w:rsidRPr="00182CC2" w:rsidTr="00087548">
        <w:tc>
          <w:tcPr>
            <w:tcW w:w="1216" w:type="dxa"/>
          </w:tcPr>
          <w:p w:rsidR="000F53E9" w:rsidRPr="005635D8" w:rsidRDefault="000F53E9" w:rsidP="00087548">
            <w:pPr>
              <w:autoSpaceDE w:val="0"/>
              <w:autoSpaceDN w:val="0"/>
              <w:adjustRightInd w:val="0"/>
              <w:spacing w:after="0" w:line="360" w:lineRule="auto"/>
              <w:rPr>
                <w:position w:val="-14"/>
                <w:lang w:val="en-GB"/>
              </w:rPr>
            </w:pPr>
            <w:r w:rsidRPr="005635D8">
              <w:rPr>
                <w:position w:val="-12"/>
                <w:lang w:val="en-GB"/>
              </w:rPr>
              <w:object w:dxaOrig="900" w:dyaOrig="360">
                <v:shape id="_x0000_i1099" type="#_x0000_t75" style="width:47.25pt;height:18.75pt" o:ole="">
                  <v:imagedata r:id="rId72" o:title=""/>
                </v:shape>
                <o:OLEObject Type="Embed" ProgID="Equation.3" ShapeID="_x0000_i1099" DrawAspect="Content" ObjectID="_1436010488" r:id="rId123"/>
              </w:object>
            </w:r>
          </w:p>
        </w:tc>
        <w:tc>
          <w:tcPr>
            <w:tcW w:w="7974" w:type="dxa"/>
          </w:tcPr>
          <w:p w:rsidR="000F53E9" w:rsidRPr="005635D8" w:rsidRDefault="000F53E9" w:rsidP="00087548">
            <w:pPr>
              <w:autoSpaceDE w:val="0"/>
              <w:autoSpaceDN w:val="0"/>
              <w:adjustRightInd w:val="0"/>
              <w:spacing w:after="0" w:line="360" w:lineRule="auto"/>
              <w:rPr>
                <w:bCs/>
                <w:lang w:val="en-GB"/>
              </w:rPr>
            </w:pPr>
            <w:r w:rsidRPr="005635D8">
              <w:rPr>
                <w:bCs/>
                <w:lang w:val="en-GB"/>
              </w:rPr>
              <w:t xml:space="preserve">firm </w:t>
            </w:r>
            <w:r w:rsidRPr="005635D8">
              <w:rPr>
                <w:i/>
                <w:iCs/>
                <w:position w:val="-6"/>
                <w:lang w:val="en-GB"/>
              </w:rPr>
              <w:object w:dxaOrig="139" w:dyaOrig="260">
                <v:shape id="_x0000_i1100" type="#_x0000_t75" style="width:6.75pt;height:12.75pt" o:ole="">
                  <v:imagedata r:id="rId15" o:title=""/>
                </v:shape>
                <o:OLEObject Type="Embed" ProgID="Equation.3" ShapeID="_x0000_i1100" DrawAspect="Content" ObjectID="_1436010489" r:id="rId124"/>
              </w:object>
            </w:r>
            <w:r w:rsidRPr="005635D8">
              <w:rPr>
                <w:bCs/>
                <w:lang w:val="en-GB"/>
              </w:rPr>
              <w:t xml:space="preserve">’s change of the receivables in year </w:t>
            </w:r>
            <w:r w:rsidRPr="005635D8">
              <w:rPr>
                <w:i/>
                <w:iCs/>
                <w:position w:val="-6"/>
                <w:lang w:val="en-GB"/>
              </w:rPr>
              <w:object w:dxaOrig="139" w:dyaOrig="240">
                <v:shape id="_x0000_i1101" type="#_x0000_t75" style="width:6.75pt;height:12pt" o:ole="">
                  <v:imagedata r:id="rId17" o:title=""/>
                </v:shape>
                <o:OLEObject Type="Embed" ProgID="Equation.3" ShapeID="_x0000_i1101" DrawAspect="Content" ObjectID="_1436010490" r:id="rId125"/>
              </w:object>
            </w:r>
            <w:r w:rsidRPr="005635D8">
              <w:rPr>
                <w:bCs/>
                <w:lang w:val="en-GB"/>
              </w:rPr>
              <w:t>;</w:t>
            </w:r>
          </w:p>
        </w:tc>
      </w:tr>
      <w:tr w:rsidR="000F53E9" w:rsidRPr="00182CC2" w:rsidTr="00087548">
        <w:tc>
          <w:tcPr>
            <w:tcW w:w="1216" w:type="dxa"/>
          </w:tcPr>
          <w:p w:rsidR="000F53E9" w:rsidRPr="005635D8" w:rsidRDefault="000F53E9" w:rsidP="00087548">
            <w:pPr>
              <w:autoSpaceDE w:val="0"/>
              <w:autoSpaceDN w:val="0"/>
              <w:adjustRightInd w:val="0"/>
              <w:spacing w:after="0" w:line="360" w:lineRule="auto"/>
              <w:rPr>
                <w:position w:val="-14"/>
                <w:lang w:val="en-GB"/>
              </w:rPr>
            </w:pPr>
            <w:r w:rsidRPr="005635D8">
              <w:rPr>
                <w:position w:val="-12"/>
                <w:lang w:val="en-GB"/>
              </w:rPr>
              <w:object w:dxaOrig="740" w:dyaOrig="360">
                <v:shape id="_x0000_i1102" type="#_x0000_t75" style="width:36.75pt;height:18.75pt" o:ole="">
                  <v:imagedata r:id="rId76" o:title=""/>
                </v:shape>
                <o:OLEObject Type="Embed" ProgID="Equation.3" ShapeID="_x0000_i1102" DrawAspect="Content" ObjectID="_1436010491" r:id="rId126"/>
              </w:object>
            </w:r>
          </w:p>
        </w:tc>
        <w:tc>
          <w:tcPr>
            <w:tcW w:w="7974" w:type="dxa"/>
          </w:tcPr>
          <w:p w:rsidR="000F53E9" w:rsidRPr="005635D8" w:rsidRDefault="000F53E9" w:rsidP="00087548">
            <w:pPr>
              <w:autoSpaceDE w:val="0"/>
              <w:autoSpaceDN w:val="0"/>
              <w:adjustRightInd w:val="0"/>
              <w:spacing w:after="0" w:line="360" w:lineRule="auto"/>
              <w:rPr>
                <w:lang w:val="en-GB"/>
              </w:rPr>
            </w:pPr>
            <w:r w:rsidRPr="005635D8">
              <w:rPr>
                <w:bCs/>
                <w:lang w:val="en-GB"/>
              </w:rPr>
              <w:t xml:space="preserve">firm </w:t>
            </w:r>
            <w:r w:rsidRPr="005635D8">
              <w:rPr>
                <w:i/>
                <w:iCs/>
                <w:position w:val="-6"/>
                <w:lang w:val="en-GB"/>
              </w:rPr>
              <w:object w:dxaOrig="139" w:dyaOrig="260">
                <v:shape id="_x0000_i1103" type="#_x0000_t75" style="width:6.75pt;height:12.75pt" o:ole="">
                  <v:imagedata r:id="rId15" o:title=""/>
                </v:shape>
                <o:OLEObject Type="Embed" ProgID="Equation.3" ShapeID="_x0000_i1103" DrawAspect="Content" ObjectID="_1436010492" r:id="rId127"/>
              </w:object>
            </w:r>
            <w:r w:rsidRPr="005635D8">
              <w:rPr>
                <w:bCs/>
                <w:lang w:val="en-GB"/>
              </w:rPr>
              <w:t xml:space="preserve">’s </w:t>
            </w:r>
            <w:r w:rsidRPr="005635D8">
              <w:rPr>
                <w:iCs/>
                <w:lang w:val="en-GB"/>
              </w:rPr>
              <w:t>properties, plants and equipment</w:t>
            </w:r>
            <w:r w:rsidRPr="005635D8">
              <w:rPr>
                <w:bCs/>
                <w:lang w:val="en-GB"/>
              </w:rPr>
              <w:t xml:space="preserve"> in year </w:t>
            </w:r>
            <w:r w:rsidRPr="005635D8">
              <w:rPr>
                <w:i/>
                <w:iCs/>
                <w:position w:val="-6"/>
                <w:lang w:val="en-GB"/>
              </w:rPr>
              <w:object w:dxaOrig="139" w:dyaOrig="240">
                <v:shape id="_x0000_i1104" type="#_x0000_t75" style="width:6.75pt;height:12pt" o:ole="">
                  <v:imagedata r:id="rId17" o:title=""/>
                </v:shape>
                <o:OLEObject Type="Embed" ProgID="Equation.3" ShapeID="_x0000_i1104" DrawAspect="Content" ObjectID="_1436010493" r:id="rId128"/>
              </w:object>
            </w:r>
            <w:r w:rsidRPr="005635D8">
              <w:rPr>
                <w:bCs/>
                <w:lang w:val="en-GB"/>
              </w:rPr>
              <w:t>;</w:t>
            </w:r>
          </w:p>
        </w:tc>
      </w:tr>
      <w:tr w:rsidR="000F53E9" w:rsidRPr="00182CC2" w:rsidTr="00087548">
        <w:tc>
          <w:tcPr>
            <w:tcW w:w="1216" w:type="dxa"/>
          </w:tcPr>
          <w:p w:rsidR="000F53E9" w:rsidRPr="005635D8" w:rsidRDefault="000F53E9" w:rsidP="00087548">
            <w:pPr>
              <w:autoSpaceDE w:val="0"/>
              <w:autoSpaceDN w:val="0"/>
              <w:adjustRightInd w:val="0"/>
              <w:spacing w:after="0" w:line="360" w:lineRule="auto"/>
              <w:rPr>
                <w:position w:val="-14"/>
                <w:lang w:val="en-GB"/>
              </w:rPr>
            </w:pPr>
            <w:r w:rsidRPr="005635D8">
              <w:rPr>
                <w:position w:val="-12"/>
                <w:lang w:val="en-GB"/>
              </w:rPr>
              <w:object w:dxaOrig="420" w:dyaOrig="360">
                <v:shape id="_x0000_i1105" type="#_x0000_t75" style="width:20.25pt;height:18.75pt" o:ole="">
                  <v:imagedata r:id="rId80" o:title=""/>
                </v:shape>
                <o:OLEObject Type="Embed" ProgID="Equation.3" ShapeID="_x0000_i1105" DrawAspect="Content" ObjectID="_1436010494" r:id="rId129"/>
              </w:object>
            </w:r>
          </w:p>
        </w:tc>
        <w:tc>
          <w:tcPr>
            <w:tcW w:w="7974" w:type="dxa"/>
          </w:tcPr>
          <w:p w:rsidR="000F53E9" w:rsidRPr="005635D8" w:rsidRDefault="000F53E9" w:rsidP="00087548">
            <w:pPr>
              <w:autoSpaceDE w:val="0"/>
              <w:autoSpaceDN w:val="0"/>
              <w:adjustRightInd w:val="0"/>
              <w:spacing w:after="0" w:line="360" w:lineRule="auto"/>
              <w:rPr>
                <w:lang w:val="en-GB"/>
              </w:rPr>
            </w:pPr>
            <w:r w:rsidRPr="005635D8">
              <w:rPr>
                <w:bCs/>
                <w:lang w:val="en-GB"/>
              </w:rPr>
              <w:t xml:space="preserve">firm </w:t>
            </w:r>
            <w:r w:rsidRPr="005635D8">
              <w:rPr>
                <w:i/>
                <w:iCs/>
                <w:position w:val="-6"/>
                <w:lang w:val="en-GB"/>
              </w:rPr>
              <w:object w:dxaOrig="139" w:dyaOrig="260">
                <v:shape id="_x0000_i1106" type="#_x0000_t75" style="width:6.75pt;height:12.75pt" o:ole="">
                  <v:imagedata r:id="rId15" o:title=""/>
                </v:shape>
                <o:OLEObject Type="Embed" ProgID="Equation.3" ShapeID="_x0000_i1106" DrawAspect="Content" ObjectID="_1436010495" r:id="rId130"/>
              </w:object>
            </w:r>
            <w:r w:rsidRPr="005635D8">
              <w:rPr>
                <w:bCs/>
                <w:lang w:val="en-GB"/>
              </w:rPr>
              <w:t xml:space="preserve">’s error term in year </w:t>
            </w:r>
            <w:r w:rsidRPr="005635D8">
              <w:rPr>
                <w:i/>
                <w:iCs/>
                <w:position w:val="-6"/>
                <w:lang w:val="en-GB"/>
              </w:rPr>
              <w:object w:dxaOrig="139" w:dyaOrig="240">
                <v:shape id="_x0000_i1107" type="#_x0000_t75" style="width:6.75pt;height:12pt" o:ole="">
                  <v:imagedata r:id="rId17" o:title=""/>
                </v:shape>
                <o:OLEObject Type="Embed" ProgID="Equation.3" ShapeID="_x0000_i1107" DrawAspect="Content" ObjectID="_1436010496" r:id="rId131"/>
              </w:object>
            </w:r>
            <w:r w:rsidRPr="005635D8">
              <w:rPr>
                <w:bCs/>
                <w:lang w:val="en-GB"/>
              </w:rPr>
              <w:t>.</w:t>
            </w:r>
          </w:p>
        </w:tc>
      </w:tr>
    </w:tbl>
    <w:p w:rsidR="000F53E9" w:rsidRPr="005635D8" w:rsidRDefault="000F53E9" w:rsidP="000F53E9">
      <w:pPr>
        <w:rPr>
          <w:lang w:val="en-GB"/>
        </w:rPr>
      </w:pPr>
    </w:p>
    <w:p w:rsidR="00D802ED" w:rsidRPr="005635D8" w:rsidRDefault="00D802ED" w:rsidP="007073A1">
      <w:pPr>
        <w:pStyle w:val="BodyTextIndent"/>
        <w:ind w:left="0"/>
        <w:jc w:val="both"/>
        <w:rPr>
          <w:color w:val="000000"/>
          <w:lang w:val="en-GB"/>
        </w:rPr>
      </w:pPr>
      <w:r w:rsidRPr="005635D8">
        <w:rPr>
          <w:color w:val="000000"/>
          <w:lang w:val="en-GB"/>
        </w:rPr>
        <w:t>Ordinary Least Squares regression will be used to obtain the parameters. In the third step those firm specific parameters of</w:t>
      </w:r>
      <w:r w:rsidR="007073A1" w:rsidRPr="005635D8">
        <w:rPr>
          <w:color w:val="000000"/>
          <w:lang w:val="en-GB"/>
        </w:rPr>
        <w:t xml:space="preserve"> α</w:t>
      </w:r>
      <w:r w:rsidR="007073A1" w:rsidRPr="005635D8">
        <w:rPr>
          <w:color w:val="000000"/>
          <w:vertAlign w:val="subscript"/>
          <w:lang w:val="en-GB"/>
        </w:rPr>
        <w:t xml:space="preserve">1, </w:t>
      </w:r>
      <w:r w:rsidR="007073A1" w:rsidRPr="005635D8">
        <w:rPr>
          <w:color w:val="000000"/>
          <w:lang w:val="en-GB"/>
        </w:rPr>
        <w:t>α</w:t>
      </w:r>
      <w:r w:rsidR="007073A1" w:rsidRPr="005635D8">
        <w:rPr>
          <w:color w:val="000000"/>
          <w:vertAlign w:val="subscript"/>
          <w:lang w:val="en-GB"/>
        </w:rPr>
        <w:t xml:space="preserve">2 </w:t>
      </w:r>
      <w:r w:rsidR="007073A1" w:rsidRPr="005635D8">
        <w:rPr>
          <w:color w:val="000000"/>
          <w:lang w:val="en-GB"/>
        </w:rPr>
        <w:t>and α</w:t>
      </w:r>
      <w:r w:rsidR="007073A1" w:rsidRPr="005635D8">
        <w:rPr>
          <w:color w:val="000000"/>
          <w:vertAlign w:val="subscript"/>
          <w:lang w:val="en-GB"/>
        </w:rPr>
        <w:t>3</w:t>
      </w:r>
      <w:r w:rsidRPr="005635D8">
        <w:rPr>
          <w:color w:val="000000"/>
          <w:lang w:val="en-GB"/>
        </w:rPr>
        <w:t xml:space="preserve"> will be filled in in the formula. Al other variables such as the change in revenue and change in receivables and gross property, plant and equipment are </w:t>
      </w:r>
      <w:r w:rsidR="00323D4C" w:rsidRPr="005635D8">
        <w:rPr>
          <w:color w:val="000000"/>
          <w:lang w:val="en-GB"/>
        </w:rPr>
        <w:t>in addition</w:t>
      </w:r>
      <w:r w:rsidRPr="005635D8">
        <w:rPr>
          <w:color w:val="000000"/>
          <w:lang w:val="en-GB"/>
        </w:rPr>
        <w:t xml:space="preserve"> known </w:t>
      </w:r>
      <w:r w:rsidR="00F71079" w:rsidRPr="005635D8">
        <w:rPr>
          <w:color w:val="000000"/>
          <w:lang w:val="en-GB"/>
        </w:rPr>
        <w:t>consequently</w:t>
      </w:r>
      <w:r w:rsidRPr="005635D8">
        <w:rPr>
          <w:color w:val="000000"/>
          <w:lang w:val="en-GB"/>
        </w:rPr>
        <w:t xml:space="preserve"> the non-discretionary accruals can be calculated using the following formula:</w:t>
      </w:r>
    </w:p>
    <w:p w:rsidR="000F53E9" w:rsidRPr="005635D8" w:rsidRDefault="000F53E9" w:rsidP="000F53E9">
      <w:pPr>
        <w:spacing w:line="360" w:lineRule="auto"/>
        <w:ind w:firstLine="284"/>
        <w:rPr>
          <w:lang w:val="en-GB"/>
        </w:rPr>
      </w:pPr>
      <w:r w:rsidRPr="005635D8">
        <w:rPr>
          <w:position w:val="-12"/>
          <w:lang w:val="en-GB"/>
        </w:rPr>
        <w:object w:dxaOrig="980" w:dyaOrig="360">
          <v:shape id="_x0000_i1108" type="#_x0000_t75" style="width:49.5pt;height:18.75pt" o:ole="">
            <v:imagedata r:id="rId84" o:title=""/>
          </v:shape>
          <o:OLEObject Type="Embed" ProgID="Equation.3" ShapeID="_x0000_i1108" DrawAspect="Content" ObjectID="_1436010497" r:id="rId132"/>
        </w:object>
      </w:r>
      <w:r w:rsidRPr="005635D8">
        <w:rPr>
          <w:lang w:val="en-GB"/>
        </w:rPr>
        <w:t xml:space="preserve"> is computed by the parameter estimations of the Modified Jones Model in </w:t>
      </w:r>
      <w:fldSimple w:instr=" REF _Ref310689391 \h  \* MERGEFORMAT ">
        <w:r w:rsidR="00C47BAC" w:rsidRPr="005635D8">
          <w:rPr>
            <w:lang w:val="en-GB"/>
          </w:rPr>
          <w:t>Eq. 2</w:t>
        </w:r>
      </w:fldSimple>
      <w:r w:rsidRPr="005635D8">
        <w:rPr>
          <w:lang w:val="en-GB"/>
        </w:rPr>
        <w:t>:</w:t>
      </w:r>
    </w:p>
    <w:tbl>
      <w:tblPr>
        <w:tblW w:w="0" w:type="auto"/>
        <w:tblInd w:w="108" w:type="dxa"/>
        <w:tblLook w:val="01E0"/>
      </w:tblPr>
      <w:tblGrid>
        <w:gridCol w:w="6901"/>
        <w:gridCol w:w="2277"/>
      </w:tblGrid>
      <w:tr w:rsidR="000F53E9" w:rsidRPr="005635D8" w:rsidTr="00087548">
        <w:tc>
          <w:tcPr>
            <w:tcW w:w="6948" w:type="dxa"/>
          </w:tcPr>
          <w:p w:rsidR="000F53E9" w:rsidRPr="005635D8" w:rsidRDefault="000F53E9" w:rsidP="00087548">
            <w:pPr>
              <w:jc w:val="right"/>
              <w:rPr>
                <w:lang w:val="en-GB"/>
              </w:rPr>
            </w:pPr>
            <w:r w:rsidRPr="005635D8">
              <w:rPr>
                <w:position w:val="-32"/>
                <w:lang w:val="en-GB"/>
              </w:rPr>
              <w:object w:dxaOrig="5440" w:dyaOrig="720">
                <v:shape id="_x0000_i1109" type="#_x0000_t75" style="width:272.25pt;height:36.75pt" o:ole="">
                  <v:imagedata r:id="rId86" o:title=""/>
                </v:shape>
                <o:OLEObject Type="Embed" ProgID="Equation.3" ShapeID="_x0000_i1109" DrawAspect="Content" ObjectID="_1436010498" r:id="rId133"/>
              </w:object>
            </w:r>
          </w:p>
        </w:tc>
        <w:tc>
          <w:tcPr>
            <w:tcW w:w="2340" w:type="dxa"/>
          </w:tcPr>
          <w:p w:rsidR="000F53E9" w:rsidRPr="005635D8" w:rsidRDefault="000F53E9" w:rsidP="00087548">
            <w:pPr>
              <w:pStyle w:val="Caption"/>
              <w:jc w:val="right"/>
              <w:rPr>
                <w:rFonts w:asciiTheme="minorHAnsi" w:hAnsiTheme="minorHAnsi"/>
                <w:b w:val="0"/>
                <w:sz w:val="22"/>
                <w:szCs w:val="22"/>
                <w:lang w:val="en-GB"/>
              </w:rPr>
            </w:pPr>
            <w:r w:rsidRPr="005635D8">
              <w:rPr>
                <w:rFonts w:asciiTheme="minorHAnsi" w:hAnsiTheme="minorHAnsi"/>
                <w:b w:val="0"/>
                <w:sz w:val="22"/>
                <w:szCs w:val="22"/>
                <w:lang w:val="en-GB"/>
              </w:rPr>
              <w:t xml:space="preserve">   Eq.</w:t>
            </w:r>
            <w:r w:rsidR="00B37EE0" w:rsidRPr="005635D8">
              <w:rPr>
                <w:rFonts w:asciiTheme="minorHAnsi" w:hAnsiTheme="minorHAnsi"/>
                <w:b w:val="0"/>
                <w:sz w:val="22"/>
                <w:szCs w:val="22"/>
                <w:lang w:val="en-GB"/>
              </w:rPr>
              <w:t>3</w:t>
            </w:r>
          </w:p>
          <w:p w:rsidR="000F53E9" w:rsidRPr="005635D8" w:rsidRDefault="000F53E9" w:rsidP="00087548">
            <w:pPr>
              <w:keepNext/>
              <w:rPr>
                <w:lang w:val="en-GB"/>
              </w:rPr>
            </w:pPr>
          </w:p>
        </w:tc>
      </w:tr>
    </w:tbl>
    <w:p w:rsidR="000F53E9" w:rsidRPr="005635D8" w:rsidRDefault="000F53E9" w:rsidP="000F53E9">
      <w:pPr>
        <w:spacing w:line="360" w:lineRule="auto"/>
        <w:jc w:val="both"/>
        <w:rPr>
          <w:position w:val="-12"/>
          <w:lang w:val="en-GB"/>
        </w:rPr>
      </w:pPr>
    </w:p>
    <w:p w:rsidR="000F53E9" w:rsidRPr="005635D8" w:rsidRDefault="000F53E9" w:rsidP="000F53E9">
      <w:pPr>
        <w:spacing w:line="360" w:lineRule="auto"/>
        <w:ind w:firstLine="284"/>
        <w:rPr>
          <w:lang w:val="en-GB"/>
        </w:rPr>
      </w:pPr>
      <w:r w:rsidRPr="005635D8">
        <w:rPr>
          <w:position w:val="-12"/>
          <w:lang w:val="en-GB"/>
        </w:rPr>
        <w:object w:dxaOrig="1300" w:dyaOrig="360">
          <v:shape id="_x0000_i1110" type="#_x0000_t75" style="width:65.25pt;height:18.75pt" o:ole="">
            <v:imagedata r:id="rId88" o:title=""/>
          </v:shape>
          <o:OLEObject Type="Embed" ProgID="Equation.3" ShapeID="_x0000_i1110" DrawAspect="Content" ObjectID="_1436010499" r:id="rId134"/>
        </w:object>
      </w:r>
      <w:r w:rsidRPr="005635D8">
        <w:rPr>
          <w:lang w:val="en-GB"/>
        </w:rPr>
        <w:t xml:space="preserve">are the coefficient estimates of </w:t>
      </w:r>
      <w:r w:rsidRPr="005635D8">
        <w:rPr>
          <w:position w:val="-12"/>
          <w:lang w:val="en-GB"/>
        </w:rPr>
        <w:object w:dxaOrig="1380" w:dyaOrig="360">
          <v:shape id="_x0000_i1111" type="#_x0000_t75" style="width:69.75pt;height:18.75pt" o:ole="">
            <v:imagedata r:id="rId90" o:title=""/>
          </v:shape>
          <o:OLEObject Type="Embed" ProgID="Equation.3" ShapeID="_x0000_i1111" DrawAspect="Content" ObjectID="_1436010500" r:id="rId135"/>
        </w:object>
      </w:r>
      <w:r w:rsidRPr="005635D8">
        <w:rPr>
          <w:lang w:val="en-GB"/>
        </w:rPr>
        <w:t xml:space="preserve"> in </w:t>
      </w:r>
      <w:fldSimple w:instr=" REF _Ref310689391 \h  \* MERGEFORMAT ">
        <w:r w:rsidR="00A94FA6" w:rsidRPr="005635D8">
          <w:rPr>
            <w:lang w:val="en-GB"/>
          </w:rPr>
          <w:t>Eq. 2</w:t>
        </w:r>
      </w:fldSimple>
      <w:r w:rsidRPr="005635D8">
        <w:rPr>
          <w:lang w:val="en-GB"/>
        </w:rPr>
        <w:t>.</w:t>
      </w:r>
    </w:p>
    <w:p w:rsidR="007A20B0" w:rsidRPr="005635D8" w:rsidRDefault="007A20B0" w:rsidP="00D802ED">
      <w:pPr>
        <w:spacing w:line="360" w:lineRule="auto"/>
        <w:ind w:firstLine="284"/>
        <w:rPr>
          <w:lang w:val="en-GB"/>
        </w:rPr>
      </w:pPr>
    </w:p>
    <w:p w:rsidR="000F53E9" w:rsidRPr="005635D8" w:rsidRDefault="00D802ED" w:rsidP="00D802ED">
      <w:pPr>
        <w:spacing w:line="360" w:lineRule="auto"/>
        <w:ind w:firstLine="284"/>
        <w:rPr>
          <w:lang w:val="en-GB"/>
        </w:rPr>
      </w:pPr>
      <w:r w:rsidRPr="005635D8">
        <w:rPr>
          <w:lang w:val="en-GB"/>
        </w:rPr>
        <w:t>Finally, the</w:t>
      </w:r>
      <w:r w:rsidR="000F53E9" w:rsidRPr="005635D8">
        <w:rPr>
          <w:lang w:val="en-GB"/>
        </w:rPr>
        <w:t xml:space="preserve"> discretionary accruals </w:t>
      </w:r>
      <w:r w:rsidRPr="005635D8">
        <w:rPr>
          <w:lang w:val="en-GB"/>
        </w:rPr>
        <w:t xml:space="preserve">can be calculated </w:t>
      </w:r>
      <w:r w:rsidR="00F71079" w:rsidRPr="005635D8">
        <w:rPr>
          <w:lang w:val="en-GB"/>
        </w:rPr>
        <w:t>using the</w:t>
      </w:r>
      <w:r w:rsidR="000F53E9" w:rsidRPr="005635D8">
        <w:rPr>
          <w:lang w:val="en-GB"/>
        </w:rPr>
        <w:t xml:space="preserve"> </w:t>
      </w:r>
      <w:r w:rsidR="00C04E4C" w:rsidRPr="005635D8">
        <w:rPr>
          <w:lang w:val="en-GB"/>
        </w:rPr>
        <w:t>fourth formula</w:t>
      </w:r>
      <w:r w:rsidR="000F53E9" w:rsidRPr="005635D8">
        <w:rPr>
          <w:lang w:val="en-GB"/>
        </w:rPr>
        <w:t>:</w:t>
      </w:r>
    </w:p>
    <w:tbl>
      <w:tblPr>
        <w:tblW w:w="0" w:type="auto"/>
        <w:jc w:val="center"/>
        <w:tblInd w:w="38" w:type="dxa"/>
        <w:tblLook w:val="01E0"/>
      </w:tblPr>
      <w:tblGrid>
        <w:gridCol w:w="8340"/>
        <w:gridCol w:w="852"/>
      </w:tblGrid>
      <w:tr w:rsidR="000F53E9" w:rsidRPr="005635D8" w:rsidTr="00087548">
        <w:trPr>
          <w:jc w:val="center"/>
        </w:trPr>
        <w:tc>
          <w:tcPr>
            <w:tcW w:w="8340" w:type="dxa"/>
          </w:tcPr>
          <w:p w:rsidR="000F53E9" w:rsidRPr="005635D8" w:rsidRDefault="000F53E9" w:rsidP="00087548">
            <w:pPr>
              <w:spacing w:line="360" w:lineRule="auto"/>
              <w:jc w:val="center"/>
              <w:rPr>
                <w:lang w:val="en-GB"/>
              </w:rPr>
            </w:pPr>
            <w:r w:rsidRPr="005635D8">
              <w:rPr>
                <w:position w:val="-32"/>
                <w:lang w:val="en-GB"/>
              </w:rPr>
              <w:object w:dxaOrig="3120" w:dyaOrig="720">
                <v:shape id="_x0000_i1112" type="#_x0000_t75" style="width:156pt;height:36.75pt" o:ole="">
                  <v:imagedata r:id="rId92" o:title=""/>
                </v:shape>
                <o:OLEObject Type="Embed" ProgID="Equation.3" ShapeID="_x0000_i1112" DrawAspect="Content" ObjectID="_1436010501" r:id="rId136"/>
              </w:object>
            </w:r>
          </w:p>
        </w:tc>
        <w:tc>
          <w:tcPr>
            <w:tcW w:w="852" w:type="dxa"/>
          </w:tcPr>
          <w:p w:rsidR="000F53E9" w:rsidRPr="005635D8" w:rsidRDefault="000F53E9" w:rsidP="00A07B44">
            <w:pPr>
              <w:pStyle w:val="Caption"/>
              <w:jc w:val="right"/>
              <w:rPr>
                <w:rFonts w:asciiTheme="minorHAnsi" w:hAnsiTheme="minorHAnsi"/>
                <w:b w:val="0"/>
                <w:sz w:val="22"/>
                <w:szCs w:val="22"/>
                <w:lang w:val="en-GB"/>
              </w:rPr>
            </w:pPr>
            <w:r w:rsidRPr="005635D8">
              <w:rPr>
                <w:rFonts w:asciiTheme="minorHAnsi" w:hAnsiTheme="minorHAnsi"/>
                <w:b w:val="0"/>
                <w:sz w:val="22"/>
                <w:szCs w:val="22"/>
                <w:lang w:val="en-GB"/>
              </w:rPr>
              <w:t xml:space="preserve">Eq. </w:t>
            </w:r>
            <w:r w:rsidR="00A07B44" w:rsidRPr="005635D8">
              <w:rPr>
                <w:rFonts w:asciiTheme="minorHAnsi" w:hAnsiTheme="minorHAnsi"/>
                <w:b w:val="0"/>
                <w:sz w:val="22"/>
                <w:szCs w:val="22"/>
                <w:lang w:val="en-GB"/>
              </w:rPr>
              <w:t>4</w:t>
            </w:r>
          </w:p>
        </w:tc>
      </w:tr>
    </w:tbl>
    <w:p w:rsidR="00C36140" w:rsidRPr="005635D8" w:rsidRDefault="00C36140" w:rsidP="001E4C5D">
      <w:pPr>
        <w:pStyle w:val="Heading3"/>
        <w:rPr>
          <w:lang w:val="en-GB"/>
        </w:rPr>
      </w:pPr>
      <w:bookmarkStart w:id="77" w:name="_Toc362267302"/>
      <w:r w:rsidRPr="005635D8">
        <w:rPr>
          <w:lang w:val="en-GB"/>
        </w:rPr>
        <w:t xml:space="preserve">8.4 </w:t>
      </w:r>
      <w:r w:rsidR="00FB5C34" w:rsidRPr="005635D8">
        <w:rPr>
          <w:lang w:val="en-GB"/>
        </w:rPr>
        <w:t>Independent</w:t>
      </w:r>
      <w:r w:rsidRPr="005635D8">
        <w:rPr>
          <w:lang w:val="en-GB"/>
        </w:rPr>
        <w:t xml:space="preserve"> variables</w:t>
      </w:r>
      <w:bookmarkEnd w:id="77"/>
    </w:p>
    <w:p w:rsidR="00FB5C34" w:rsidRPr="005635D8" w:rsidRDefault="00C04E4C" w:rsidP="005D7DD1">
      <w:pPr>
        <w:pStyle w:val="BodyTextIndent"/>
        <w:ind w:left="0"/>
        <w:jc w:val="both"/>
        <w:rPr>
          <w:rFonts w:ascii="Calibri" w:hAnsi="Calibri"/>
          <w:color w:val="000000"/>
          <w:lang w:val="en-GB"/>
        </w:rPr>
      </w:pPr>
      <w:r w:rsidRPr="005635D8">
        <w:rPr>
          <w:rFonts w:ascii="Calibri" w:hAnsi="Calibri"/>
          <w:color w:val="000000"/>
          <w:lang w:val="en-GB"/>
        </w:rPr>
        <w:t xml:space="preserve">When the discretionary accruals are calculated not all the work is </w:t>
      </w:r>
      <w:r w:rsidR="00F71079" w:rsidRPr="005635D8">
        <w:rPr>
          <w:rFonts w:ascii="Calibri" w:hAnsi="Calibri"/>
          <w:color w:val="000000"/>
          <w:lang w:val="en-GB"/>
        </w:rPr>
        <w:t>perform</w:t>
      </w:r>
      <w:r w:rsidR="00A94FA6" w:rsidRPr="005635D8">
        <w:rPr>
          <w:rFonts w:ascii="Calibri" w:hAnsi="Calibri"/>
          <w:color w:val="000000"/>
          <w:lang w:val="en-GB"/>
        </w:rPr>
        <w:t>ed</w:t>
      </w:r>
      <w:r w:rsidR="00F71079" w:rsidRPr="005635D8">
        <w:rPr>
          <w:rFonts w:ascii="Calibri" w:hAnsi="Calibri"/>
          <w:color w:val="000000"/>
          <w:lang w:val="en-GB"/>
        </w:rPr>
        <w:t xml:space="preserve"> </w:t>
      </w:r>
      <w:r w:rsidRPr="005635D8">
        <w:rPr>
          <w:rFonts w:ascii="Calibri" w:hAnsi="Calibri"/>
          <w:color w:val="000000"/>
          <w:lang w:val="en-GB"/>
        </w:rPr>
        <w:t>yet. With the value of the discretionary accruals known it is time to check whether the amount of discretionary a</w:t>
      </w:r>
      <w:r w:rsidR="00FB5C34" w:rsidRPr="005635D8">
        <w:rPr>
          <w:rFonts w:ascii="Calibri" w:hAnsi="Calibri"/>
          <w:color w:val="000000"/>
          <w:lang w:val="en-GB"/>
        </w:rPr>
        <w:t>ccruals is influenced by the</w:t>
      </w:r>
      <w:r w:rsidRPr="005635D8">
        <w:rPr>
          <w:rFonts w:ascii="Calibri" w:hAnsi="Calibri"/>
          <w:color w:val="000000"/>
          <w:lang w:val="en-GB"/>
        </w:rPr>
        <w:t xml:space="preserve"> factors</w:t>
      </w:r>
      <w:r w:rsidR="00FB5C34" w:rsidRPr="005635D8">
        <w:rPr>
          <w:rFonts w:ascii="Calibri" w:hAnsi="Calibri"/>
          <w:color w:val="000000"/>
          <w:lang w:val="en-GB"/>
        </w:rPr>
        <w:t xml:space="preserve"> </w:t>
      </w:r>
      <w:r w:rsidR="00D76CAE" w:rsidRPr="005635D8">
        <w:rPr>
          <w:rFonts w:ascii="Calibri" w:hAnsi="Calibri"/>
          <w:color w:val="000000"/>
          <w:lang w:val="en-GB"/>
        </w:rPr>
        <w:t>signalled</w:t>
      </w:r>
      <w:r w:rsidR="00FB5C34" w:rsidRPr="005635D8">
        <w:rPr>
          <w:rFonts w:ascii="Calibri" w:hAnsi="Calibri"/>
          <w:color w:val="000000"/>
          <w:lang w:val="en-GB"/>
        </w:rPr>
        <w:t xml:space="preserve"> in the hypotheses</w:t>
      </w:r>
      <w:r w:rsidRPr="005635D8">
        <w:rPr>
          <w:rFonts w:ascii="Calibri" w:hAnsi="Calibri"/>
          <w:color w:val="000000"/>
          <w:lang w:val="en-GB"/>
        </w:rPr>
        <w:t>.</w:t>
      </w:r>
      <w:r w:rsidR="00FB5C34" w:rsidRPr="005635D8">
        <w:rPr>
          <w:rFonts w:ascii="Calibri" w:hAnsi="Calibri"/>
          <w:color w:val="000000"/>
          <w:lang w:val="en-GB"/>
        </w:rPr>
        <w:t xml:space="preserve"> The influence of those factors on the level of discretionary accruals will be investigated using regression analyses.</w:t>
      </w:r>
    </w:p>
    <w:p w:rsidR="00FB5C34" w:rsidRPr="005635D8" w:rsidRDefault="00FB5C34" w:rsidP="005D7DD1">
      <w:pPr>
        <w:rPr>
          <w:b/>
          <w:lang w:val="en-GB" w:eastAsia="nl-NL"/>
        </w:rPr>
      </w:pPr>
      <w:r w:rsidRPr="005635D8">
        <w:rPr>
          <w:b/>
          <w:lang w:val="en-GB" w:eastAsia="nl-NL"/>
        </w:rPr>
        <w:t>The mandatory adoption of IFRS</w:t>
      </w:r>
    </w:p>
    <w:p w:rsidR="00C04E4C" w:rsidRPr="005635D8" w:rsidRDefault="00FB5C34" w:rsidP="005D7DD1">
      <w:pPr>
        <w:pStyle w:val="BodyTextIndent"/>
        <w:ind w:left="0"/>
        <w:jc w:val="both"/>
        <w:rPr>
          <w:rFonts w:ascii="Calibri" w:hAnsi="Calibri"/>
          <w:color w:val="000000"/>
          <w:lang w:val="en-GB"/>
        </w:rPr>
      </w:pPr>
      <w:r w:rsidRPr="005635D8">
        <w:rPr>
          <w:rFonts w:ascii="Calibri" w:hAnsi="Calibri"/>
          <w:color w:val="000000"/>
          <w:lang w:val="en-GB"/>
        </w:rPr>
        <w:t xml:space="preserve">The most important independent variable in this study </w:t>
      </w:r>
      <w:r w:rsidR="005F330D" w:rsidRPr="005635D8">
        <w:rPr>
          <w:rFonts w:ascii="Calibri" w:hAnsi="Calibri"/>
          <w:color w:val="000000"/>
          <w:lang w:val="en-GB"/>
        </w:rPr>
        <w:t xml:space="preserve">that is needed to answer the main question is the adoption of IFRS. The study wants to investigate whether the level of discretionary accruals is different for the period before 2005 in which the companies used NL GAAP and the period from 2005 onwards when the companies mandatorily adopted IFRS. The first hypothesis expects that the level of discretionary accruals will decrease after the implementation of IFRS. Including an independent variable with the value 0 for the years before 2005 and 1 for the years 2005 and onwards allows </w:t>
      </w:r>
      <w:r w:rsidR="00F71079" w:rsidRPr="005635D8">
        <w:rPr>
          <w:rFonts w:ascii="Calibri" w:hAnsi="Calibri"/>
          <w:color w:val="000000"/>
          <w:lang w:val="en-GB"/>
        </w:rPr>
        <w:t>testing</w:t>
      </w:r>
      <w:r w:rsidR="005F330D" w:rsidRPr="005635D8">
        <w:rPr>
          <w:rFonts w:ascii="Calibri" w:hAnsi="Calibri"/>
          <w:color w:val="000000"/>
          <w:lang w:val="en-GB"/>
        </w:rPr>
        <w:t xml:space="preserve"> the hypothesis. </w:t>
      </w:r>
    </w:p>
    <w:p w:rsidR="005F330D" w:rsidRPr="005635D8" w:rsidRDefault="005F330D" w:rsidP="005D7DD1">
      <w:pPr>
        <w:rPr>
          <w:b/>
          <w:lang w:val="en-GB" w:eastAsia="nl-NL"/>
        </w:rPr>
      </w:pPr>
      <w:r w:rsidRPr="005635D8">
        <w:rPr>
          <w:b/>
          <w:lang w:val="en-GB" w:eastAsia="nl-NL"/>
        </w:rPr>
        <w:t>Industry</w:t>
      </w:r>
    </w:p>
    <w:p w:rsidR="005F330D" w:rsidRPr="005635D8" w:rsidRDefault="0049615C" w:rsidP="005D7DD1">
      <w:pPr>
        <w:pStyle w:val="BodyTextIndent"/>
        <w:ind w:left="0"/>
        <w:jc w:val="both"/>
        <w:rPr>
          <w:rFonts w:ascii="Calibri" w:hAnsi="Calibri"/>
          <w:color w:val="000000"/>
          <w:lang w:val="en-GB"/>
        </w:rPr>
      </w:pPr>
      <w:r w:rsidRPr="005635D8">
        <w:rPr>
          <w:rFonts w:ascii="Calibri" w:hAnsi="Calibri"/>
          <w:color w:val="000000"/>
          <w:lang w:val="en-GB"/>
        </w:rPr>
        <w:t xml:space="preserve">The independent variable industry investigates whether different levels of discretionary accruals exist between groups of firms belonging to specific branches of industry. Potentially industry specific reporting </w:t>
      </w:r>
      <w:r w:rsidR="00183F62" w:rsidRPr="005635D8">
        <w:rPr>
          <w:rFonts w:ascii="Calibri" w:hAnsi="Calibri"/>
          <w:color w:val="000000"/>
          <w:lang w:val="en-GB"/>
        </w:rPr>
        <w:t>requirements might</w:t>
      </w:r>
      <w:r w:rsidRPr="005635D8">
        <w:rPr>
          <w:rFonts w:ascii="Calibri" w:hAnsi="Calibri"/>
          <w:color w:val="000000"/>
          <w:lang w:val="en-GB"/>
        </w:rPr>
        <w:t xml:space="preserve"> influence </w:t>
      </w:r>
      <w:r w:rsidR="00F57B55" w:rsidRPr="005635D8">
        <w:rPr>
          <w:rFonts w:ascii="Calibri" w:hAnsi="Calibri"/>
          <w:color w:val="000000"/>
          <w:lang w:val="en-GB"/>
        </w:rPr>
        <w:t>in which way</w:t>
      </w:r>
      <w:r w:rsidR="00183F62" w:rsidRPr="005635D8">
        <w:rPr>
          <w:rFonts w:ascii="Calibri" w:hAnsi="Calibri"/>
          <w:color w:val="000000"/>
          <w:lang w:val="en-GB"/>
        </w:rPr>
        <w:t xml:space="preserve"> companies report their figures</w:t>
      </w:r>
      <w:r w:rsidRPr="005635D8">
        <w:rPr>
          <w:rFonts w:ascii="Calibri" w:hAnsi="Calibri"/>
          <w:color w:val="000000"/>
          <w:lang w:val="en-GB"/>
        </w:rPr>
        <w:t xml:space="preserve">. </w:t>
      </w:r>
      <w:r w:rsidR="00323D4C" w:rsidRPr="005635D8">
        <w:rPr>
          <w:rFonts w:ascii="Calibri" w:hAnsi="Calibri"/>
          <w:color w:val="000000"/>
          <w:lang w:val="en-GB"/>
        </w:rPr>
        <w:t>In addition</w:t>
      </w:r>
      <w:r w:rsidRPr="005635D8">
        <w:rPr>
          <w:rFonts w:ascii="Calibri" w:hAnsi="Calibri"/>
          <w:color w:val="000000"/>
          <w:lang w:val="en-GB"/>
        </w:rPr>
        <w:t xml:space="preserve"> different moral standards might exist within branches of industry. However, it is hypothesized that the specific industry in which a firm operates has no effect on the level of earnings management. The variable measuring the type of industry to which a firm belongs is a nominal variable containing the following categories: </w:t>
      </w:r>
      <w:r w:rsidR="00B93966" w:rsidRPr="005635D8">
        <w:rPr>
          <w:rFonts w:ascii="Calibri" w:hAnsi="Calibri"/>
          <w:color w:val="000000"/>
          <w:lang w:val="en-GB"/>
        </w:rPr>
        <w:t>oil and gas, basic materials, industrial, consumer goods, consumer services, telecommunication and technology.</w:t>
      </w:r>
    </w:p>
    <w:p w:rsidR="00B93966" w:rsidRPr="005635D8" w:rsidRDefault="00B93966" w:rsidP="00B93966">
      <w:pPr>
        <w:autoSpaceDE w:val="0"/>
        <w:autoSpaceDN w:val="0"/>
        <w:adjustRightInd w:val="0"/>
        <w:spacing w:after="0" w:line="240" w:lineRule="auto"/>
        <w:rPr>
          <w:rFonts w:ascii="Times New Roman" w:hAnsi="Times New Roman" w:cs="Times New Roman"/>
          <w:sz w:val="24"/>
          <w:szCs w:val="24"/>
          <w:lang w:val="en-GB"/>
        </w:rPr>
      </w:pPr>
    </w:p>
    <w:p w:rsidR="009F6B90" w:rsidRPr="005635D8" w:rsidRDefault="00B93966" w:rsidP="005D7DD1">
      <w:pPr>
        <w:rPr>
          <w:b/>
          <w:lang w:val="en-GB" w:eastAsia="nl-NL"/>
        </w:rPr>
      </w:pPr>
      <w:r w:rsidRPr="005635D8">
        <w:rPr>
          <w:b/>
          <w:lang w:val="en-GB" w:eastAsia="nl-NL"/>
        </w:rPr>
        <w:t>Size</w:t>
      </w:r>
    </w:p>
    <w:p w:rsidR="00E77C02" w:rsidRPr="005635D8" w:rsidRDefault="00B93966" w:rsidP="005D7DD1">
      <w:pPr>
        <w:pStyle w:val="BodyTextIndent"/>
        <w:ind w:left="0"/>
        <w:jc w:val="both"/>
        <w:rPr>
          <w:rFonts w:ascii="Calibri" w:hAnsi="Calibri"/>
          <w:color w:val="000000"/>
          <w:lang w:val="en-GB"/>
        </w:rPr>
      </w:pPr>
      <w:r w:rsidRPr="005635D8">
        <w:rPr>
          <w:rFonts w:ascii="Calibri" w:hAnsi="Calibri"/>
          <w:color w:val="000000"/>
          <w:lang w:val="en-GB"/>
        </w:rPr>
        <w:t xml:space="preserve">It was </w:t>
      </w:r>
      <w:r w:rsidR="00D76CAE" w:rsidRPr="005635D8">
        <w:rPr>
          <w:rFonts w:ascii="Calibri" w:hAnsi="Calibri"/>
          <w:color w:val="000000"/>
          <w:lang w:val="en-GB"/>
        </w:rPr>
        <w:t>signalled</w:t>
      </w:r>
      <w:r w:rsidRPr="005635D8">
        <w:rPr>
          <w:rFonts w:ascii="Calibri" w:hAnsi="Calibri"/>
          <w:color w:val="000000"/>
          <w:lang w:val="en-GB"/>
        </w:rPr>
        <w:t xml:space="preserve"> in the theoretical section that larger firms </w:t>
      </w:r>
      <w:r w:rsidR="00B233D1" w:rsidRPr="005635D8">
        <w:rPr>
          <w:rFonts w:ascii="Calibri" w:hAnsi="Calibri"/>
          <w:color w:val="000000"/>
          <w:lang w:val="en-GB"/>
        </w:rPr>
        <w:t xml:space="preserve">are more visible and </w:t>
      </w:r>
      <w:r w:rsidRPr="005635D8">
        <w:rPr>
          <w:rFonts w:ascii="Calibri" w:hAnsi="Calibri"/>
          <w:color w:val="000000"/>
          <w:lang w:val="en-GB"/>
        </w:rPr>
        <w:t xml:space="preserve">consequently more sensible to different kinds of political pressures. Size is </w:t>
      </w:r>
      <w:r w:rsidR="00C456CE" w:rsidRPr="005635D8">
        <w:rPr>
          <w:rFonts w:ascii="Calibri" w:hAnsi="Calibri"/>
          <w:color w:val="000000"/>
          <w:lang w:val="en-GB"/>
        </w:rPr>
        <w:t>consequently</w:t>
      </w:r>
      <w:r w:rsidRPr="005635D8">
        <w:rPr>
          <w:rFonts w:ascii="Calibri" w:hAnsi="Calibri"/>
          <w:color w:val="000000"/>
          <w:lang w:val="en-GB"/>
        </w:rPr>
        <w:t xml:space="preserve"> a proxy for political sensitivity. The third hypothesis in this research resembled the political cost </w:t>
      </w:r>
      <w:r w:rsidR="00B233D1" w:rsidRPr="005635D8">
        <w:rPr>
          <w:rFonts w:ascii="Calibri" w:hAnsi="Calibri"/>
          <w:color w:val="000000"/>
          <w:lang w:val="en-GB"/>
        </w:rPr>
        <w:t>hypothesis by</w:t>
      </w:r>
      <w:r w:rsidRPr="005635D8">
        <w:rPr>
          <w:rFonts w:ascii="Calibri" w:hAnsi="Calibri"/>
          <w:color w:val="000000"/>
          <w:lang w:val="en-GB"/>
        </w:rPr>
        <w:t xml:space="preserve"> stating that t</w:t>
      </w:r>
      <w:r w:rsidR="00B233D1" w:rsidRPr="005635D8">
        <w:rPr>
          <w:rFonts w:ascii="Calibri" w:hAnsi="Calibri"/>
          <w:color w:val="000000"/>
          <w:lang w:val="en-GB"/>
        </w:rPr>
        <w:t>he size of a</w:t>
      </w:r>
      <w:r w:rsidRPr="005635D8">
        <w:rPr>
          <w:rFonts w:ascii="Calibri" w:hAnsi="Calibri"/>
          <w:color w:val="000000"/>
          <w:lang w:val="en-GB"/>
        </w:rPr>
        <w:t xml:space="preserve"> firm has a significant influence on the level of earnings management.</w:t>
      </w:r>
      <w:r w:rsidR="00B233D1" w:rsidRPr="005635D8">
        <w:rPr>
          <w:rFonts w:ascii="Calibri" w:hAnsi="Calibri"/>
          <w:color w:val="000000"/>
          <w:lang w:val="en-GB"/>
        </w:rPr>
        <w:t xml:space="preserve"> </w:t>
      </w:r>
      <w:r w:rsidR="009F6B90" w:rsidRPr="005635D8">
        <w:rPr>
          <w:rFonts w:ascii="Calibri" w:hAnsi="Calibri"/>
          <w:color w:val="000000"/>
          <w:lang w:val="en-GB"/>
        </w:rPr>
        <w:t>Following Watts and Zimmerman (1990)</w:t>
      </w:r>
      <w:r w:rsidR="00B233D1" w:rsidRPr="005635D8">
        <w:rPr>
          <w:rFonts w:ascii="Calibri" w:hAnsi="Calibri"/>
          <w:color w:val="000000"/>
          <w:lang w:val="en-GB"/>
        </w:rPr>
        <w:t xml:space="preserve"> the variable size is constructed in this research by taking the natural log of the total assets of the firms</w:t>
      </w:r>
      <w:r w:rsidR="009F6B90" w:rsidRPr="005635D8">
        <w:rPr>
          <w:rFonts w:ascii="Calibri" w:hAnsi="Calibri"/>
          <w:color w:val="000000"/>
          <w:lang w:val="en-GB"/>
        </w:rPr>
        <w:t xml:space="preserve"> o proxy for the size of a company, which itself is a proxy variable for political attention</w:t>
      </w:r>
      <w:r w:rsidR="00B233D1" w:rsidRPr="005635D8">
        <w:rPr>
          <w:rFonts w:ascii="Calibri" w:hAnsi="Calibri"/>
          <w:color w:val="000000"/>
          <w:lang w:val="en-GB"/>
        </w:rPr>
        <w:t>.</w:t>
      </w:r>
      <w:r w:rsidR="009F6B90" w:rsidRPr="005635D8">
        <w:rPr>
          <w:rFonts w:ascii="Calibri" w:hAnsi="Calibri"/>
          <w:color w:val="000000"/>
          <w:lang w:val="en-GB"/>
        </w:rPr>
        <w:t xml:space="preserve"> It is expected that larger firms manage their earnings downwards.</w:t>
      </w:r>
    </w:p>
    <w:p w:rsidR="009F6B90" w:rsidRPr="005635D8" w:rsidRDefault="009F6B90" w:rsidP="009F6B90">
      <w:pPr>
        <w:pStyle w:val="NoSpacing"/>
        <w:spacing w:line="276" w:lineRule="auto"/>
        <w:jc w:val="both"/>
        <w:rPr>
          <w:lang w:val="en-GB"/>
        </w:rPr>
      </w:pPr>
    </w:p>
    <w:p w:rsidR="00E77C02" w:rsidRPr="005635D8" w:rsidRDefault="00E77C02" w:rsidP="001E4C5D">
      <w:pPr>
        <w:pStyle w:val="Heading3"/>
        <w:rPr>
          <w:lang w:val="en-GB"/>
        </w:rPr>
      </w:pPr>
      <w:bookmarkStart w:id="78" w:name="_Toc362267303"/>
      <w:r w:rsidRPr="005635D8">
        <w:rPr>
          <w:lang w:val="en-GB"/>
        </w:rPr>
        <w:t>Final Regression Model</w:t>
      </w:r>
      <w:bookmarkEnd w:id="78"/>
    </w:p>
    <w:p w:rsidR="00D16F6A" w:rsidRPr="005635D8" w:rsidRDefault="00E030FB" w:rsidP="005D7DD1">
      <w:pPr>
        <w:pStyle w:val="BodyTextIndent"/>
        <w:ind w:left="0"/>
        <w:jc w:val="both"/>
        <w:rPr>
          <w:rFonts w:ascii="Calibri" w:hAnsi="Calibri"/>
          <w:color w:val="000000"/>
          <w:lang w:val="en-GB"/>
        </w:rPr>
      </w:pPr>
      <w:r w:rsidRPr="005635D8">
        <w:rPr>
          <w:rFonts w:ascii="Calibri" w:hAnsi="Calibri"/>
          <w:color w:val="000000"/>
          <w:lang w:val="en-GB"/>
        </w:rPr>
        <w:t>Based on the presented variables the following basis regression formula will be used</w:t>
      </w:r>
      <w:r w:rsidR="00B233D1" w:rsidRPr="005635D8">
        <w:rPr>
          <w:rFonts w:ascii="Calibri" w:hAnsi="Calibri"/>
          <w:color w:val="000000"/>
          <w:lang w:val="en-GB"/>
        </w:rPr>
        <w:t xml:space="preserve"> in order to estimate the effects of the independent variables on the level of discretionary accruals</w:t>
      </w:r>
      <w:r w:rsidRPr="005635D8">
        <w:rPr>
          <w:rFonts w:ascii="Calibri" w:hAnsi="Calibri"/>
          <w:color w:val="000000"/>
          <w:lang w:val="en-GB"/>
        </w:rPr>
        <w:t>:</w:t>
      </w:r>
    </w:p>
    <w:p w:rsidR="00B93966" w:rsidRPr="005635D8" w:rsidRDefault="00B93966" w:rsidP="00F17FCE">
      <w:pPr>
        <w:pStyle w:val="Heading2"/>
        <w:rPr>
          <w:sz w:val="22"/>
          <w:szCs w:val="22"/>
          <w:lang w:val="en-GB"/>
        </w:rPr>
      </w:pPr>
      <w:bookmarkStart w:id="79" w:name="_Toc359925058"/>
    </w:p>
    <w:p w:rsidR="00B93966" w:rsidRPr="005635D8" w:rsidRDefault="00B93966" w:rsidP="00B233D1">
      <w:pPr>
        <w:pStyle w:val="000"/>
        <w:rPr>
          <w:rFonts w:asciiTheme="minorHAnsi" w:hAnsiTheme="minorHAnsi"/>
          <w:i/>
          <w:szCs w:val="22"/>
        </w:rPr>
      </w:pPr>
      <w:r w:rsidRPr="005635D8">
        <w:rPr>
          <w:rFonts w:asciiTheme="minorHAnsi" w:hAnsiTheme="minorHAnsi"/>
          <w:i/>
          <w:szCs w:val="22"/>
        </w:rPr>
        <w:t xml:space="preserve">Discretionary Accruals or </w:t>
      </w:r>
      <w:r w:rsidRPr="005635D8">
        <w:rPr>
          <w:rFonts w:asciiTheme="minorHAnsi" w:hAnsiTheme="minorHAnsi"/>
          <w:szCs w:val="22"/>
        </w:rPr>
        <w:t>|</w:t>
      </w:r>
      <w:r w:rsidRPr="005635D8">
        <w:rPr>
          <w:rFonts w:asciiTheme="minorHAnsi" w:hAnsiTheme="minorHAnsi"/>
          <w:i/>
          <w:szCs w:val="22"/>
        </w:rPr>
        <w:t>DAP t</w:t>
      </w:r>
      <w:r w:rsidRPr="005635D8">
        <w:rPr>
          <w:rFonts w:asciiTheme="minorHAnsi" w:hAnsiTheme="minorHAnsi"/>
          <w:szCs w:val="22"/>
        </w:rPr>
        <w:t>|</w:t>
      </w:r>
      <w:r w:rsidR="00B233D1" w:rsidRPr="005635D8">
        <w:rPr>
          <w:rFonts w:asciiTheme="minorHAnsi" w:hAnsiTheme="minorHAnsi"/>
          <w:i/>
          <w:szCs w:val="22"/>
        </w:rPr>
        <w:t xml:space="preserve"> = β0 + β1(IFRS</w:t>
      </w:r>
      <w:r w:rsidRPr="005635D8">
        <w:rPr>
          <w:rFonts w:asciiTheme="minorHAnsi" w:hAnsiTheme="minorHAnsi"/>
          <w:i/>
          <w:szCs w:val="22"/>
        </w:rPr>
        <w:t>)t + β2(</w:t>
      </w:r>
      <w:r w:rsidR="00B233D1" w:rsidRPr="005635D8">
        <w:rPr>
          <w:rFonts w:asciiTheme="minorHAnsi" w:hAnsiTheme="minorHAnsi"/>
          <w:i/>
          <w:szCs w:val="22"/>
        </w:rPr>
        <w:t>Industry</w:t>
      </w:r>
      <w:r w:rsidRPr="005635D8">
        <w:rPr>
          <w:rFonts w:asciiTheme="minorHAnsi" w:hAnsiTheme="minorHAnsi"/>
          <w:i/>
          <w:szCs w:val="22"/>
        </w:rPr>
        <w:t>)t + β3(</w:t>
      </w:r>
      <w:r w:rsidR="00B233D1" w:rsidRPr="005635D8">
        <w:rPr>
          <w:rFonts w:asciiTheme="minorHAnsi" w:hAnsiTheme="minorHAnsi"/>
          <w:i/>
          <w:szCs w:val="22"/>
        </w:rPr>
        <w:t>Size</w:t>
      </w:r>
      <w:r w:rsidRPr="005635D8">
        <w:rPr>
          <w:rFonts w:asciiTheme="minorHAnsi" w:hAnsiTheme="minorHAnsi"/>
          <w:i/>
          <w:szCs w:val="22"/>
        </w:rPr>
        <w:t>)t + ε t</w:t>
      </w:r>
      <w:r w:rsidRPr="005635D8">
        <w:rPr>
          <w:rFonts w:asciiTheme="minorHAnsi" w:hAnsiTheme="minorHAnsi"/>
          <w:i/>
          <w:szCs w:val="22"/>
        </w:rPr>
        <w:tab/>
      </w:r>
    </w:p>
    <w:p w:rsidR="00B93966" w:rsidRPr="005635D8" w:rsidRDefault="00B93966" w:rsidP="00B93966">
      <w:pPr>
        <w:pStyle w:val="000"/>
        <w:rPr>
          <w:rFonts w:asciiTheme="minorHAnsi" w:hAnsiTheme="minorHAnsi"/>
          <w:i/>
          <w:szCs w:val="22"/>
        </w:rPr>
      </w:pPr>
    </w:p>
    <w:p w:rsidR="00B93966" w:rsidRPr="005635D8" w:rsidRDefault="00B93966" w:rsidP="00B93966">
      <w:pPr>
        <w:pStyle w:val="000"/>
        <w:spacing w:line="360" w:lineRule="auto"/>
        <w:rPr>
          <w:rFonts w:asciiTheme="minorHAnsi" w:hAnsiTheme="minorHAnsi"/>
          <w:szCs w:val="22"/>
        </w:rPr>
      </w:pPr>
      <w:r w:rsidRPr="005635D8">
        <w:rPr>
          <w:rFonts w:asciiTheme="minorHAnsi" w:hAnsiTheme="minorHAnsi"/>
          <w:szCs w:val="22"/>
        </w:rPr>
        <w:t>Where:</w:t>
      </w:r>
    </w:p>
    <w:p w:rsidR="00B93966" w:rsidRPr="005635D8" w:rsidRDefault="00B93966" w:rsidP="00B93966">
      <w:pPr>
        <w:pStyle w:val="000"/>
        <w:spacing w:line="360" w:lineRule="auto"/>
        <w:ind w:left="1695" w:hanging="1695"/>
        <w:rPr>
          <w:rFonts w:asciiTheme="minorHAnsi" w:hAnsiTheme="minorHAnsi"/>
          <w:szCs w:val="22"/>
        </w:rPr>
      </w:pPr>
      <w:r w:rsidRPr="005635D8">
        <w:rPr>
          <w:rFonts w:asciiTheme="minorHAnsi" w:hAnsiTheme="minorHAnsi"/>
          <w:szCs w:val="22"/>
        </w:rPr>
        <w:t>|</w:t>
      </w:r>
      <w:r w:rsidRPr="005635D8">
        <w:rPr>
          <w:rFonts w:asciiTheme="minorHAnsi" w:hAnsiTheme="minorHAnsi"/>
          <w:i/>
          <w:szCs w:val="22"/>
        </w:rPr>
        <w:t>DAP t</w:t>
      </w:r>
      <w:r w:rsidRPr="005635D8">
        <w:rPr>
          <w:rFonts w:asciiTheme="minorHAnsi" w:hAnsiTheme="minorHAnsi"/>
          <w:szCs w:val="22"/>
        </w:rPr>
        <w:t>|</w:t>
      </w:r>
      <w:r w:rsidRPr="005635D8">
        <w:rPr>
          <w:rFonts w:asciiTheme="minorHAnsi" w:hAnsiTheme="minorHAnsi"/>
          <w:i/>
          <w:szCs w:val="22"/>
        </w:rPr>
        <w:tab/>
      </w:r>
      <w:r w:rsidRPr="005635D8">
        <w:rPr>
          <w:rFonts w:asciiTheme="minorHAnsi" w:hAnsiTheme="minorHAnsi"/>
          <w:i/>
          <w:szCs w:val="22"/>
        </w:rPr>
        <w:tab/>
      </w:r>
      <w:r w:rsidRPr="005635D8">
        <w:rPr>
          <w:rFonts w:asciiTheme="minorHAnsi" w:hAnsiTheme="minorHAnsi"/>
          <w:szCs w:val="22"/>
        </w:rPr>
        <w:t>= absolute value of the proxy for discretionary accruals standardized by lagged total assets;</w:t>
      </w:r>
    </w:p>
    <w:p w:rsidR="00B93966" w:rsidRPr="005635D8" w:rsidRDefault="00B233D1" w:rsidP="00B233D1">
      <w:pPr>
        <w:pStyle w:val="000"/>
        <w:spacing w:line="360" w:lineRule="auto"/>
        <w:ind w:left="1695" w:hanging="1695"/>
        <w:rPr>
          <w:rFonts w:asciiTheme="minorHAnsi" w:hAnsiTheme="minorHAnsi"/>
          <w:szCs w:val="22"/>
        </w:rPr>
      </w:pPr>
      <w:r w:rsidRPr="005635D8">
        <w:rPr>
          <w:rFonts w:asciiTheme="minorHAnsi" w:hAnsiTheme="minorHAnsi"/>
          <w:szCs w:val="22"/>
        </w:rPr>
        <w:t>IFRS</w:t>
      </w:r>
      <w:r w:rsidR="00B93966" w:rsidRPr="005635D8">
        <w:rPr>
          <w:rFonts w:asciiTheme="minorHAnsi" w:hAnsiTheme="minorHAnsi"/>
          <w:szCs w:val="22"/>
        </w:rPr>
        <w:tab/>
      </w:r>
      <w:r w:rsidR="00B93966" w:rsidRPr="005635D8">
        <w:rPr>
          <w:rFonts w:asciiTheme="minorHAnsi" w:hAnsiTheme="minorHAnsi"/>
          <w:szCs w:val="22"/>
        </w:rPr>
        <w:tab/>
        <w:t>= dummy variable (</w:t>
      </w:r>
      <w:r w:rsidRPr="005635D8">
        <w:rPr>
          <w:rFonts w:asciiTheme="minorHAnsi" w:hAnsiTheme="minorHAnsi"/>
          <w:szCs w:val="22"/>
        </w:rPr>
        <w:t>IFRS = 0 during the period in which the companies used NL GAAP 2002-2004, IFRS = 1 in the period in which t</w:t>
      </w:r>
      <w:r w:rsidR="00C25A7E" w:rsidRPr="005635D8">
        <w:rPr>
          <w:rFonts w:asciiTheme="minorHAnsi" w:hAnsiTheme="minorHAnsi"/>
          <w:szCs w:val="22"/>
        </w:rPr>
        <w:t>he companies used IFRS 2005-2007</w:t>
      </w:r>
      <w:r w:rsidR="00B93966" w:rsidRPr="005635D8">
        <w:rPr>
          <w:rFonts w:asciiTheme="minorHAnsi" w:hAnsiTheme="minorHAnsi"/>
          <w:szCs w:val="22"/>
        </w:rPr>
        <w:t>)</w:t>
      </w:r>
    </w:p>
    <w:p w:rsidR="00B233D1" w:rsidRPr="005635D8" w:rsidRDefault="00B233D1" w:rsidP="00B233D1">
      <w:pPr>
        <w:pStyle w:val="000"/>
        <w:spacing w:line="360" w:lineRule="auto"/>
        <w:ind w:left="1695" w:hanging="1695"/>
        <w:rPr>
          <w:rFonts w:asciiTheme="minorHAnsi" w:hAnsiTheme="minorHAnsi"/>
          <w:szCs w:val="22"/>
        </w:rPr>
      </w:pPr>
      <w:r w:rsidRPr="005635D8">
        <w:rPr>
          <w:rFonts w:asciiTheme="minorHAnsi" w:hAnsiTheme="minorHAnsi"/>
          <w:szCs w:val="22"/>
        </w:rPr>
        <w:t>INDUSTRY</w:t>
      </w:r>
      <w:r w:rsidRPr="005635D8">
        <w:rPr>
          <w:rFonts w:asciiTheme="minorHAnsi" w:hAnsiTheme="minorHAnsi"/>
          <w:szCs w:val="22"/>
        </w:rPr>
        <w:tab/>
      </w:r>
      <w:r w:rsidRPr="005635D8">
        <w:rPr>
          <w:rFonts w:asciiTheme="minorHAnsi" w:hAnsiTheme="minorHAnsi"/>
          <w:szCs w:val="22"/>
        </w:rPr>
        <w:tab/>
        <w:t xml:space="preserve">= variable measuring the specific branch of industry to which a firm belongs </w:t>
      </w:r>
    </w:p>
    <w:p w:rsidR="00B93966" w:rsidRPr="005635D8" w:rsidRDefault="00B93966" w:rsidP="00B233D1">
      <w:pPr>
        <w:pStyle w:val="000"/>
        <w:spacing w:line="360" w:lineRule="auto"/>
        <w:rPr>
          <w:rFonts w:asciiTheme="minorHAnsi" w:hAnsiTheme="minorHAnsi"/>
          <w:szCs w:val="22"/>
        </w:rPr>
      </w:pPr>
      <w:r w:rsidRPr="005635D8">
        <w:rPr>
          <w:rFonts w:asciiTheme="minorHAnsi" w:hAnsiTheme="minorHAnsi"/>
          <w:szCs w:val="22"/>
        </w:rPr>
        <w:t>SIZE</w:t>
      </w:r>
      <w:r w:rsidRPr="005635D8">
        <w:rPr>
          <w:rFonts w:asciiTheme="minorHAnsi" w:hAnsiTheme="minorHAnsi"/>
          <w:szCs w:val="22"/>
        </w:rPr>
        <w:tab/>
      </w:r>
      <w:r w:rsidR="00B233D1" w:rsidRPr="005635D8">
        <w:rPr>
          <w:rFonts w:asciiTheme="minorHAnsi" w:hAnsiTheme="minorHAnsi"/>
          <w:szCs w:val="22"/>
        </w:rPr>
        <w:tab/>
      </w:r>
      <w:r w:rsidR="00B233D1" w:rsidRPr="005635D8">
        <w:rPr>
          <w:rFonts w:asciiTheme="minorHAnsi" w:hAnsiTheme="minorHAnsi"/>
          <w:szCs w:val="22"/>
        </w:rPr>
        <w:tab/>
      </w:r>
      <w:r w:rsidR="00B233D1" w:rsidRPr="005635D8">
        <w:rPr>
          <w:rFonts w:asciiTheme="minorHAnsi" w:hAnsiTheme="minorHAnsi"/>
          <w:szCs w:val="22"/>
        </w:rPr>
        <w:tab/>
      </w:r>
      <w:r w:rsidRPr="005635D8">
        <w:rPr>
          <w:rFonts w:asciiTheme="minorHAnsi" w:hAnsiTheme="minorHAnsi"/>
          <w:szCs w:val="22"/>
        </w:rPr>
        <w:tab/>
        <w:t>= LN (total assets) in year t;</w:t>
      </w:r>
    </w:p>
    <w:p w:rsidR="00B93966" w:rsidRPr="005635D8" w:rsidRDefault="00B93966" w:rsidP="00B93966">
      <w:pPr>
        <w:pStyle w:val="000"/>
        <w:spacing w:line="360" w:lineRule="auto"/>
        <w:rPr>
          <w:rFonts w:asciiTheme="minorHAnsi" w:hAnsiTheme="minorHAnsi"/>
          <w:szCs w:val="22"/>
        </w:rPr>
      </w:pPr>
      <w:r w:rsidRPr="005635D8">
        <w:rPr>
          <w:rFonts w:asciiTheme="minorHAnsi" w:hAnsiTheme="minorHAnsi"/>
          <w:i/>
          <w:szCs w:val="22"/>
        </w:rPr>
        <w:t>ε</w:t>
      </w:r>
      <w:r w:rsidRPr="005635D8">
        <w:rPr>
          <w:rFonts w:asciiTheme="minorHAnsi" w:hAnsiTheme="minorHAnsi"/>
          <w:i/>
          <w:szCs w:val="22"/>
        </w:rPr>
        <w:tab/>
      </w:r>
      <w:r w:rsidRPr="005635D8">
        <w:rPr>
          <w:rFonts w:asciiTheme="minorHAnsi" w:hAnsiTheme="minorHAnsi"/>
          <w:i/>
          <w:szCs w:val="22"/>
        </w:rPr>
        <w:tab/>
      </w:r>
      <w:r w:rsidR="00B233D1" w:rsidRPr="005635D8">
        <w:rPr>
          <w:rFonts w:asciiTheme="minorHAnsi" w:hAnsiTheme="minorHAnsi"/>
          <w:i/>
          <w:szCs w:val="22"/>
        </w:rPr>
        <w:tab/>
      </w:r>
      <w:r w:rsidR="00B233D1" w:rsidRPr="005635D8">
        <w:rPr>
          <w:rFonts w:asciiTheme="minorHAnsi" w:hAnsiTheme="minorHAnsi"/>
          <w:i/>
          <w:szCs w:val="22"/>
        </w:rPr>
        <w:tab/>
      </w:r>
      <w:r w:rsidR="00B233D1" w:rsidRPr="005635D8">
        <w:rPr>
          <w:rFonts w:asciiTheme="minorHAnsi" w:hAnsiTheme="minorHAnsi"/>
          <w:i/>
          <w:szCs w:val="22"/>
        </w:rPr>
        <w:tab/>
      </w:r>
      <w:r w:rsidRPr="005635D8">
        <w:rPr>
          <w:rFonts w:asciiTheme="minorHAnsi" w:hAnsiTheme="minorHAnsi"/>
          <w:i/>
          <w:szCs w:val="22"/>
        </w:rPr>
        <w:tab/>
      </w:r>
      <w:r w:rsidRPr="005635D8">
        <w:rPr>
          <w:rFonts w:asciiTheme="minorHAnsi" w:hAnsiTheme="minorHAnsi"/>
          <w:szCs w:val="22"/>
        </w:rPr>
        <w:t>= error, and</w:t>
      </w:r>
    </w:p>
    <w:p w:rsidR="00B93966" w:rsidRPr="005635D8" w:rsidRDefault="00B93966" w:rsidP="00B93966">
      <w:pPr>
        <w:pStyle w:val="000"/>
        <w:spacing w:line="360" w:lineRule="auto"/>
        <w:rPr>
          <w:szCs w:val="22"/>
        </w:rPr>
      </w:pPr>
      <w:r w:rsidRPr="005635D8">
        <w:rPr>
          <w:rFonts w:asciiTheme="minorHAnsi" w:hAnsiTheme="minorHAnsi"/>
          <w:szCs w:val="22"/>
        </w:rPr>
        <w:t>β0, β1, β2, β3</w:t>
      </w:r>
      <w:r w:rsidR="00B233D1" w:rsidRPr="005635D8">
        <w:rPr>
          <w:rFonts w:asciiTheme="minorHAnsi" w:hAnsiTheme="minorHAnsi"/>
          <w:szCs w:val="22"/>
        </w:rPr>
        <w:tab/>
      </w:r>
      <w:r w:rsidR="00B233D1" w:rsidRPr="005635D8">
        <w:rPr>
          <w:rFonts w:asciiTheme="minorHAnsi" w:hAnsiTheme="minorHAnsi"/>
          <w:szCs w:val="22"/>
        </w:rPr>
        <w:tab/>
      </w:r>
      <w:r w:rsidRPr="005635D8">
        <w:rPr>
          <w:rFonts w:asciiTheme="minorHAnsi" w:hAnsiTheme="minorHAnsi"/>
          <w:szCs w:val="22"/>
        </w:rPr>
        <w:t>= parameters.</w:t>
      </w:r>
    </w:p>
    <w:bookmarkEnd w:id="79"/>
    <w:p w:rsidR="00B233D1" w:rsidRPr="005635D8" w:rsidRDefault="00B233D1" w:rsidP="001E4C5D">
      <w:pPr>
        <w:pStyle w:val="Heading3"/>
        <w:rPr>
          <w:lang w:val="en-GB"/>
        </w:rPr>
      </w:pPr>
    </w:p>
    <w:p w:rsidR="00E030FB" w:rsidRPr="005635D8" w:rsidRDefault="00A46489" w:rsidP="001E4C5D">
      <w:pPr>
        <w:pStyle w:val="Heading3"/>
        <w:rPr>
          <w:lang w:val="en-GB"/>
        </w:rPr>
      </w:pPr>
      <w:bookmarkStart w:id="80" w:name="_Toc362267304"/>
      <w:r w:rsidRPr="005635D8">
        <w:rPr>
          <w:lang w:val="en-GB"/>
        </w:rPr>
        <w:t>8.5 Time interval of the research</w:t>
      </w:r>
      <w:bookmarkEnd w:id="80"/>
    </w:p>
    <w:p w:rsidR="0093360F" w:rsidRPr="005635D8" w:rsidRDefault="00425FFB" w:rsidP="005D7DD1">
      <w:pPr>
        <w:pStyle w:val="BodyTextIndent"/>
        <w:ind w:left="0"/>
        <w:jc w:val="both"/>
        <w:rPr>
          <w:rFonts w:ascii="Calibri" w:hAnsi="Calibri"/>
          <w:color w:val="000000"/>
          <w:lang w:val="en-GB"/>
        </w:rPr>
      </w:pPr>
      <w:r w:rsidRPr="005635D8">
        <w:rPr>
          <w:rFonts w:ascii="Calibri" w:hAnsi="Calibri"/>
          <w:color w:val="000000"/>
          <w:lang w:val="en-GB"/>
        </w:rPr>
        <w:t xml:space="preserve">In order to be able to observe the impact of the adoption of the mandatory adoption of IFRS in 2005 on levels of earnings management this study should include a certain observation period before and after the event of the introduction of IFRS. This research will </w:t>
      </w:r>
      <w:r w:rsidR="00F71079" w:rsidRPr="005635D8">
        <w:rPr>
          <w:rFonts w:ascii="Calibri" w:hAnsi="Calibri"/>
          <w:color w:val="000000"/>
          <w:lang w:val="en-GB"/>
        </w:rPr>
        <w:t>consequently</w:t>
      </w:r>
      <w:r w:rsidRPr="005635D8">
        <w:rPr>
          <w:rFonts w:ascii="Calibri" w:hAnsi="Calibri"/>
          <w:color w:val="000000"/>
          <w:lang w:val="en-GB"/>
        </w:rPr>
        <w:t xml:space="preserve"> focus on the period from 2001 to 200</w:t>
      </w:r>
      <w:r w:rsidR="0093360F" w:rsidRPr="005635D8">
        <w:rPr>
          <w:rFonts w:ascii="Calibri" w:hAnsi="Calibri"/>
          <w:color w:val="000000"/>
          <w:lang w:val="en-GB"/>
        </w:rPr>
        <w:t>7</w:t>
      </w:r>
      <w:r w:rsidRPr="005635D8">
        <w:rPr>
          <w:rFonts w:ascii="Calibri" w:hAnsi="Calibri"/>
          <w:color w:val="000000"/>
          <w:lang w:val="en-GB"/>
        </w:rPr>
        <w:t xml:space="preserve">. This gives an observation period of four years before the introduction of IFRS and an observation period of four years after the introduction of IFRS. Most other studies </w:t>
      </w:r>
      <w:r w:rsidR="0098240C" w:rsidRPr="005635D8">
        <w:rPr>
          <w:rFonts w:ascii="Calibri" w:hAnsi="Calibri"/>
          <w:color w:val="000000"/>
          <w:lang w:val="en-GB"/>
        </w:rPr>
        <w:t>based</w:t>
      </w:r>
      <w:r w:rsidRPr="005635D8">
        <w:rPr>
          <w:rFonts w:ascii="Calibri" w:hAnsi="Calibri"/>
          <w:color w:val="000000"/>
          <w:lang w:val="en-GB"/>
        </w:rPr>
        <w:t xml:space="preserve"> at the effect </w:t>
      </w:r>
      <w:r w:rsidR="0093360F" w:rsidRPr="005635D8">
        <w:rPr>
          <w:rFonts w:ascii="Calibri" w:hAnsi="Calibri"/>
          <w:color w:val="000000"/>
          <w:lang w:val="en-GB"/>
        </w:rPr>
        <w:t>of the introduction of IFRS</w:t>
      </w:r>
      <w:r w:rsidRPr="005635D8">
        <w:rPr>
          <w:rFonts w:ascii="Calibri" w:hAnsi="Calibri"/>
          <w:color w:val="000000"/>
          <w:lang w:val="en-GB"/>
        </w:rPr>
        <w:t xml:space="preserve"> included time intervals of 2 or 3 years before and after the event, t</w:t>
      </w:r>
      <w:r w:rsidR="0093360F" w:rsidRPr="005635D8">
        <w:rPr>
          <w:rFonts w:ascii="Calibri" w:hAnsi="Calibri"/>
          <w:color w:val="000000"/>
          <w:lang w:val="en-GB"/>
        </w:rPr>
        <w:t>aking a total time interval of 7</w:t>
      </w:r>
      <w:r w:rsidRPr="005635D8">
        <w:rPr>
          <w:rFonts w:ascii="Calibri" w:hAnsi="Calibri"/>
          <w:color w:val="000000"/>
          <w:lang w:val="en-GB"/>
        </w:rPr>
        <w:t xml:space="preserve"> years should </w:t>
      </w:r>
      <w:r w:rsidR="00F71079" w:rsidRPr="005635D8">
        <w:rPr>
          <w:rFonts w:ascii="Calibri" w:hAnsi="Calibri"/>
          <w:color w:val="000000"/>
          <w:lang w:val="en-GB"/>
        </w:rPr>
        <w:t>consequently</w:t>
      </w:r>
      <w:r w:rsidRPr="005635D8">
        <w:rPr>
          <w:rFonts w:ascii="Calibri" w:hAnsi="Calibri"/>
          <w:color w:val="000000"/>
          <w:lang w:val="en-GB"/>
        </w:rPr>
        <w:t xml:space="preserve"> be sufficient for the purpose of this study</w:t>
      </w:r>
      <w:r w:rsidR="00454576" w:rsidRPr="005635D8">
        <w:rPr>
          <w:rFonts w:ascii="Calibri" w:hAnsi="Calibri"/>
          <w:color w:val="000000"/>
          <w:lang w:val="en-GB"/>
        </w:rPr>
        <w:t xml:space="preserve"> and it offers enough firm specific data points to perform a reliable analysis</w:t>
      </w:r>
      <w:r w:rsidRPr="005635D8">
        <w:rPr>
          <w:rFonts w:ascii="Calibri" w:hAnsi="Calibri"/>
          <w:color w:val="000000"/>
          <w:lang w:val="en-GB"/>
        </w:rPr>
        <w:t>.</w:t>
      </w:r>
      <w:r w:rsidR="00454576" w:rsidRPr="005635D8">
        <w:rPr>
          <w:rFonts w:ascii="Calibri" w:hAnsi="Calibri"/>
          <w:color w:val="000000"/>
          <w:lang w:val="en-GB"/>
        </w:rPr>
        <w:t xml:space="preserve"> Nevertheless, it should be </w:t>
      </w:r>
      <w:r w:rsidR="00D76CAE" w:rsidRPr="005635D8">
        <w:rPr>
          <w:rFonts w:ascii="Calibri" w:hAnsi="Calibri"/>
          <w:color w:val="000000"/>
          <w:lang w:val="en-GB"/>
        </w:rPr>
        <w:t>signalled</w:t>
      </w:r>
      <w:r w:rsidR="00454576" w:rsidRPr="005635D8">
        <w:rPr>
          <w:rFonts w:ascii="Calibri" w:hAnsi="Calibri"/>
          <w:color w:val="000000"/>
          <w:lang w:val="en-GB"/>
        </w:rPr>
        <w:t xml:space="preserve"> that the period before 2005 includes actually not four but three years for which we can calculate the discretionary accruals. As the calculation of all the different types of accruals relies on the change (Δ) variables the data collected for 2001 would require data from the year 2000 to calculate the discretionary accruals for 2001. As the available data decreased further by going back further in time the start of the data used in this study was set on 2001 in order to keep a substantial number of companies with data available in all years of observation in the sample as is required by the time-series approach. In order not to </w:t>
      </w:r>
      <w:r w:rsidR="00B32D82" w:rsidRPr="005635D8">
        <w:rPr>
          <w:rFonts w:ascii="Calibri" w:hAnsi="Calibri"/>
          <w:color w:val="000000"/>
          <w:lang w:val="en-GB"/>
        </w:rPr>
        <w:t>compare different</w:t>
      </w:r>
      <w:r w:rsidR="00454576" w:rsidRPr="005635D8">
        <w:rPr>
          <w:rFonts w:ascii="Calibri" w:hAnsi="Calibri"/>
          <w:color w:val="000000"/>
          <w:lang w:val="en-GB"/>
        </w:rPr>
        <w:t xml:space="preserve"> time periods before and after the adoption of IFRS </w:t>
      </w:r>
      <w:r w:rsidR="00323D4C" w:rsidRPr="005635D8">
        <w:rPr>
          <w:rFonts w:ascii="Calibri" w:hAnsi="Calibri"/>
          <w:color w:val="000000"/>
          <w:lang w:val="en-GB"/>
        </w:rPr>
        <w:t>in addition</w:t>
      </w:r>
      <w:r w:rsidR="0093360F" w:rsidRPr="005635D8">
        <w:rPr>
          <w:rFonts w:ascii="Calibri" w:hAnsi="Calibri"/>
          <w:color w:val="000000"/>
          <w:lang w:val="en-GB"/>
        </w:rPr>
        <w:t xml:space="preserve"> three</w:t>
      </w:r>
      <w:r w:rsidR="00454576" w:rsidRPr="005635D8">
        <w:rPr>
          <w:rFonts w:ascii="Calibri" w:hAnsi="Calibri"/>
          <w:color w:val="000000"/>
          <w:lang w:val="en-GB"/>
        </w:rPr>
        <w:t xml:space="preserve"> years after 2005 </w:t>
      </w:r>
      <w:r w:rsidR="00F71079" w:rsidRPr="005635D8">
        <w:rPr>
          <w:rFonts w:ascii="Calibri" w:hAnsi="Calibri"/>
          <w:color w:val="000000"/>
          <w:lang w:val="en-GB"/>
        </w:rPr>
        <w:t xml:space="preserve">in the analysis </w:t>
      </w:r>
      <w:r w:rsidR="00A41215" w:rsidRPr="005635D8">
        <w:rPr>
          <w:rFonts w:ascii="Calibri" w:hAnsi="Calibri"/>
          <w:color w:val="000000"/>
          <w:lang w:val="en-GB"/>
        </w:rPr>
        <w:t xml:space="preserve">were included. </w:t>
      </w:r>
      <w:r w:rsidR="00454576" w:rsidRPr="005635D8">
        <w:rPr>
          <w:rFonts w:ascii="Calibri" w:hAnsi="Calibri"/>
          <w:color w:val="000000"/>
          <w:lang w:val="en-GB"/>
        </w:rPr>
        <w:t>Beneish (1999)</w:t>
      </w:r>
      <w:r w:rsidR="00A41215" w:rsidRPr="005635D8">
        <w:rPr>
          <w:rFonts w:ascii="Calibri" w:hAnsi="Calibri"/>
          <w:color w:val="000000"/>
          <w:lang w:val="en-GB"/>
        </w:rPr>
        <w:t xml:space="preserve"> state</w:t>
      </w:r>
      <w:r w:rsidR="00F71079" w:rsidRPr="005635D8">
        <w:rPr>
          <w:rFonts w:ascii="Calibri" w:hAnsi="Calibri"/>
          <w:color w:val="000000"/>
          <w:lang w:val="en-GB"/>
        </w:rPr>
        <w:t>d</w:t>
      </w:r>
      <w:r w:rsidR="00A41215" w:rsidRPr="005635D8">
        <w:rPr>
          <w:rFonts w:ascii="Calibri" w:hAnsi="Calibri"/>
          <w:color w:val="000000"/>
          <w:lang w:val="en-GB"/>
        </w:rPr>
        <w:t xml:space="preserve"> that the practice of </w:t>
      </w:r>
      <w:r w:rsidR="00F71079" w:rsidRPr="005635D8">
        <w:rPr>
          <w:rFonts w:ascii="Calibri" w:hAnsi="Calibri"/>
          <w:color w:val="000000"/>
          <w:lang w:val="en-GB"/>
        </w:rPr>
        <w:t xml:space="preserve">the use of </w:t>
      </w:r>
      <w:r w:rsidR="00A41215" w:rsidRPr="005635D8">
        <w:rPr>
          <w:rFonts w:ascii="Calibri" w:hAnsi="Calibri"/>
          <w:color w:val="000000"/>
          <w:lang w:val="en-GB"/>
        </w:rPr>
        <w:t>earnings management</w:t>
      </w:r>
      <w:r w:rsidR="00454576" w:rsidRPr="005635D8">
        <w:rPr>
          <w:rFonts w:ascii="Calibri" w:hAnsi="Calibri"/>
          <w:color w:val="000000"/>
          <w:lang w:val="en-GB"/>
        </w:rPr>
        <w:t xml:space="preserve"> </w:t>
      </w:r>
      <w:r w:rsidR="00F71079" w:rsidRPr="005635D8">
        <w:rPr>
          <w:rFonts w:ascii="Calibri" w:hAnsi="Calibri"/>
          <w:color w:val="000000"/>
          <w:lang w:val="en-GB"/>
        </w:rPr>
        <w:t>become</w:t>
      </w:r>
      <w:r w:rsidR="00A94FA6" w:rsidRPr="005635D8">
        <w:rPr>
          <w:rFonts w:ascii="Calibri" w:hAnsi="Calibri"/>
          <w:color w:val="000000"/>
          <w:lang w:val="en-GB"/>
        </w:rPr>
        <w:t>s</w:t>
      </w:r>
      <w:r w:rsidR="00F71079" w:rsidRPr="005635D8">
        <w:rPr>
          <w:rFonts w:ascii="Calibri" w:hAnsi="Calibri"/>
          <w:color w:val="000000"/>
          <w:lang w:val="en-GB"/>
        </w:rPr>
        <w:t xml:space="preserve"> </w:t>
      </w:r>
      <w:r w:rsidR="00454576" w:rsidRPr="005635D8">
        <w:rPr>
          <w:rFonts w:ascii="Calibri" w:hAnsi="Calibri"/>
          <w:color w:val="000000"/>
          <w:lang w:val="en-GB"/>
        </w:rPr>
        <w:t xml:space="preserve">public on average 19 months after the end of the fiscal year of the first reporting. Grounded on </w:t>
      </w:r>
      <w:r w:rsidR="0093360F" w:rsidRPr="005635D8">
        <w:rPr>
          <w:rFonts w:ascii="Calibri" w:hAnsi="Calibri"/>
          <w:color w:val="000000"/>
          <w:lang w:val="en-GB"/>
        </w:rPr>
        <w:t xml:space="preserve">the </w:t>
      </w:r>
      <w:r w:rsidR="00454576" w:rsidRPr="005635D8">
        <w:rPr>
          <w:rFonts w:ascii="Calibri" w:hAnsi="Calibri"/>
          <w:color w:val="000000"/>
          <w:lang w:val="en-GB"/>
        </w:rPr>
        <w:t>19 months that it will take for manipulations</w:t>
      </w:r>
      <w:r w:rsidR="00A41215" w:rsidRPr="005635D8">
        <w:rPr>
          <w:rFonts w:ascii="Calibri" w:hAnsi="Calibri"/>
          <w:color w:val="000000"/>
          <w:lang w:val="en-GB"/>
        </w:rPr>
        <w:t xml:space="preserve"> and earnings management</w:t>
      </w:r>
      <w:r w:rsidR="00454576" w:rsidRPr="005635D8">
        <w:rPr>
          <w:rFonts w:ascii="Calibri" w:hAnsi="Calibri"/>
          <w:color w:val="000000"/>
          <w:lang w:val="en-GB"/>
        </w:rPr>
        <w:t xml:space="preserve"> to become public it appears adequate </w:t>
      </w:r>
      <w:r w:rsidR="00A41215" w:rsidRPr="005635D8">
        <w:rPr>
          <w:rFonts w:ascii="Calibri" w:hAnsi="Calibri"/>
          <w:color w:val="000000"/>
          <w:lang w:val="en-GB"/>
        </w:rPr>
        <w:t>that studying</w:t>
      </w:r>
      <w:r w:rsidR="00454576" w:rsidRPr="005635D8">
        <w:rPr>
          <w:rFonts w:ascii="Calibri" w:hAnsi="Calibri"/>
          <w:color w:val="000000"/>
          <w:lang w:val="en-GB"/>
        </w:rPr>
        <w:t xml:space="preserve"> at least three years prior and three years after the introd</w:t>
      </w:r>
      <w:r w:rsidR="00A41215" w:rsidRPr="005635D8">
        <w:rPr>
          <w:rFonts w:ascii="Calibri" w:hAnsi="Calibri"/>
          <w:color w:val="000000"/>
          <w:lang w:val="en-GB"/>
        </w:rPr>
        <w:t>uction of the IFRS in</w:t>
      </w:r>
      <w:r w:rsidR="00454576" w:rsidRPr="005635D8">
        <w:rPr>
          <w:rFonts w:ascii="Calibri" w:hAnsi="Calibri"/>
          <w:color w:val="000000"/>
          <w:lang w:val="en-GB"/>
        </w:rPr>
        <w:t xml:space="preserve"> 2005</w:t>
      </w:r>
      <w:r w:rsidR="00A41215" w:rsidRPr="005635D8">
        <w:rPr>
          <w:rFonts w:ascii="Calibri" w:hAnsi="Calibri"/>
          <w:color w:val="000000"/>
          <w:lang w:val="en-GB"/>
        </w:rPr>
        <w:t xml:space="preserve"> is a sufficient period</w:t>
      </w:r>
      <w:r w:rsidR="00454576" w:rsidRPr="005635D8">
        <w:rPr>
          <w:rFonts w:ascii="Calibri" w:hAnsi="Calibri"/>
          <w:color w:val="000000"/>
          <w:lang w:val="en-GB"/>
        </w:rPr>
        <w:t>.</w:t>
      </w:r>
      <w:r w:rsidR="0093360F" w:rsidRPr="005635D8">
        <w:rPr>
          <w:rFonts w:ascii="Calibri" w:hAnsi="Calibri"/>
          <w:color w:val="000000"/>
          <w:lang w:val="en-GB"/>
        </w:rPr>
        <w:t xml:space="preserve"> Holding the compared time periods equal makes the comparison more reliable. Another reason not to include data from later years than 2007 is that the global financial crises started in 2008. Crisis related incentives might influence the reported facts and figures by companies which might intervene into the relation between IFRS and earnings management studied by this thesis. </w:t>
      </w:r>
      <w:r w:rsidR="00C25A7E" w:rsidRPr="005635D8">
        <w:rPr>
          <w:rFonts w:ascii="Calibri" w:hAnsi="Calibri"/>
          <w:color w:val="000000"/>
          <w:lang w:val="en-GB"/>
        </w:rPr>
        <w:t xml:space="preserve"> </w:t>
      </w:r>
    </w:p>
    <w:p w:rsidR="0093360F" w:rsidRPr="005635D8" w:rsidRDefault="0093360F" w:rsidP="00454576">
      <w:pPr>
        <w:jc w:val="both"/>
        <w:rPr>
          <w:sz w:val="24"/>
          <w:szCs w:val="24"/>
          <w:lang w:val="en-GB" w:eastAsia="nl-NL"/>
        </w:rPr>
      </w:pPr>
    </w:p>
    <w:p w:rsidR="00C36140" w:rsidRPr="005635D8" w:rsidRDefault="00A46489" w:rsidP="001E4C5D">
      <w:pPr>
        <w:pStyle w:val="Heading3"/>
        <w:rPr>
          <w:lang w:val="en-GB"/>
        </w:rPr>
      </w:pPr>
      <w:bookmarkStart w:id="81" w:name="_Toc362267305"/>
      <w:r w:rsidRPr="005635D8">
        <w:rPr>
          <w:lang w:val="en-GB"/>
        </w:rPr>
        <w:t>8.6</w:t>
      </w:r>
      <w:r w:rsidR="00C36140" w:rsidRPr="005635D8">
        <w:rPr>
          <w:lang w:val="en-GB"/>
        </w:rPr>
        <w:t xml:space="preserve"> Data collection and data sample</w:t>
      </w:r>
      <w:bookmarkEnd w:id="81"/>
    </w:p>
    <w:p w:rsidR="00D16F6A" w:rsidRPr="005635D8" w:rsidRDefault="00D16F6A" w:rsidP="005D7DD1">
      <w:pPr>
        <w:pStyle w:val="BodyTextIndent"/>
        <w:ind w:left="0"/>
        <w:jc w:val="both"/>
        <w:rPr>
          <w:rFonts w:ascii="Calibri" w:hAnsi="Calibri"/>
          <w:color w:val="000000"/>
          <w:lang w:val="en-GB"/>
        </w:rPr>
      </w:pPr>
      <w:r w:rsidRPr="005635D8">
        <w:rPr>
          <w:rFonts w:ascii="Calibri" w:hAnsi="Calibri"/>
          <w:color w:val="000000"/>
          <w:lang w:val="en-GB"/>
        </w:rPr>
        <w:t>Based on a sample of the 50 Dutch companies listed on the Dutch AEX</w:t>
      </w:r>
      <w:r w:rsidR="00454576" w:rsidRPr="005635D8">
        <w:rPr>
          <w:rFonts w:ascii="Calibri" w:hAnsi="Calibri"/>
          <w:color w:val="000000"/>
          <w:lang w:val="en-GB"/>
        </w:rPr>
        <w:t xml:space="preserve"> and AMX index from 200</w:t>
      </w:r>
      <w:r w:rsidR="00C25A7E" w:rsidRPr="005635D8">
        <w:rPr>
          <w:rFonts w:ascii="Calibri" w:hAnsi="Calibri"/>
          <w:color w:val="000000"/>
          <w:lang w:val="en-GB"/>
        </w:rPr>
        <w:t>1 to 2007</w:t>
      </w:r>
      <w:r w:rsidRPr="005635D8">
        <w:rPr>
          <w:rFonts w:ascii="Calibri" w:hAnsi="Calibri"/>
          <w:color w:val="000000"/>
          <w:lang w:val="en-GB"/>
        </w:rPr>
        <w:t xml:space="preserve"> Statistical analysis will provide parameter estimates for all the variables in the Modified Jones Model. On the basis of those estimates the discretionary accruals can be calculated. All data will be obtained from the Thomson One Banker Database.</w:t>
      </w:r>
    </w:p>
    <w:p w:rsidR="00D16F6A" w:rsidRPr="005635D8" w:rsidRDefault="00D16F6A" w:rsidP="00D16F6A">
      <w:pPr>
        <w:pStyle w:val="BodyText"/>
        <w:spacing w:after="0" w:line="276" w:lineRule="auto"/>
        <w:jc w:val="both"/>
        <w:rPr>
          <w:rFonts w:asciiTheme="minorHAnsi" w:eastAsiaTheme="minorHAnsi" w:hAnsiTheme="minorHAnsi" w:cstheme="minorBidi"/>
          <w:sz w:val="22"/>
          <w:szCs w:val="22"/>
          <w:lang w:val="en-GB" w:eastAsia="nl-NL"/>
        </w:rPr>
      </w:pPr>
    </w:p>
    <w:p w:rsidR="00D16F6A" w:rsidRPr="005635D8" w:rsidRDefault="00D16F6A" w:rsidP="00D16F6A">
      <w:pPr>
        <w:pStyle w:val="BodyText"/>
        <w:spacing w:after="0" w:line="276" w:lineRule="auto"/>
        <w:jc w:val="both"/>
        <w:rPr>
          <w:rFonts w:asciiTheme="minorHAnsi" w:eastAsiaTheme="minorHAnsi" w:hAnsiTheme="minorHAnsi" w:cstheme="minorBidi"/>
          <w:sz w:val="22"/>
          <w:szCs w:val="22"/>
          <w:lang w:val="en-GB" w:eastAsia="nl-NL"/>
        </w:rPr>
      </w:pPr>
      <w:r w:rsidRPr="005635D8">
        <w:rPr>
          <w:rFonts w:asciiTheme="minorHAnsi" w:eastAsiaTheme="minorHAnsi" w:hAnsiTheme="minorHAnsi" w:cstheme="minorBidi"/>
          <w:sz w:val="22"/>
          <w:szCs w:val="22"/>
          <w:lang w:val="en-GB" w:eastAsia="nl-NL"/>
        </w:rPr>
        <w:t>The final sample meets the next criteria:</w:t>
      </w:r>
    </w:p>
    <w:p w:rsidR="00D16F6A" w:rsidRPr="005635D8" w:rsidRDefault="00D16F6A" w:rsidP="00D16F6A">
      <w:pPr>
        <w:pStyle w:val="BodyText"/>
        <w:spacing w:after="0" w:line="276" w:lineRule="auto"/>
        <w:jc w:val="both"/>
        <w:rPr>
          <w:rFonts w:asciiTheme="minorHAnsi" w:eastAsiaTheme="minorHAnsi" w:hAnsiTheme="minorHAnsi" w:cstheme="minorBidi"/>
          <w:sz w:val="22"/>
          <w:szCs w:val="22"/>
          <w:lang w:val="en-GB" w:eastAsia="nl-NL"/>
        </w:rPr>
      </w:pPr>
    </w:p>
    <w:p w:rsidR="00D16F6A" w:rsidRPr="005635D8" w:rsidRDefault="00D16F6A" w:rsidP="00D16F6A">
      <w:pPr>
        <w:pStyle w:val="BodyText"/>
        <w:numPr>
          <w:ilvl w:val="0"/>
          <w:numId w:val="13"/>
        </w:numPr>
        <w:spacing w:after="0" w:line="276" w:lineRule="auto"/>
        <w:jc w:val="both"/>
        <w:rPr>
          <w:rFonts w:asciiTheme="minorHAnsi" w:eastAsiaTheme="minorHAnsi" w:hAnsiTheme="minorHAnsi" w:cstheme="minorBidi"/>
          <w:sz w:val="22"/>
          <w:szCs w:val="22"/>
          <w:lang w:val="en-GB" w:eastAsia="nl-NL"/>
        </w:rPr>
      </w:pPr>
      <w:r w:rsidRPr="005635D8">
        <w:rPr>
          <w:rFonts w:asciiTheme="minorHAnsi" w:eastAsiaTheme="minorHAnsi" w:hAnsiTheme="minorHAnsi" w:cstheme="minorBidi"/>
          <w:sz w:val="22"/>
          <w:szCs w:val="22"/>
          <w:lang w:val="en-GB" w:eastAsia="nl-NL"/>
        </w:rPr>
        <w:t>Dutch listed companies on the AEX and AMX index</w:t>
      </w:r>
    </w:p>
    <w:p w:rsidR="00D16F6A" w:rsidRPr="005635D8" w:rsidRDefault="00D16F6A" w:rsidP="00D16F6A">
      <w:pPr>
        <w:pStyle w:val="BodyText"/>
        <w:numPr>
          <w:ilvl w:val="0"/>
          <w:numId w:val="13"/>
        </w:numPr>
        <w:spacing w:after="0" w:line="276" w:lineRule="auto"/>
        <w:jc w:val="both"/>
        <w:rPr>
          <w:rFonts w:asciiTheme="minorHAnsi" w:eastAsiaTheme="minorHAnsi" w:hAnsiTheme="minorHAnsi" w:cstheme="minorBidi"/>
          <w:sz w:val="22"/>
          <w:szCs w:val="22"/>
          <w:lang w:val="en-GB" w:eastAsia="nl-NL"/>
        </w:rPr>
      </w:pPr>
      <w:r w:rsidRPr="005635D8">
        <w:rPr>
          <w:rFonts w:asciiTheme="minorHAnsi" w:eastAsiaTheme="minorHAnsi" w:hAnsiTheme="minorHAnsi" w:cstheme="minorBidi"/>
          <w:sz w:val="22"/>
          <w:szCs w:val="22"/>
          <w:lang w:val="en-GB" w:eastAsia="nl-NL"/>
        </w:rPr>
        <w:t>Financials and Utilities are excluded</w:t>
      </w:r>
    </w:p>
    <w:p w:rsidR="00D16F6A" w:rsidRPr="005635D8" w:rsidRDefault="00D16F6A" w:rsidP="00D16F6A">
      <w:pPr>
        <w:pStyle w:val="BodyText"/>
        <w:numPr>
          <w:ilvl w:val="0"/>
          <w:numId w:val="13"/>
        </w:numPr>
        <w:spacing w:after="0" w:line="276" w:lineRule="auto"/>
        <w:jc w:val="both"/>
        <w:rPr>
          <w:rFonts w:asciiTheme="minorHAnsi" w:eastAsiaTheme="minorHAnsi" w:hAnsiTheme="minorHAnsi" w:cstheme="minorBidi"/>
          <w:sz w:val="22"/>
          <w:szCs w:val="22"/>
          <w:lang w:val="en-GB" w:eastAsia="nl-NL"/>
        </w:rPr>
      </w:pPr>
      <w:r w:rsidRPr="005635D8">
        <w:rPr>
          <w:rFonts w:asciiTheme="minorHAnsi" w:eastAsiaTheme="minorHAnsi" w:hAnsiTheme="minorHAnsi" w:cstheme="minorBidi"/>
          <w:sz w:val="22"/>
          <w:szCs w:val="22"/>
          <w:lang w:val="en-GB" w:eastAsia="nl-NL"/>
        </w:rPr>
        <w:t>Firms will be first-time adopters of IFRS as of January1, 2005</w:t>
      </w:r>
    </w:p>
    <w:p w:rsidR="00D16F6A" w:rsidRPr="005635D8" w:rsidRDefault="00D16F6A" w:rsidP="00D16F6A">
      <w:pPr>
        <w:pStyle w:val="BodyText"/>
        <w:numPr>
          <w:ilvl w:val="0"/>
          <w:numId w:val="13"/>
        </w:numPr>
        <w:spacing w:after="0" w:line="276" w:lineRule="auto"/>
        <w:jc w:val="both"/>
        <w:rPr>
          <w:rFonts w:asciiTheme="minorHAnsi" w:eastAsiaTheme="minorHAnsi" w:hAnsiTheme="minorHAnsi" w:cstheme="minorBidi"/>
          <w:sz w:val="22"/>
          <w:szCs w:val="22"/>
          <w:lang w:val="en-GB" w:eastAsia="nl-NL"/>
        </w:rPr>
      </w:pPr>
      <w:r w:rsidRPr="005635D8">
        <w:rPr>
          <w:rFonts w:asciiTheme="minorHAnsi" w:eastAsiaTheme="minorHAnsi" w:hAnsiTheme="minorHAnsi" w:cstheme="minorBidi"/>
          <w:sz w:val="22"/>
          <w:szCs w:val="22"/>
          <w:lang w:val="en-GB" w:eastAsia="nl-NL"/>
        </w:rPr>
        <w:t>Data points are available for the whole per</w:t>
      </w:r>
      <w:r w:rsidR="006C5AF9" w:rsidRPr="005635D8">
        <w:rPr>
          <w:rFonts w:asciiTheme="minorHAnsi" w:eastAsiaTheme="minorHAnsi" w:hAnsiTheme="minorHAnsi" w:cstheme="minorBidi"/>
          <w:sz w:val="22"/>
          <w:szCs w:val="22"/>
          <w:lang w:val="en-GB" w:eastAsia="nl-NL"/>
        </w:rPr>
        <w:t>iod of observation from 2001 to</w:t>
      </w:r>
      <w:r w:rsidR="00C25A7E" w:rsidRPr="005635D8">
        <w:rPr>
          <w:rFonts w:asciiTheme="minorHAnsi" w:eastAsiaTheme="minorHAnsi" w:hAnsiTheme="minorHAnsi" w:cstheme="minorBidi"/>
          <w:sz w:val="22"/>
          <w:szCs w:val="22"/>
          <w:lang w:val="en-GB" w:eastAsia="nl-NL"/>
        </w:rPr>
        <w:t xml:space="preserve"> 2007</w:t>
      </w:r>
    </w:p>
    <w:p w:rsidR="00D16F6A" w:rsidRPr="005635D8" w:rsidRDefault="00D16F6A" w:rsidP="00D16F6A">
      <w:pPr>
        <w:pStyle w:val="BodyText"/>
        <w:spacing w:after="0" w:line="276" w:lineRule="auto"/>
        <w:jc w:val="both"/>
        <w:rPr>
          <w:rFonts w:asciiTheme="minorHAnsi" w:eastAsiaTheme="minorHAnsi" w:hAnsiTheme="minorHAnsi" w:cstheme="minorBidi"/>
          <w:sz w:val="22"/>
          <w:szCs w:val="22"/>
          <w:lang w:val="en-GB" w:eastAsia="nl-NL"/>
        </w:rPr>
      </w:pPr>
    </w:p>
    <w:p w:rsidR="00D16F6A" w:rsidRPr="005635D8" w:rsidRDefault="00D16F6A" w:rsidP="00D16F6A">
      <w:pPr>
        <w:pStyle w:val="BodyText"/>
        <w:spacing w:after="0" w:line="276" w:lineRule="auto"/>
        <w:jc w:val="both"/>
        <w:rPr>
          <w:rFonts w:asciiTheme="minorHAnsi" w:eastAsiaTheme="minorHAnsi" w:hAnsiTheme="minorHAnsi" w:cstheme="minorBidi"/>
          <w:sz w:val="22"/>
          <w:szCs w:val="22"/>
          <w:lang w:val="en-GB" w:eastAsia="nl-NL"/>
        </w:rPr>
      </w:pPr>
    </w:p>
    <w:p w:rsidR="00663DC1" w:rsidRPr="005635D8" w:rsidRDefault="00D16F6A" w:rsidP="005D7DD1">
      <w:pPr>
        <w:pStyle w:val="BodyTextIndent"/>
        <w:ind w:left="0"/>
        <w:jc w:val="both"/>
        <w:rPr>
          <w:rFonts w:ascii="Calibri" w:hAnsi="Calibri"/>
          <w:color w:val="000000"/>
          <w:lang w:val="en-GB"/>
        </w:rPr>
      </w:pPr>
      <w:r w:rsidRPr="005635D8">
        <w:rPr>
          <w:rFonts w:ascii="Calibri" w:hAnsi="Calibri"/>
          <w:color w:val="000000"/>
          <w:lang w:val="en-GB"/>
        </w:rPr>
        <w:t>This study follows the Dutch stock exchange quoted companies listed on the Dutch AEX and AMX index. The 50 companies that were listed on th</w:t>
      </w:r>
      <w:r w:rsidR="00C25A7E" w:rsidRPr="005635D8">
        <w:rPr>
          <w:rFonts w:ascii="Calibri" w:hAnsi="Calibri"/>
          <w:color w:val="000000"/>
          <w:lang w:val="en-GB"/>
        </w:rPr>
        <w:t>ose two indexes in the year 2007</w:t>
      </w:r>
      <w:r w:rsidRPr="005635D8">
        <w:rPr>
          <w:rFonts w:ascii="Calibri" w:hAnsi="Calibri"/>
          <w:color w:val="000000"/>
          <w:lang w:val="en-GB"/>
        </w:rPr>
        <w:t xml:space="preserve"> form the basis of the dataset. </w:t>
      </w:r>
      <w:r w:rsidR="00FE7337" w:rsidRPr="005635D8">
        <w:rPr>
          <w:rFonts w:ascii="Calibri" w:hAnsi="Calibri"/>
          <w:color w:val="000000"/>
          <w:lang w:val="en-GB"/>
        </w:rPr>
        <w:t xml:space="preserve">The data was obtained from the Thomson One Banker Database and has been transferred to Microsoft Excel and later to the SPSS statistics program. Here in a first elimination round a total of 5 financial institutions and 6 utility companies were eliminated from the dataset. Those companies were identified on the basis of the ICB subsector codes provided in the dataset. It is common practice in models to detect the use of earnings management to exclude financial institutions because of their specific accounting requirements. Those requirements differ substantially from the accounting requirements of industrial and commercial companies which makes it more difficult for financial institutions to select freely the accounting standards they apply. </w:t>
      </w:r>
      <w:r w:rsidR="00663DC1" w:rsidRPr="005635D8">
        <w:rPr>
          <w:rFonts w:ascii="Calibri" w:hAnsi="Calibri"/>
          <w:color w:val="000000"/>
          <w:lang w:val="en-GB"/>
        </w:rPr>
        <w:t>Utility companies are excluded because of the high diversity within this category. They cannot be classified within one type of a specific industry which is a problem when estimating discretionary accruals per industry and year (VanderBauwhede et al. 2003; Tendeloo and Vanstraelen 2005).</w:t>
      </w:r>
      <w:r w:rsidR="006F2C6F" w:rsidRPr="005635D8">
        <w:rPr>
          <w:rFonts w:ascii="Calibri" w:hAnsi="Calibri"/>
          <w:color w:val="000000"/>
          <w:lang w:val="en-GB"/>
        </w:rPr>
        <w:t xml:space="preserve"> In a second elimination round 5</w:t>
      </w:r>
      <w:r w:rsidR="00663DC1" w:rsidRPr="005635D8">
        <w:rPr>
          <w:rFonts w:ascii="Calibri" w:hAnsi="Calibri"/>
          <w:color w:val="000000"/>
          <w:lang w:val="en-GB"/>
        </w:rPr>
        <w:t xml:space="preserve"> companies were eliminated from the dataset because they entered the AEX or AMX index in a later year than 2001 and had consequently no data points available for all the years in the research period. After these eliminations 34 companies remained in the sample.</w:t>
      </w:r>
    </w:p>
    <w:p w:rsidR="00663DC1" w:rsidRPr="005635D8" w:rsidRDefault="00663DC1" w:rsidP="005D7DD1">
      <w:pPr>
        <w:pStyle w:val="BodyTextIndent"/>
        <w:ind w:left="0"/>
        <w:jc w:val="both"/>
        <w:rPr>
          <w:rFonts w:ascii="Calibri" w:hAnsi="Calibri"/>
          <w:color w:val="000000"/>
          <w:lang w:val="en-GB"/>
        </w:rPr>
      </w:pPr>
    </w:p>
    <w:p w:rsidR="00995728" w:rsidRPr="005635D8" w:rsidRDefault="006908D4" w:rsidP="005D7DD1">
      <w:pPr>
        <w:pStyle w:val="BodyTextIndent"/>
        <w:ind w:left="0"/>
        <w:jc w:val="both"/>
        <w:rPr>
          <w:rFonts w:ascii="Calibri" w:hAnsi="Calibri"/>
          <w:color w:val="000000"/>
          <w:sz w:val="24"/>
          <w:szCs w:val="24"/>
          <w:lang w:val="en-GB"/>
        </w:rPr>
      </w:pPr>
      <w:r w:rsidRPr="005635D8">
        <w:rPr>
          <w:rFonts w:ascii="Calibri" w:hAnsi="Calibri"/>
          <w:color w:val="000000"/>
          <w:lang w:val="en-GB"/>
        </w:rPr>
        <w:t xml:space="preserve">As this study explicitly </w:t>
      </w:r>
      <w:r w:rsidR="00996161" w:rsidRPr="005635D8">
        <w:rPr>
          <w:rFonts w:ascii="Calibri" w:hAnsi="Calibri"/>
          <w:color w:val="000000"/>
          <w:lang w:val="en-GB"/>
        </w:rPr>
        <w:t>focuses</w:t>
      </w:r>
      <w:r w:rsidRPr="005635D8">
        <w:rPr>
          <w:rFonts w:ascii="Calibri" w:hAnsi="Calibri"/>
          <w:color w:val="000000"/>
          <w:lang w:val="en-GB"/>
        </w:rPr>
        <w:t xml:space="preserve"> on the effect of the introduction of IFRS in 2005 on the use of earnings management only companies who mandatorily adopted IFRS in 2005 may be included in the sample. However, as voluntary adoption of IFRS in the period before 2005 was not prohibited for companies listed on the Dutch stock exchange it has to be investigated whether any of the 34 companies t</w:t>
      </w:r>
      <w:r w:rsidR="00AE356E" w:rsidRPr="005635D8">
        <w:rPr>
          <w:rFonts w:ascii="Calibri" w:hAnsi="Calibri"/>
          <w:color w:val="000000"/>
          <w:lang w:val="en-GB"/>
        </w:rPr>
        <w:t xml:space="preserve">hat remained in the sample are early adopters. </w:t>
      </w:r>
      <w:r w:rsidR="009E4175" w:rsidRPr="005635D8">
        <w:rPr>
          <w:rFonts w:ascii="Calibri" w:hAnsi="Calibri"/>
          <w:color w:val="000000"/>
          <w:lang w:val="en-GB"/>
        </w:rPr>
        <w:t xml:space="preserve">For the next selection round I looked up the exact moment of adoption of IFRS and the reporting system used before the adoption of IFRS by </w:t>
      </w:r>
      <w:r w:rsidR="0098240C" w:rsidRPr="005635D8">
        <w:rPr>
          <w:rFonts w:ascii="Calibri" w:hAnsi="Calibri"/>
          <w:color w:val="000000"/>
          <w:lang w:val="en-GB"/>
        </w:rPr>
        <w:t>based</w:t>
      </w:r>
      <w:r w:rsidR="009E4175" w:rsidRPr="005635D8">
        <w:rPr>
          <w:rFonts w:ascii="Calibri" w:hAnsi="Calibri"/>
          <w:color w:val="000000"/>
          <w:lang w:val="en-GB"/>
        </w:rPr>
        <w:t xml:space="preserve"> at the annual reports</w:t>
      </w:r>
      <w:r w:rsidR="00995728" w:rsidRPr="005635D8">
        <w:rPr>
          <w:rFonts w:ascii="Calibri" w:hAnsi="Calibri"/>
          <w:color w:val="000000"/>
          <w:lang w:val="en-GB"/>
        </w:rPr>
        <w:t xml:space="preserve"> of 2004 or other direct sources coming from the</w:t>
      </w:r>
      <w:r w:rsidR="009E4175" w:rsidRPr="005635D8">
        <w:rPr>
          <w:rFonts w:ascii="Calibri" w:hAnsi="Calibri"/>
          <w:color w:val="000000"/>
          <w:lang w:val="en-GB"/>
        </w:rPr>
        <w:t xml:space="preserve"> remaining 34 companies </w:t>
      </w:r>
      <w:r w:rsidR="00995728" w:rsidRPr="005635D8">
        <w:rPr>
          <w:rFonts w:ascii="Calibri" w:hAnsi="Calibri"/>
          <w:color w:val="000000"/>
          <w:lang w:val="en-GB"/>
        </w:rPr>
        <w:t xml:space="preserve">in the sample. The results of </w:t>
      </w:r>
      <w:r w:rsidR="00F71079" w:rsidRPr="005635D8">
        <w:rPr>
          <w:rFonts w:ascii="Calibri" w:hAnsi="Calibri"/>
          <w:color w:val="000000"/>
          <w:lang w:val="en-GB"/>
        </w:rPr>
        <w:t>this investigation</w:t>
      </w:r>
      <w:r w:rsidR="00995728" w:rsidRPr="005635D8">
        <w:rPr>
          <w:rFonts w:ascii="Calibri" w:hAnsi="Calibri"/>
          <w:color w:val="000000"/>
          <w:lang w:val="en-GB"/>
        </w:rPr>
        <w:t xml:space="preserve"> are presented in table 1. </w:t>
      </w:r>
    </w:p>
    <w:p w:rsidR="00D16F6A" w:rsidRPr="005635D8" w:rsidRDefault="00D16F6A" w:rsidP="007073A1">
      <w:pPr>
        <w:pStyle w:val="BodyText"/>
        <w:spacing w:after="0" w:line="276" w:lineRule="auto"/>
        <w:jc w:val="both"/>
        <w:rPr>
          <w:rFonts w:asciiTheme="minorHAnsi" w:eastAsiaTheme="minorHAnsi" w:hAnsiTheme="minorHAnsi" w:cstheme="minorBidi"/>
          <w:sz w:val="20"/>
          <w:szCs w:val="20"/>
          <w:lang w:val="en-GB" w:eastAsia="nl-NL"/>
        </w:rPr>
      </w:pPr>
    </w:p>
    <w:tbl>
      <w:tblPr>
        <w:tblStyle w:val="TableGrid"/>
        <w:tblW w:w="0" w:type="auto"/>
        <w:tblLook w:val="04A0"/>
      </w:tblPr>
      <w:tblGrid>
        <w:gridCol w:w="3070"/>
        <w:gridCol w:w="3071"/>
        <w:gridCol w:w="3071"/>
      </w:tblGrid>
      <w:tr w:rsidR="00975F90" w:rsidRPr="005635D8" w:rsidTr="00975F90">
        <w:tc>
          <w:tcPr>
            <w:tcW w:w="3070" w:type="dxa"/>
          </w:tcPr>
          <w:p w:rsidR="00975F90" w:rsidRPr="005635D8" w:rsidRDefault="00975F90" w:rsidP="00A33A40">
            <w:pPr>
              <w:rPr>
                <w:lang w:val="en-GB"/>
              </w:rPr>
            </w:pPr>
            <w:r w:rsidRPr="005635D8">
              <w:rPr>
                <w:lang w:val="en-GB"/>
              </w:rPr>
              <w:t>Reporting system</w:t>
            </w:r>
          </w:p>
        </w:tc>
        <w:tc>
          <w:tcPr>
            <w:tcW w:w="3071" w:type="dxa"/>
          </w:tcPr>
          <w:p w:rsidR="00975F90" w:rsidRPr="005635D8" w:rsidRDefault="00975F90" w:rsidP="00A33A40">
            <w:pPr>
              <w:rPr>
                <w:lang w:val="en-GB"/>
              </w:rPr>
            </w:pPr>
            <w:r w:rsidRPr="005635D8">
              <w:rPr>
                <w:lang w:val="en-GB"/>
              </w:rPr>
              <w:t>Frequency</w:t>
            </w:r>
          </w:p>
        </w:tc>
        <w:tc>
          <w:tcPr>
            <w:tcW w:w="3071" w:type="dxa"/>
          </w:tcPr>
          <w:p w:rsidR="00975F90" w:rsidRPr="005635D8" w:rsidRDefault="00975F90" w:rsidP="00A33A40">
            <w:pPr>
              <w:rPr>
                <w:lang w:val="en-GB"/>
              </w:rPr>
            </w:pPr>
            <w:r w:rsidRPr="005635D8">
              <w:rPr>
                <w:lang w:val="en-GB"/>
              </w:rPr>
              <w:t>Valid percent</w:t>
            </w:r>
          </w:p>
        </w:tc>
      </w:tr>
      <w:tr w:rsidR="00975F90" w:rsidRPr="005635D8" w:rsidTr="00975F90">
        <w:tc>
          <w:tcPr>
            <w:tcW w:w="3070" w:type="dxa"/>
          </w:tcPr>
          <w:p w:rsidR="00975F90" w:rsidRPr="005635D8" w:rsidRDefault="00975F90" w:rsidP="00AC0884">
            <w:pPr>
              <w:rPr>
                <w:lang w:val="en-GB"/>
              </w:rPr>
            </w:pPr>
            <w:r w:rsidRPr="005635D8">
              <w:rPr>
                <w:lang w:val="en-GB"/>
              </w:rPr>
              <w:t>NL GAAP to 2004 / IFRS from 2005</w:t>
            </w:r>
          </w:p>
        </w:tc>
        <w:tc>
          <w:tcPr>
            <w:tcW w:w="3071" w:type="dxa"/>
          </w:tcPr>
          <w:p w:rsidR="00975F90" w:rsidRPr="005635D8" w:rsidRDefault="00975F90" w:rsidP="00AC0884">
            <w:pPr>
              <w:rPr>
                <w:lang w:val="en-GB"/>
              </w:rPr>
            </w:pPr>
            <w:r w:rsidRPr="005635D8">
              <w:rPr>
                <w:lang w:val="en-GB"/>
              </w:rPr>
              <w:t>24</w:t>
            </w:r>
          </w:p>
        </w:tc>
        <w:tc>
          <w:tcPr>
            <w:tcW w:w="3071" w:type="dxa"/>
          </w:tcPr>
          <w:p w:rsidR="00975F90" w:rsidRPr="005635D8" w:rsidRDefault="00975F90" w:rsidP="00A33A40">
            <w:pPr>
              <w:rPr>
                <w:lang w:val="en-GB"/>
              </w:rPr>
            </w:pPr>
            <w:r w:rsidRPr="005635D8">
              <w:rPr>
                <w:lang w:val="en-GB"/>
              </w:rPr>
              <w:t>70.6%</w:t>
            </w:r>
          </w:p>
        </w:tc>
      </w:tr>
      <w:tr w:rsidR="00975F90" w:rsidRPr="005635D8" w:rsidTr="00975F90">
        <w:tc>
          <w:tcPr>
            <w:tcW w:w="3070" w:type="dxa"/>
          </w:tcPr>
          <w:p w:rsidR="00975F90" w:rsidRPr="005635D8" w:rsidRDefault="00975F90" w:rsidP="00975F90">
            <w:pPr>
              <w:rPr>
                <w:lang w:val="en-GB"/>
              </w:rPr>
            </w:pPr>
            <w:r w:rsidRPr="005635D8">
              <w:rPr>
                <w:lang w:val="en-GB"/>
              </w:rPr>
              <w:t>UK GAAP to 2004 / IFRS from 2005</w:t>
            </w:r>
          </w:p>
        </w:tc>
        <w:tc>
          <w:tcPr>
            <w:tcW w:w="3071" w:type="dxa"/>
          </w:tcPr>
          <w:p w:rsidR="00975F90" w:rsidRPr="005635D8" w:rsidRDefault="00975F90" w:rsidP="00AC0884">
            <w:pPr>
              <w:rPr>
                <w:lang w:val="en-GB"/>
              </w:rPr>
            </w:pPr>
            <w:r w:rsidRPr="005635D8">
              <w:rPr>
                <w:lang w:val="en-GB"/>
              </w:rPr>
              <w:t>3</w:t>
            </w:r>
          </w:p>
        </w:tc>
        <w:tc>
          <w:tcPr>
            <w:tcW w:w="3071" w:type="dxa"/>
          </w:tcPr>
          <w:p w:rsidR="00975F90" w:rsidRPr="005635D8" w:rsidRDefault="00975F90" w:rsidP="00A33A40">
            <w:pPr>
              <w:rPr>
                <w:lang w:val="en-GB"/>
              </w:rPr>
            </w:pPr>
            <w:r w:rsidRPr="005635D8">
              <w:rPr>
                <w:lang w:val="en-GB"/>
              </w:rPr>
              <w:t>8.8%</w:t>
            </w:r>
          </w:p>
        </w:tc>
      </w:tr>
      <w:tr w:rsidR="00975F90" w:rsidRPr="005635D8" w:rsidTr="00975F90">
        <w:tc>
          <w:tcPr>
            <w:tcW w:w="3070" w:type="dxa"/>
          </w:tcPr>
          <w:p w:rsidR="00975F90" w:rsidRPr="005635D8" w:rsidRDefault="00975F90" w:rsidP="00AC0884">
            <w:pPr>
              <w:rPr>
                <w:lang w:val="en-GB"/>
              </w:rPr>
            </w:pPr>
            <w:r w:rsidRPr="005635D8">
              <w:rPr>
                <w:lang w:val="en-GB"/>
              </w:rPr>
              <w:t>US GAAP to 2004 / IFRS from 2005</w:t>
            </w:r>
          </w:p>
        </w:tc>
        <w:tc>
          <w:tcPr>
            <w:tcW w:w="3071" w:type="dxa"/>
          </w:tcPr>
          <w:p w:rsidR="00975F90" w:rsidRPr="005635D8" w:rsidRDefault="00975F90" w:rsidP="00AC0884">
            <w:pPr>
              <w:rPr>
                <w:lang w:val="en-GB"/>
              </w:rPr>
            </w:pPr>
            <w:r w:rsidRPr="005635D8">
              <w:rPr>
                <w:lang w:val="en-GB"/>
              </w:rPr>
              <w:t>2</w:t>
            </w:r>
          </w:p>
        </w:tc>
        <w:tc>
          <w:tcPr>
            <w:tcW w:w="3071" w:type="dxa"/>
          </w:tcPr>
          <w:p w:rsidR="00975F90" w:rsidRPr="005635D8" w:rsidRDefault="00975F90" w:rsidP="00A33A40">
            <w:pPr>
              <w:rPr>
                <w:lang w:val="en-GB"/>
              </w:rPr>
            </w:pPr>
            <w:r w:rsidRPr="005635D8">
              <w:rPr>
                <w:lang w:val="en-GB"/>
              </w:rPr>
              <w:t>5.9%</w:t>
            </w:r>
          </w:p>
        </w:tc>
      </w:tr>
      <w:tr w:rsidR="00975F90" w:rsidRPr="005635D8" w:rsidTr="00975F90">
        <w:tc>
          <w:tcPr>
            <w:tcW w:w="3070" w:type="dxa"/>
          </w:tcPr>
          <w:p w:rsidR="00975F90" w:rsidRPr="005635D8" w:rsidRDefault="00975F90" w:rsidP="00AC0884">
            <w:pPr>
              <w:rPr>
                <w:lang w:val="en-GB"/>
              </w:rPr>
            </w:pPr>
            <w:r w:rsidRPr="005635D8">
              <w:rPr>
                <w:lang w:val="en-GB"/>
              </w:rPr>
              <w:t>French GAAP to 2004 / IFRS from 2005</w:t>
            </w:r>
          </w:p>
        </w:tc>
        <w:tc>
          <w:tcPr>
            <w:tcW w:w="3071" w:type="dxa"/>
          </w:tcPr>
          <w:p w:rsidR="00975F90" w:rsidRPr="005635D8" w:rsidRDefault="00975F90" w:rsidP="00AC0884">
            <w:pPr>
              <w:rPr>
                <w:lang w:val="en-GB"/>
              </w:rPr>
            </w:pPr>
            <w:r w:rsidRPr="005635D8">
              <w:rPr>
                <w:lang w:val="en-GB"/>
              </w:rPr>
              <w:t>1</w:t>
            </w:r>
          </w:p>
        </w:tc>
        <w:tc>
          <w:tcPr>
            <w:tcW w:w="3071" w:type="dxa"/>
          </w:tcPr>
          <w:p w:rsidR="00975F90" w:rsidRPr="005635D8" w:rsidRDefault="00975F90" w:rsidP="00A33A40">
            <w:pPr>
              <w:rPr>
                <w:lang w:val="en-GB"/>
              </w:rPr>
            </w:pPr>
            <w:r w:rsidRPr="005635D8">
              <w:rPr>
                <w:lang w:val="en-GB"/>
              </w:rPr>
              <w:t>2.9%</w:t>
            </w:r>
          </w:p>
        </w:tc>
      </w:tr>
      <w:tr w:rsidR="00975F90" w:rsidRPr="005635D8" w:rsidTr="00975F90">
        <w:tc>
          <w:tcPr>
            <w:tcW w:w="3070" w:type="dxa"/>
          </w:tcPr>
          <w:p w:rsidR="00975F90" w:rsidRPr="005635D8" w:rsidRDefault="001F4CF3" w:rsidP="00AC0884">
            <w:pPr>
              <w:rPr>
                <w:lang w:val="en-GB"/>
              </w:rPr>
            </w:pPr>
            <w:r w:rsidRPr="005635D8">
              <w:rPr>
                <w:lang w:val="en-GB"/>
              </w:rPr>
              <w:t>Early</w:t>
            </w:r>
            <w:r w:rsidR="00975F90" w:rsidRPr="005635D8">
              <w:rPr>
                <w:lang w:val="en-GB"/>
              </w:rPr>
              <w:t xml:space="preserve"> adopter of IFRS</w:t>
            </w:r>
          </w:p>
        </w:tc>
        <w:tc>
          <w:tcPr>
            <w:tcW w:w="3071" w:type="dxa"/>
          </w:tcPr>
          <w:p w:rsidR="00975F90" w:rsidRPr="005635D8" w:rsidRDefault="00C25A7E" w:rsidP="00AC0884">
            <w:pPr>
              <w:rPr>
                <w:lang w:val="en-GB"/>
              </w:rPr>
            </w:pPr>
            <w:r w:rsidRPr="005635D8">
              <w:rPr>
                <w:lang w:val="en-GB"/>
              </w:rPr>
              <w:t>4</w:t>
            </w:r>
          </w:p>
        </w:tc>
        <w:tc>
          <w:tcPr>
            <w:tcW w:w="3071" w:type="dxa"/>
          </w:tcPr>
          <w:p w:rsidR="00975F90" w:rsidRPr="005635D8" w:rsidRDefault="00C25A7E" w:rsidP="00A33A40">
            <w:pPr>
              <w:rPr>
                <w:lang w:val="en-GB"/>
              </w:rPr>
            </w:pPr>
            <w:r w:rsidRPr="005635D8">
              <w:rPr>
                <w:lang w:val="en-GB"/>
              </w:rPr>
              <w:t>11.7%</w:t>
            </w:r>
          </w:p>
        </w:tc>
      </w:tr>
      <w:tr w:rsidR="00975F90" w:rsidRPr="005635D8" w:rsidTr="00975F90">
        <w:tc>
          <w:tcPr>
            <w:tcW w:w="3070" w:type="dxa"/>
          </w:tcPr>
          <w:p w:rsidR="00975F90" w:rsidRPr="005635D8" w:rsidRDefault="00975F90" w:rsidP="00AC0884">
            <w:pPr>
              <w:rPr>
                <w:b/>
                <w:bCs/>
                <w:lang w:val="en-GB"/>
              </w:rPr>
            </w:pPr>
            <w:r w:rsidRPr="005635D8">
              <w:rPr>
                <w:b/>
                <w:bCs/>
                <w:lang w:val="en-GB"/>
              </w:rPr>
              <w:t>Total</w:t>
            </w:r>
          </w:p>
        </w:tc>
        <w:tc>
          <w:tcPr>
            <w:tcW w:w="3071" w:type="dxa"/>
          </w:tcPr>
          <w:p w:rsidR="00975F90" w:rsidRPr="005635D8" w:rsidRDefault="00975F90" w:rsidP="00AC0884">
            <w:pPr>
              <w:rPr>
                <w:b/>
                <w:bCs/>
                <w:lang w:val="en-GB"/>
              </w:rPr>
            </w:pPr>
            <w:r w:rsidRPr="005635D8">
              <w:rPr>
                <w:b/>
                <w:bCs/>
                <w:lang w:val="en-GB"/>
              </w:rPr>
              <w:t>34</w:t>
            </w:r>
          </w:p>
        </w:tc>
        <w:tc>
          <w:tcPr>
            <w:tcW w:w="3071" w:type="dxa"/>
          </w:tcPr>
          <w:p w:rsidR="00975F90" w:rsidRPr="005635D8" w:rsidRDefault="00975F90" w:rsidP="00A33A40">
            <w:pPr>
              <w:rPr>
                <w:b/>
                <w:bCs/>
                <w:lang w:val="en-GB"/>
              </w:rPr>
            </w:pPr>
            <w:r w:rsidRPr="005635D8">
              <w:rPr>
                <w:b/>
                <w:bCs/>
                <w:lang w:val="en-GB"/>
              </w:rPr>
              <w:t>100%</w:t>
            </w:r>
          </w:p>
        </w:tc>
      </w:tr>
    </w:tbl>
    <w:p w:rsidR="00975F90" w:rsidRPr="005635D8" w:rsidRDefault="00DB6551" w:rsidP="00A33A40">
      <w:pPr>
        <w:rPr>
          <w:rFonts w:ascii="Calibri" w:hAnsi="Calibri"/>
          <w:sz w:val="20"/>
          <w:szCs w:val="20"/>
          <w:lang w:val="en-GB"/>
        </w:rPr>
      </w:pPr>
      <w:r w:rsidRPr="005635D8">
        <w:rPr>
          <w:rFonts w:eastAsiaTheme="minorHAnsi"/>
          <w:b/>
          <w:bCs/>
          <w:sz w:val="20"/>
          <w:szCs w:val="20"/>
          <w:lang w:val="en-GB" w:eastAsia="nl-NL"/>
        </w:rPr>
        <w:t>Table 1</w:t>
      </w:r>
      <w:r>
        <w:rPr>
          <w:rFonts w:eastAsiaTheme="minorHAnsi"/>
          <w:b/>
          <w:bCs/>
          <w:sz w:val="20"/>
          <w:szCs w:val="20"/>
          <w:lang w:val="en-GB" w:eastAsia="nl-NL"/>
        </w:rPr>
        <w:t xml:space="preserve">: </w:t>
      </w:r>
      <w:r w:rsidR="007073A1" w:rsidRPr="005635D8">
        <w:rPr>
          <w:rFonts w:eastAsiaTheme="minorHAnsi"/>
          <w:sz w:val="20"/>
          <w:szCs w:val="20"/>
          <w:lang w:val="en-GB" w:eastAsia="nl-NL"/>
        </w:rPr>
        <w:t xml:space="preserve">Reporting system used by the 34 companies   </w:t>
      </w:r>
    </w:p>
    <w:p w:rsidR="00995728" w:rsidRPr="005635D8" w:rsidRDefault="00995728" w:rsidP="005D7DD1">
      <w:pPr>
        <w:pStyle w:val="BodyTextIndent"/>
        <w:ind w:left="0"/>
        <w:jc w:val="both"/>
        <w:rPr>
          <w:rFonts w:ascii="Calibri" w:hAnsi="Calibri"/>
          <w:color w:val="000000"/>
          <w:lang w:val="en-GB"/>
        </w:rPr>
      </w:pPr>
      <w:r w:rsidRPr="005635D8">
        <w:rPr>
          <w:rFonts w:ascii="Calibri" w:hAnsi="Calibri"/>
          <w:color w:val="000000"/>
          <w:lang w:val="en-GB"/>
        </w:rPr>
        <w:t>The study of the annual report</w:t>
      </w:r>
      <w:r w:rsidR="00C25A7E" w:rsidRPr="005635D8">
        <w:rPr>
          <w:rFonts w:ascii="Calibri" w:hAnsi="Calibri"/>
          <w:color w:val="000000"/>
          <w:lang w:val="en-GB"/>
        </w:rPr>
        <w:t>s of the companies showed that 4</w:t>
      </w:r>
      <w:r w:rsidRPr="005635D8">
        <w:rPr>
          <w:rFonts w:ascii="Calibri" w:hAnsi="Calibri"/>
          <w:color w:val="000000"/>
          <w:lang w:val="en-GB"/>
        </w:rPr>
        <w:t xml:space="preserve"> com</w:t>
      </w:r>
      <w:r w:rsidR="00C25A7E" w:rsidRPr="005635D8">
        <w:rPr>
          <w:rFonts w:ascii="Calibri" w:hAnsi="Calibri"/>
          <w:color w:val="000000"/>
          <w:lang w:val="en-GB"/>
        </w:rPr>
        <w:t>panies voluntarily adopted IFRS</w:t>
      </w:r>
      <w:r w:rsidRPr="005635D8">
        <w:rPr>
          <w:rFonts w:ascii="Calibri" w:hAnsi="Calibri"/>
          <w:color w:val="000000"/>
          <w:lang w:val="en-GB"/>
        </w:rPr>
        <w:t xml:space="preserve">. Those four companies were eliminated from the sample. It was </w:t>
      </w:r>
      <w:r w:rsidR="00323D4C" w:rsidRPr="005635D8">
        <w:rPr>
          <w:rFonts w:ascii="Calibri" w:hAnsi="Calibri"/>
          <w:color w:val="000000"/>
          <w:lang w:val="en-GB"/>
        </w:rPr>
        <w:t>in addition</w:t>
      </w:r>
      <w:r w:rsidRPr="005635D8">
        <w:rPr>
          <w:rFonts w:ascii="Calibri" w:hAnsi="Calibri"/>
          <w:color w:val="000000"/>
          <w:lang w:val="en-GB"/>
        </w:rPr>
        <w:t xml:space="preserve"> noticed that several companies used a different standard than NL GAAP before they changed to IFRS. </w:t>
      </w:r>
      <w:r w:rsidR="00F71079" w:rsidRPr="005635D8">
        <w:rPr>
          <w:rFonts w:ascii="Calibri" w:hAnsi="Calibri"/>
          <w:color w:val="000000"/>
          <w:lang w:val="en-GB"/>
        </w:rPr>
        <w:t>These were</w:t>
      </w:r>
      <w:r w:rsidRPr="005635D8">
        <w:rPr>
          <w:rFonts w:ascii="Calibri" w:hAnsi="Calibri"/>
          <w:color w:val="000000"/>
          <w:lang w:val="en-GB"/>
        </w:rPr>
        <w:t xml:space="preserve"> mainly companies with a foreign partner (KLM-Air France) of companies </w:t>
      </w:r>
      <w:r w:rsidR="00323D4C" w:rsidRPr="005635D8">
        <w:rPr>
          <w:rFonts w:ascii="Calibri" w:hAnsi="Calibri"/>
          <w:color w:val="000000"/>
          <w:lang w:val="en-GB"/>
        </w:rPr>
        <w:t>in addition</w:t>
      </w:r>
      <w:r w:rsidRPr="005635D8">
        <w:rPr>
          <w:rFonts w:ascii="Calibri" w:hAnsi="Calibri"/>
          <w:color w:val="000000"/>
          <w:lang w:val="en-GB"/>
        </w:rPr>
        <w:t xml:space="preserve"> listed on foreign stock exchanges. 3 companies used UK GAAP as primary reporting system, 2 companies US GAAP and one company French GAAP. As especially US GAAP is considered to be different than the principles based NL GAAP including those companies might bias the analysis. </w:t>
      </w:r>
      <w:r w:rsidR="00F71079" w:rsidRPr="005635D8">
        <w:rPr>
          <w:rFonts w:ascii="Calibri" w:hAnsi="Calibri"/>
          <w:color w:val="000000"/>
          <w:lang w:val="en-GB"/>
        </w:rPr>
        <w:t>Consequently</w:t>
      </w:r>
      <w:r w:rsidRPr="005635D8">
        <w:rPr>
          <w:rFonts w:ascii="Calibri" w:hAnsi="Calibri"/>
          <w:color w:val="000000"/>
          <w:lang w:val="en-GB"/>
        </w:rPr>
        <w:t xml:space="preserve"> those 6 companies </w:t>
      </w:r>
      <w:r w:rsidR="00F71079" w:rsidRPr="005635D8">
        <w:rPr>
          <w:rFonts w:ascii="Calibri" w:hAnsi="Calibri"/>
          <w:color w:val="000000"/>
          <w:lang w:val="en-GB"/>
        </w:rPr>
        <w:t xml:space="preserve">in addition </w:t>
      </w:r>
      <w:r w:rsidRPr="005635D8">
        <w:rPr>
          <w:rFonts w:ascii="Calibri" w:hAnsi="Calibri"/>
          <w:color w:val="000000"/>
          <w:lang w:val="en-GB"/>
        </w:rPr>
        <w:t xml:space="preserve">are eliminated from the sample. After all the eliminations, the initial group of 50 firms was reduced to a total sample of 24 Dutch companies that meet all selection criteria. A summary of the selection process is presented in table 2. </w:t>
      </w:r>
    </w:p>
    <w:p w:rsidR="00995728" w:rsidRPr="005635D8" w:rsidRDefault="00995728" w:rsidP="007A20B0">
      <w:pPr>
        <w:pStyle w:val="BodyText"/>
        <w:spacing w:after="0" w:line="276" w:lineRule="auto"/>
        <w:jc w:val="both"/>
        <w:rPr>
          <w:rFonts w:asciiTheme="minorHAnsi" w:eastAsiaTheme="minorHAnsi" w:hAnsiTheme="minorHAnsi" w:cstheme="minorBidi"/>
          <w:b/>
          <w:bCs/>
          <w:sz w:val="20"/>
          <w:szCs w:val="20"/>
          <w:lang w:val="en-GB" w:eastAsia="nl-NL"/>
        </w:rPr>
      </w:pPr>
    </w:p>
    <w:tbl>
      <w:tblPr>
        <w:tblStyle w:val="TableGrid"/>
        <w:tblW w:w="0" w:type="auto"/>
        <w:tblLook w:val="04A0"/>
      </w:tblPr>
      <w:tblGrid>
        <w:gridCol w:w="5353"/>
        <w:gridCol w:w="3331"/>
      </w:tblGrid>
      <w:tr w:rsidR="00087548" w:rsidRPr="005635D8" w:rsidTr="00995728">
        <w:trPr>
          <w:trHeight w:val="266"/>
        </w:trPr>
        <w:tc>
          <w:tcPr>
            <w:tcW w:w="5353" w:type="dxa"/>
          </w:tcPr>
          <w:p w:rsidR="00087548" w:rsidRPr="005635D8" w:rsidRDefault="00087548">
            <w:pPr>
              <w:rPr>
                <w:rFonts w:ascii="Calibri" w:hAnsi="Calibri"/>
                <w:lang w:val="en-GB"/>
              </w:rPr>
            </w:pPr>
            <w:r w:rsidRPr="005635D8">
              <w:rPr>
                <w:rFonts w:ascii="Calibri" w:hAnsi="Calibri"/>
                <w:lang w:val="en-GB"/>
              </w:rPr>
              <w:t>Sample Selection</w:t>
            </w:r>
          </w:p>
        </w:tc>
        <w:tc>
          <w:tcPr>
            <w:tcW w:w="3331" w:type="dxa"/>
          </w:tcPr>
          <w:p w:rsidR="00087548" w:rsidRPr="005635D8" w:rsidRDefault="00087548">
            <w:pPr>
              <w:rPr>
                <w:rFonts w:ascii="Calibri" w:hAnsi="Calibri"/>
                <w:lang w:val="en-GB"/>
              </w:rPr>
            </w:pPr>
            <w:r w:rsidRPr="005635D8">
              <w:rPr>
                <w:rFonts w:ascii="Calibri" w:hAnsi="Calibri"/>
                <w:lang w:val="en-GB"/>
              </w:rPr>
              <w:t>Netherlands</w:t>
            </w:r>
          </w:p>
        </w:tc>
      </w:tr>
      <w:tr w:rsidR="00087548" w:rsidRPr="005635D8" w:rsidTr="00995728">
        <w:trPr>
          <w:trHeight w:val="251"/>
        </w:trPr>
        <w:tc>
          <w:tcPr>
            <w:tcW w:w="5353" w:type="dxa"/>
          </w:tcPr>
          <w:p w:rsidR="00087548" w:rsidRPr="005635D8" w:rsidRDefault="00087548">
            <w:pPr>
              <w:rPr>
                <w:rFonts w:ascii="Calibri" w:hAnsi="Calibri"/>
                <w:lang w:val="en-GB"/>
              </w:rPr>
            </w:pPr>
            <w:r w:rsidRPr="005635D8">
              <w:rPr>
                <w:rFonts w:ascii="Calibri" w:hAnsi="Calibri"/>
                <w:lang w:val="en-GB"/>
              </w:rPr>
              <w:t>All companies AEX and AMX in 2007</w:t>
            </w:r>
          </w:p>
        </w:tc>
        <w:tc>
          <w:tcPr>
            <w:tcW w:w="3331" w:type="dxa"/>
          </w:tcPr>
          <w:p w:rsidR="00087548" w:rsidRPr="005635D8" w:rsidRDefault="00087548">
            <w:pPr>
              <w:rPr>
                <w:rFonts w:ascii="Calibri" w:hAnsi="Calibri"/>
                <w:b/>
                <w:bCs/>
                <w:lang w:val="en-GB"/>
              </w:rPr>
            </w:pPr>
            <w:r w:rsidRPr="005635D8">
              <w:rPr>
                <w:rFonts w:ascii="Calibri" w:hAnsi="Calibri"/>
                <w:b/>
                <w:bCs/>
                <w:lang w:val="en-GB"/>
              </w:rPr>
              <w:t>50</w:t>
            </w:r>
          </w:p>
        </w:tc>
      </w:tr>
      <w:tr w:rsidR="00087548" w:rsidRPr="005635D8" w:rsidTr="00995728">
        <w:trPr>
          <w:trHeight w:val="266"/>
        </w:trPr>
        <w:tc>
          <w:tcPr>
            <w:tcW w:w="5353" w:type="dxa"/>
          </w:tcPr>
          <w:p w:rsidR="00087548" w:rsidRPr="005635D8" w:rsidRDefault="006F2C6F">
            <w:pPr>
              <w:rPr>
                <w:rFonts w:ascii="Calibri" w:hAnsi="Calibri"/>
                <w:lang w:val="en-GB"/>
              </w:rPr>
            </w:pPr>
            <w:r w:rsidRPr="005635D8">
              <w:rPr>
                <w:rFonts w:ascii="Calibri" w:hAnsi="Calibri"/>
                <w:lang w:val="en-GB"/>
              </w:rPr>
              <w:t>Excluded because of being a financial company</w:t>
            </w:r>
          </w:p>
        </w:tc>
        <w:tc>
          <w:tcPr>
            <w:tcW w:w="3331" w:type="dxa"/>
          </w:tcPr>
          <w:p w:rsidR="00087548" w:rsidRPr="005635D8" w:rsidRDefault="006F2C6F">
            <w:pPr>
              <w:rPr>
                <w:rFonts w:ascii="Calibri" w:hAnsi="Calibri"/>
                <w:lang w:val="en-GB"/>
              </w:rPr>
            </w:pPr>
            <w:r w:rsidRPr="005635D8">
              <w:rPr>
                <w:rFonts w:ascii="Calibri" w:hAnsi="Calibri"/>
                <w:lang w:val="en-GB"/>
              </w:rPr>
              <w:t>-5</w:t>
            </w:r>
          </w:p>
        </w:tc>
      </w:tr>
      <w:tr w:rsidR="00087548" w:rsidRPr="005635D8" w:rsidTr="00995728">
        <w:trPr>
          <w:trHeight w:val="266"/>
        </w:trPr>
        <w:tc>
          <w:tcPr>
            <w:tcW w:w="5353" w:type="dxa"/>
          </w:tcPr>
          <w:p w:rsidR="00087548" w:rsidRPr="005635D8" w:rsidRDefault="006F2C6F">
            <w:pPr>
              <w:rPr>
                <w:rFonts w:ascii="Calibri" w:hAnsi="Calibri"/>
                <w:lang w:val="en-GB"/>
              </w:rPr>
            </w:pPr>
            <w:r w:rsidRPr="005635D8">
              <w:rPr>
                <w:rFonts w:ascii="Calibri" w:hAnsi="Calibri"/>
                <w:lang w:val="en-GB"/>
              </w:rPr>
              <w:t>Excluded because of being a utility company</w:t>
            </w:r>
          </w:p>
        </w:tc>
        <w:tc>
          <w:tcPr>
            <w:tcW w:w="3331" w:type="dxa"/>
          </w:tcPr>
          <w:p w:rsidR="00087548" w:rsidRPr="005635D8" w:rsidRDefault="006F2C6F">
            <w:pPr>
              <w:rPr>
                <w:rFonts w:ascii="Calibri" w:hAnsi="Calibri"/>
                <w:lang w:val="en-GB"/>
              </w:rPr>
            </w:pPr>
            <w:r w:rsidRPr="005635D8">
              <w:rPr>
                <w:rFonts w:ascii="Calibri" w:hAnsi="Calibri"/>
                <w:lang w:val="en-GB"/>
              </w:rPr>
              <w:t>-6</w:t>
            </w:r>
          </w:p>
        </w:tc>
      </w:tr>
      <w:tr w:rsidR="00087548" w:rsidRPr="005635D8" w:rsidTr="00995728">
        <w:trPr>
          <w:trHeight w:val="251"/>
        </w:trPr>
        <w:tc>
          <w:tcPr>
            <w:tcW w:w="5353" w:type="dxa"/>
          </w:tcPr>
          <w:p w:rsidR="00087548" w:rsidRPr="005635D8" w:rsidRDefault="006F2C6F">
            <w:pPr>
              <w:rPr>
                <w:rFonts w:ascii="Calibri" w:hAnsi="Calibri"/>
                <w:lang w:val="en-GB"/>
              </w:rPr>
            </w:pPr>
            <w:r w:rsidRPr="005635D8">
              <w:rPr>
                <w:rFonts w:ascii="Calibri" w:hAnsi="Calibri"/>
                <w:lang w:val="en-GB"/>
              </w:rPr>
              <w:t>Excluded because no data was available for one of the years between 2001-2007</w:t>
            </w:r>
          </w:p>
        </w:tc>
        <w:tc>
          <w:tcPr>
            <w:tcW w:w="3331" w:type="dxa"/>
          </w:tcPr>
          <w:p w:rsidR="00087548" w:rsidRPr="005635D8" w:rsidRDefault="006F2C6F">
            <w:pPr>
              <w:rPr>
                <w:rFonts w:ascii="Calibri" w:hAnsi="Calibri"/>
                <w:lang w:val="en-GB"/>
              </w:rPr>
            </w:pPr>
            <w:r w:rsidRPr="005635D8">
              <w:rPr>
                <w:rFonts w:ascii="Calibri" w:hAnsi="Calibri"/>
                <w:lang w:val="en-GB"/>
              </w:rPr>
              <w:t>-5</w:t>
            </w:r>
          </w:p>
        </w:tc>
      </w:tr>
      <w:tr w:rsidR="00087548" w:rsidRPr="005635D8" w:rsidTr="00995728">
        <w:trPr>
          <w:trHeight w:val="266"/>
        </w:trPr>
        <w:tc>
          <w:tcPr>
            <w:tcW w:w="5353" w:type="dxa"/>
          </w:tcPr>
          <w:p w:rsidR="00087548" w:rsidRPr="005635D8" w:rsidRDefault="00087548">
            <w:pPr>
              <w:rPr>
                <w:rFonts w:ascii="Calibri" w:hAnsi="Calibri"/>
                <w:lang w:val="en-GB"/>
              </w:rPr>
            </w:pPr>
          </w:p>
        </w:tc>
        <w:tc>
          <w:tcPr>
            <w:tcW w:w="3331" w:type="dxa"/>
          </w:tcPr>
          <w:p w:rsidR="00087548" w:rsidRPr="005635D8" w:rsidRDefault="006F2C6F">
            <w:pPr>
              <w:rPr>
                <w:rFonts w:ascii="Calibri" w:hAnsi="Calibri"/>
                <w:b/>
                <w:bCs/>
                <w:lang w:val="en-GB"/>
              </w:rPr>
            </w:pPr>
            <w:r w:rsidRPr="005635D8">
              <w:rPr>
                <w:rFonts w:ascii="Calibri" w:hAnsi="Calibri"/>
                <w:b/>
                <w:bCs/>
                <w:lang w:val="en-GB"/>
              </w:rPr>
              <w:t>34</w:t>
            </w:r>
          </w:p>
        </w:tc>
      </w:tr>
      <w:tr w:rsidR="00087548" w:rsidRPr="005635D8" w:rsidTr="00995728">
        <w:trPr>
          <w:trHeight w:val="266"/>
        </w:trPr>
        <w:tc>
          <w:tcPr>
            <w:tcW w:w="5353" w:type="dxa"/>
          </w:tcPr>
          <w:p w:rsidR="00087548" w:rsidRPr="005635D8" w:rsidRDefault="00975F90">
            <w:pPr>
              <w:rPr>
                <w:rFonts w:ascii="Calibri" w:hAnsi="Calibri"/>
                <w:lang w:val="en-GB"/>
              </w:rPr>
            </w:pPr>
            <w:r w:rsidRPr="005635D8">
              <w:rPr>
                <w:rFonts w:ascii="Calibri" w:hAnsi="Calibri"/>
                <w:lang w:val="en-GB"/>
              </w:rPr>
              <w:t>UK-GAAP, US-GAAP, French GAAP</w:t>
            </w:r>
          </w:p>
        </w:tc>
        <w:tc>
          <w:tcPr>
            <w:tcW w:w="3331" w:type="dxa"/>
          </w:tcPr>
          <w:p w:rsidR="00087548" w:rsidRPr="005635D8" w:rsidRDefault="00975F90">
            <w:pPr>
              <w:rPr>
                <w:rFonts w:ascii="Calibri" w:hAnsi="Calibri"/>
                <w:lang w:val="en-GB"/>
              </w:rPr>
            </w:pPr>
            <w:r w:rsidRPr="005635D8">
              <w:rPr>
                <w:rFonts w:ascii="Calibri" w:hAnsi="Calibri"/>
                <w:lang w:val="en-GB"/>
              </w:rPr>
              <w:t>-6</w:t>
            </w:r>
          </w:p>
        </w:tc>
      </w:tr>
      <w:tr w:rsidR="00975F90" w:rsidRPr="005635D8" w:rsidTr="00995728">
        <w:trPr>
          <w:trHeight w:val="266"/>
        </w:trPr>
        <w:tc>
          <w:tcPr>
            <w:tcW w:w="5353" w:type="dxa"/>
          </w:tcPr>
          <w:p w:rsidR="00975F90" w:rsidRPr="005635D8" w:rsidRDefault="001F4CF3">
            <w:pPr>
              <w:rPr>
                <w:rFonts w:ascii="Calibri" w:hAnsi="Calibri"/>
                <w:lang w:val="en-GB"/>
              </w:rPr>
            </w:pPr>
            <w:r w:rsidRPr="005635D8">
              <w:rPr>
                <w:rFonts w:ascii="Calibri" w:hAnsi="Calibri"/>
                <w:lang w:val="en-GB"/>
              </w:rPr>
              <w:t>Early</w:t>
            </w:r>
            <w:r w:rsidR="00975F90" w:rsidRPr="005635D8">
              <w:rPr>
                <w:rFonts w:ascii="Calibri" w:hAnsi="Calibri"/>
                <w:lang w:val="en-GB"/>
              </w:rPr>
              <w:t xml:space="preserve"> adopters</w:t>
            </w:r>
          </w:p>
        </w:tc>
        <w:tc>
          <w:tcPr>
            <w:tcW w:w="3331" w:type="dxa"/>
          </w:tcPr>
          <w:p w:rsidR="00975F90" w:rsidRPr="005635D8" w:rsidRDefault="001F32A0">
            <w:pPr>
              <w:rPr>
                <w:rFonts w:ascii="Calibri" w:hAnsi="Calibri"/>
                <w:lang w:val="en-GB"/>
              </w:rPr>
            </w:pPr>
            <w:r w:rsidRPr="005635D8">
              <w:rPr>
                <w:rFonts w:ascii="Calibri" w:hAnsi="Calibri"/>
                <w:lang w:val="en-GB"/>
              </w:rPr>
              <w:t>-4</w:t>
            </w:r>
          </w:p>
        </w:tc>
      </w:tr>
      <w:tr w:rsidR="00975F90" w:rsidRPr="005635D8" w:rsidTr="00995728">
        <w:trPr>
          <w:trHeight w:val="266"/>
        </w:trPr>
        <w:tc>
          <w:tcPr>
            <w:tcW w:w="5353" w:type="dxa"/>
          </w:tcPr>
          <w:p w:rsidR="00975F90" w:rsidRPr="005635D8" w:rsidRDefault="001F4CF3">
            <w:pPr>
              <w:rPr>
                <w:rFonts w:ascii="Calibri" w:hAnsi="Calibri"/>
                <w:lang w:val="en-GB"/>
              </w:rPr>
            </w:pPr>
            <w:r w:rsidRPr="005635D8">
              <w:rPr>
                <w:rFonts w:ascii="Calibri" w:hAnsi="Calibri"/>
                <w:lang w:val="en-GB"/>
              </w:rPr>
              <w:t>Total Sample</w:t>
            </w:r>
          </w:p>
        </w:tc>
        <w:tc>
          <w:tcPr>
            <w:tcW w:w="3331" w:type="dxa"/>
          </w:tcPr>
          <w:p w:rsidR="00975F90" w:rsidRPr="005635D8" w:rsidRDefault="00975F90">
            <w:pPr>
              <w:rPr>
                <w:rFonts w:ascii="Calibri" w:hAnsi="Calibri"/>
                <w:b/>
                <w:bCs/>
                <w:lang w:val="en-GB"/>
              </w:rPr>
            </w:pPr>
            <w:r w:rsidRPr="005635D8">
              <w:rPr>
                <w:rFonts w:ascii="Calibri" w:hAnsi="Calibri"/>
                <w:b/>
                <w:bCs/>
                <w:lang w:val="en-GB"/>
              </w:rPr>
              <w:t>24</w:t>
            </w:r>
          </w:p>
        </w:tc>
      </w:tr>
    </w:tbl>
    <w:p w:rsidR="00C9580B" w:rsidRDefault="00DB6551">
      <w:pPr>
        <w:rPr>
          <w:rFonts w:ascii="Calibri" w:hAnsi="Calibri"/>
          <w:sz w:val="20"/>
          <w:szCs w:val="20"/>
          <w:lang w:val="en-GB"/>
        </w:rPr>
      </w:pPr>
      <w:r w:rsidRPr="005635D8">
        <w:rPr>
          <w:rFonts w:eastAsiaTheme="minorHAnsi"/>
          <w:b/>
          <w:bCs/>
          <w:sz w:val="20"/>
          <w:szCs w:val="20"/>
          <w:lang w:val="en-GB" w:eastAsia="nl-NL"/>
        </w:rPr>
        <w:t>Table 2</w:t>
      </w:r>
      <w:r>
        <w:rPr>
          <w:rFonts w:eastAsiaTheme="minorHAnsi"/>
          <w:b/>
          <w:bCs/>
          <w:sz w:val="20"/>
          <w:szCs w:val="20"/>
          <w:lang w:val="en-GB" w:eastAsia="nl-NL"/>
        </w:rPr>
        <w:t xml:space="preserve">: </w:t>
      </w:r>
      <w:r w:rsidR="007073A1" w:rsidRPr="005635D8">
        <w:rPr>
          <w:sz w:val="20"/>
          <w:szCs w:val="20"/>
          <w:lang w:val="en-GB"/>
        </w:rPr>
        <w:t>Selection process of the sample</w:t>
      </w:r>
      <w:r w:rsidR="007073A1" w:rsidRPr="005635D8">
        <w:rPr>
          <w:rFonts w:ascii="Calibri" w:hAnsi="Calibri"/>
          <w:sz w:val="20"/>
          <w:szCs w:val="20"/>
          <w:lang w:val="en-GB"/>
        </w:rPr>
        <w:t xml:space="preserve"> </w:t>
      </w:r>
    </w:p>
    <w:p w:rsidR="00C9580B" w:rsidRDefault="00C9580B">
      <w:pPr>
        <w:rPr>
          <w:rFonts w:ascii="Calibri" w:hAnsi="Calibri"/>
          <w:sz w:val="20"/>
          <w:szCs w:val="20"/>
          <w:lang w:val="en-GB"/>
        </w:rPr>
      </w:pPr>
    </w:p>
    <w:p w:rsidR="00C9580B" w:rsidRDefault="00C9580B">
      <w:pPr>
        <w:rPr>
          <w:rFonts w:ascii="Calibri" w:hAnsi="Calibri"/>
          <w:sz w:val="20"/>
          <w:szCs w:val="20"/>
          <w:lang w:val="en-GB"/>
        </w:rPr>
      </w:pPr>
      <w:r>
        <w:rPr>
          <w:rFonts w:ascii="Calibri" w:hAnsi="Calibri"/>
          <w:sz w:val="20"/>
          <w:szCs w:val="20"/>
          <w:lang w:val="en-GB"/>
        </w:rPr>
        <w:t>The next chapter contains the results.</w:t>
      </w:r>
    </w:p>
    <w:p w:rsidR="00B6722C" w:rsidRPr="005635D8" w:rsidRDefault="00B6722C">
      <w:pPr>
        <w:rPr>
          <w:rFonts w:ascii="Calibri" w:hAnsi="Calibri"/>
          <w:sz w:val="20"/>
          <w:szCs w:val="20"/>
          <w:lang w:val="en-GB"/>
        </w:rPr>
      </w:pPr>
      <w:r w:rsidRPr="005635D8">
        <w:rPr>
          <w:rFonts w:ascii="Calibri" w:hAnsi="Calibri"/>
          <w:sz w:val="20"/>
          <w:szCs w:val="20"/>
          <w:lang w:val="en-GB"/>
        </w:rPr>
        <w:br w:type="page"/>
      </w:r>
    </w:p>
    <w:p w:rsidR="00DC6642" w:rsidRPr="005635D8" w:rsidRDefault="00DC6642" w:rsidP="005D7DD1">
      <w:pPr>
        <w:pStyle w:val="Heading1"/>
      </w:pPr>
      <w:bookmarkStart w:id="82" w:name="_Toc362267306"/>
      <w:r w:rsidRPr="005635D8">
        <w:t>9 Results</w:t>
      </w:r>
      <w:bookmarkEnd w:id="82"/>
    </w:p>
    <w:p w:rsidR="007A20B0" w:rsidRPr="005635D8" w:rsidRDefault="007A20B0" w:rsidP="005D7DD1">
      <w:pPr>
        <w:pStyle w:val="BodyTextIndent"/>
        <w:ind w:left="0"/>
        <w:jc w:val="both"/>
        <w:rPr>
          <w:rFonts w:ascii="Calibri" w:hAnsi="Calibri"/>
          <w:color w:val="000000"/>
          <w:lang w:val="en-GB"/>
        </w:rPr>
      </w:pPr>
    </w:p>
    <w:p w:rsidR="00DC6642" w:rsidRPr="005635D8" w:rsidRDefault="00DC6642" w:rsidP="005D7DD1">
      <w:pPr>
        <w:pStyle w:val="BodyTextIndent"/>
        <w:ind w:left="0"/>
        <w:jc w:val="both"/>
        <w:rPr>
          <w:rFonts w:ascii="Calibri" w:hAnsi="Calibri"/>
          <w:color w:val="000000"/>
          <w:lang w:val="en-GB"/>
        </w:rPr>
      </w:pPr>
      <w:r w:rsidRPr="005635D8">
        <w:rPr>
          <w:rFonts w:ascii="Calibri" w:hAnsi="Calibri"/>
          <w:color w:val="000000"/>
          <w:lang w:val="en-GB"/>
        </w:rPr>
        <w:t>In this chapter finally the results of the empirical analyses will be presented. In the first part of the chapter the results of the calculation process of the discretionary accruals will be presented. In the second part of the chapter the values of the discretionary accruals will be used to test the hypotheses. The effects of the introduction of IFRS, the size of the company and the type of industry to which the company belongs on the discretionary accruals will then be tested.</w:t>
      </w:r>
    </w:p>
    <w:p w:rsidR="00DC6642" w:rsidRPr="005635D8" w:rsidRDefault="00DC6642" w:rsidP="00DC6642">
      <w:pPr>
        <w:rPr>
          <w:rFonts w:eastAsiaTheme="minorHAnsi"/>
          <w:sz w:val="24"/>
          <w:szCs w:val="24"/>
          <w:lang w:val="en-GB" w:eastAsia="nl-NL"/>
        </w:rPr>
      </w:pPr>
    </w:p>
    <w:p w:rsidR="00DC6642" w:rsidRPr="005635D8" w:rsidRDefault="00DC6642" w:rsidP="001E4C5D">
      <w:pPr>
        <w:pStyle w:val="Heading3"/>
        <w:rPr>
          <w:lang w:val="en-GB"/>
        </w:rPr>
      </w:pPr>
      <w:bookmarkStart w:id="83" w:name="_Toc362267307"/>
      <w:r w:rsidRPr="005635D8">
        <w:rPr>
          <w:lang w:val="en-GB"/>
        </w:rPr>
        <w:t>9.1 Calculating the discretionary accruals</w:t>
      </w:r>
      <w:bookmarkEnd w:id="83"/>
    </w:p>
    <w:p w:rsidR="00DC6642" w:rsidRPr="005635D8" w:rsidRDefault="00DC6642" w:rsidP="00EF6BD3">
      <w:pPr>
        <w:pStyle w:val="BodyTextIndent"/>
        <w:ind w:left="0"/>
        <w:jc w:val="both"/>
        <w:rPr>
          <w:rFonts w:ascii="Calibri" w:hAnsi="Calibri"/>
          <w:color w:val="000000"/>
          <w:lang w:val="en-GB"/>
        </w:rPr>
      </w:pPr>
      <w:r w:rsidRPr="005635D8">
        <w:rPr>
          <w:rFonts w:ascii="Calibri" w:hAnsi="Calibri"/>
          <w:color w:val="000000"/>
          <w:lang w:val="en-GB"/>
        </w:rPr>
        <w:t>In the first step of the calculation of the discretionary accruals the total accruals are calculated using the formula previously presented. In order to use this formula the c</w:t>
      </w:r>
      <w:r w:rsidR="00A94FA6" w:rsidRPr="005635D8">
        <w:rPr>
          <w:rFonts w:ascii="Calibri" w:hAnsi="Calibri"/>
          <w:color w:val="000000"/>
          <w:lang w:val="en-GB"/>
        </w:rPr>
        <w:t>hange (Δ) variables</w:t>
      </w:r>
      <w:r w:rsidR="007073A1" w:rsidRPr="005635D8">
        <w:rPr>
          <w:rFonts w:ascii="Calibri" w:hAnsi="Calibri"/>
          <w:color w:val="000000"/>
          <w:lang w:val="en-GB"/>
        </w:rPr>
        <w:t xml:space="preserve"> Δ</w:t>
      </w:r>
      <w:r w:rsidR="007073A1" w:rsidRPr="005635D8">
        <w:rPr>
          <w:rFonts w:ascii="Calibri" w:hAnsi="Calibri"/>
          <w:i/>
          <w:iCs/>
          <w:color w:val="000000"/>
          <w:lang w:val="en-GB"/>
        </w:rPr>
        <w:t>CA</w:t>
      </w:r>
      <w:r w:rsidR="007073A1" w:rsidRPr="005635D8">
        <w:rPr>
          <w:rFonts w:ascii="Calibri" w:hAnsi="Calibri"/>
          <w:color w:val="000000"/>
          <w:vertAlign w:val="subscript"/>
          <w:lang w:val="en-GB"/>
        </w:rPr>
        <w:t>it</w:t>
      </w:r>
      <w:r w:rsidR="007073A1" w:rsidRPr="005635D8">
        <w:rPr>
          <w:rFonts w:ascii="Calibri" w:hAnsi="Calibri"/>
          <w:color w:val="000000"/>
          <w:lang w:val="en-GB"/>
        </w:rPr>
        <w:t>, Δ</w:t>
      </w:r>
      <w:r w:rsidR="007073A1" w:rsidRPr="005635D8">
        <w:rPr>
          <w:rFonts w:ascii="Calibri" w:hAnsi="Calibri"/>
          <w:i/>
          <w:iCs/>
          <w:color w:val="000000"/>
          <w:lang w:val="en-GB"/>
        </w:rPr>
        <w:t>CL</w:t>
      </w:r>
      <w:r w:rsidR="007073A1" w:rsidRPr="005635D8">
        <w:rPr>
          <w:rFonts w:ascii="Calibri" w:hAnsi="Calibri"/>
          <w:i/>
          <w:iCs/>
          <w:color w:val="000000"/>
          <w:vertAlign w:val="subscript"/>
          <w:lang w:val="en-GB"/>
        </w:rPr>
        <w:t>it</w:t>
      </w:r>
      <w:r w:rsidR="007073A1" w:rsidRPr="005635D8">
        <w:rPr>
          <w:rFonts w:ascii="Calibri" w:hAnsi="Calibri"/>
          <w:color w:val="000000"/>
          <w:vertAlign w:val="subscript"/>
          <w:lang w:val="en-GB"/>
        </w:rPr>
        <w:t xml:space="preserve">, </w:t>
      </w:r>
      <w:r w:rsidR="007073A1" w:rsidRPr="005635D8">
        <w:rPr>
          <w:rFonts w:ascii="Calibri" w:hAnsi="Calibri"/>
          <w:color w:val="000000"/>
          <w:lang w:val="en-GB"/>
        </w:rPr>
        <w:t>Δ</w:t>
      </w:r>
      <w:r w:rsidR="007073A1" w:rsidRPr="005635D8">
        <w:rPr>
          <w:rFonts w:ascii="Calibri" w:hAnsi="Calibri"/>
          <w:i/>
          <w:iCs/>
          <w:color w:val="000000"/>
          <w:lang w:val="en-GB"/>
        </w:rPr>
        <w:t>CASH</w:t>
      </w:r>
      <w:r w:rsidR="007073A1" w:rsidRPr="005635D8">
        <w:rPr>
          <w:rFonts w:ascii="Calibri" w:hAnsi="Calibri"/>
          <w:i/>
          <w:iCs/>
          <w:color w:val="000000"/>
          <w:vertAlign w:val="subscript"/>
          <w:lang w:val="en-GB"/>
        </w:rPr>
        <w:t>it</w:t>
      </w:r>
      <w:r w:rsidR="007073A1" w:rsidRPr="005635D8">
        <w:rPr>
          <w:rFonts w:ascii="Calibri" w:hAnsi="Calibri"/>
          <w:color w:val="000000"/>
          <w:lang w:val="en-GB"/>
        </w:rPr>
        <w:t xml:space="preserve"> and Δ</w:t>
      </w:r>
      <w:r w:rsidR="007073A1" w:rsidRPr="005635D8">
        <w:rPr>
          <w:rFonts w:ascii="Calibri" w:hAnsi="Calibri"/>
          <w:i/>
          <w:iCs/>
          <w:color w:val="000000"/>
          <w:lang w:val="en-GB"/>
        </w:rPr>
        <w:t>STDEBT</w:t>
      </w:r>
      <w:r w:rsidR="007073A1" w:rsidRPr="005635D8">
        <w:rPr>
          <w:rFonts w:ascii="Calibri" w:hAnsi="Calibri"/>
          <w:i/>
          <w:iCs/>
          <w:color w:val="000000"/>
          <w:vertAlign w:val="subscript"/>
          <w:lang w:val="en-GB"/>
        </w:rPr>
        <w:t>it</w:t>
      </w:r>
      <w:r w:rsidR="007073A1" w:rsidRPr="005635D8">
        <w:rPr>
          <w:rFonts w:ascii="Calibri" w:hAnsi="Calibri"/>
          <w:color w:val="000000"/>
          <w:lang w:val="en-GB"/>
        </w:rPr>
        <w:t xml:space="preserve"> </w:t>
      </w:r>
      <w:r w:rsidRPr="005635D8">
        <w:rPr>
          <w:rFonts w:ascii="Calibri" w:hAnsi="Calibri"/>
          <w:color w:val="000000"/>
          <w:lang w:val="en-GB"/>
        </w:rPr>
        <w:t>were calculated in SPSS by subtracting the value of the lagged variable (t – 1</w:t>
      </w:r>
      <w:r w:rsidR="00CB5F64" w:rsidRPr="005635D8">
        <w:rPr>
          <w:rFonts w:ascii="Calibri" w:hAnsi="Calibri"/>
          <w:color w:val="000000"/>
          <w:lang w:val="en-GB"/>
        </w:rPr>
        <w:t>) from</w:t>
      </w:r>
      <w:r w:rsidRPr="005635D8">
        <w:rPr>
          <w:rFonts w:ascii="Calibri" w:hAnsi="Calibri"/>
          <w:color w:val="000000"/>
          <w:lang w:val="en-GB"/>
        </w:rPr>
        <w:t xml:space="preserve"> the value of the subsequent variable at the moment t. For example </w:t>
      </w:r>
      <w:r w:rsidR="00EF6BD3" w:rsidRPr="005635D8">
        <w:rPr>
          <w:rFonts w:ascii="Calibri" w:hAnsi="Calibri"/>
          <w:color w:val="000000"/>
          <w:lang w:val="en-GB"/>
        </w:rPr>
        <w:t>Δ</w:t>
      </w:r>
      <w:r w:rsidR="00EF6BD3" w:rsidRPr="005635D8">
        <w:rPr>
          <w:rFonts w:ascii="Calibri" w:hAnsi="Calibri"/>
          <w:i/>
          <w:iCs/>
          <w:color w:val="000000"/>
          <w:lang w:val="en-GB"/>
        </w:rPr>
        <w:t>CA</w:t>
      </w:r>
      <w:r w:rsidR="00EF6BD3" w:rsidRPr="005635D8">
        <w:rPr>
          <w:rFonts w:ascii="Calibri" w:hAnsi="Calibri"/>
          <w:color w:val="000000"/>
          <w:vertAlign w:val="subscript"/>
          <w:lang w:val="en-GB"/>
        </w:rPr>
        <w:t>it</w:t>
      </w:r>
      <w:r w:rsidR="00EF6BD3" w:rsidRPr="005635D8">
        <w:rPr>
          <w:rFonts w:ascii="Calibri" w:hAnsi="Calibri"/>
          <w:color w:val="000000"/>
          <w:lang w:val="en-GB"/>
        </w:rPr>
        <w:t xml:space="preserve"> =</w:t>
      </w:r>
      <w:r w:rsidRPr="005635D8">
        <w:rPr>
          <w:rFonts w:ascii="Calibri" w:hAnsi="Calibri"/>
          <w:color w:val="000000"/>
          <w:lang w:val="en-GB"/>
        </w:rPr>
        <w:t xml:space="preserve"> CA</w:t>
      </w:r>
      <w:r w:rsidRPr="005635D8">
        <w:rPr>
          <w:rFonts w:ascii="Calibri" w:hAnsi="Calibri"/>
          <w:color w:val="000000"/>
          <w:vertAlign w:val="subscript"/>
          <w:lang w:val="en-GB"/>
        </w:rPr>
        <w:t>it</w:t>
      </w:r>
      <w:r w:rsidRPr="005635D8">
        <w:rPr>
          <w:rFonts w:ascii="Calibri" w:hAnsi="Calibri"/>
          <w:color w:val="000000"/>
          <w:lang w:val="en-GB"/>
        </w:rPr>
        <w:t xml:space="preserve"> – CA</w:t>
      </w:r>
      <w:r w:rsidRPr="005635D8">
        <w:rPr>
          <w:rFonts w:ascii="Calibri" w:hAnsi="Calibri"/>
          <w:color w:val="000000"/>
          <w:vertAlign w:val="subscript"/>
          <w:lang w:val="en-GB"/>
        </w:rPr>
        <w:t>it</w:t>
      </w:r>
      <w:r w:rsidR="00EF6BD3" w:rsidRPr="005635D8">
        <w:rPr>
          <w:rFonts w:ascii="Calibri" w:hAnsi="Calibri"/>
          <w:color w:val="000000"/>
          <w:vertAlign w:val="subscript"/>
          <w:lang w:val="en-GB"/>
        </w:rPr>
        <w:t>-</w:t>
      </w:r>
      <w:r w:rsidRPr="005635D8">
        <w:rPr>
          <w:rFonts w:ascii="Calibri" w:hAnsi="Calibri"/>
          <w:color w:val="000000"/>
          <w:vertAlign w:val="subscript"/>
          <w:lang w:val="en-GB"/>
        </w:rPr>
        <w:t>1</w:t>
      </w:r>
      <w:r w:rsidRPr="005635D8">
        <w:rPr>
          <w:rFonts w:ascii="Calibri" w:hAnsi="Calibri"/>
          <w:color w:val="000000"/>
          <w:lang w:val="en-GB"/>
        </w:rPr>
        <w:t xml:space="preserve">. After the construction of the change variables all the variables were entered in the </w:t>
      </w:r>
      <w:r w:rsidR="00EF6BD3" w:rsidRPr="005635D8">
        <w:rPr>
          <w:rFonts w:ascii="Calibri" w:hAnsi="Calibri"/>
          <w:color w:val="000000"/>
          <w:lang w:val="en-GB"/>
        </w:rPr>
        <w:t>formula and the Total Accruals (</w:t>
      </w:r>
      <w:r w:rsidR="00EF6BD3" w:rsidRPr="005635D8">
        <w:rPr>
          <w:rFonts w:ascii="Calibri" w:hAnsi="Calibri"/>
          <w:i/>
          <w:iCs/>
          <w:color w:val="000000"/>
          <w:lang w:val="en-GB"/>
        </w:rPr>
        <w:t>TACC</w:t>
      </w:r>
      <w:r w:rsidR="00EF6BD3" w:rsidRPr="005635D8">
        <w:rPr>
          <w:rFonts w:ascii="Calibri" w:hAnsi="Calibri"/>
          <w:i/>
          <w:iCs/>
          <w:color w:val="000000"/>
          <w:vertAlign w:val="subscript"/>
          <w:lang w:val="en-GB"/>
        </w:rPr>
        <w:t>it</w:t>
      </w:r>
      <w:r w:rsidR="00CB5F64" w:rsidRPr="005635D8">
        <w:rPr>
          <w:rFonts w:ascii="Calibri" w:hAnsi="Calibri"/>
          <w:color w:val="000000"/>
          <w:lang w:val="en-GB"/>
        </w:rPr>
        <w:t>) were</w:t>
      </w:r>
      <w:r w:rsidRPr="005635D8">
        <w:rPr>
          <w:rFonts w:ascii="Calibri" w:hAnsi="Calibri"/>
          <w:color w:val="000000"/>
          <w:lang w:val="en-GB"/>
        </w:rPr>
        <w:t xml:space="preserve"> calculated for every firm in every data year resulting in 24 x </w:t>
      </w:r>
      <w:r w:rsidR="00763D44" w:rsidRPr="005635D8">
        <w:rPr>
          <w:rFonts w:ascii="Calibri" w:hAnsi="Calibri"/>
          <w:color w:val="000000"/>
          <w:lang w:val="en-GB"/>
        </w:rPr>
        <w:t>6 = 144</w:t>
      </w:r>
      <w:r w:rsidRPr="005635D8">
        <w:rPr>
          <w:rFonts w:ascii="Calibri" w:hAnsi="Calibri"/>
          <w:color w:val="000000"/>
          <w:lang w:val="en-GB"/>
        </w:rPr>
        <w:t xml:space="preserve"> firm year observations of the total accruals. The average values of the total accruals of the 24 companies per year are presented in table 3. It should be noticed that on average the values of the Total Accruals are negative. Barth et al. (2006, 26) note that this is consistent with prior research. According to them the negative value of Total Accruals “is attributable to depreciation expense being included in accruals, but capital expenditures being included in investing cash flows”. As most formulas in the process of calculating the discretionary accruals do not deal with the full value of the accruals but with the accruals scaled by the total assets of the previous year TA</w:t>
      </w:r>
      <w:r w:rsidRPr="005635D8">
        <w:rPr>
          <w:rFonts w:ascii="Calibri" w:hAnsi="Calibri"/>
          <w:color w:val="000000"/>
          <w:vertAlign w:val="subscript"/>
          <w:lang w:val="en-GB"/>
        </w:rPr>
        <w:t>it-1,</w:t>
      </w:r>
      <w:r w:rsidRPr="005635D8">
        <w:rPr>
          <w:rFonts w:ascii="Calibri" w:hAnsi="Calibri"/>
          <w:color w:val="000000"/>
          <w:lang w:val="en-GB"/>
        </w:rPr>
        <w:t xml:space="preserve"> the average total accruals scaled by the lagged total assets per year are presented in table 4. </w:t>
      </w:r>
    </w:p>
    <w:tbl>
      <w:tblPr>
        <w:tblStyle w:val="TableGrid"/>
        <w:tblpPr w:leftFromText="141" w:rightFromText="141" w:vertAnchor="text" w:horzAnchor="margin" w:tblpY="743"/>
        <w:tblW w:w="9303" w:type="dxa"/>
        <w:tblLook w:val="04A0"/>
      </w:tblPr>
      <w:tblGrid>
        <w:gridCol w:w="1839"/>
        <w:gridCol w:w="1699"/>
        <w:gridCol w:w="1892"/>
        <w:gridCol w:w="1946"/>
        <w:gridCol w:w="1927"/>
      </w:tblGrid>
      <w:tr w:rsidR="00DB6551" w:rsidRPr="005635D8" w:rsidTr="00DB6551">
        <w:trPr>
          <w:trHeight w:val="350"/>
        </w:trPr>
        <w:tc>
          <w:tcPr>
            <w:tcW w:w="1839" w:type="dxa"/>
          </w:tcPr>
          <w:p w:rsidR="00DB6551" w:rsidRPr="005635D8" w:rsidRDefault="00DB6551" w:rsidP="00DB6551">
            <w:pPr>
              <w:rPr>
                <w:rFonts w:eastAsiaTheme="minorHAnsi"/>
                <w:i/>
                <w:sz w:val="20"/>
                <w:szCs w:val="20"/>
                <w:lang w:val="en-GB" w:eastAsia="nl-NL"/>
              </w:rPr>
            </w:pPr>
          </w:p>
        </w:tc>
        <w:tc>
          <w:tcPr>
            <w:tcW w:w="1699" w:type="dxa"/>
          </w:tcPr>
          <w:p w:rsidR="00DB6551" w:rsidRPr="005635D8" w:rsidRDefault="00DB6551" w:rsidP="00DB6551">
            <w:pPr>
              <w:rPr>
                <w:rFonts w:eastAsiaTheme="minorHAnsi"/>
                <w:i/>
                <w:sz w:val="20"/>
                <w:szCs w:val="20"/>
                <w:lang w:val="en-GB" w:eastAsia="nl-NL"/>
              </w:rPr>
            </w:pPr>
            <w:r w:rsidRPr="005635D8">
              <w:rPr>
                <w:rFonts w:eastAsiaTheme="minorHAnsi"/>
                <w:i/>
                <w:sz w:val="20"/>
                <w:szCs w:val="20"/>
                <w:lang w:val="en-GB" w:eastAsia="nl-NL"/>
              </w:rPr>
              <w:t>N</w:t>
            </w:r>
          </w:p>
        </w:tc>
        <w:tc>
          <w:tcPr>
            <w:tcW w:w="1892" w:type="dxa"/>
          </w:tcPr>
          <w:p w:rsidR="00DB6551" w:rsidRPr="005635D8" w:rsidRDefault="00DB6551" w:rsidP="00DB6551">
            <w:pPr>
              <w:rPr>
                <w:rFonts w:eastAsiaTheme="minorHAnsi"/>
                <w:i/>
                <w:sz w:val="20"/>
                <w:szCs w:val="20"/>
                <w:lang w:val="en-GB" w:eastAsia="nl-NL"/>
              </w:rPr>
            </w:pPr>
            <w:r w:rsidRPr="005635D8">
              <w:rPr>
                <w:rFonts w:eastAsiaTheme="minorHAnsi"/>
                <w:i/>
                <w:sz w:val="20"/>
                <w:szCs w:val="20"/>
                <w:lang w:val="en-GB" w:eastAsia="nl-NL"/>
              </w:rPr>
              <w:t>TACC</w:t>
            </w:r>
            <w:r w:rsidRPr="005635D8">
              <w:rPr>
                <w:rFonts w:eastAsiaTheme="minorHAnsi"/>
                <w:i/>
                <w:sz w:val="20"/>
                <w:szCs w:val="20"/>
                <w:vertAlign w:val="subscript"/>
                <w:lang w:val="en-GB" w:eastAsia="nl-NL"/>
              </w:rPr>
              <w:t>t-i</w:t>
            </w:r>
          </w:p>
        </w:tc>
        <w:tc>
          <w:tcPr>
            <w:tcW w:w="1946" w:type="dxa"/>
          </w:tcPr>
          <w:p w:rsidR="00DB6551" w:rsidRPr="005635D8" w:rsidRDefault="00DB6551" w:rsidP="00DB6551">
            <w:pPr>
              <w:rPr>
                <w:rFonts w:eastAsiaTheme="minorHAnsi"/>
                <w:i/>
                <w:sz w:val="20"/>
                <w:szCs w:val="20"/>
                <w:lang w:val="en-GB" w:eastAsia="nl-NL"/>
              </w:rPr>
            </w:pPr>
            <w:r w:rsidRPr="005635D8">
              <w:rPr>
                <w:rFonts w:eastAsiaTheme="minorHAnsi"/>
                <w:i/>
                <w:sz w:val="20"/>
                <w:szCs w:val="20"/>
                <w:lang w:val="en-GB" w:eastAsia="nl-NL"/>
              </w:rPr>
              <w:t>NDACC</w:t>
            </w:r>
            <w:r w:rsidRPr="005635D8">
              <w:rPr>
                <w:rFonts w:eastAsiaTheme="minorHAnsi"/>
                <w:i/>
                <w:sz w:val="20"/>
                <w:szCs w:val="20"/>
                <w:vertAlign w:val="subscript"/>
                <w:lang w:val="en-GB" w:eastAsia="nl-NL"/>
              </w:rPr>
              <w:t>t-i</w:t>
            </w:r>
          </w:p>
        </w:tc>
        <w:tc>
          <w:tcPr>
            <w:tcW w:w="1927" w:type="dxa"/>
          </w:tcPr>
          <w:p w:rsidR="00DB6551" w:rsidRPr="005635D8" w:rsidRDefault="00DB6551" w:rsidP="00DB6551">
            <w:pPr>
              <w:rPr>
                <w:rFonts w:eastAsiaTheme="minorHAnsi"/>
                <w:i/>
                <w:sz w:val="20"/>
                <w:szCs w:val="20"/>
                <w:lang w:val="en-GB" w:eastAsia="nl-NL"/>
              </w:rPr>
            </w:pPr>
            <w:r w:rsidRPr="005635D8">
              <w:rPr>
                <w:rFonts w:eastAsiaTheme="minorHAnsi"/>
                <w:i/>
                <w:sz w:val="20"/>
                <w:szCs w:val="20"/>
                <w:lang w:val="en-GB" w:eastAsia="nl-NL"/>
              </w:rPr>
              <w:t>DACC</w:t>
            </w:r>
            <w:r w:rsidRPr="005635D8">
              <w:rPr>
                <w:rFonts w:eastAsiaTheme="minorHAnsi"/>
                <w:i/>
                <w:sz w:val="20"/>
                <w:szCs w:val="20"/>
                <w:vertAlign w:val="subscript"/>
                <w:lang w:val="en-GB" w:eastAsia="nl-NL"/>
              </w:rPr>
              <w:t>t-i</w:t>
            </w:r>
          </w:p>
        </w:tc>
      </w:tr>
      <w:tr w:rsidR="00DB6551" w:rsidRPr="005635D8" w:rsidTr="00DB6551">
        <w:trPr>
          <w:trHeight w:val="350"/>
        </w:trPr>
        <w:tc>
          <w:tcPr>
            <w:tcW w:w="1839" w:type="dxa"/>
          </w:tcPr>
          <w:p w:rsidR="00DB6551" w:rsidRPr="005635D8" w:rsidRDefault="00DB6551" w:rsidP="00DB6551">
            <w:pPr>
              <w:rPr>
                <w:rFonts w:eastAsiaTheme="minorHAnsi"/>
                <w:sz w:val="20"/>
                <w:szCs w:val="20"/>
                <w:lang w:val="en-GB" w:eastAsia="nl-NL"/>
              </w:rPr>
            </w:pPr>
            <w:r w:rsidRPr="005635D8">
              <w:rPr>
                <w:rFonts w:eastAsiaTheme="minorHAnsi"/>
                <w:sz w:val="20"/>
                <w:szCs w:val="20"/>
                <w:lang w:val="en-GB" w:eastAsia="nl-NL"/>
              </w:rPr>
              <w:t>2002</w:t>
            </w:r>
          </w:p>
        </w:tc>
        <w:tc>
          <w:tcPr>
            <w:tcW w:w="1699" w:type="dxa"/>
          </w:tcPr>
          <w:p w:rsidR="00DB6551" w:rsidRPr="005635D8" w:rsidRDefault="00DB6551" w:rsidP="00DB6551">
            <w:pPr>
              <w:rPr>
                <w:rFonts w:eastAsiaTheme="minorHAnsi"/>
                <w:sz w:val="20"/>
                <w:szCs w:val="20"/>
                <w:lang w:val="en-GB" w:eastAsia="nl-NL"/>
              </w:rPr>
            </w:pPr>
            <w:r w:rsidRPr="005635D8">
              <w:rPr>
                <w:rFonts w:eastAsiaTheme="minorHAnsi"/>
                <w:sz w:val="20"/>
                <w:szCs w:val="20"/>
                <w:lang w:val="en-GB" w:eastAsia="nl-NL"/>
              </w:rPr>
              <w:t>24</w:t>
            </w:r>
          </w:p>
        </w:tc>
        <w:tc>
          <w:tcPr>
            <w:tcW w:w="1892" w:type="dxa"/>
          </w:tcPr>
          <w:p w:rsidR="00DB6551" w:rsidRPr="005635D8" w:rsidRDefault="00DB6551" w:rsidP="00DB6551">
            <w:pPr>
              <w:rPr>
                <w:rFonts w:eastAsiaTheme="minorHAnsi"/>
                <w:sz w:val="20"/>
                <w:szCs w:val="20"/>
                <w:lang w:val="en-GB" w:eastAsia="nl-NL"/>
              </w:rPr>
            </w:pPr>
            <w:r w:rsidRPr="005635D8">
              <w:rPr>
                <w:rFonts w:eastAsiaTheme="minorHAnsi"/>
                <w:sz w:val="20"/>
                <w:szCs w:val="20"/>
                <w:lang w:val="en-GB" w:eastAsia="nl-NL"/>
              </w:rPr>
              <w:t>-249,05</w:t>
            </w:r>
          </w:p>
        </w:tc>
        <w:tc>
          <w:tcPr>
            <w:tcW w:w="1946" w:type="dxa"/>
          </w:tcPr>
          <w:p w:rsidR="00DB6551" w:rsidRPr="005635D8" w:rsidRDefault="00DB6551" w:rsidP="00DB6551">
            <w:pPr>
              <w:rPr>
                <w:rFonts w:eastAsiaTheme="minorHAnsi"/>
                <w:sz w:val="20"/>
                <w:szCs w:val="20"/>
                <w:lang w:val="en-GB" w:eastAsia="nl-NL"/>
              </w:rPr>
            </w:pPr>
            <w:r w:rsidRPr="005635D8">
              <w:rPr>
                <w:rFonts w:eastAsiaTheme="minorHAnsi"/>
                <w:sz w:val="20"/>
                <w:szCs w:val="20"/>
                <w:lang w:val="en-GB" w:eastAsia="nl-NL"/>
              </w:rPr>
              <w:t>-196,76</w:t>
            </w:r>
          </w:p>
        </w:tc>
        <w:tc>
          <w:tcPr>
            <w:tcW w:w="1927" w:type="dxa"/>
          </w:tcPr>
          <w:p w:rsidR="00DB6551" w:rsidRPr="005635D8" w:rsidRDefault="00DB6551" w:rsidP="00DB6551">
            <w:pPr>
              <w:rPr>
                <w:rFonts w:eastAsiaTheme="minorHAnsi"/>
                <w:sz w:val="20"/>
                <w:szCs w:val="20"/>
                <w:lang w:val="en-GB" w:eastAsia="nl-NL"/>
              </w:rPr>
            </w:pPr>
            <w:r w:rsidRPr="005635D8">
              <w:rPr>
                <w:rFonts w:eastAsiaTheme="minorHAnsi"/>
                <w:sz w:val="20"/>
                <w:szCs w:val="20"/>
                <w:lang w:val="en-GB" w:eastAsia="nl-NL"/>
              </w:rPr>
              <w:t>-52,29</w:t>
            </w:r>
          </w:p>
        </w:tc>
      </w:tr>
      <w:tr w:rsidR="00DB6551" w:rsidRPr="005635D8" w:rsidTr="00DB6551">
        <w:trPr>
          <w:trHeight w:val="350"/>
        </w:trPr>
        <w:tc>
          <w:tcPr>
            <w:tcW w:w="1839" w:type="dxa"/>
          </w:tcPr>
          <w:p w:rsidR="00DB6551" w:rsidRPr="005635D8" w:rsidRDefault="00DB6551" w:rsidP="00DB6551">
            <w:pPr>
              <w:rPr>
                <w:rFonts w:eastAsiaTheme="minorHAnsi"/>
                <w:sz w:val="20"/>
                <w:szCs w:val="20"/>
                <w:lang w:val="en-GB" w:eastAsia="nl-NL"/>
              </w:rPr>
            </w:pPr>
            <w:r w:rsidRPr="005635D8">
              <w:rPr>
                <w:rFonts w:eastAsiaTheme="minorHAnsi"/>
                <w:sz w:val="20"/>
                <w:szCs w:val="20"/>
                <w:lang w:val="en-GB" w:eastAsia="nl-NL"/>
              </w:rPr>
              <w:t>2003</w:t>
            </w:r>
          </w:p>
        </w:tc>
        <w:tc>
          <w:tcPr>
            <w:tcW w:w="1699" w:type="dxa"/>
          </w:tcPr>
          <w:p w:rsidR="00DB6551" w:rsidRPr="005635D8" w:rsidRDefault="00DB6551" w:rsidP="00DB6551">
            <w:pPr>
              <w:rPr>
                <w:rFonts w:eastAsiaTheme="minorHAnsi"/>
                <w:sz w:val="20"/>
                <w:szCs w:val="20"/>
                <w:lang w:val="en-GB" w:eastAsia="nl-NL"/>
              </w:rPr>
            </w:pPr>
            <w:r w:rsidRPr="005635D8">
              <w:rPr>
                <w:rFonts w:eastAsiaTheme="minorHAnsi"/>
                <w:sz w:val="20"/>
                <w:szCs w:val="20"/>
                <w:lang w:val="en-GB" w:eastAsia="nl-NL"/>
              </w:rPr>
              <w:t>24</w:t>
            </w:r>
          </w:p>
        </w:tc>
        <w:tc>
          <w:tcPr>
            <w:tcW w:w="1892" w:type="dxa"/>
          </w:tcPr>
          <w:p w:rsidR="00DB6551" w:rsidRPr="005635D8" w:rsidRDefault="00DB6551" w:rsidP="00DB6551">
            <w:pPr>
              <w:rPr>
                <w:rFonts w:eastAsiaTheme="minorHAnsi"/>
                <w:sz w:val="20"/>
                <w:szCs w:val="20"/>
                <w:lang w:val="en-GB" w:eastAsia="nl-NL"/>
              </w:rPr>
            </w:pPr>
            <w:r w:rsidRPr="005635D8">
              <w:rPr>
                <w:rFonts w:eastAsiaTheme="minorHAnsi"/>
                <w:sz w:val="20"/>
                <w:szCs w:val="20"/>
                <w:lang w:val="en-GB" w:eastAsia="nl-NL"/>
              </w:rPr>
              <w:t>-552,52</w:t>
            </w:r>
          </w:p>
        </w:tc>
        <w:tc>
          <w:tcPr>
            <w:tcW w:w="1946" w:type="dxa"/>
          </w:tcPr>
          <w:p w:rsidR="00DB6551" w:rsidRPr="005635D8" w:rsidRDefault="00DB6551" w:rsidP="00DB6551">
            <w:pPr>
              <w:rPr>
                <w:rFonts w:eastAsiaTheme="minorHAnsi"/>
                <w:sz w:val="20"/>
                <w:szCs w:val="20"/>
                <w:lang w:val="en-GB" w:eastAsia="nl-NL"/>
              </w:rPr>
            </w:pPr>
            <w:r w:rsidRPr="005635D8">
              <w:rPr>
                <w:rFonts w:eastAsiaTheme="minorHAnsi"/>
                <w:sz w:val="20"/>
                <w:szCs w:val="20"/>
                <w:lang w:val="en-GB" w:eastAsia="nl-NL"/>
              </w:rPr>
              <w:t>-234,01</w:t>
            </w:r>
          </w:p>
        </w:tc>
        <w:tc>
          <w:tcPr>
            <w:tcW w:w="1927" w:type="dxa"/>
          </w:tcPr>
          <w:p w:rsidR="00DB6551" w:rsidRPr="005635D8" w:rsidRDefault="00DB6551" w:rsidP="00DB6551">
            <w:pPr>
              <w:rPr>
                <w:rFonts w:eastAsiaTheme="minorHAnsi"/>
                <w:sz w:val="20"/>
                <w:szCs w:val="20"/>
                <w:lang w:val="en-GB" w:eastAsia="nl-NL"/>
              </w:rPr>
            </w:pPr>
            <w:r w:rsidRPr="005635D8">
              <w:rPr>
                <w:rFonts w:eastAsiaTheme="minorHAnsi"/>
                <w:sz w:val="20"/>
                <w:szCs w:val="20"/>
                <w:lang w:val="en-GB" w:eastAsia="nl-NL"/>
              </w:rPr>
              <w:t>-318,51</w:t>
            </w:r>
          </w:p>
        </w:tc>
      </w:tr>
      <w:tr w:rsidR="00DB6551" w:rsidRPr="005635D8" w:rsidTr="00DB6551">
        <w:trPr>
          <w:trHeight w:val="350"/>
        </w:trPr>
        <w:tc>
          <w:tcPr>
            <w:tcW w:w="1839" w:type="dxa"/>
          </w:tcPr>
          <w:p w:rsidR="00DB6551" w:rsidRPr="005635D8" w:rsidRDefault="00DB6551" w:rsidP="00DB6551">
            <w:pPr>
              <w:rPr>
                <w:rFonts w:eastAsiaTheme="minorHAnsi"/>
                <w:sz w:val="20"/>
                <w:szCs w:val="20"/>
                <w:lang w:val="en-GB" w:eastAsia="nl-NL"/>
              </w:rPr>
            </w:pPr>
            <w:r w:rsidRPr="005635D8">
              <w:rPr>
                <w:rFonts w:eastAsiaTheme="minorHAnsi"/>
                <w:sz w:val="20"/>
                <w:szCs w:val="20"/>
                <w:lang w:val="en-GB" w:eastAsia="nl-NL"/>
              </w:rPr>
              <w:t>2004</w:t>
            </w:r>
          </w:p>
        </w:tc>
        <w:tc>
          <w:tcPr>
            <w:tcW w:w="1699" w:type="dxa"/>
          </w:tcPr>
          <w:p w:rsidR="00DB6551" w:rsidRPr="005635D8" w:rsidRDefault="00DB6551" w:rsidP="00DB6551">
            <w:pPr>
              <w:rPr>
                <w:rFonts w:eastAsiaTheme="minorHAnsi"/>
                <w:sz w:val="20"/>
                <w:szCs w:val="20"/>
                <w:lang w:val="en-GB" w:eastAsia="nl-NL"/>
              </w:rPr>
            </w:pPr>
            <w:r w:rsidRPr="005635D8">
              <w:rPr>
                <w:rFonts w:eastAsiaTheme="minorHAnsi"/>
                <w:sz w:val="20"/>
                <w:szCs w:val="20"/>
                <w:lang w:val="en-GB" w:eastAsia="nl-NL"/>
              </w:rPr>
              <w:t>24</w:t>
            </w:r>
          </w:p>
        </w:tc>
        <w:tc>
          <w:tcPr>
            <w:tcW w:w="1892" w:type="dxa"/>
          </w:tcPr>
          <w:p w:rsidR="00DB6551" w:rsidRPr="005635D8" w:rsidRDefault="00DB6551" w:rsidP="00DB6551">
            <w:pPr>
              <w:rPr>
                <w:rFonts w:eastAsiaTheme="minorHAnsi"/>
                <w:sz w:val="20"/>
                <w:szCs w:val="20"/>
                <w:lang w:val="en-GB" w:eastAsia="nl-NL"/>
              </w:rPr>
            </w:pPr>
            <w:r w:rsidRPr="005635D8">
              <w:rPr>
                <w:rFonts w:eastAsiaTheme="minorHAnsi"/>
                <w:sz w:val="20"/>
                <w:szCs w:val="20"/>
                <w:lang w:val="en-GB" w:eastAsia="nl-NL"/>
              </w:rPr>
              <w:t>-256,94</w:t>
            </w:r>
          </w:p>
        </w:tc>
        <w:tc>
          <w:tcPr>
            <w:tcW w:w="1946" w:type="dxa"/>
          </w:tcPr>
          <w:p w:rsidR="00DB6551" w:rsidRPr="005635D8" w:rsidRDefault="00DB6551" w:rsidP="00DB6551">
            <w:pPr>
              <w:rPr>
                <w:rFonts w:eastAsiaTheme="minorHAnsi"/>
                <w:sz w:val="20"/>
                <w:szCs w:val="20"/>
                <w:lang w:val="en-GB" w:eastAsia="nl-NL"/>
              </w:rPr>
            </w:pPr>
            <w:r w:rsidRPr="005635D8">
              <w:rPr>
                <w:rFonts w:eastAsiaTheme="minorHAnsi"/>
                <w:sz w:val="20"/>
                <w:szCs w:val="20"/>
                <w:lang w:val="en-GB" w:eastAsia="nl-NL"/>
              </w:rPr>
              <w:t>-245,24</w:t>
            </w:r>
          </w:p>
        </w:tc>
        <w:tc>
          <w:tcPr>
            <w:tcW w:w="1927" w:type="dxa"/>
          </w:tcPr>
          <w:p w:rsidR="00DB6551" w:rsidRPr="005635D8" w:rsidRDefault="00DB6551" w:rsidP="00DB6551">
            <w:pPr>
              <w:rPr>
                <w:rFonts w:eastAsiaTheme="minorHAnsi"/>
                <w:sz w:val="20"/>
                <w:szCs w:val="20"/>
                <w:lang w:val="en-GB" w:eastAsia="nl-NL"/>
              </w:rPr>
            </w:pPr>
            <w:r w:rsidRPr="005635D8">
              <w:rPr>
                <w:rFonts w:eastAsiaTheme="minorHAnsi"/>
                <w:sz w:val="20"/>
                <w:szCs w:val="20"/>
                <w:lang w:val="en-GB" w:eastAsia="nl-NL"/>
              </w:rPr>
              <w:t>-111,699</w:t>
            </w:r>
          </w:p>
        </w:tc>
      </w:tr>
      <w:tr w:rsidR="00DB6551" w:rsidRPr="005635D8" w:rsidTr="00DB6551">
        <w:trPr>
          <w:trHeight w:val="350"/>
        </w:trPr>
        <w:tc>
          <w:tcPr>
            <w:tcW w:w="1839" w:type="dxa"/>
          </w:tcPr>
          <w:p w:rsidR="00DB6551" w:rsidRPr="005635D8" w:rsidRDefault="00DB6551" w:rsidP="00DB6551">
            <w:pPr>
              <w:rPr>
                <w:rFonts w:eastAsiaTheme="minorHAnsi"/>
                <w:sz w:val="20"/>
                <w:szCs w:val="20"/>
                <w:lang w:val="en-GB" w:eastAsia="nl-NL"/>
              </w:rPr>
            </w:pPr>
            <w:r w:rsidRPr="005635D8">
              <w:rPr>
                <w:rFonts w:eastAsiaTheme="minorHAnsi"/>
                <w:sz w:val="20"/>
                <w:szCs w:val="20"/>
                <w:lang w:val="en-GB" w:eastAsia="nl-NL"/>
              </w:rPr>
              <w:t>2005</w:t>
            </w:r>
          </w:p>
        </w:tc>
        <w:tc>
          <w:tcPr>
            <w:tcW w:w="1699" w:type="dxa"/>
          </w:tcPr>
          <w:p w:rsidR="00DB6551" w:rsidRPr="005635D8" w:rsidRDefault="00DB6551" w:rsidP="00DB6551">
            <w:pPr>
              <w:rPr>
                <w:rFonts w:eastAsiaTheme="minorHAnsi"/>
                <w:sz w:val="20"/>
                <w:szCs w:val="20"/>
                <w:lang w:val="en-GB" w:eastAsia="nl-NL"/>
              </w:rPr>
            </w:pPr>
            <w:r w:rsidRPr="005635D8">
              <w:rPr>
                <w:rFonts w:eastAsiaTheme="minorHAnsi"/>
                <w:sz w:val="20"/>
                <w:szCs w:val="20"/>
                <w:lang w:val="en-GB" w:eastAsia="nl-NL"/>
              </w:rPr>
              <w:t>24</w:t>
            </w:r>
          </w:p>
        </w:tc>
        <w:tc>
          <w:tcPr>
            <w:tcW w:w="1892" w:type="dxa"/>
          </w:tcPr>
          <w:p w:rsidR="00DB6551" w:rsidRPr="005635D8" w:rsidRDefault="00DB6551" w:rsidP="00DB6551">
            <w:pPr>
              <w:rPr>
                <w:rFonts w:eastAsiaTheme="minorHAnsi"/>
                <w:sz w:val="20"/>
                <w:szCs w:val="20"/>
                <w:lang w:val="en-GB" w:eastAsia="nl-NL"/>
              </w:rPr>
            </w:pPr>
            <w:r w:rsidRPr="005635D8">
              <w:rPr>
                <w:rFonts w:eastAsiaTheme="minorHAnsi"/>
                <w:sz w:val="20"/>
                <w:szCs w:val="20"/>
                <w:lang w:val="en-GB" w:eastAsia="nl-NL"/>
              </w:rPr>
              <w:t>-298,97</w:t>
            </w:r>
          </w:p>
        </w:tc>
        <w:tc>
          <w:tcPr>
            <w:tcW w:w="1946" w:type="dxa"/>
          </w:tcPr>
          <w:p w:rsidR="00DB6551" w:rsidRPr="005635D8" w:rsidRDefault="00DB6551" w:rsidP="00DB6551">
            <w:pPr>
              <w:rPr>
                <w:rFonts w:eastAsiaTheme="minorHAnsi"/>
                <w:sz w:val="20"/>
                <w:szCs w:val="20"/>
                <w:lang w:val="en-GB" w:eastAsia="nl-NL"/>
              </w:rPr>
            </w:pPr>
            <w:r w:rsidRPr="005635D8">
              <w:rPr>
                <w:rFonts w:eastAsiaTheme="minorHAnsi"/>
                <w:sz w:val="20"/>
                <w:szCs w:val="20"/>
                <w:lang w:val="en-GB" w:eastAsia="nl-NL"/>
              </w:rPr>
              <w:t>-255,65</w:t>
            </w:r>
          </w:p>
        </w:tc>
        <w:tc>
          <w:tcPr>
            <w:tcW w:w="1927" w:type="dxa"/>
          </w:tcPr>
          <w:p w:rsidR="00DB6551" w:rsidRPr="005635D8" w:rsidRDefault="00DB6551" w:rsidP="00DB6551">
            <w:pPr>
              <w:rPr>
                <w:rFonts w:eastAsiaTheme="minorHAnsi"/>
                <w:sz w:val="20"/>
                <w:szCs w:val="20"/>
                <w:lang w:val="en-GB" w:eastAsia="nl-NL"/>
              </w:rPr>
            </w:pPr>
            <w:r w:rsidRPr="005635D8">
              <w:rPr>
                <w:rFonts w:eastAsiaTheme="minorHAnsi"/>
                <w:sz w:val="20"/>
                <w:szCs w:val="20"/>
                <w:lang w:val="en-GB" w:eastAsia="nl-NL"/>
              </w:rPr>
              <w:t>-43,32</w:t>
            </w:r>
          </w:p>
        </w:tc>
      </w:tr>
      <w:tr w:rsidR="00DB6551" w:rsidRPr="005635D8" w:rsidTr="00DB6551">
        <w:trPr>
          <w:trHeight w:val="350"/>
        </w:trPr>
        <w:tc>
          <w:tcPr>
            <w:tcW w:w="1839" w:type="dxa"/>
          </w:tcPr>
          <w:p w:rsidR="00DB6551" w:rsidRPr="005635D8" w:rsidRDefault="00DB6551" w:rsidP="00DB6551">
            <w:pPr>
              <w:rPr>
                <w:rFonts w:eastAsiaTheme="minorHAnsi"/>
                <w:sz w:val="20"/>
                <w:szCs w:val="20"/>
                <w:lang w:val="en-GB" w:eastAsia="nl-NL"/>
              </w:rPr>
            </w:pPr>
            <w:r w:rsidRPr="005635D8">
              <w:rPr>
                <w:rFonts w:eastAsiaTheme="minorHAnsi"/>
                <w:sz w:val="20"/>
                <w:szCs w:val="20"/>
                <w:lang w:val="en-GB" w:eastAsia="nl-NL"/>
              </w:rPr>
              <w:t>2006</w:t>
            </w:r>
          </w:p>
        </w:tc>
        <w:tc>
          <w:tcPr>
            <w:tcW w:w="1699" w:type="dxa"/>
          </w:tcPr>
          <w:p w:rsidR="00DB6551" w:rsidRPr="005635D8" w:rsidRDefault="00DB6551" w:rsidP="00DB6551">
            <w:pPr>
              <w:rPr>
                <w:rFonts w:eastAsiaTheme="minorHAnsi"/>
                <w:sz w:val="20"/>
                <w:szCs w:val="20"/>
                <w:lang w:val="en-GB" w:eastAsia="nl-NL"/>
              </w:rPr>
            </w:pPr>
            <w:r w:rsidRPr="005635D8">
              <w:rPr>
                <w:rFonts w:eastAsiaTheme="minorHAnsi"/>
                <w:sz w:val="20"/>
                <w:szCs w:val="20"/>
                <w:lang w:val="en-GB" w:eastAsia="nl-NL"/>
              </w:rPr>
              <w:t>24</w:t>
            </w:r>
          </w:p>
        </w:tc>
        <w:tc>
          <w:tcPr>
            <w:tcW w:w="1892" w:type="dxa"/>
          </w:tcPr>
          <w:p w:rsidR="00DB6551" w:rsidRPr="005635D8" w:rsidRDefault="00DB6551" w:rsidP="00DB6551">
            <w:pPr>
              <w:rPr>
                <w:rFonts w:eastAsiaTheme="minorHAnsi"/>
                <w:sz w:val="20"/>
                <w:szCs w:val="20"/>
                <w:lang w:val="en-GB" w:eastAsia="nl-NL"/>
              </w:rPr>
            </w:pPr>
            <w:r w:rsidRPr="005635D8">
              <w:rPr>
                <w:rFonts w:eastAsiaTheme="minorHAnsi"/>
                <w:sz w:val="20"/>
                <w:szCs w:val="20"/>
                <w:lang w:val="en-GB" w:eastAsia="nl-NL"/>
              </w:rPr>
              <w:t>-374,05</w:t>
            </w:r>
          </w:p>
        </w:tc>
        <w:tc>
          <w:tcPr>
            <w:tcW w:w="1946" w:type="dxa"/>
          </w:tcPr>
          <w:p w:rsidR="00DB6551" w:rsidRPr="005635D8" w:rsidRDefault="00DB6551" w:rsidP="00DB6551">
            <w:pPr>
              <w:rPr>
                <w:rFonts w:eastAsiaTheme="minorHAnsi"/>
                <w:sz w:val="20"/>
                <w:szCs w:val="20"/>
                <w:lang w:val="en-GB" w:eastAsia="nl-NL"/>
              </w:rPr>
            </w:pPr>
            <w:r w:rsidRPr="005635D8">
              <w:rPr>
                <w:rFonts w:eastAsiaTheme="minorHAnsi"/>
                <w:sz w:val="20"/>
                <w:szCs w:val="20"/>
                <w:lang w:val="en-GB" w:eastAsia="nl-NL"/>
              </w:rPr>
              <w:t>-160,16</w:t>
            </w:r>
          </w:p>
        </w:tc>
        <w:tc>
          <w:tcPr>
            <w:tcW w:w="1927" w:type="dxa"/>
          </w:tcPr>
          <w:p w:rsidR="00DB6551" w:rsidRPr="005635D8" w:rsidRDefault="00DB6551" w:rsidP="00DB6551">
            <w:pPr>
              <w:rPr>
                <w:rFonts w:eastAsiaTheme="minorHAnsi"/>
                <w:sz w:val="20"/>
                <w:szCs w:val="20"/>
                <w:lang w:val="en-GB" w:eastAsia="nl-NL"/>
              </w:rPr>
            </w:pPr>
            <w:r w:rsidRPr="005635D8">
              <w:rPr>
                <w:rFonts w:eastAsiaTheme="minorHAnsi"/>
                <w:sz w:val="20"/>
                <w:szCs w:val="20"/>
                <w:lang w:val="en-GB" w:eastAsia="nl-NL"/>
              </w:rPr>
              <w:t>-213,90</w:t>
            </w:r>
          </w:p>
        </w:tc>
      </w:tr>
      <w:tr w:rsidR="00DB6551" w:rsidRPr="005635D8" w:rsidTr="00DB6551">
        <w:trPr>
          <w:trHeight w:val="368"/>
        </w:trPr>
        <w:tc>
          <w:tcPr>
            <w:tcW w:w="1839" w:type="dxa"/>
          </w:tcPr>
          <w:p w:rsidR="00DB6551" w:rsidRPr="005635D8" w:rsidRDefault="00DB6551" w:rsidP="00DB6551">
            <w:pPr>
              <w:rPr>
                <w:rFonts w:eastAsiaTheme="minorHAnsi"/>
                <w:sz w:val="20"/>
                <w:szCs w:val="20"/>
                <w:lang w:val="en-GB" w:eastAsia="nl-NL"/>
              </w:rPr>
            </w:pPr>
            <w:r w:rsidRPr="005635D8">
              <w:rPr>
                <w:rFonts w:eastAsiaTheme="minorHAnsi"/>
                <w:sz w:val="20"/>
                <w:szCs w:val="20"/>
                <w:lang w:val="en-GB" w:eastAsia="nl-NL"/>
              </w:rPr>
              <w:t>2007</w:t>
            </w:r>
          </w:p>
        </w:tc>
        <w:tc>
          <w:tcPr>
            <w:tcW w:w="1699" w:type="dxa"/>
          </w:tcPr>
          <w:p w:rsidR="00DB6551" w:rsidRPr="005635D8" w:rsidRDefault="00DB6551" w:rsidP="00DB6551">
            <w:pPr>
              <w:rPr>
                <w:rFonts w:eastAsiaTheme="minorHAnsi"/>
                <w:sz w:val="20"/>
                <w:szCs w:val="20"/>
                <w:lang w:val="en-GB" w:eastAsia="nl-NL"/>
              </w:rPr>
            </w:pPr>
            <w:r w:rsidRPr="005635D8">
              <w:rPr>
                <w:rFonts w:eastAsiaTheme="minorHAnsi"/>
                <w:sz w:val="20"/>
                <w:szCs w:val="20"/>
                <w:lang w:val="en-GB" w:eastAsia="nl-NL"/>
              </w:rPr>
              <w:t>24</w:t>
            </w:r>
          </w:p>
        </w:tc>
        <w:tc>
          <w:tcPr>
            <w:tcW w:w="1892" w:type="dxa"/>
          </w:tcPr>
          <w:p w:rsidR="00DB6551" w:rsidRPr="005635D8" w:rsidRDefault="00DB6551" w:rsidP="00DB6551">
            <w:pPr>
              <w:rPr>
                <w:rFonts w:eastAsiaTheme="minorHAnsi"/>
                <w:sz w:val="20"/>
                <w:szCs w:val="20"/>
                <w:lang w:val="en-GB" w:eastAsia="nl-NL"/>
              </w:rPr>
            </w:pPr>
            <w:r w:rsidRPr="005635D8">
              <w:rPr>
                <w:rFonts w:eastAsiaTheme="minorHAnsi"/>
                <w:sz w:val="20"/>
                <w:szCs w:val="20"/>
                <w:lang w:val="en-GB" w:eastAsia="nl-NL"/>
              </w:rPr>
              <w:t>-379,93</w:t>
            </w:r>
          </w:p>
        </w:tc>
        <w:tc>
          <w:tcPr>
            <w:tcW w:w="1946" w:type="dxa"/>
          </w:tcPr>
          <w:p w:rsidR="00DB6551" w:rsidRPr="005635D8" w:rsidRDefault="00DB6551" w:rsidP="00DB6551">
            <w:pPr>
              <w:rPr>
                <w:rFonts w:eastAsiaTheme="minorHAnsi"/>
                <w:sz w:val="20"/>
                <w:szCs w:val="20"/>
                <w:lang w:val="en-GB" w:eastAsia="nl-NL"/>
              </w:rPr>
            </w:pPr>
            <w:r w:rsidRPr="005635D8">
              <w:rPr>
                <w:rFonts w:eastAsiaTheme="minorHAnsi"/>
                <w:sz w:val="20"/>
                <w:szCs w:val="20"/>
                <w:lang w:val="en-GB" w:eastAsia="nl-NL"/>
              </w:rPr>
              <w:t>-268,37</w:t>
            </w:r>
          </w:p>
        </w:tc>
        <w:tc>
          <w:tcPr>
            <w:tcW w:w="1927" w:type="dxa"/>
          </w:tcPr>
          <w:p w:rsidR="00DB6551" w:rsidRPr="005635D8" w:rsidRDefault="00DB6551" w:rsidP="00DB6551">
            <w:pPr>
              <w:rPr>
                <w:rFonts w:eastAsiaTheme="minorHAnsi"/>
                <w:sz w:val="20"/>
                <w:szCs w:val="20"/>
                <w:lang w:val="en-GB" w:eastAsia="nl-NL"/>
              </w:rPr>
            </w:pPr>
            <w:r w:rsidRPr="005635D8">
              <w:rPr>
                <w:rFonts w:eastAsiaTheme="minorHAnsi"/>
                <w:sz w:val="20"/>
                <w:szCs w:val="20"/>
                <w:lang w:val="en-GB" w:eastAsia="nl-NL"/>
              </w:rPr>
              <w:t>-111,56</w:t>
            </w:r>
          </w:p>
        </w:tc>
      </w:tr>
    </w:tbl>
    <w:p w:rsidR="00DC6642" w:rsidRPr="005635D8" w:rsidRDefault="00DC6642" w:rsidP="00DC6642">
      <w:pPr>
        <w:jc w:val="both"/>
        <w:rPr>
          <w:rFonts w:ascii="Calibri" w:hAnsi="Calibri"/>
          <w:sz w:val="24"/>
          <w:szCs w:val="24"/>
          <w:lang w:val="en-GB"/>
        </w:rPr>
      </w:pPr>
    </w:p>
    <w:p w:rsidR="00DB6551" w:rsidRPr="005635D8" w:rsidRDefault="00DB6551" w:rsidP="00DB6551">
      <w:pPr>
        <w:pStyle w:val="NoSpacing"/>
        <w:rPr>
          <w:rFonts w:eastAsiaTheme="minorHAnsi"/>
          <w:sz w:val="20"/>
          <w:szCs w:val="20"/>
          <w:lang w:val="en-GB" w:eastAsia="nl-NL"/>
        </w:rPr>
      </w:pPr>
      <w:r w:rsidRPr="005635D8">
        <w:rPr>
          <w:b/>
          <w:sz w:val="20"/>
          <w:szCs w:val="20"/>
          <w:lang w:val="en-GB"/>
        </w:rPr>
        <w:t>Table 3</w:t>
      </w:r>
      <w:r>
        <w:rPr>
          <w:sz w:val="20"/>
          <w:szCs w:val="20"/>
          <w:lang w:val="en-GB"/>
        </w:rPr>
        <w:t xml:space="preserve">: </w:t>
      </w:r>
      <w:r w:rsidRPr="005635D8">
        <w:rPr>
          <w:sz w:val="20"/>
          <w:szCs w:val="20"/>
          <w:lang w:val="en-GB"/>
        </w:rPr>
        <w:t>Average values of TACC, NDACC and DACC per year.</w:t>
      </w:r>
    </w:p>
    <w:p w:rsidR="00DB6551" w:rsidRPr="005635D8" w:rsidRDefault="00DB6551" w:rsidP="00DC6642">
      <w:pPr>
        <w:rPr>
          <w:rFonts w:eastAsiaTheme="minorHAnsi"/>
          <w:sz w:val="24"/>
          <w:szCs w:val="24"/>
          <w:lang w:val="en-GB" w:eastAsia="nl-NL"/>
        </w:rPr>
      </w:pPr>
    </w:p>
    <w:p w:rsidR="00EF6BD3" w:rsidRPr="005635D8" w:rsidRDefault="00EF6BD3" w:rsidP="00DC6642">
      <w:pPr>
        <w:rPr>
          <w:rFonts w:eastAsiaTheme="minorHAnsi"/>
          <w:sz w:val="24"/>
          <w:szCs w:val="24"/>
          <w:lang w:val="en-GB" w:eastAsia="nl-NL"/>
        </w:rPr>
      </w:pPr>
    </w:p>
    <w:p w:rsidR="00EF6BD3" w:rsidRPr="005635D8" w:rsidRDefault="00EF6BD3" w:rsidP="00DC6642">
      <w:pPr>
        <w:rPr>
          <w:rFonts w:eastAsiaTheme="minorHAnsi"/>
          <w:sz w:val="24"/>
          <w:szCs w:val="24"/>
          <w:lang w:val="en-GB" w:eastAsia="nl-NL"/>
        </w:rPr>
      </w:pPr>
    </w:p>
    <w:p w:rsidR="00EF6BD3" w:rsidRPr="005635D8" w:rsidRDefault="00EF6BD3" w:rsidP="00DC6642">
      <w:pPr>
        <w:rPr>
          <w:rFonts w:eastAsiaTheme="minorHAnsi"/>
          <w:sz w:val="24"/>
          <w:szCs w:val="24"/>
          <w:lang w:val="en-GB" w:eastAsia="nl-NL"/>
        </w:rPr>
      </w:pPr>
    </w:p>
    <w:p w:rsidR="00EF6BD3" w:rsidRPr="005635D8" w:rsidRDefault="00EF6BD3" w:rsidP="00DC6642">
      <w:pPr>
        <w:rPr>
          <w:rFonts w:eastAsiaTheme="minorHAnsi"/>
          <w:sz w:val="24"/>
          <w:szCs w:val="24"/>
          <w:lang w:val="en-GB" w:eastAsia="nl-NL"/>
        </w:rPr>
      </w:pPr>
    </w:p>
    <w:p w:rsidR="00DC6642" w:rsidRPr="005635D8" w:rsidRDefault="00DC6642" w:rsidP="00DC6642">
      <w:pPr>
        <w:pStyle w:val="NoSpacing"/>
        <w:rPr>
          <w:rFonts w:eastAsiaTheme="minorHAnsi"/>
          <w:sz w:val="20"/>
          <w:szCs w:val="20"/>
          <w:lang w:val="en-GB" w:eastAsia="nl-NL"/>
        </w:rPr>
      </w:pPr>
    </w:p>
    <w:tbl>
      <w:tblPr>
        <w:tblStyle w:val="TableGrid"/>
        <w:tblW w:w="9363" w:type="dxa"/>
        <w:tblLook w:val="04A0"/>
      </w:tblPr>
      <w:tblGrid>
        <w:gridCol w:w="1858"/>
        <w:gridCol w:w="1717"/>
        <w:gridCol w:w="1908"/>
        <w:gridCol w:w="1963"/>
        <w:gridCol w:w="1917"/>
      </w:tblGrid>
      <w:tr w:rsidR="00DC6642" w:rsidRPr="005635D8" w:rsidTr="0060562C">
        <w:trPr>
          <w:trHeight w:val="338"/>
        </w:trPr>
        <w:tc>
          <w:tcPr>
            <w:tcW w:w="1858" w:type="dxa"/>
          </w:tcPr>
          <w:p w:rsidR="00DC6642" w:rsidRPr="005635D8" w:rsidRDefault="00DC6642" w:rsidP="0060562C">
            <w:pPr>
              <w:rPr>
                <w:rFonts w:eastAsiaTheme="minorHAnsi"/>
                <w:sz w:val="20"/>
                <w:szCs w:val="20"/>
                <w:lang w:val="en-GB" w:eastAsia="nl-NL"/>
              </w:rPr>
            </w:pPr>
          </w:p>
        </w:tc>
        <w:tc>
          <w:tcPr>
            <w:tcW w:w="1717" w:type="dxa"/>
          </w:tcPr>
          <w:p w:rsidR="00DC6642" w:rsidRPr="005635D8" w:rsidRDefault="00DC6642" w:rsidP="0060562C">
            <w:pPr>
              <w:rPr>
                <w:rFonts w:eastAsiaTheme="minorHAnsi"/>
                <w:sz w:val="20"/>
                <w:szCs w:val="20"/>
                <w:lang w:val="en-GB" w:eastAsia="nl-NL"/>
              </w:rPr>
            </w:pPr>
            <w:r w:rsidRPr="005635D8">
              <w:rPr>
                <w:rFonts w:eastAsiaTheme="minorHAnsi"/>
                <w:sz w:val="20"/>
                <w:szCs w:val="20"/>
                <w:lang w:val="en-GB" w:eastAsia="nl-NL"/>
              </w:rPr>
              <w:t>N</w:t>
            </w:r>
          </w:p>
        </w:tc>
        <w:tc>
          <w:tcPr>
            <w:tcW w:w="1908" w:type="dxa"/>
          </w:tcPr>
          <w:p w:rsidR="00DC6642" w:rsidRPr="005635D8" w:rsidRDefault="00DC6642" w:rsidP="0060562C">
            <w:pPr>
              <w:rPr>
                <w:rFonts w:eastAsiaTheme="minorHAnsi"/>
                <w:sz w:val="20"/>
                <w:szCs w:val="20"/>
                <w:lang w:val="en-GB" w:eastAsia="nl-NL"/>
              </w:rPr>
            </w:pPr>
            <w:r w:rsidRPr="005635D8">
              <w:rPr>
                <w:rFonts w:eastAsiaTheme="minorHAnsi"/>
                <w:sz w:val="20"/>
                <w:szCs w:val="20"/>
                <w:lang w:val="en-GB" w:eastAsia="nl-NL"/>
              </w:rPr>
              <w:t>TACC</w:t>
            </w:r>
            <w:r w:rsidRPr="005635D8">
              <w:rPr>
                <w:rFonts w:eastAsiaTheme="minorHAnsi"/>
                <w:sz w:val="20"/>
                <w:szCs w:val="20"/>
                <w:vertAlign w:val="subscript"/>
                <w:lang w:val="en-GB" w:eastAsia="nl-NL"/>
              </w:rPr>
              <w:t>t-i</w:t>
            </w:r>
            <w:r w:rsidRPr="005635D8">
              <w:rPr>
                <w:rFonts w:eastAsiaTheme="minorHAnsi"/>
                <w:sz w:val="20"/>
                <w:szCs w:val="20"/>
                <w:lang w:val="en-GB" w:eastAsia="nl-NL"/>
              </w:rPr>
              <w:t xml:space="preserve"> / TA</w:t>
            </w:r>
            <w:r w:rsidRPr="005635D8">
              <w:rPr>
                <w:rFonts w:eastAsiaTheme="minorHAnsi"/>
                <w:sz w:val="20"/>
                <w:szCs w:val="20"/>
                <w:vertAlign w:val="subscript"/>
                <w:lang w:val="en-GB" w:eastAsia="nl-NL"/>
              </w:rPr>
              <w:t>t-1</w:t>
            </w:r>
          </w:p>
        </w:tc>
        <w:tc>
          <w:tcPr>
            <w:tcW w:w="1963" w:type="dxa"/>
          </w:tcPr>
          <w:p w:rsidR="00DC6642" w:rsidRPr="005635D8" w:rsidRDefault="00DC6642" w:rsidP="0060562C">
            <w:pPr>
              <w:rPr>
                <w:rFonts w:eastAsiaTheme="minorHAnsi"/>
                <w:sz w:val="20"/>
                <w:szCs w:val="20"/>
                <w:lang w:val="en-GB" w:eastAsia="nl-NL"/>
              </w:rPr>
            </w:pPr>
            <w:r w:rsidRPr="005635D8">
              <w:rPr>
                <w:rFonts w:eastAsiaTheme="minorHAnsi"/>
                <w:sz w:val="20"/>
                <w:szCs w:val="20"/>
                <w:lang w:val="en-GB" w:eastAsia="nl-NL"/>
              </w:rPr>
              <w:t>NDACC</w:t>
            </w:r>
            <w:r w:rsidRPr="005635D8">
              <w:rPr>
                <w:rFonts w:eastAsiaTheme="minorHAnsi"/>
                <w:sz w:val="20"/>
                <w:szCs w:val="20"/>
                <w:vertAlign w:val="subscript"/>
                <w:lang w:val="en-GB" w:eastAsia="nl-NL"/>
              </w:rPr>
              <w:t>t-i</w:t>
            </w:r>
            <w:r w:rsidRPr="005635D8">
              <w:rPr>
                <w:rFonts w:eastAsiaTheme="minorHAnsi"/>
                <w:sz w:val="20"/>
                <w:szCs w:val="20"/>
                <w:lang w:val="en-GB" w:eastAsia="nl-NL"/>
              </w:rPr>
              <w:t xml:space="preserve"> / TA</w:t>
            </w:r>
            <w:r w:rsidRPr="005635D8">
              <w:rPr>
                <w:rFonts w:eastAsiaTheme="minorHAnsi"/>
                <w:sz w:val="20"/>
                <w:szCs w:val="20"/>
                <w:vertAlign w:val="subscript"/>
                <w:lang w:val="en-GB" w:eastAsia="nl-NL"/>
              </w:rPr>
              <w:t>t-1</w:t>
            </w:r>
          </w:p>
        </w:tc>
        <w:tc>
          <w:tcPr>
            <w:tcW w:w="1917" w:type="dxa"/>
          </w:tcPr>
          <w:p w:rsidR="00DC6642" w:rsidRPr="005635D8" w:rsidRDefault="00DC6642" w:rsidP="0060562C">
            <w:pPr>
              <w:rPr>
                <w:rFonts w:eastAsiaTheme="minorHAnsi"/>
                <w:sz w:val="20"/>
                <w:szCs w:val="20"/>
                <w:lang w:val="en-GB" w:eastAsia="nl-NL"/>
              </w:rPr>
            </w:pPr>
            <w:r w:rsidRPr="005635D8">
              <w:rPr>
                <w:rFonts w:eastAsiaTheme="minorHAnsi"/>
                <w:sz w:val="20"/>
                <w:szCs w:val="20"/>
                <w:lang w:val="en-GB" w:eastAsia="nl-NL"/>
              </w:rPr>
              <w:t>DACC</w:t>
            </w:r>
            <w:r w:rsidRPr="005635D8">
              <w:rPr>
                <w:rFonts w:eastAsiaTheme="minorHAnsi"/>
                <w:sz w:val="20"/>
                <w:szCs w:val="20"/>
                <w:vertAlign w:val="subscript"/>
                <w:lang w:val="en-GB" w:eastAsia="nl-NL"/>
              </w:rPr>
              <w:t>t-i</w:t>
            </w:r>
            <w:r w:rsidRPr="005635D8">
              <w:rPr>
                <w:rFonts w:eastAsiaTheme="minorHAnsi"/>
                <w:sz w:val="20"/>
                <w:szCs w:val="20"/>
                <w:lang w:val="en-GB" w:eastAsia="nl-NL"/>
              </w:rPr>
              <w:t xml:space="preserve"> / TA </w:t>
            </w:r>
            <w:r w:rsidRPr="005635D8">
              <w:rPr>
                <w:rFonts w:eastAsiaTheme="minorHAnsi"/>
                <w:sz w:val="20"/>
                <w:szCs w:val="20"/>
                <w:vertAlign w:val="subscript"/>
                <w:lang w:val="en-GB" w:eastAsia="nl-NL"/>
              </w:rPr>
              <w:t>t-1</w:t>
            </w:r>
          </w:p>
        </w:tc>
      </w:tr>
      <w:tr w:rsidR="00DC6642" w:rsidRPr="005635D8" w:rsidTr="0060562C">
        <w:trPr>
          <w:trHeight w:val="338"/>
        </w:trPr>
        <w:tc>
          <w:tcPr>
            <w:tcW w:w="1858" w:type="dxa"/>
          </w:tcPr>
          <w:p w:rsidR="00DC6642" w:rsidRPr="005635D8" w:rsidRDefault="00DC6642" w:rsidP="0060562C">
            <w:pPr>
              <w:rPr>
                <w:rFonts w:eastAsiaTheme="minorHAnsi"/>
                <w:sz w:val="20"/>
                <w:szCs w:val="20"/>
                <w:lang w:val="en-GB" w:eastAsia="nl-NL"/>
              </w:rPr>
            </w:pPr>
            <w:r w:rsidRPr="005635D8">
              <w:rPr>
                <w:rFonts w:eastAsiaTheme="minorHAnsi"/>
                <w:sz w:val="20"/>
                <w:szCs w:val="20"/>
                <w:lang w:val="en-GB" w:eastAsia="nl-NL"/>
              </w:rPr>
              <w:t>2002</w:t>
            </w:r>
          </w:p>
        </w:tc>
        <w:tc>
          <w:tcPr>
            <w:tcW w:w="1717" w:type="dxa"/>
          </w:tcPr>
          <w:p w:rsidR="00DC6642" w:rsidRPr="005635D8" w:rsidRDefault="00DC6642" w:rsidP="0060562C">
            <w:pPr>
              <w:rPr>
                <w:rFonts w:eastAsiaTheme="minorHAnsi"/>
                <w:sz w:val="20"/>
                <w:szCs w:val="20"/>
                <w:lang w:val="en-GB" w:eastAsia="nl-NL"/>
              </w:rPr>
            </w:pPr>
            <w:r w:rsidRPr="005635D8">
              <w:rPr>
                <w:rFonts w:eastAsiaTheme="minorHAnsi"/>
                <w:sz w:val="20"/>
                <w:szCs w:val="20"/>
                <w:lang w:val="en-GB" w:eastAsia="nl-NL"/>
              </w:rPr>
              <w:t>24</w:t>
            </w:r>
          </w:p>
        </w:tc>
        <w:tc>
          <w:tcPr>
            <w:tcW w:w="1908" w:type="dxa"/>
          </w:tcPr>
          <w:p w:rsidR="00DC6642" w:rsidRPr="005635D8" w:rsidRDefault="00DC6642" w:rsidP="0060562C">
            <w:pPr>
              <w:rPr>
                <w:rFonts w:eastAsiaTheme="minorHAnsi"/>
                <w:sz w:val="20"/>
                <w:szCs w:val="20"/>
                <w:lang w:val="en-GB" w:eastAsia="nl-NL"/>
              </w:rPr>
            </w:pPr>
            <w:r w:rsidRPr="005635D8">
              <w:rPr>
                <w:rFonts w:eastAsiaTheme="minorHAnsi"/>
                <w:sz w:val="20"/>
                <w:szCs w:val="20"/>
                <w:lang w:val="en-GB" w:eastAsia="nl-NL"/>
              </w:rPr>
              <w:t>-.043</w:t>
            </w:r>
          </w:p>
        </w:tc>
        <w:tc>
          <w:tcPr>
            <w:tcW w:w="1963" w:type="dxa"/>
          </w:tcPr>
          <w:p w:rsidR="00DC6642" w:rsidRPr="005635D8" w:rsidRDefault="00DC6642" w:rsidP="0060562C">
            <w:pPr>
              <w:rPr>
                <w:rFonts w:eastAsiaTheme="minorHAnsi"/>
                <w:sz w:val="20"/>
                <w:szCs w:val="20"/>
                <w:lang w:val="en-GB" w:eastAsia="nl-NL"/>
              </w:rPr>
            </w:pPr>
            <w:r w:rsidRPr="005635D8">
              <w:rPr>
                <w:rFonts w:eastAsiaTheme="minorHAnsi"/>
                <w:sz w:val="20"/>
                <w:szCs w:val="20"/>
                <w:lang w:val="en-GB" w:eastAsia="nl-NL"/>
              </w:rPr>
              <w:t>-,044</w:t>
            </w:r>
          </w:p>
        </w:tc>
        <w:tc>
          <w:tcPr>
            <w:tcW w:w="1917" w:type="dxa"/>
          </w:tcPr>
          <w:p w:rsidR="00DC6642" w:rsidRPr="005635D8" w:rsidRDefault="00DC6642" w:rsidP="0060562C">
            <w:pPr>
              <w:rPr>
                <w:rFonts w:eastAsiaTheme="minorHAnsi"/>
                <w:sz w:val="20"/>
                <w:szCs w:val="20"/>
                <w:lang w:val="en-GB" w:eastAsia="nl-NL"/>
              </w:rPr>
            </w:pPr>
            <w:r w:rsidRPr="005635D8">
              <w:rPr>
                <w:rFonts w:eastAsiaTheme="minorHAnsi"/>
                <w:sz w:val="20"/>
                <w:szCs w:val="20"/>
                <w:lang w:val="en-GB" w:eastAsia="nl-NL"/>
              </w:rPr>
              <w:t>,001</w:t>
            </w:r>
          </w:p>
        </w:tc>
      </w:tr>
      <w:tr w:rsidR="00DC6642" w:rsidRPr="005635D8" w:rsidTr="0060562C">
        <w:trPr>
          <w:trHeight w:val="355"/>
        </w:trPr>
        <w:tc>
          <w:tcPr>
            <w:tcW w:w="1858" w:type="dxa"/>
          </w:tcPr>
          <w:p w:rsidR="00DC6642" w:rsidRPr="005635D8" w:rsidRDefault="00DC6642" w:rsidP="0060562C">
            <w:pPr>
              <w:rPr>
                <w:rFonts w:eastAsiaTheme="minorHAnsi"/>
                <w:sz w:val="20"/>
                <w:szCs w:val="20"/>
                <w:lang w:val="en-GB" w:eastAsia="nl-NL"/>
              </w:rPr>
            </w:pPr>
            <w:r w:rsidRPr="005635D8">
              <w:rPr>
                <w:rFonts w:eastAsiaTheme="minorHAnsi"/>
                <w:sz w:val="20"/>
                <w:szCs w:val="20"/>
                <w:lang w:val="en-GB" w:eastAsia="nl-NL"/>
              </w:rPr>
              <w:t>2003</w:t>
            </w:r>
          </w:p>
        </w:tc>
        <w:tc>
          <w:tcPr>
            <w:tcW w:w="1717" w:type="dxa"/>
          </w:tcPr>
          <w:p w:rsidR="00DC6642" w:rsidRPr="005635D8" w:rsidRDefault="00DC6642" w:rsidP="0060562C">
            <w:pPr>
              <w:rPr>
                <w:rFonts w:eastAsiaTheme="minorHAnsi"/>
                <w:sz w:val="20"/>
                <w:szCs w:val="20"/>
                <w:lang w:val="en-GB" w:eastAsia="nl-NL"/>
              </w:rPr>
            </w:pPr>
            <w:r w:rsidRPr="005635D8">
              <w:rPr>
                <w:rFonts w:eastAsiaTheme="minorHAnsi"/>
                <w:sz w:val="20"/>
                <w:szCs w:val="20"/>
                <w:lang w:val="en-GB" w:eastAsia="nl-NL"/>
              </w:rPr>
              <w:t>24</w:t>
            </w:r>
          </w:p>
        </w:tc>
        <w:tc>
          <w:tcPr>
            <w:tcW w:w="1908" w:type="dxa"/>
          </w:tcPr>
          <w:p w:rsidR="00DC6642" w:rsidRPr="005635D8" w:rsidRDefault="00DC6642" w:rsidP="0060562C">
            <w:pPr>
              <w:rPr>
                <w:rFonts w:eastAsiaTheme="minorHAnsi"/>
                <w:sz w:val="20"/>
                <w:szCs w:val="20"/>
                <w:lang w:val="en-GB" w:eastAsia="nl-NL"/>
              </w:rPr>
            </w:pPr>
            <w:r w:rsidRPr="005635D8">
              <w:rPr>
                <w:rFonts w:eastAsiaTheme="minorHAnsi"/>
                <w:sz w:val="20"/>
                <w:szCs w:val="20"/>
                <w:lang w:val="en-GB" w:eastAsia="nl-NL"/>
              </w:rPr>
              <w:t>-,083</w:t>
            </w:r>
          </w:p>
        </w:tc>
        <w:tc>
          <w:tcPr>
            <w:tcW w:w="1963" w:type="dxa"/>
          </w:tcPr>
          <w:p w:rsidR="00DC6642" w:rsidRPr="005635D8" w:rsidRDefault="00DC6642" w:rsidP="0060562C">
            <w:pPr>
              <w:rPr>
                <w:rFonts w:eastAsiaTheme="minorHAnsi"/>
                <w:sz w:val="20"/>
                <w:szCs w:val="20"/>
                <w:lang w:val="en-GB" w:eastAsia="nl-NL"/>
              </w:rPr>
            </w:pPr>
            <w:r w:rsidRPr="005635D8">
              <w:rPr>
                <w:rFonts w:eastAsiaTheme="minorHAnsi"/>
                <w:sz w:val="20"/>
                <w:szCs w:val="20"/>
                <w:lang w:val="en-GB" w:eastAsia="nl-NL"/>
              </w:rPr>
              <w:t>-.026</w:t>
            </w:r>
          </w:p>
        </w:tc>
        <w:tc>
          <w:tcPr>
            <w:tcW w:w="1917" w:type="dxa"/>
          </w:tcPr>
          <w:p w:rsidR="00DC6642" w:rsidRPr="005635D8" w:rsidRDefault="00DC6642" w:rsidP="0060562C">
            <w:pPr>
              <w:rPr>
                <w:rFonts w:eastAsiaTheme="minorHAnsi"/>
                <w:sz w:val="20"/>
                <w:szCs w:val="20"/>
                <w:lang w:val="en-GB" w:eastAsia="nl-NL"/>
              </w:rPr>
            </w:pPr>
            <w:r w:rsidRPr="005635D8">
              <w:rPr>
                <w:rFonts w:eastAsiaTheme="minorHAnsi"/>
                <w:sz w:val="20"/>
                <w:szCs w:val="20"/>
                <w:lang w:val="en-GB" w:eastAsia="nl-NL"/>
              </w:rPr>
              <w:t>-,057</w:t>
            </w:r>
          </w:p>
        </w:tc>
      </w:tr>
      <w:tr w:rsidR="00DC6642" w:rsidRPr="005635D8" w:rsidTr="0060562C">
        <w:trPr>
          <w:trHeight w:val="338"/>
        </w:trPr>
        <w:tc>
          <w:tcPr>
            <w:tcW w:w="1858" w:type="dxa"/>
          </w:tcPr>
          <w:p w:rsidR="00DC6642" w:rsidRPr="005635D8" w:rsidRDefault="00DC6642" w:rsidP="0060562C">
            <w:pPr>
              <w:rPr>
                <w:rFonts w:eastAsiaTheme="minorHAnsi"/>
                <w:sz w:val="20"/>
                <w:szCs w:val="20"/>
                <w:lang w:val="en-GB" w:eastAsia="nl-NL"/>
              </w:rPr>
            </w:pPr>
            <w:r w:rsidRPr="005635D8">
              <w:rPr>
                <w:rFonts w:eastAsiaTheme="minorHAnsi"/>
                <w:sz w:val="20"/>
                <w:szCs w:val="20"/>
                <w:lang w:val="en-GB" w:eastAsia="nl-NL"/>
              </w:rPr>
              <w:t>2004</w:t>
            </w:r>
          </w:p>
        </w:tc>
        <w:tc>
          <w:tcPr>
            <w:tcW w:w="1717" w:type="dxa"/>
          </w:tcPr>
          <w:p w:rsidR="00DC6642" w:rsidRPr="005635D8" w:rsidRDefault="00DC6642" w:rsidP="0060562C">
            <w:pPr>
              <w:rPr>
                <w:rFonts w:eastAsiaTheme="minorHAnsi"/>
                <w:sz w:val="20"/>
                <w:szCs w:val="20"/>
                <w:lang w:val="en-GB" w:eastAsia="nl-NL"/>
              </w:rPr>
            </w:pPr>
            <w:r w:rsidRPr="005635D8">
              <w:rPr>
                <w:rFonts w:eastAsiaTheme="minorHAnsi"/>
                <w:sz w:val="20"/>
                <w:szCs w:val="20"/>
                <w:lang w:val="en-GB" w:eastAsia="nl-NL"/>
              </w:rPr>
              <w:t>24</w:t>
            </w:r>
          </w:p>
        </w:tc>
        <w:tc>
          <w:tcPr>
            <w:tcW w:w="1908" w:type="dxa"/>
          </w:tcPr>
          <w:p w:rsidR="00DC6642" w:rsidRPr="005635D8" w:rsidRDefault="00DC6642" w:rsidP="0060562C">
            <w:pPr>
              <w:rPr>
                <w:rFonts w:eastAsiaTheme="minorHAnsi"/>
                <w:sz w:val="20"/>
                <w:szCs w:val="20"/>
                <w:lang w:val="en-GB" w:eastAsia="nl-NL"/>
              </w:rPr>
            </w:pPr>
            <w:r w:rsidRPr="005635D8">
              <w:rPr>
                <w:rFonts w:eastAsiaTheme="minorHAnsi"/>
                <w:sz w:val="20"/>
                <w:szCs w:val="20"/>
                <w:lang w:val="en-GB" w:eastAsia="nl-NL"/>
              </w:rPr>
              <w:t>-,053</w:t>
            </w:r>
          </w:p>
        </w:tc>
        <w:tc>
          <w:tcPr>
            <w:tcW w:w="1963" w:type="dxa"/>
          </w:tcPr>
          <w:p w:rsidR="00DC6642" w:rsidRPr="005635D8" w:rsidRDefault="00DC6642" w:rsidP="0060562C">
            <w:pPr>
              <w:rPr>
                <w:rFonts w:eastAsiaTheme="minorHAnsi"/>
                <w:sz w:val="20"/>
                <w:szCs w:val="20"/>
                <w:lang w:val="en-GB" w:eastAsia="nl-NL"/>
              </w:rPr>
            </w:pPr>
            <w:r w:rsidRPr="005635D8">
              <w:rPr>
                <w:rFonts w:eastAsiaTheme="minorHAnsi"/>
                <w:sz w:val="20"/>
                <w:szCs w:val="20"/>
                <w:lang w:val="en-GB" w:eastAsia="nl-NL"/>
              </w:rPr>
              <w:t>-.034</w:t>
            </w:r>
          </w:p>
        </w:tc>
        <w:tc>
          <w:tcPr>
            <w:tcW w:w="1917" w:type="dxa"/>
          </w:tcPr>
          <w:p w:rsidR="00DC6642" w:rsidRPr="005635D8" w:rsidRDefault="00DC6642" w:rsidP="0060562C">
            <w:pPr>
              <w:rPr>
                <w:rFonts w:eastAsiaTheme="minorHAnsi"/>
                <w:sz w:val="20"/>
                <w:szCs w:val="20"/>
                <w:lang w:val="en-GB" w:eastAsia="nl-NL"/>
              </w:rPr>
            </w:pPr>
            <w:r w:rsidRPr="005635D8">
              <w:rPr>
                <w:rFonts w:eastAsiaTheme="minorHAnsi"/>
                <w:sz w:val="20"/>
                <w:szCs w:val="20"/>
                <w:lang w:val="en-GB" w:eastAsia="nl-NL"/>
              </w:rPr>
              <w:t>-.020</w:t>
            </w:r>
          </w:p>
        </w:tc>
      </w:tr>
      <w:tr w:rsidR="00DC6642" w:rsidRPr="005635D8" w:rsidTr="0060562C">
        <w:trPr>
          <w:trHeight w:val="338"/>
        </w:trPr>
        <w:tc>
          <w:tcPr>
            <w:tcW w:w="1858" w:type="dxa"/>
          </w:tcPr>
          <w:p w:rsidR="00DC6642" w:rsidRPr="005635D8" w:rsidRDefault="00DC6642" w:rsidP="0060562C">
            <w:pPr>
              <w:rPr>
                <w:rFonts w:eastAsiaTheme="minorHAnsi"/>
                <w:sz w:val="20"/>
                <w:szCs w:val="20"/>
                <w:lang w:val="en-GB" w:eastAsia="nl-NL"/>
              </w:rPr>
            </w:pPr>
            <w:r w:rsidRPr="005635D8">
              <w:rPr>
                <w:rFonts w:eastAsiaTheme="minorHAnsi"/>
                <w:sz w:val="20"/>
                <w:szCs w:val="20"/>
                <w:lang w:val="en-GB" w:eastAsia="nl-NL"/>
              </w:rPr>
              <w:t>2005</w:t>
            </w:r>
          </w:p>
        </w:tc>
        <w:tc>
          <w:tcPr>
            <w:tcW w:w="1717" w:type="dxa"/>
          </w:tcPr>
          <w:p w:rsidR="00DC6642" w:rsidRPr="005635D8" w:rsidRDefault="00DC6642" w:rsidP="0060562C">
            <w:pPr>
              <w:rPr>
                <w:rFonts w:eastAsiaTheme="minorHAnsi"/>
                <w:sz w:val="20"/>
                <w:szCs w:val="20"/>
                <w:lang w:val="en-GB" w:eastAsia="nl-NL"/>
              </w:rPr>
            </w:pPr>
            <w:r w:rsidRPr="005635D8">
              <w:rPr>
                <w:rFonts w:eastAsiaTheme="minorHAnsi"/>
                <w:sz w:val="20"/>
                <w:szCs w:val="20"/>
                <w:lang w:val="en-GB" w:eastAsia="nl-NL"/>
              </w:rPr>
              <w:t>24</w:t>
            </w:r>
          </w:p>
        </w:tc>
        <w:tc>
          <w:tcPr>
            <w:tcW w:w="1908" w:type="dxa"/>
          </w:tcPr>
          <w:p w:rsidR="00DC6642" w:rsidRPr="005635D8" w:rsidRDefault="00DC6642" w:rsidP="0060562C">
            <w:pPr>
              <w:rPr>
                <w:rFonts w:eastAsiaTheme="minorHAnsi"/>
                <w:sz w:val="20"/>
                <w:szCs w:val="20"/>
                <w:lang w:val="en-GB" w:eastAsia="nl-NL"/>
              </w:rPr>
            </w:pPr>
            <w:r w:rsidRPr="005635D8">
              <w:rPr>
                <w:rFonts w:eastAsiaTheme="minorHAnsi"/>
                <w:sz w:val="20"/>
                <w:szCs w:val="20"/>
                <w:lang w:val="en-GB" w:eastAsia="nl-NL"/>
              </w:rPr>
              <w:t>-.002</w:t>
            </w:r>
          </w:p>
        </w:tc>
        <w:tc>
          <w:tcPr>
            <w:tcW w:w="1963" w:type="dxa"/>
          </w:tcPr>
          <w:p w:rsidR="00DC6642" w:rsidRPr="005635D8" w:rsidRDefault="00DC6642" w:rsidP="0060562C">
            <w:pPr>
              <w:rPr>
                <w:rFonts w:eastAsiaTheme="minorHAnsi"/>
                <w:sz w:val="20"/>
                <w:szCs w:val="20"/>
                <w:lang w:val="en-GB" w:eastAsia="nl-NL"/>
              </w:rPr>
            </w:pPr>
            <w:r w:rsidRPr="005635D8">
              <w:rPr>
                <w:rFonts w:eastAsiaTheme="minorHAnsi"/>
                <w:sz w:val="20"/>
                <w:szCs w:val="20"/>
                <w:lang w:val="en-GB" w:eastAsia="nl-NL"/>
              </w:rPr>
              <w:t>-.034</w:t>
            </w:r>
          </w:p>
        </w:tc>
        <w:tc>
          <w:tcPr>
            <w:tcW w:w="1917" w:type="dxa"/>
          </w:tcPr>
          <w:p w:rsidR="00DC6642" w:rsidRPr="005635D8" w:rsidRDefault="00DC6642" w:rsidP="0060562C">
            <w:pPr>
              <w:rPr>
                <w:rFonts w:eastAsiaTheme="minorHAnsi"/>
                <w:sz w:val="20"/>
                <w:szCs w:val="20"/>
                <w:lang w:val="en-GB" w:eastAsia="nl-NL"/>
              </w:rPr>
            </w:pPr>
            <w:r w:rsidRPr="005635D8">
              <w:rPr>
                <w:rFonts w:eastAsiaTheme="minorHAnsi"/>
                <w:sz w:val="20"/>
                <w:szCs w:val="20"/>
                <w:lang w:val="en-GB" w:eastAsia="nl-NL"/>
              </w:rPr>
              <w:t>,032</w:t>
            </w:r>
          </w:p>
        </w:tc>
      </w:tr>
      <w:tr w:rsidR="00DC6642" w:rsidRPr="005635D8" w:rsidTr="0060562C">
        <w:trPr>
          <w:trHeight w:val="338"/>
        </w:trPr>
        <w:tc>
          <w:tcPr>
            <w:tcW w:w="1858" w:type="dxa"/>
          </w:tcPr>
          <w:p w:rsidR="00DC6642" w:rsidRPr="005635D8" w:rsidRDefault="00DC6642" w:rsidP="0060562C">
            <w:pPr>
              <w:rPr>
                <w:rFonts w:eastAsiaTheme="minorHAnsi"/>
                <w:sz w:val="20"/>
                <w:szCs w:val="20"/>
                <w:lang w:val="en-GB" w:eastAsia="nl-NL"/>
              </w:rPr>
            </w:pPr>
            <w:r w:rsidRPr="005635D8">
              <w:rPr>
                <w:rFonts w:eastAsiaTheme="minorHAnsi"/>
                <w:sz w:val="20"/>
                <w:szCs w:val="20"/>
                <w:lang w:val="en-GB" w:eastAsia="nl-NL"/>
              </w:rPr>
              <w:t>2006</w:t>
            </w:r>
          </w:p>
        </w:tc>
        <w:tc>
          <w:tcPr>
            <w:tcW w:w="1717" w:type="dxa"/>
          </w:tcPr>
          <w:p w:rsidR="00DC6642" w:rsidRPr="005635D8" w:rsidRDefault="00DC6642" w:rsidP="0060562C">
            <w:pPr>
              <w:rPr>
                <w:rFonts w:eastAsiaTheme="minorHAnsi"/>
                <w:sz w:val="20"/>
                <w:szCs w:val="20"/>
                <w:lang w:val="en-GB" w:eastAsia="nl-NL"/>
              </w:rPr>
            </w:pPr>
            <w:r w:rsidRPr="005635D8">
              <w:rPr>
                <w:rFonts w:eastAsiaTheme="minorHAnsi"/>
                <w:sz w:val="20"/>
                <w:szCs w:val="20"/>
                <w:lang w:val="en-GB" w:eastAsia="nl-NL"/>
              </w:rPr>
              <w:t>24</w:t>
            </w:r>
          </w:p>
        </w:tc>
        <w:tc>
          <w:tcPr>
            <w:tcW w:w="1908" w:type="dxa"/>
          </w:tcPr>
          <w:p w:rsidR="00DC6642" w:rsidRPr="005635D8" w:rsidRDefault="00DC6642" w:rsidP="0060562C">
            <w:pPr>
              <w:rPr>
                <w:rFonts w:eastAsiaTheme="minorHAnsi"/>
                <w:sz w:val="20"/>
                <w:szCs w:val="20"/>
                <w:lang w:val="en-GB" w:eastAsia="nl-NL"/>
              </w:rPr>
            </w:pPr>
            <w:r w:rsidRPr="005635D8">
              <w:rPr>
                <w:rFonts w:eastAsiaTheme="minorHAnsi"/>
                <w:sz w:val="20"/>
                <w:szCs w:val="20"/>
                <w:lang w:val="en-GB" w:eastAsia="nl-NL"/>
              </w:rPr>
              <w:t>-,025</w:t>
            </w:r>
          </w:p>
        </w:tc>
        <w:tc>
          <w:tcPr>
            <w:tcW w:w="1963" w:type="dxa"/>
          </w:tcPr>
          <w:p w:rsidR="00DC6642" w:rsidRPr="005635D8" w:rsidRDefault="00DC6642" w:rsidP="0060562C">
            <w:pPr>
              <w:rPr>
                <w:rFonts w:eastAsiaTheme="minorHAnsi"/>
                <w:sz w:val="20"/>
                <w:szCs w:val="20"/>
                <w:lang w:val="en-GB" w:eastAsia="nl-NL"/>
              </w:rPr>
            </w:pPr>
            <w:r w:rsidRPr="005635D8">
              <w:rPr>
                <w:rFonts w:eastAsiaTheme="minorHAnsi"/>
                <w:sz w:val="20"/>
                <w:szCs w:val="20"/>
                <w:lang w:val="en-GB" w:eastAsia="nl-NL"/>
              </w:rPr>
              <w:t>-.015</w:t>
            </w:r>
          </w:p>
        </w:tc>
        <w:tc>
          <w:tcPr>
            <w:tcW w:w="1917" w:type="dxa"/>
          </w:tcPr>
          <w:p w:rsidR="00DC6642" w:rsidRPr="005635D8" w:rsidRDefault="00DC6642" w:rsidP="0060562C">
            <w:pPr>
              <w:rPr>
                <w:rFonts w:eastAsiaTheme="minorHAnsi"/>
                <w:sz w:val="20"/>
                <w:szCs w:val="20"/>
                <w:lang w:val="en-GB" w:eastAsia="nl-NL"/>
              </w:rPr>
            </w:pPr>
            <w:r w:rsidRPr="005635D8">
              <w:rPr>
                <w:rFonts w:eastAsiaTheme="minorHAnsi"/>
                <w:sz w:val="20"/>
                <w:szCs w:val="20"/>
                <w:lang w:val="en-GB" w:eastAsia="nl-NL"/>
              </w:rPr>
              <w:t>-.010</w:t>
            </w:r>
          </w:p>
        </w:tc>
      </w:tr>
      <w:tr w:rsidR="00DC6642" w:rsidRPr="005635D8" w:rsidTr="0060562C">
        <w:trPr>
          <w:trHeight w:val="355"/>
        </w:trPr>
        <w:tc>
          <w:tcPr>
            <w:tcW w:w="1858" w:type="dxa"/>
          </w:tcPr>
          <w:p w:rsidR="00DC6642" w:rsidRPr="005635D8" w:rsidRDefault="00DC6642" w:rsidP="0060562C">
            <w:pPr>
              <w:rPr>
                <w:rFonts w:eastAsiaTheme="minorHAnsi"/>
                <w:sz w:val="20"/>
                <w:szCs w:val="20"/>
                <w:lang w:val="en-GB" w:eastAsia="nl-NL"/>
              </w:rPr>
            </w:pPr>
            <w:r w:rsidRPr="005635D8">
              <w:rPr>
                <w:rFonts w:eastAsiaTheme="minorHAnsi"/>
                <w:sz w:val="20"/>
                <w:szCs w:val="20"/>
                <w:lang w:val="en-GB" w:eastAsia="nl-NL"/>
              </w:rPr>
              <w:t>2007</w:t>
            </w:r>
          </w:p>
        </w:tc>
        <w:tc>
          <w:tcPr>
            <w:tcW w:w="1717" w:type="dxa"/>
          </w:tcPr>
          <w:p w:rsidR="00DC6642" w:rsidRPr="005635D8" w:rsidRDefault="00DC6642" w:rsidP="0060562C">
            <w:pPr>
              <w:rPr>
                <w:rFonts w:eastAsiaTheme="minorHAnsi"/>
                <w:sz w:val="20"/>
                <w:szCs w:val="20"/>
                <w:lang w:val="en-GB" w:eastAsia="nl-NL"/>
              </w:rPr>
            </w:pPr>
            <w:r w:rsidRPr="005635D8">
              <w:rPr>
                <w:rFonts w:eastAsiaTheme="minorHAnsi"/>
                <w:sz w:val="20"/>
                <w:szCs w:val="20"/>
                <w:lang w:val="en-GB" w:eastAsia="nl-NL"/>
              </w:rPr>
              <w:t>24</w:t>
            </w:r>
          </w:p>
        </w:tc>
        <w:tc>
          <w:tcPr>
            <w:tcW w:w="1908" w:type="dxa"/>
          </w:tcPr>
          <w:p w:rsidR="00DC6642" w:rsidRPr="005635D8" w:rsidRDefault="00DC6642" w:rsidP="0060562C">
            <w:pPr>
              <w:rPr>
                <w:rFonts w:eastAsiaTheme="minorHAnsi"/>
                <w:sz w:val="20"/>
                <w:szCs w:val="20"/>
                <w:lang w:val="en-GB" w:eastAsia="nl-NL"/>
              </w:rPr>
            </w:pPr>
            <w:r w:rsidRPr="005635D8">
              <w:rPr>
                <w:rFonts w:eastAsiaTheme="minorHAnsi"/>
                <w:sz w:val="20"/>
                <w:szCs w:val="20"/>
                <w:lang w:val="en-GB" w:eastAsia="nl-NL"/>
              </w:rPr>
              <w:t>-,048</w:t>
            </w:r>
          </w:p>
        </w:tc>
        <w:tc>
          <w:tcPr>
            <w:tcW w:w="1963" w:type="dxa"/>
          </w:tcPr>
          <w:p w:rsidR="00DC6642" w:rsidRPr="005635D8" w:rsidRDefault="00DC6642" w:rsidP="0060562C">
            <w:pPr>
              <w:rPr>
                <w:rFonts w:eastAsiaTheme="minorHAnsi"/>
                <w:sz w:val="20"/>
                <w:szCs w:val="20"/>
                <w:lang w:val="en-GB" w:eastAsia="nl-NL"/>
              </w:rPr>
            </w:pPr>
            <w:r w:rsidRPr="005635D8">
              <w:rPr>
                <w:rFonts w:eastAsiaTheme="minorHAnsi"/>
                <w:sz w:val="20"/>
                <w:szCs w:val="20"/>
                <w:lang w:val="en-GB" w:eastAsia="nl-NL"/>
              </w:rPr>
              <w:t>-.019</w:t>
            </w:r>
          </w:p>
        </w:tc>
        <w:tc>
          <w:tcPr>
            <w:tcW w:w="1917" w:type="dxa"/>
          </w:tcPr>
          <w:p w:rsidR="00DC6642" w:rsidRPr="005635D8" w:rsidRDefault="00DC6642" w:rsidP="0060562C">
            <w:pPr>
              <w:rPr>
                <w:rFonts w:eastAsiaTheme="minorHAnsi"/>
                <w:sz w:val="20"/>
                <w:szCs w:val="20"/>
                <w:lang w:val="en-GB" w:eastAsia="nl-NL"/>
              </w:rPr>
            </w:pPr>
            <w:r w:rsidRPr="005635D8">
              <w:rPr>
                <w:rFonts w:eastAsiaTheme="minorHAnsi"/>
                <w:sz w:val="20"/>
                <w:szCs w:val="20"/>
                <w:lang w:val="en-GB" w:eastAsia="nl-NL"/>
              </w:rPr>
              <w:t>-.029</w:t>
            </w:r>
          </w:p>
        </w:tc>
      </w:tr>
    </w:tbl>
    <w:p w:rsidR="00DC6642" w:rsidRPr="005635D8" w:rsidRDefault="00DB6551" w:rsidP="00DC6642">
      <w:pPr>
        <w:rPr>
          <w:rFonts w:eastAsiaTheme="minorHAnsi"/>
          <w:sz w:val="20"/>
          <w:szCs w:val="20"/>
          <w:lang w:val="en-GB" w:eastAsia="nl-NL"/>
        </w:rPr>
      </w:pPr>
      <w:r w:rsidRPr="005635D8">
        <w:rPr>
          <w:rFonts w:eastAsiaTheme="minorHAnsi"/>
          <w:b/>
          <w:sz w:val="20"/>
          <w:szCs w:val="20"/>
          <w:lang w:val="en-GB" w:eastAsia="nl-NL"/>
        </w:rPr>
        <w:t>Table 4</w:t>
      </w:r>
      <w:r>
        <w:rPr>
          <w:rFonts w:eastAsiaTheme="minorHAnsi"/>
          <w:sz w:val="20"/>
          <w:szCs w:val="20"/>
          <w:lang w:val="en-GB" w:eastAsia="nl-NL"/>
        </w:rPr>
        <w:t xml:space="preserve">: </w:t>
      </w:r>
      <w:r w:rsidR="00EF6BD3" w:rsidRPr="005635D8">
        <w:rPr>
          <w:sz w:val="20"/>
          <w:szCs w:val="20"/>
          <w:lang w:val="en-GB"/>
        </w:rPr>
        <w:t>Average values of TACC, NDACC and DACC scaled by lagged TA per year.</w:t>
      </w:r>
    </w:p>
    <w:p w:rsidR="00EF6BD3" w:rsidRPr="005635D8" w:rsidRDefault="00EF6BD3" w:rsidP="005D7DD1">
      <w:pPr>
        <w:pStyle w:val="BodyTextIndent"/>
        <w:ind w:left="0"/>
        <w:jc w:val="both"/>
        <w:rPr>
          <w:rFonts w:ascii="Calibri" w:hAnsi="Calibri"/>
          <w:color w:val="000000"/>
          <w:lang w:val="en-GB"/>
        </w:rPr>
      </w:pPr>
    </w:p>
    <w:p w:rsidR="00DC6642" w:rsidRPr="005635D8" w:rsidRDefault="00DC6642" w:rsidP="005D7DD1">
      <w:pPr>
        <w:pStyle w:val="BodyTextIndent"/>
        <w:ind w:left="0"/>
        <w:jc w:val="both"/>
        <w:rPr>
          <w:rFonts w:ascii="Calibri" w:hAnsi="Calibri"/>
          <w:color w:val="000000"/>
          <w:lang w:val="en-GB"/>
        </w:rPr>
      </w:pPr>
      <w:r w:rsidRPr="005635D8">
        <w:rPr>
          <w:rFonts w:ascii="Calibri" w:hAnsi="Calibri"/>
          <w:color w:val="000000"/>
          <w:lang w:val="en-GB"/>
        </w:rPr>
        <w:t xml:space="preserve">In the following step the total accruals scaled by total assets in the year t – 1 are used as the dependent variable in the regression equation (Eq. 2) that computes the parameter estimations of the Modified Jones model. The three independent variables were constructed trough the SPSS compute option and then entered into the regression equation in order to obtain the values for </w:t>
      </w:r>
      <w:r w:rsidRPr="005635D8">
        <w:rPr>
          <w:rFonts w:ascii="Calibri" w:hAnsi="Calibri"/>
          <w:color w:val="000000"/>
          <w:lang w:val="en-GB"/>
        </w:rPr>
        <w:object w:dxaOrig="1380" w:dyaOrig="360">
          <v:shape id="_x0000_i1113" type="#_x0000_t75" style="width:69.75pt;height:18.75pt" o:ole="">
            <v:imagedata r:id="rId90" o:title=""/>
          </v:shape>
          <o:OLEObject Type="Embed" ProgID="Equation.3" ShapeID="_x0000_i1113" DrawAspect="Content" ObjectID="_1436010502" r:id="rId137"/>
        </w:object>
      </w:r>
      <w:r w:rsidRPr="005635D8">
        <w:rPr>
          <w:rFonts w:ascii="Calibri" w:hAnsi="Calibri"/>
          <w:color w:val="000000"/>
          <w:lang w:val="en-GB"/>
        </w:rPr>
        <w:t>.  Ordinary Least Squares (OLS) regression is used to obtain the parameter estimates. Normally, before this regression is performed regression assumptions for OLS have to be checked. The following assumptions apply (Norusis 2008, 246):</w:t>
      </w:r>
    </w:p>
    <w:p w:rsidR="00DC6642" w:rsidRPr="005635D8" w:rsidRDefault="00DC6642" w:rsidP="00DC6642">
      <w:pPr>
        <w:pStyle w:val="Default"/>
        <w:rPr>
          <w:sz w:val="22"/>
          <w:szCs w:val="22"/>
          <w:lang w:val="en-GB"/>
        </w:rPr>
      </w:pPr>
    </w:p>
    <w:p w:rsidR="00DC6642" w:rsidRPr="005635D8" w:rsidRDefault="00DC6642" w:rsidP="00DC6642">
      <w:pPr>
        <w:pStyle w:val="ListParagraph"/>
        <w:numPr>
          <w:ilvl w:val="0"/>
          <w:numId w:val="14"/>
        </w:numPr>
        <w:ind w:right="283"/>
        <w:jc w:val="both"/>
        <w:rPr>
          <w:rFonts w:asciiTheme="minorHAnsi" w:eastAsiaTheme="minorHAnsi" w:hAnsiTheme="minorHAnsi" w:cstheme="minorBidi"/>
          <w:sz w:val="22"/>
          <w:szCs w:val="22"/>
          <w:lang w:val="en-GB"/>
        </w:rPr>
      </w:pPr>
      <w:r w:rsidRPr="005635D8">
        <w:rPr>
          <w:rFonts w:asciiTheme="minorHAnsi" w:eastAsiaTheme="minorHAnsi" w:hAnsiTheme="minorHAnsi" w:cstheme="minorBidi"/>
          <w:sz w:val="22"/>
          <w:szCs w:val="22"/>
          <w:lang w:val="en-GB"/>
        </w:rPr>
        <w:t>All observations are independent of one another (Discretionary accrual scores for one firm do not affect scores in another firm)</w:t>
      </w:r>
    </w:p>
    <w:p w:rsidR="00DC6642" w:rsidRPr="005635D8" w:rsidRDefault="00DC6642" w:rsidP="00DC6642">
      <w:pPr>
        <w:pStyle w:val="ListParagraph"/>
        <w:numPr>
          <w:ilvl w:val="0"/>
          <w:numId w:val="14"/>
        </w:numPr>
        <w:ind w:right="283"/>
        <w:jc w:val="both"/>
        <w:rPr>
          <w:rFonts w:asciiTheme="minorHAnsi" w:eastAsiaTheme="minorHAnsi" w:hAnsiTheme="minorHAnsi" w:cstheme="minorBidi"/>
          <w:sz w:val="22"/>
          <w:szCs w:val="22"/>
          <w:lang w:val="en-GB"/>
        </w:rPr>
      </w:pPr>
      <w:r w:rsidRPr="005635D8">
        <w:rPr>
          <w:rFonts w:asciiTheme="minorHAnsi" w:eastAsiaTheme="minorHAnsi" w:hAnsiTheme="minorHAnsi" w:cstheme="minorBidi"/>
          <w:sz w:val="22"/>
          <w:szCs w:val="22"/>
          <w:lang w:val="en-GB"/>
        </w:rPr>
        <w:t>In the population there is a linear relationship between the dependent variable and the independent variables.</w:t>
      </w:r>
    </w:p>
    <w:p w:rsidR="00DC6642" w:rsidRPr="005635D8" w:rsidRDefault="00DC6642" w:rsidP="00DC6642">
      <w:pPr>
        <w:pStyle w:val="ListParagraph"/>
        <w:numPr>
          <w:ilvl w:val="0"/>
          <w:numId w:val="14"/>
        </w:numPr>
        <w:ind w:right="283"/>
        <w:jc w:val="both"/>
        <w:rPr>
          <w:rFonts w:asciiTheme="minorHAnsi" w:eastAsiaTheme="minorHAnsi" w:hAnsiTheme="minorHAnsi" w:cstheme="minorBidi"/>
          <w:sz w:val="22"/>
          <w:szCs w:val="22"/>
          <w:lang w:val="en-GB"/>
        </w:rPr>
      </w:pPr>
      <w:r w:rsidRPr="005635D8">
        <w:rPr>
          <w:rFonts w:asciiTheme="minorHAnsi" w:eastAsiaTheme="minorHAnsi" w:hAnsiTheme="minorHAnsi" w:cstheme="minorBidi"/>
          <w:sz w:val="22"/>
          <w:szCs w:val="22"/>
          <w:lang w:val="en-GB"/>
        </w:rPr>
        <w:t xml:space="preserve">For each combination of values of the independent variables in the population, there is a normal distribution of values of the dependent variable.  </w:t>
      </w:r>
    </w:p>
    <w:p w:rsidR="00DC6642" w:rsidRPr="005635D8" w:rsidRDefault="00DC6642" w:rsidP="00DC6642">
      <w:pPr>
        <w:rPr>
          <w:color w:val="000000"/>
          <w:lang w:val="en-GB"/>
        </w:rPr>
      </w:pPr>
    </w:p>
    <w:p w:rsidR="00DC6642" w:rsidRPr="005635D8" w:rsidRDefault="00DC6642" w:rsidP="00A94FA6">
      <w:pPr>
        <w:pStyle w:val="BodyTextIndent"/>
        <w:ind w:left="0"/>
        <w:jc w:val="both"/>
        <w:rPr>
          <w:rFonts w:ascii="Calibri" w:hAnsi="Calibri"/>
          <w:color w:val="000000"/>
          <w:lang w:val="en-GB"/>
        </w:rPr>
      </w:pPr>
      <w:r w:rsidRPr="005635D8">
        <w:rPr>
          <w:rFonts w:ascii="Calibri" w:hAnsi="Calibri"/>
          <w:color w:val="000000"/>
          <w:lang w:val="en-GB"/>
        </w:rPr>
        <w:t xml:space="preserve">However, none of the articles using the modified Jones model that were studied, reports any information concerning these assumptions. Any violation of the assumptions does not seem to influence </w:t>
      </w:r>
      <w:r w:rsidR="00F57B55" w:rsidRPr="005635D8">
        <w:rPr>
          <w:rFonts w:ascii="Calibri" w:hAnsi="Calibri"/>
          <w:color w:val="000000"/>
          <w:lang w:val="en-GB"/>
        </w:rPr>
        <w:t>in which way</w:t>
      </w:r>
      <w:r w:rsidRPr="005635D8">
        <w:rPr>
          <w:rFonts w:ascii="Calibri" w:hAnsi="Calibri"/>
          <w:color w:val="000000"/>
          <w:lang w:val="en-GB"/>
        </w:rPr>
        <w:t xml:space="preserve"> the formula should be used and which firm year observations should be included in the data entered in the equation. None of the studies using the Modified Jones Model excludes outliers in this stage of the research. </w:t>
      </w:r>
      <w:r w:rsidR="00F71079" w:rsidRPr="005635D8">
        <w:rPr>
          <w:rFonts w:ascii="Calibri" w:hAnsi="Calibri"/>
          <w:color w:val="000000"/>
          <w:lang w:val="en-GB"/>
        </w:rPr>
        <w:t>Consequently</w:t>
      </w:r>
      <w:r w:rsidRPr="005635D8">
        <w:rPr>
          <w:rFonts w:ascii="Calibri" w:hAnsi="Calibri"/>
          <w:color w:val="000000"/>
          <w:lang w:val="en-GB"/>
        </w:rPr>
        <w:t xml:space="preserve"> I did not check the assumptions in this stage of the hypotheses testing. </w:t>
      </w:r>
      <w:r w:rsidR="00F71079" w:rsidRPr="005635D8">
        <w:rPr>
          <w:rFonts w:ascii="Calibri" w:hAnsi="Calibri"/>
          <w:color w:val="000000"/>
          <w:lang w:val="en-GB"/>
        </w:rPr>
        <w:t xml:space="preserve">When the influence of IFRS, Industry and Size on the discretionary accruals </w:t>
      </w:r>
      <w:r w:rsidR="00C33B55" w:rsidRPr="005635D8">
        <w:rPr>
          <w:rFonts w:ascii="Calibri" w:hAnsi="Calibri"/>
          <w:color w:val="000000"/>
          <w:lang w:val="en-GB"/>
        </w:rPr>
        <w:t xml:space="preserve">is </w:t>
      </w:r>
      <w:r w:rsidR="00F71079" w:rsidRPr="005635D8">
        <w:rPr>
          <w:rFonts w:ascii="Calibri" w:hAnsi="Calibri"/>
          <w:color w:val="000000"/>
          <w:lang w:val="en-GB"/>
        </w:rPr>
        <w:t>tested</w:t>
      </w:r>
      <w:r w:rsidR="00A94FA6" w:rsidRPr="005635D8">
        <w:rPr>
          <w:rFonts w:ascii="Calibri" w:hAnsi="Calibri"/>
          <w:color w:val="000000"/>
          <w:lang w:val="en-GB"/>
        </w:rPr>
        <w:t xml:space="preserve"> in a second regression equation</w:t>
      </w:r>
      <w:r w:rsidR="00F71079" w:rsidRPr="005635D8">
        <w:rPr>
          <w:rFonts w:ascii="Calibri" w:hAnsi="Calibri"/>
          <w:color w:val="000000"/>
          <w:lang w:val="en-GB"/>
        </w:rPr>
        <w:t xml:space="preserve"> t</w:t>
      </w:r>
      <w:r w:rsidRPr="005635D8">
        <w:rPr>
          <w:rFonts w:ascii="Calibri" w:hAnsi="Calibri"/>
          <w:color w:val="000000"/>
          <w:lang w:val="en-GB"/>
        </w:rPr>
        <w:t xml:space="preserve">he assumptions will properly be tested. The output for the regression estimation in Eq. 2 shows that the overall model significantly predicts the independent variable. This is shown by the ANOVA test for the whole model which reports an F test score of 7,294 which is significant at the .000 level. This </w:t>
      </w:r>
      <w:r w:rsidR="0098240C" w:rsidRPr="005635D8">
        <w:rPr>
          <w:rFonts w:ascii="Calibri" w:hAnsi="Calibri"/>
          <w:color w:val="000000"/>
          <w:lang w:val="en-GB"/>
        </w:rPr>
        <w:t>implies</w:t>
      </w:r>
      <w:r w:rsidRPr="005635D8">
        <w:rPr>
          <w:rFonts w:ascii="Calibri" w:hAnsi="Calibri"/>
          <w:color w:val="000000"/>
          <w:lang w:val="en-GB"/>
        </w:rPr>
        <w:t xml:space="preserve"> that the independent variables together significantly explain a part of the variance in the dependent variable. The R2 value is ,135. This indicates that the amount of variation in the dependent variable explained by the three independent variables is 13,5%. The individual regression coefficients of the independent variables are presented in table 5.</w:t>
      </w:r>
    </w:p>
    <w:p w:rsidR="00DA6BD4" w:rsidRPr="005635D8" w:rsidRDefault="00DA6BD4" w:rsidP="00A94FA6">
      <w:pPr>
        <w:pStyle w:val="BodyTextIndent"/>
        <w:ind w:left="0"/>
        <w:jc w:val="both"/>
        <w:rPr>
          <w:rFonts w:ascii="Calibri" w:hAnsi="Calibri"/>
          <w:color w:val="000000"/>
          <w:lang w:val="en-GB"/>
        </w:rPr>
      </w:pPr>
    </w:p>
    <w:p w:rsidR="007A20B0" w:rsidRPr="005635D8" w:rsidRDefault="007A20B0" w:rsidP="007A20B0">
      <w:pPr>
        <w:pStyle w:val="NoSpacing"/>
        <w:rPr>
          <w:rFonts w:ascii="Calibri" w:hAnsi="Calibri"/>
          <w:color w:val="000000"/>
          <w:lang w:val="en-GB"/>
        </w:rPr>
      </w:pPr>
    </w:p>
    <w:tbl>
      <w:tblPr>
        <w:tblStyle w:val="TableGrid"/>
        <w:tblpPr w:leftFromText="141" w:rightFromText="141" w:vertAnchor="page" w:horzAnchor="margin" w:tblpY="2178"/>
        <w:tblW w:w="0" w:type="auto"/>
        <w:tblLook w:val="04A0"/>
      </w:tblPr>
      <w:tblGrid>
        <w:gridCol w:w="2133"/>
        <w:gridCol w:w="1692"/>
        <w:gridCol w:w="1692"/>
        <w:gridCol w:w="1693"/>
        <w:gridCol w:w="1693"/>
      </w:tblGrid>
      <w:tr w:rsidR="007A20B0" w:rsidRPr="005635D8" w:rsidTr="00DB6551">
        <w:trPr>
          <w:trHeight w:val="569"/>
        </w:trPr>
        <w:tc>
          <w:tcPr>
            <w:tcW w:w="2133" w:type="dxa"/>
          </w:tcPr>
          <w:p w:rsidR="007A20B0" w:rsidRPr="005635D8" w:rsidRDefault="007A20B0" w:rsidP="00DB6551">
            <w:pPr>
              <w:autoSpaceDE w:val="0"/>
              <w:autoSpaceDN w:val="0"/>
              <w:adjustRightInd w:val="0"/>
              <w:spacing w:after="200" w:line="276" w:lineRule="auto"/>
              <w:rPr>
                <w:rFonts w:ascii="Times New Roman" w:hAnsi="Times New Roman" w:cs="Times New Roman"/>
                <w:sz w:val="20"/>
                <w:szCs w:val="20"/>
                <w:lang w:val="en-GB"/>
              </w:rPr>
            </w:pPr>
          </w:p>
        </w:tc>
        <w:tc>
          <w:tcPr>
            <w:tcW w:w="1692" w:type="dxa"/>
          </w:tcPr>
          <w:p w:rsidR="007A20B0" w:rsidRPr="005635D8" w:rsidRDefault="007A20B0" w:rsidP="00DB6551">
            <w:pPr>
              <w:autoSpaceDE w:val="0"/>
              <w:autoSpaceDN w:val="0"/>
              <w:adjustRightInd w:val="0"/>
              <w:spacing w:after="200" w:line="276" w:lineRule="auto"/>
              <w:jc w:val="center"/>
              <w:rPr>
                <w:rFonts w:cs="Times New Roman"/>
                <w:i/>
                <w:sz w:val="20"/>
                <w:szCs w:val="20"/>
                <w:lang w:val="en-GB"/>
              </w:rPr>
            </w:pPr>
            <w:r w:rsidRPr="005635D8">
              <w:rPr>
                <w:rFonts w:cs="Times New Roman"/>
                <w:i/>
                <w:sz w:val="20"/>
                <w:szCs w:val="20"/>
                <w:lang w:val="en-GB"/>
              </w:rPr>
              <w:t xml:space="preserve">Regression </w:t>
            </w:r>
            <w:r w:rsidR="00DB6551">
              <w:rPr>
                <w:rFonts w:cs="Times New Roman"/>
                <w:i/>
                <w:sz w:val="20"/>
                <w:szCs w:val="20"/>
                <w:lang w:val="en-GB"/>
              </w:rPr>
              <w:t>Coefficie</w:t>
            </w:r>
            <w:r w:rsidRPr="005635D8">
              <w:rPr>
                <w:rFonts w:cs="Times New Roman"/>
                <w:i/>
                <w:sz w:val="20"/>
                <w:szCs w:val="20"/>
                <w:lang w:val="en-GB"/>
              </w:rPr>
              <w:t>nt</w:t>
            </w:r>
          </w:p>
        </w:tc>
        <w:tc>
          <w:tcPr>
            <w:tcW w:w="1692" w:type="dxa"/>
          </w:tcPr>
          <w:p w:rsidR="007A20B0" w:rsidRPr="005635D8" w:rsidRDefault="007A20B0" w:rsidP="00DB6551">
            <w:pPr>
              <w:autoSpaceDE w:val="0"/>
              <w:autoSpaceDN w:val="0"/>
              <w:adjustRightInd w:val="0"/>
              <w:jc w:val="center"/>
              <w:rPr>
                <w:rFonts w:cs="Times New Roman"/>
                <w:i/>
                <w:sz w:val="20"/>
                <w:szCs w:val="20"/>
                <w:lang w:val="en-GB"/>
              </w:rPr>
            </w:pPr>
            <w:r w:rsidRPr="005635D8">
              <w:rPr>
                <w:rFonts w:cs="Times New Roman"/>
                <w:i/>
                <w:sz w:val="20"/>
                <w:szCs w:val="20"/>
                <w:lang w:val="en-GB"/>
              </w:rPr>
              <w:t>Beta</w:t>
            </w:r>
          </w:p>
        </w:tc>
        <w:tc>
          <w:tcPr>
            <w:tcW w:w="1693" w:type="dxa"/>
          </w:tcPr>
          <w:p w:rsidR="007A20B0" w:rsidRPr="005635D8" w:rsidRDefault="007A20B0" w:rsidP="00DB6551">
            <w:pPr>
              <w:autoSpaceDE w:val="0"/>
              <w:autoSpaceDN w:val="0"/>
              <w:adjustRightInd w:val="0"/>
              <w:spacing w:after="200" w:line="276" w:lineRule="auto"/>
              <w:jc w:val="center"/>
              <w:rPr>
                <w:rFonts w:cs="Times New Roman"/>
                <w:i/>
                <w:sz w:val="20"/>
                <w:szCs w:val="20"/>
                <w:lang w:val="en-GB"/>
              </w:rPr>
            </w:pPr>
            <w:r w:rsidRPr="005635D8">
              <w:rPr>
                <w:rFonts w:cs="Times New Roman"/>
                <w:i/>
                <w:sz w:val="20"/>
                <w:szCs w:val="20"/>
                <w:lang w:val="en-GB"/>
              </w:rPr>
              <w:t>t</w:t>
            </w:r>
          </w:p>
        </w:tc>
        <w:tc>
          <w:tcPr>
            <w:tcW w:w="1693" w:type="dxa"/>
          </w:tcPr>
          <w:p w:rsidR="007A20B0" w:rsidRPr="005635D8" w:rsidRDefault="007A20B0" w:rsidP="00DB6551">
            <w:pPr>
              <w:autoSpaceDE w:val="0"/>
              <w:autoSpaceDN w:val="0"/>
              <w:adjustRightInd w:val="0"/>
              <w:jc w:val="center"/>
              <w:rPr>
                <w:rFonts w:cs="Times New Roman"/>
                <w:i/>
                <w:sz w:val="20"/>
                <w:szCs w:val="20"/>
                <w:lang w:val="en-GB"/>
              </w:rPr>
            </w:pPr>
            <w:r w:rsidRPr="005635D8">
              <w:rPr>
                <w:rFonts w:cs="Times New Roman"/>
                <w:i/>
                <w:sz w:val="20"/>
                <w:szCs w:val="20"/>
                <w:lang w:val="en-GB"/>
              </w:rPr>
              <w:t>Sig.</w:t>
            </w:r>
          </w:p>
        </w:tc>
      </w:tr>
      <w:tr w:rsidR="007A20B0" w:rsidRPr="005635D8" w:rsidTr="00DB6551">
        <w:trPr>
          <w:trHeight w:val="323"/>
        </w:trPr>
        <w:tc>
          <w:tcPr>
            <w:tcW w:w="2133" w:type="dxa"/>
          </w:tcPr>
          <w:p w:rsidR="007A20B0" w:rsidRPr="005635D8" w:rsidRDefault="007A20B0" w:rsidP="00DB6551">
            <w:pPr>
              <w:autoSpaceDE w:val="0"/>
              <w:autoSpaceDN w:val="0"/>
              <w:adjustRightInd w:val="0"/>
              <w:jc w:val="center"/>
              <w:rPr>
                <w:rFonts w:cs="Times New Roman"/>
                <w:sz w:val="20"/>
                <w:szCs w:val="20"/>
                <w:lang w:val="en-GB"/>
              </w:rPr>
            </w:pPr>
            <w:r w:rsidRPr="005635D8">
              <w:rPr>
                <w:rFonts w:cs="Times New Roman"/>
                <w:sz w:val="20"/>
                <w:szCs w:val="20"/>
                <w:lang w:val="en-GB"/>
              </w:rPr>
              <w:t>Constant</w:t>
            </w:r>
          </w:p>
        </w:tc>
        <w:tc>
          <w:tcPr>
            <w:tcW w:w="1692" w:type="dxa"/>
          </w:tcPr>
          <w:p w:rsidR="007A20B0" w:rsidRPr="005635D8" w:rsidRDefault="007A20B0" w:rsidP="00DB6551">
            <w:pPr>
              <w:autoSpaceDE w:val="0"/>
              <w:autoSpaceDN w:val="0"/>
              <w:adjustRightInd w:val="0"/>
              <w:spacing w:line="320" w:lineRule="atLeast"/>
              <w:ind w:left="60" w:right="60"/>
              <w:jc w:val="center"/>
              <w:rPr>
                <w:rFonts w:cs="Arial"/>
                <w:color w:val="000000"/>
                <w:sz w:val="20"/>
                <w:szCs w:val="20"/>
                <w:lang w:val="en-GB"/>
              </w:rPr>
            </w:pPr>
            <w:r w:rsidRPr="005635D8">
              <w:rPr>
                <w:rFonts w:cs="Arial"/>
                <w:color w:val="000000"/>
                <w:sz w:val="20"/>
                <w:szCs w:val="20"/>
                <w:lang w:val="en-GB"/>
              </w:rPr>
              <w:t>-,014</w:t>
            </w:r>
          </w:p>
        </w:tc>
        <w:tc>
          <w:tcPr>
            <w:tcW w:w="1692" w:type="dxa"/>
            <w:vAlign w:val="center"/>
          </w:tcPr>
          <w:p w:rsidR="007A20B0" w:rsidRPr="005635D8" w:rsidRDefault="007A20B0" w:rsidP="00DB6551">
            <w:pPr>
              <w:autoSpaceDE w:val="0"/>
              <w:autoSpaceDN w:val="0"/>
              <w:adjustRightInd w:val="0"/>
              <w:jc w:val="center"/>
              <w:rPr>
                <w:rFonts w:cs="Times New Roman"/>
                <w:sz w:val="20"/>
                <w:szCs w:val="20"/>
                <w:lang w:val="en-GB"/>
              </w:rPr>
            </w:pPr>
          </w:p>
        </w:tc>
        <w:tc>
          <w:tcPr>
            <w:tcW w:w="1693" w:type="dxa"/>
          </w:tcPr>
          <w:p w:rsidR="007A20B0" w:rsidRPr="005635D8" w:rsidRDefault="007A20B0" w:rsidP="00DB6551">
            <w:pPr>
              <w:autoSpaceDE w:val="0"/>
              <w:autoSpaceDN w:val="0"/>
              <w:adjustRightInd w:val="0"/>
              <w:spacing w:line="320" w:lineRule="atLeast"/>
              <w:ind w:left="60" w:right="60"/>
              <w:jc w:val="center"/>
              <w:rPr>
                <w:rFonts w:cs="Arial"/>
                <w:color w:val="000000"/>
                <w:sz w:val="20"/>
                <w:szCs w:val="20"/>
                <w:lang w:val="en-GB"/>
              </w:rPr>
            </w:pPr>
            <w:r w:rsidRPr="005635D8">
              <w:rPr>
                <w:rFonts w:cs="Arial"/>
                <w:color w:val="000000"/>
                <w:sz w:val="20"/>
                <w:szCs w:val="20"/>
                <w:lang w:val="en-GB"/>
              </w:rPr>
              <w:t>-,686</w:t>
            </w:r>
          </w:p>
        </w:tc>
        <w:tc>
          <w:tcPr>
            <w:tcW w:w="1693" w:type="dxa"/>
          </w:tcPr>
          <w:p w:rsidR="007A20B0" w:rsidRPr="005635D8" w:rsidRDefault="007A20B0" w:rsidP="00DB6551">
            <w:pPr>
              <w:autoSpaceDE w:val="0"/>
              <w:autoSpaceDN w:val="0"/>
              <w:adjustRightInd w:val="0"/>
              <w:spacing w:line="320" w:lineRule="atLeast"/>
              <w:ind w:left="60" w:right="60"/>
              <w:jc w:val="center"/>
              <w:rPr>
                <w:rFonts w:cs="Arial"/>
                <w:color w:val="000000"/>
                <w:sz w:val="20"/>
                <w:szCs w:val="20"/>
                <w:lang w:val="en-GB"/>
              </w:rPr>
            </w:pPr>
            <w:r w:rsidRPr="005635D8">
              <w:rPr>
                <w:rFonts w:cs="Arial"/>
                <w:color w:val="000000"/>
                <w:sz w:val="20"/>
                <w:szCs w:val="20"/>
                <w:lang w:val="en-GB"/>
              </w:rPr>
              <w:t>,494</w:t>
            </w:r>
          </w:p>
        </w:tc>
      </w:tr>
      <w:tr w:rsidR="007A20B0" w:rsidRPr="005635D8" w:rsidTr="00DB6551">
        <w:trPr>
          <w:trHeight w:val="722"/>
        </w:trPr>
        <w:tc>
          <w:tcPr>
            <w:tcW w:w="2133" w:type="dxa"/>
          </w:tcPr>
          <w:p w:rsidR="007A20B0" w:rsidRPr="005635D8" w:rsidRDefault="007A20B0" w:rsidP="00DB6551">
            <w:pPr>
              <w:autoSpaceDE w:val="0"/>
              <w:autoSpaceDN w:val="0"/>
              <w:adjustRightInd w:val="0"/>
              <w:jc w:val="center"/>
              <w:rPr>
                <w:rFonts w:cs="Times New Roman"/>
                <w:sz w:val="20"/>
                <w:szCs w:val="20"/>
                <w:lang w:val="en-GB"/>
              </w:rPr>
            </w:pPr>
            <w:r w:rsidRPr="005635D8">
              <w:rPr>
                <w:position w:val="-32"/>
                <w:sz w:val="20"/>
                <w:szCs w:val="20"/>
                <w:lang w:val="en-GB"/>
              </w:rPr>
              <w:object w:dxaOrig="660" w:dyaOrig="700">
                <v:shape id="_x0000_i1114" type="#_x0000_t75" style="width:33pt;height:35.25pt" o:ole="">
                  <v:imagedata r:id="rId138" o:title=""/>
                </v:shape>
                <o:OLEObject Type="Embed" ProgID="Equation.3" ShapeID="_x0000_i1114" DrawAspect="Content" ObjectID="_1436010503" r:id="rId139"/>
              </w:object>
            </w:r>
          </w:p>
        </w:tc>
        <w:tc>
          <w:tcPr>
            <w:tcW w:w="1692" w:type="dxa"/>
          </w:tcPr>
          <w:p w:rsidR="007A20B0" w:rsidRPr="005635D8" w:rsidRDefault="007A20B0" w:rsidP="00DB6551">
            <w:pPr>
              <w:autoSpaceDE w:val="0"/>
              <w:autoSpaceDN w:val="0"/>
              <w:adjustRightInd w:val="0"/>
              <w:spacing w:line="320" w:lineRule="atLeast"/>
              <w:ind w:left="60" w:right="60"/>
              <w:jc w:val="center"/>
              <w:rPr>
                <w:rFonts w:cs="Arial"/>
                <w:color w:val="000000"/>
                <w:sz w:val="20"/>
                <w:szCs w:val="20"/>
                <w:lang w:val="en-GB"/>
              </w:rPr>
            </w:pPr>
            <w:r w:rsidRPr="005635D8">
              <w:rPr>
                <w:rFonts w:cs="Arial"/>
                <w:color w:val="000000"/>
                <w:sz w:val="20"/>
                <w:szCs w:val="20"/>
                <w:lang w:val="en-GB"/>
              </w:rPr>
              <w:t>-3,233</w:t>
            </w:r>
          </w:p>
        </w:tc>
        <w:tc>
          <w:tcPr>
            <w:tcW w:w="1692" w:type="dxa"/>
          </w:tcPr>
          <w:p w:rsidR="007A20B0" w:rsidRPr="005635D8" w:rsidRDefault="007A20B0" w:rsidP="00DB6551">
            <w:pPr>
              <w:autoSpaceDE w:val="0"/>
              <w:autoSpaceDN w:val="0"/>
              <w:adjustRightInd w:val="0"/>
              <w:spacing w:line="320" w:lineRule="atLeast"/>
              <w:ind w:left="60" w:right="60"/>
              <w:jc w:val="center"/>
              <w:rPr>
                <w:rFonts w:cs="Arial"/>
                <w:color w:val="000000"/>
                <w:sz w:val="20"/>
                <w:szCs w:val="20"/>
                <w:lang w:val="en-GB"/>
              </w:rPr>
            </w:pPr>
            <w:r w:rsidRPr="005635D8">
              <w:rPr>
                <w:rFonts w:cs="Arial"/>
                <w:color w:val="000000"/>
                <w:sz w:val="20"/>
                <w:szCs w:val="20"/>
                <w:lang w:val="en-GB"/>
              </w:rPr>
              <w:t>-,052</w:t>
            </w:r>
          </w:p>
        </w:tc>
        <w:tc>
          <w:tcPr>
            <w:tcW w:w="1693" w:type="dxa"/>
          </w:tcPr>
          <w:p w:rsidR="007A20B0" w:rsidRPr="005635D8" w:rsidRDefault="007A20B0" w:rsidP="00DB6551">
            <w:pPr>
              <w:autoSpaceDE w:val="0"/>
              <w:autoSpaceDN w:val="0"/>
              <w:adjustRightInd w:val="0"/>
              <w:spacing w:line="320" w:lineRule="atLeast"/>
              <w:ind w:left="60" w:right="60"/>
              <w:jc w:val="center"/>
              <w:rPr>
                <w:rFonts w:cs="Arial"/>
                <w:color w:val="000000"/>
                <w:sz w:val="20"/>
                <w:szCs w:val="20"/>
                <w:lang w:val="en-GB"/>
              </w:rPr>
            </w:pPr>
            <w:r w:rsidRPr="005635D8">
              <w:rPr>
                <w:rFonts w:cs="Arial"/>
                <w:color w:val="000000"/>
                <w:sz w:val="20"/>
                <w:szCs w:val="20"/>
                <w:lang w:val="en-GB"/>
              </w:rPr>
              <w:t>-,622</w:t>
            </w:r>
          </w:p>
        </w:tc>
        <w:tc>
          <w:tcPr>
            <w:tcW w:w="1693" w:type="dxa"/>
          </w:tcPr>
          <w:p w:rsidR="007A20B0" w:rsidRPr="005635D8" w:rsidRDefault="007A20B0" w:rsidP="00DB6551">
            <w:pPr>
              <w:autoSpaceDE w:val="0"/>
              <w:autoSpaceDN w:val="0"/>
              <w:adjustRightInd w:val="0"/>
              <w:spacing w:line="320" w:lineRule="atLeast"/>
              <w:ind w:left="60" w:right="60"/>
              <w:jc w:val="center"/>
              <w:rPr>
                <w:rFonts w:cs="Arial"/>
                <w:color w:val="000000"/>
                <w:sz w:val="20"/>
                <w:szCs w:val="20"/>
                <w:lang w:val="en-GB"/>
              </w:rPr>
            </w:pPr>
            <w:r w:rsidRPr="005635D8">
              <w:rPr>
                <w:rFonts w:cs="Arial"/>
                <w:color w:val="000000"/>
                <w:sz w:val="20"/>
                <w:szCs w:val="20"/>
                <w:lang w:val="en-GB"/>
              </w:rPr>
              <w:t>,535</w:t>
            </w:r>
          </w:p>
        </w:tc>
      </w:tr>
      <w:tr w:rsidR="007A20B0" w:rsidRPr="005635D8" w:rsidTr="00DB6551">
        <w:trPr>
          <w:trHeight w:val="707"/>
        </w:trPr>
        <w:tc>
          <w:tcPr>
            <w:tcW w:w="2133" w:type="dxa"/>
          </w:tcPr>
          <w:p w:rsidR="007A20B0" w:rsidRPr="005635D8" w:rsidRDefault="007A20B0" w:rsidP="00DB6551">
            <w:pPr>
              <w:autoSpaceDE w:val="0"/>
              <w:autoSpaceDN w:val="0"/>
              <w:adjustRightInd w:val="0"/>
              <w:jc w:val="center"/>
              <w:rPr>
                <w:rFonts w:cs="Times New Roman"/>
                <w:sz w:val="20"/>
                <w:szCs w:val="20"/>
                <w:lang w:val="en-GB"/>
              </w:rPr>
            </w:pPr>
            <w:r w:rsidRPr="005635D8">
              <w:rPr>
                <w:position w:val="-32"/>
                <w:sz w:val="20"/>
                <w:szCs w:val="20"/>
                <w:lang w:val="en-GB"/>
              </w:rPr>
              <w:object w:dxaOrig="1719" w:dyaOrig="700">
                <v:shape id="_x0000_i1115" type="#_x0000_t75" style="width:86.25pt;height:35.25pt" o:ole="">
                  <v:imagedata r:id="rId140" o:title=""/>
                </v:shape>
                <o:OLEObject Type="Embed" ProgID="Equation.3" ShapeID="_x0000_i1115" DrawAspect="Content" ObjectID="_1436010504" r:id="rId141"/>
              </w:object>
            </w:r>
          </w:p>
        </w:tc>
        <w:tc>
          <w:tcPr>
            <w:tcW w:w="1692" w:type="dxa"/>
          </w:tcPr>
          <w:p w:rsidR="007A20B0" w:rsidRPr="005635D8" w:rsidRDefault="007A20B0" w:rsidP="00DB6551">
            <w:pPr>
              <w:autoSpaceDE w:val="0"/>
              <w:autoSpaceDN w:val="0"/>
              <w:adjustRightInd w:val="0"/>
              <w:spacing w:line="320" w:lineRule="atLeast"/>
              <w:ind w:left="60" w:right="60"/>
              <w:jc w:val="center"/>
              <w:rPr>
                <w:rFonts w:cs="Arial"/>
                <w:color w:val="000000"/>
                <w:sz w:val="20"/>
                <w:szCs w:val="20"/>
                <w:lang w:val="en-GB"/>
              </w:rPr>
            </w:pPr>
            <w:r w:rsidRPr="005635D8">
              <w:rPr>
                <w:rFonts w:cs="Arial"/>
                <w:color w:val="000000"/>
                <w:sz w:val="20"/>
                <w:szCs w:val="20"/>
                <w:lang w:val="en-GB"/>
              </w:rPr>
              <w:t>,139**</w:t>
            </w:r>
          </w:p>
        </w:tc>
        <w:tc>
          <w:tcPr>
            <w:tcW w:w="1692" w:type="dxa"/>
          </w:tcPr>
          <w:p w:rsidR="007A20B0" w:rsidRPr="005635D8" w:rsidRDefault="007A20B0" w:rsidP="00DB6551">
            <w:pPr>
              <w:autoSpaceDE w:val="0"/>
              <w:autoSpaceDN w:val="0"/>
              <w:adjustRightInd w:val="0"/>
              <w:spacing w:line="320" w:lineRule="atLeast"/>
              <w:ind w:left="60" w:right="60"/>
              <w:jc w:val="center"/>
              <w:rPr>
                <w:rFonts w:cs="Arial"/>
                <w:color w:val="000000"/>
                <w:sz w:val="20"/>
                <w:szCs w:val="20"/>
                <w:lang w:val="en-GB"/>
              </w:rPr>
            </w:pPr>
            <w:r w:rsidRPr="005635D8">
              <w:rPr>
                <w:rFonts w:cs="Arial"/>
                <w:color w:val="000000"/>
                <w:sz w:val="20"/>
                <w:szCs w:val="20"/>
                <w:lang w:val="en-GB"/>
              </w:rPr>
              <w:t>,311</w:t>
            </w:r>
          </w:p>
        </w:tc>
        <w:tc>
          <w:tcPr>
            <w:tcW w:w="1693" w:type="dxa"/>
          </w:tcPr>
          <w:p w:rsidR="007A20B0" w:rsidRPr="005635D8" w:rsidRDefault="007A20B0" w:rsidP="00DB6551">
            <w:pPr>
              <w:autoSpaceDE w:val="0"/>
              <w:autoSpaceDN w:val="0"/>
              <w:adjustRightInd w:val="0"/>
              <w:spacing w:line="320" w:lineRule="atLeast"/>
              <w:ind w:left="60" w:right="60"/>
              <w:jc w:val="center"/>
              <w:rPr>
                <w:rFonts w:cs="Arial"/>
                <w:color w:val="000000"/>
                <w:sz w:val="20"/>
                <w:szCs w:val="20"/>
                <w:lang w:val="en-GB"/>
              </w:rPr>
            </w:pPr>
            <w:r w:rsidRPr="005635D8">
              <w:rPr>
                <w:rFonts w:cs="Arial"/>
                <w:color w:val="000000"/>
                <w:sz w:val="20"/>
                <w:szCs w:val="20"/>
                <w:lang w:val="en-GB"/>
              </w:rPr>
              <w:t>3,811</w:t>
            </w:r>
          </w:p>
        </w:tc>
        <w:tc>
          <w:tcPr>
            <w:tcW w:w="1693" w:type="dxa"/>
          </w:tcPr>
          <w:p w:rsidR="007A20B0" w:rsidRPr="005635D8" w:rsidRDefault="007A20B0" w:rsidP="00DB6551">
            <w:pPr>
              <w:autoSpaceDE w:val="0"/>
              <w:autoSpaceDN w:val="0"/>
              <w:adjustRightInd w:val="0"/>
              <w:spacing w:line="320" w:lineRule="atLeast"/>
              <w:ind w:left="60" w:right="60"/>
              <w:jc w:val="center"/>
              <w:rPr>
                <w:rFonts w:cs="Arial"/>
                <w:color w:val="000000"/>
                <w:sz w:val="20"/>
                <w:szCs w:val="20"/>
                <w:lang w:val="en-GB"/>
              </w:rPr>
            </w:pPr>
            <w:r w:rsidRPr="005635D8">
              <w:rPr>
                <w:rFonts w:cs="Arial"/>
                <w:color w:val="000000"/>
                <w:sz w:val="20"/>
                <w:szCs w:val="20"/>
                <w:lang w:val="en-GB"/>
              </w:rPr>
              <w:t>,000</w:t>
            </w:r>
          </w:p>
        </w:tc>
      </w:tr>
      <w:tr w:rsidR="007A20B0" w:rsidRPr="005635D8" w:rsidTr="00DB6551">
        <w:trPr>
          <w:trHeight w:val="722"/>
        </w:trPr>
        <w:tc>
          <w:tcPr>
            <w:tcW w:w="2133" w:type="dxa"/>
          </w:tcPr>
          <w:p w:rsidR="007A20B0" w:rsidRPr="005635D8" w:rsidRDefault="007A20B0" w:rsidP="00DB6551">
            <w:pPr>
              <w:autoSpaceDE w:val="0"/>
              <w:autoSpaceDN w:val="0"/>
              <w:adjustRightInd w:val="0"/>
              <w:jc w:val="center"/>
              <w:rPr>
                <w:rFonts w:cs="Times New Roman"/>
                <w:sz w:val="20"/>
                <w:szCs w:val="20"/>
                <w:lang w:val="en-GB"/>
              </w:rPr>
            </w:pPr>
            <w:r w:rsidRPr="005635D8">
              <w:rPr>
                <w:position w:val="-32"/>
                <w:sz w:val="20"/>
                <w:szCs w:val="20"/>
                <w:lang w:val="en-GB"/>
              </w:rPr>
              <w:object w:dxaOrig="680" w:dyaOrig="700">
                <v:shape id="_x0000_i1116" type="#_x0000_t75" style="width:33pt;height:35.25pt" o:ole="">
                  <v:imagedata r:id="rId142" o:title=""/>
                </v:shape>
                <o:OLEObject Type="Embed" ProgID="Equation.3" ShapeID="_x0000_i1116" DrawAspect="Content" ObjectID="_1436010505" r:id="rId143"/>
              </w:object>
            </w:r>
          </w:p>
        </w:tc>
        <w:tc>
          <w:tcPr>
            <w:tcW w:w="1692" w:type="dxa"/>
          </w:tcPr>
          <w:p w:rsidR="007A20B0" w:rsidRPr="005635D8" w:rsidRDefault="007A20B0" w:rsidP="00DB6551">
            <w:pPr>
              <w:autoSpaceDE w:val="0"/>
              <w:autoSpaceDN w:val="0"/>
              <w:adjustRightInd w:val="0"/>
              <w:spacing w:line="320" w:lineRule="atLeast"/>
              <w:ind w:left="60" w:right="60"/>
              <w:jc w:val="center"/>
              <w:rPr>
                <w:rFonts w:cs="Arial"/>
                <w:color w:val="000000"/>
                <w:sz w:val="20"/>
                <w:szCs w:val="20"/>
                <w:lang w:val="en-GB"/>
              </w:rPr>
            </w:pPr>
            <w:r w:rsidRPr="005635D8">
              <w:rPr>
                <w:rFonts w:cs="Arial"/>
                <w:color w:val="000000"/>
                <w:sz w:val="20"/>
                <w:szCs w:val="20"/>
                <w:lang w:val="en-GB"/>
              </w:rPr>
              <w:t>-,056*</w:t>
            </w:r>
          </w:p>
        </w:tc>
        <w:tc>
          <w:tcPr>
            <w:tcW w:w="1692" w:type="dxa"/>
          </w:tcPr>
          <w:p w:rsidR="007A20B0" w:rsidRPr="005635D8" w:rsidRDefault="007A20B0" w:rsidP="00DB6551">
            <w:pPr>
              <w:autoSpaceDE w:val="0"/>
              <w:autoSpaceDN w:val="0"/>
              <w:adjustRightInd w:val="0"/>
              <w:spacing w:line="320" w:lineRule="atLeast"/>
              <w:ind w:left="60" w:right="60"/>
              <w:jc w:val="center"/>
              <w:rPr>
                <w:rFonts w:cs="Arial"/>
                <w:color w:val="000000"/>
                <w:sz w:val="20"/>
                <w:szCs w:val="20"/>
                <w:lang w:val="en-GB"/>
              </w:rPr>
            </w:pPr>
            <w:r w:rsidRPr="005635D8">
              <w:rPr>
                <w:rFonts w:cs="Arial"/>
                <w:color w:val="000000"/>
                <w:sz w:val="20"/>
                <w:szCs w:val="20"/>
                <w:lang w:val="en-GB"/>
              </w:rPr>
              <w:t>-,186</w:t>
            </w:r>
          </w:p>
        </w:tc>
        <w:tc>
          <w:tcPr>
            <w:tcW w:w="1693" w:type="dxa"/>
          </w:tcPr>
          <w:p w:rsidR="007A20B0" w:rsidRPr="005635D8" w:rsidRDefault="007A20B0" w:rsidP="00DB6551">
            <w:pPr>
              <w:autoSpaceDE w:val="0"/>
              <w:autoSpaceDN w:val="0"/>
              <w:adjustRightInd w:val="0"/>
              <w:spacing w:line="320" w:lineRule="atLeast"/>
              <w:ind w:left="60" w:right="60"/>
              <w:jc w:val="center"/>
              <w:rPr>
                <w:rFonts w:cs="Arial"/>
                <w:color w:val="000000"/>
                <w:sz w:val="20"/>
                <w:szCs w:val="20"/>
                <w:lang w:val="en-GB"/>
              </w:rPr>
            </w:pPr>
            <w:r w:rsidRPr="005635D8">
              <w:rPr>
                <w:rFonts w:cs="Arial"/>
                <w:color w:val="000000"/>
                <w:sz w:val="20"/>
                <w:szCs w:val="20"/>
                <w:lang w:val="en-GB"/>
              </w:rPr>
              <w:t>-2,278</w:t>
            </w:r>
          </w:p>
        </w:tc>
        <w:tc>
          <w:tcPr>
            <w:tcW w:w="1693" w:type="dxa"/>
          </w:tcPr>
          <w:p w:rsidR="007A20B0" w:rsidRPr="005635D8" w:rsidRDefault="007A20B0" w:rsidP="00DB6551">
            <w:pPr>
              <w:autoSpaceDE w:val="0"/>
              <w:autoSpaceDN w:val="0"/>
              <w:adjustRightInd w:val="0"/>
              <w:spacing w:line="320" w:lineRule="atLeast"/>
              <w:ind w:left="60" w:right="60"/>
              <w:jc w:val="center"/>
              <w:rPr>
                <w:rFonts w:cs="Arial"/>
                <w:color w:val="000000"/>
                <w:sz w:val="20"/>
                <w:szCs w:val="20"/>
                <w:lang w:val="en-GB"/>
              </w:rPr>
            </w:pPr>
            <w:r w:rsidRPr="005635D8">
              <w:rPr>
                <w:rFonts w:cs="Arial"/>
                <w:color w:val="000000"/>
                <w:sz w:val="20"/>
                <w:szCs w:val="20"/>
                <w:lang w:val="en-GB"/>
              </w:rPr>
              <w:t>,024</w:t>
            </w:r>
          </w:p>
        </w:tc>
      </w:tr>
    </w:tbl>
    <w:p w:rsidR="00DB6551" w:rsidRDefault="00DB6551" w:rsidP="00DC6642">
      <w:pPr>
        <w:rPr>
          <w:b/>
          <w:sz w:val="20"/>
          <w:szCs w:val="20"/>
          <w:lang w:val="en-GB"/>
        </w:rPr>
      </w:pPr>
    </w:p>
    <w:p w:rsidR="00DC6642" w:rsidRPr="005635D8" w:rsidRDefault="00DB6551" w:rsidP="00DC6642">
      <w:pPr>
        <w:rPr>
          <w:color w:val="000000"/>
          <w:sz w:val="20"/>
          <w:szCs w:val="20"/>
          <w:lang w:val="en-GB"/>
        </w:rPr>
      </w:pPr>
      <w:r w:rsidRPr="005635D8">
        <w:rPr>
          <w:b/>
          <w:sz w:val="20"/>
          <w:szCs w:val="20"/>
          <w:lang w:val="en-GB"/>
        </w:rPr>
        <w:t>Table 5</w:t>
      </w:r>
      <w:r>
        <w:rPr>
          <w:b/>
          <w:sz w:val="20"/>
          <w:szCs w:val="20"/>
          <w:lang w:val="en-GB"/>
        </w:rPr>
        <w:t xml:space="preserve">: </w:t>
      </w:r>
      <w:r w:rsidR="00EF6BD3" w:rsidRPr="005635D8">
        <w:rPr>
          <w:sz w:val="20"/>
          <w:szCs w:val="20"/>
          <w:lang w:val="en-GB"/>
        </w:rPr>
        <w:t xml:space="preserve">Regression results for the equation needed to obtain the parameter estimates for determining </w:t>
      </w:r>
      <w:r w:rsidR="00EF6BD3" w:rsidRPr="005635D8">
        <w:rPr>
          <w:i/>
          <w:iCs/>
          <w:sz w:val="20"/>
          <w:szCs w:val="20"/>
          <w:lang w:val="en-GB"/>
        </w:rPr>
        <w:t>NCACC</w:t>
      </w:r>
      <w:r w:rsidR="00EF6BD3" w:rsidRPr="005635D8">
        <w:rPr>
          <w:sz w:val="20"/>
          <w:szCs w:val="20"/>
          <w:vertAlign w:val="subscript"/>
          <w:lang w:val="en-GB"/>
        </w:rPr>
        <w:t>ti</w:t>
      </w:r>
      <w:r w:rsidR="00EF6BD3" w:rsidRPr="005635D8">
        <w:rPr>
          <w:sz w:val="20"/>
          <w:szCs w:val="20"/>
          <w:lang w:val="en-GB"/>
        </w:rPr>
        <w:t>.</w:t>
      </w:r>
    </w:p>
    <w:p w:rsidR="00DC6642" w:rsidRPr="005635D8" w:rsidRDefault="00DC6642" w:rsidP="00EF6BD3">
      <w:pPr>
        <w:pStyle w:val="BodyTextIndent"/>
        <w:ind w:left="0"/>
        <w:jc w:val="both"/>
        <w:rPr>
          <w:rFonts w:ascii="Calibri" w:hAnsi="Calibri"/>
          <w:color w:val="000000"/>
          <w:lang w:val="en-GB"/>
        </w:rPr>
      </w:pPr>
      <w:r w:rsidRPr="005635D8">
        <w:rPr>
          <w:rFonts w:ascii="Calibri" w:hAnsi="Calibri"/>
          <w:color w:val="000000"/>
          <w:lang w:val="en-GB"/>
        </w:rPr>
        <w:t xml:space="preserve">Table five reports the regression coefficients which show </w:t>
      </w:r>
      <w:r w:rsidR="00F57B55" w:rsidRPr="005635D8">
        <w:rPr>
          <w:rFonts w:ascii="Calibri" w:hAnsi="Calibri"/>
          <w:color w:val="000000"/>
          <w:lang w:val="en-GB"/>
        </w:rPr>
        <w:t>in which way</w:t>
      </w:r>
      <w:r w:rsidRPr="005635D8">
        <w:rPr>
          <w:rFonts w:ascii="Calibri" w:hAnsi="Calibri"/>
          <w:color w:val="000000"/>
          <w:lang w:val="en-GB"/>
        </w:rPr>
        <w:t xml:space="preserve"> much the individual variables in the model influence the variance in the dependent variable. In this case we are particularly interested in the values of the unstandardized regression coefficients as these values will be used as the parameter estimates for </w:t>
      </w:r>
      <w:r w:rsidR="00EF6BD3" w:rsidRPr="005635D8">
        <w:rPr>
          <w:color w:val="000000"/>
          <w:lang w:val="en-GB"/>
        </w:rPr>
        <w:t>α</w:t>
      </w:r>
      <w:r w:rsidR="00EF6BD3" w:rsidRPr="005635D8">
        <w:rPr>
          <w:color w:val="000000"/>
          <w:vertAlign w:val="subscript"/>
          <w:lang w:val="en-GB"/>
        </w:rPr>
        <w:t xml:space="preserve">1, </w:t>
      </w:r>
      <w:r w:rsidR="00EF6BD3" w:rsidRPr="005635D8">
        <w:rPr>
          <w:color w:val="000000"/>
          <w:lang w:val="en-GB"/>
        </w:rPr>
        <w:t>α</w:t>
      </w:r>
      <w:r w:rsidR="00EF6BD3" w:rsidRPr="005635D8">
        <w:rPr>
          <w:color w:val="000000"/>
          <w:vertAlign w:val="subscript"/>
          <w:lang w:val="en-GB"/>
        </w:rPr>
        <w:t xml:space="preserve">2 </w:t>
      </w:r>
      <w:r w:rsidR="00EF6BD3" w:rsidRPr="005635D8">
        <w:rPr>
          <w:color w:val="000000"/>
          <w:lang w:val="en-GB"/>
        </w:rPr>
        <w:t>and α</w:t>
      </w:r>
      <w:r w:rsidR="00EF6BD3" w:rsidRPr="005635D8">
        <w:rPr>
          <w:color w:val="000000"/>
          <w:vertAlign w:val="subscript"/>
          <w:lang w:val="en-GB"/>
        </w:rPr>
        <w:t>3</w:t>
      </w:r>
      <w:r w:rsidR="00EF6BD3" w:rsidRPr="005635D8">
        <w:rPr>
          <w:color w:val="000000"/>
          <w:lang w:val="en-GB"/>
        </w:rPr>
        <w:t xml:space="preserve"> </w:t>
      </w:r>
      <w:r w:rsidRPr="005635D8">
        <w:rPr>
          <w:rFonts w:ascii="Calibri" w:hAnsi="Calibri"/>
          <w:color w:val="000000"/>
          <w:lang w:val="en-GB"/>
        </w:rPr>
        <w:t xml:space="preserve">in the next equation.  Two of those three coefficients are significant at the 0.05 level but this is not </w:t>
      </w:r>
      <w:r w:rsidR="00F71079" w:rsidRPr="005635D8">
        <w:rPr>
          <w:rFonts w:ascii="Calibri" w:hAnsi="Calibri"/>
          <w:color w:val="000000"/>
          <w:lang w:val="en-GB"/>
        </w:rPr>
        <w:t>consequently</w:t>
      </w:r>
      <w:r w:rsidRPr="005635D8">
        <w:rPr>
          <w:rFonts w:ascii="Calibri" w:hAnsi="Calibri"/>
          <w:color w:val="000000"/>
          <w:lang w:val="en-GB"/>
        </w:rPr>
        <w:t xml:space="preserve"> important as all coefficients have to be used in the next formula to calculate NDACCit regardless of them being significant. With regard to this point de Vocht (2009, 202) notes that “</w:t>
      </w:r>
      <w:r w:rsidRPr="005635D8">
        <w:rPr>
          <w:rFonts w:ascii="Calibri" w:hAnsi="Calibri"/>
          <w:iCs/>
          <w:color w:val="000000"/>
          <w:lang w:val="en-GB"/>
        </w:rPr>
        <w:t xml:space="preserve">all variables should be included in the regression formula, </w:t>
      </w:r>
      <w:r w:rsidR="00323D4C" w:rsidRPr="005635D8">
        <w:rPr>
          <w:rFonts w:ascii="Calibri" w:hAnsi="Calibri"/>
          <w:iCs/>
          <w:color w:val="000000"/>
          <w:lang w:val="en-GB"/>
        </w:rPr>
        <w:t>in addition</w:t>
      </w:r>
      <w:r w:rsidRPr="005635D8">
        <w:rPr>
          <w:rFonts w:ascii="Calibri" w:hAnsi="Calibri"/>
          <w:iCs/>
          <w:color w:val="000000"/>
          <w:lang w:val="en-GB"/>
        </w:rPr>
        <w:t xml:space="preserve"> the ones that are not significant because the parameters of the significant variables are corrected for these effects”.</w:t>
      </w:r>
      <w:r w:rsidRPr="005635D8">
        <w:rPr>
          <w:rFonts w:ascii="Calibri" w:hAnsi="Calibri"/>
          <w:color w:val="000000"/>
          <w:lang w:val="en-GB"/>
        </w:rPr>
        <w:t xml:space="preserve"> It can be obtained from the model that the value of</w:t>
      </w:r>
      <w:r w:rsidR="00EF6BD3" w:rsidRPr="005635D8">
        <w:rPr>
          <w:rFonts w:ascii="Calibri" w:hAnsi="Calibri"/>
          <w:color w:val="000000"/>
          <w:lang w:val="en-GB"/>
        </w:rPr>
        <w:t xml:space="preserve"> α</w:t>
      </w:r>
      <w:r w:rsidR="00EF6BD3" w:rsidRPr="005635D8">
        <w:rPr>
          <w:rFonts w:ascii="Calibri" w:hAnsi="Calibri"/>
          <w:color w:val="000000"/>
          <w:vertAlign w:val="subscript"/>
          <w:lang w:val="en-GB"/>
        </w:rPr>
        <w:t>1</w:t>
      </w:r>
      <w:r w:rsidRPr="005635D8">
        <w:rPr>
          <w:rFonts w:ascii="Calibri" w:hAnsi="Calibri"/>
          <w:color w:val="000000"/>
          <w:lang w:val="en-GB"/>
        </w:rPr>
        <w:t xml:space="preserve">= -3.233, the value of </w:t>
      </w:r>
      <w:r w:rsidR="00EF6BD3" w:rsidRPr="005635D8">
        <w:rPr>
          <w:rFonts w:ascii="Calibri" w:hAnsi="Calibri"/>
          <w:color w:val="000000"/>
          <w:lang w:val="en-GB"/>
        </w:rPr>
        <w:t xml:space="preserve">α </w:t>
      </w:r>
      <w:r w:rsidR="00EF6BD3" w:rsidRPr="005635D8">
        <w:rPr>
          <w:rFonts w:ascii="Calibri" w:hAnsi="Calibri"/>
          <w:color w:val="000000"/>
          <w:vertAlign w:val="subscript"/>
          <w:lang w:val="en-GB"/>
        </w:rPr>
        <w:t>2</w:t>
      </w:r>
      <w:r w:rsidRPr="005635D8">
        <w:rPr>
          <w:rFonts w:ascii="Calibri" w:hAnsi="Calibri"/>
          <w:color w:val="000000"/>
          <w:lang w:val="en-GB"/>
        </w:rPr>
        <w:t xml:space="preserve">= .139 and the value of </w:t>
      </w:r>
      <w:r w:rsidR="00EF6BD3" w:rsidRPr="005635D8">
        <w:rPr>
          <w:rFonts w:ascii="Calibri" w:hAnsi="Calibri"/>
          <w:color w:val="000000"/>
          <w:lang w:val="en-GB"/>
        </w:rPr>
        <w:t>α</w:t>
      </w:r>
      <w:r w:rsidR="00EF6BD3" w:rsidRPr="005635D8">
        <w:rPr>
          <w:rFonts w:ascii="Calibri" w:hAnsi="Calibri"/>
          <w:color w:val="000000"/>
          <w:vertAlign w:val="subscript"/>
          <w:lang w:val="en-GB"/>
        </w:rPr>
        <w:t>3</w:t>
      </w:r>
      <w:r w:rsidRPr="005635D8">
        <w:rPr>
          <w:rFonts w:ascii="Calibri" w:hAnsi="Calibri"/>
          <w:color w:val="000000"/>
          <w:lang w:val="en-GB"/>
        </w:rPr>
        <w:t xml:space="preserve">= -.056. The values of the parameter estimates are then used in the formula to calculate the non-discretionary accruals. The formula is then: </w:t>
      </w:r>
    </w:p>
    <w:p w:rsidR="00DC6642" w:rsidRPr="005635D8" w:rsidRDefault="00DC6642" w:rsidP="00DC6642">
      <w:pPr>
        <w:jc w:val="both"/>
        <w:rPr>
          <w:color w:val="000000"/>
          <w:lang w:val="en-GB"/>
        </w:rPr>
      </w:pPr>
    </w:p>
    <w:p w:rsidR="00DC6642" w:rsidRPr="005635D8" w:rsidRDefault="00DC6642" w:rsidP="00DC6642">
      <w:pPr>
        <w:rPr>
          <w:color w:val="000000"/>
          <w:lang w:val="en-GB"/>
        </w:rPr>
      </w:pPr>
      <w:r w:rsidRPr="005635D8">
        <w:rPr>
          <w:position w:val="-32"/>
          <w:lang w:val="en-GB"/>
        </w:rPr>
        <w:object w:dxaOrig="6340" w:dyaOrig="700">
          <v:shape id="_x0000_i1117" type="#_x0000_t75" style="width:317.25pt;height:35.25pt" o:ole="">
            <v:imagedata r:id="rId144" o:title=""/>
          </v:shape>
          <o:OLEObject Type="Embed" ProgID="Equation.3" ShapeID="_x0000_i1117" DrawAspect="Content" ObjectID="_1436010506" r:id="rId145"/>
        </w:object>
      </w:r>
    </w:p>
    <w:p w:rsidR="00DC6642" w:rsidRPr="005635D8" w:rsidRDefault="00DC6642" w:rsidP="005D7DD1">
      <w:pPr>
        <w:pStyle w:val="BodyTextIndent"/>
        <w:ind w:left="0"/>
        <w:jc w:val="both"/>
        <w:rPr>
          <w:rFonts w:ascii="Calibri" w:hAnsi="Calibri"/>
          <w:color w:val="000000"/>
          <w:lang w:val="en-GB"/>
        </w:rPr>
      </w:pPr>
      <w:r w:rsidRPr="005635D8">
        <w:rPr>
          <w:rFonts w:ascii="Calibri" w:hAnsi="Calibri"/>
          <w:color w:val="000000"/>
          <w:lang w:val="en-GB"/>
        </w:rPr>
        <w:t>The average values per year of the calculated non-discretionary accruals scaled by the lagged total assets and the non-discretionary accruals are reported in table 3 and 4. Using Eq. 4 the discretionary accruals scaled by the lagged total assets are calculated. The product of this value and the scaled total asset gives the discretionary accruals. The discretionary acc</w:t>
      </w:r>
      <w:r w:rsidR="00763D44" w:rsidRPr="005635D8">
        <w:rPr>
          <w:rFonts w:ascii="Calibri" w:hAnsi="Calibri"/>
          <w:color w:val="000000"/>
          <w:lang w:val="en-GB"/>
        </w:rPr>
        <w:t>ruals are now calculated for 144</w:t>
      </w:r>
      <w:r w:rsidRPr="005635D8">
        <w:rPr>
          <w:rFonts w:ascii="Calibri" w:hAnsi="Calibri"/>
          <w:color w:val="000000"/>
          <w:lang w:val="en-GB"/>
        </w:rPr>
        <w:t xml:space="preserve"> firm year observations. The average values for the discretionary accruals and the discretionary accruals scaled by lagged total assets per year are </w:t>
      </w:r>
      <w:r w:rsidR="00323D4C" w:rsidRPr="005635D8">
        <w:rPr>
          <w:rFonts w:ascii="Calibri" w:hAnsi="Calibri"/>
          <w:color w:val="000000"/>
          <w:lang w:val="en-GB"/>
        </w:rPr>
        <w:t>in addition</w:t>
      </w:r>
      <w:r w:rsidRPr="005635D8">
        <w:rPr>
          <w:rFonts w:ascii="Calibri" w:hAnsi="Calibri"/>
          <w:color w:val="000000"/>
          <w:lang w:val="en-GB"/>
        </w:rPr>
        <w:t xml:space="preserve"> presented in tables 3 and 4. It should be noted that the values of the discretionary accruals might be negative or positive. Positive discretionary accruals represent income increasing accruals and negative discretionary accruals represents income decreasing accruals. As most averages per year show a negative value, income decreasing accruals are on average more used than income increasing discretionary accruals. Further interpretation of the levels of discretionary accruals is provided in the next paragraph. </w:t>
      </w:r>
    </w:p>
    <w:p w:rsidR="00DC6642" w:rsidRPr="005635D8" w:rsidRDefault="00DC6642" w:rsidP="00DC6642">
      <w:pPr>
        <w:jc w:val="both"/>
        <w:rPr>
          <w:color w:val="000000"/>
          <w:sz w:val="24"/>
          <w:szCs w:val="24"/>
          <w:lang w:val="en-GB"/>
        </w:rPr>
      </w:pPr>
    </w:p>
    <w:p w:rsidR="00F05BFF" w:rsidRPr="005635D8" w:rsidRDefault="00F05BFF" w:rsidP="001E4C5D">
      <w:pPr>
        <w:pStyle w:val="Heading3"/>
        <w:rPr>
          <w:lang w:val="en-GB"/>
        </w:rPr>
      </w:pPr>
      <w:bookmarkStart w:id="84" w:name="_Toc362267308"/>
      <w:r w:rsidRPr="005635D8">
        <w:rPr>
          <w:lang w:val="en-GB"/>
        </w:rPr>
        <w:t>9.2 Testing the impact of the independent variables on the level of discretionary accruals</w:t>
      </w:r>
      <w:bookmarkEnd w:id="84"/>
    </w:p>
    <w:p w:rsidR="00F05BFF" w:rsidRPr="005635D8" w:rsidRDefault="00F05BFF" w:rsidP="005D7DD1">
      <w:pPr>
        <w:pStyle w:val="BodyTextIndent"/>
        <w:ind w:left="0"/>
        <w:jc w:val="both"/>
        <w:rPr>
          <w:rFonts w:ascii="Calibri" w:hAnsi="Calibri"/>
          <w:color w:val="000000"/>
          <w:lang w:val="en-GB"/>
        </w:rPr>
      </w:pPr>
      <w:r w:rsidRPr="005635D8">
        <w:rPr>
          <w:rFonts w:ascii="Calibri" w:hAnsi="Calibri"/>
          <w:color w:val="000000"/>
          <w:lang w:val="en-GB"/>
        </w:rPr>
        <w:t>With the discretionary accruals for every firm year now known I finally arrived at the point that the hypotheses of this study can be tested. As explained in paragraph 8.4 the following regression equation will be used:</w:t>
      </w:r>
    </w:p>
    <w:p w:rsidR="00F05BFF" w:rsidRPr="005635D8" w:rsidRDefault="001F4CF3" w:rsidP="00F05BFF">
      <w:pPr>
        <w:pStyle w:val="000"/>
        <w:rPr>
          <w:rFonts w:asciiTheme="minorHAnsi" w:hAnsiTheme="minorHAnsi"/>
          <w:i/>
          <w:szCs w:val="22"/>
        </w:rPr>
      </w:pPr>
      <w:r w:rsidRPr="005635D8">
        <w:rPr>
          <w:rFonts w:asciiTheme="minorHAnsi" w:hAnsiTheme="minorHAnsi"/>
          <w:i/>
          <w:szCs w:val="22"/>
        </w:rPr>
        <w:t>Discretionary Accruals</w:t>
      </w:r>
      <w:r w:rsidR="00F05BFF" w:rsidRPr="005635D8">
        <w:rPr>
          <w:rFonts w:asciiTheme="minorHAnsi" w:hAnsiTheme="minorHAnsi"/>
          <w:i/>
          <w:szCs w:val="22"/>
        </w:rPr>
        <w:t xml:space="preserve"> or </w:t>
      </w:r>
      <w:r w:rsidR="00F05BFF" w:rsidRPr="005635D8">
        <w:rPr>
          <w:rFonts w:asciiTheme="minorHAnsi" w:hAnsiTheme="minorHAnsi"/>
          <w:szCs w:val="22"/>
        </w:rPr>
        <w:t>|</w:t>
      </w:r>
      <w:r w:rsidR="00F05BFF" w:rsidRPr="005635D8">
        <w:rPr>
          <w:rFonts w:asciiTheme="minorHAnsi" w:hAnsiTheme="minorHAnsi"/>
          <w:i/>
          <w:szCs w:val="22"/>
        </w:rPr>
        <w:t>DAP t</w:t>
      </w:r>
      <w:r w:rsidR="0058504C" w:rsidRPr="005635D8">
        <w:rPr>
          <w:rFonts w:asciiTheme="minorHAnsi" w:hAnsiTheme="minorHAnsi"/>
          <w:i/>
          <w:szCs w:val="22"/>
        </w:rPr>
        <w:t>/ Ta t-1</w:t>
      </w:r>
      <w:r w:rsidR="00F05BFF" w:rsidRPr="005635D8">
        <w:rPr>
          <w:rFonts w:asciiTheme="minorHAnsi" w:hAnsiTheme="minorHAnsi"/>
          <w:szCs w:val="22"/>
        </w:rPr>
        <w:t>|</w:t>
      </w:r>
      <w:r w:rsidR="00F05BFF" w:rsidRPr="005635D8">
        <w:rPr>
          <w:rFonts w:asciiTheme="minorHAnsi" w:hAnsiTheme="minorHAnsi"/>
          <w:i/>
          <w:szCs w:val="22"/>
        </w:rPr>
        <w:t xml:space="preserve"> = β0 + β1(IFRS)t + β2</w:t>
      </w:r>
      <w:r w:rsidRPr="005635D8">
        <w:rPr>
          <w:rFonts w:asciiTheme="minorHAnsi" w:hAnsiTheme="minorHAnsi"/>
          <w:i/>
          <w:szCs w:val="22"/>
        </w:rPr>
        <w:t>(Industry</w:t>
      </w:r>
      <w:r w:rsidR="00F05BFF" w:rsidRPr="005635D8">
        <w:rPr>
          <w:rFonts w:asciiTheme="minorHAnsi" w:hAnsiTheme="minorHAnsi"/>
          <w:i/>
          <w:szCs w:val="22"/>
        </w:rPr>
        <w:t>)t + β3(Size)t + ε t</w:t>
      </w:r>
      <w:r w:rsidR="00F05BFF" w:rsidRPr="005635D8">
        <w:rPr>
          <w:rFonts w:asciiTheme="minorHAnsi" w:hAnsiTheme="minorHAnsi"/>
          <w:i/>
          <w:szCs w:val="22"/>
        </w:rPr>
        <w:tab/>
      </w:r>
    </w:p>
    <w:p w:rsidR="00F05BFF" w:rsidRPr="005635D8" w:rsidRDefault="00F05BFF" w:rsidP="00F05BFF">
      <w:pPr>
        <w:jc w:val="both"/>
        <w:rPr>
          <w:color w:val="000000"/>
          <w:lang w:val="en-GB"/>
        </w:rPr>
      </w:pPr>
    </w:p>
    <w:p w:rsidR="00E21223" w:rsidRPr="005635D8" w:rsidRDefault="00E21223" w:rsidP="001E4C5D">
      <w:pPr>
        <w:pStyle w:val="Heading3"/>
        <w:rPr>
          <w:lang w:val="en-GB"/>
        </w:rPr>
      </w:pPr>
      <w:bookmarkStart w:id="85" w:name="_Toc362267309"/>
      <w:r w:rsidRPr="005635D8">
        <w:rPr>
          <w:lang w:val="en-GB"/>
        </w:rPr>
        <w:t>9.2.1 The dependent variable</w:t>
      </w:r>
      <w:bookmarkEnd w:id="85"/>
    </w:p>
    <w:p w:rsidR="00E21223" w:rsidRPr="005635D8" w:rsidRDefault="00E21223" w:rsidP="005D7DD1">
      <w:pPr>
        <w:pStyle w:val="BodyTextIndent"/>
        <w:ind w:left="0"/>
        <w:jc w:val="both"/>
        <w:rPr>
          <w:rFonts w:ascii="Calibri" w:hAnsi="Calibri"/>
          <w:color w:val="000000"/>
          <w:lang w:val="en-GB"/>
        </w:rPr>
      </w:pPr>
      <w:r w:rsidRPr="005635D8">
        <w:rPr>
          <w:rFonts w:ascii="Calibri" w:hAnsi="Calibri"/>
          <w:color w:val="000000"/>
          <w:lang w:val="en-GB"/>
        </w:rPr>
        <w:t>It is important to notice that the dependent variable used in this regression equation is the</w:t>
      </w:r>
      <w:r w:rsidR="00F05BFF" w:rsidRPr="005635D8">
        <w:rPr>
          <w:rFonts w:ascii="Calibri" w:hAnsi="Calibri"/>
          <w:color w:val="000000"/>
          <w:lang w:val="en-GB"/>
        </w:rPr>
        <w:t xml:space="preserve"> </w:t>
      </w:r>
      <w:r w:rsidRPr="005635D8">
        <w:rPr>
          <w:rFonts w:ascii="Calibri" w:hAnsi="Calibri"/>
          <w:color w:val="000000"/>
          <w:lang w:val="en-GB"/>
        </w:rPr>
        <w:t xml:space="preserve">absolute value of the proxy for discretionary accruals standardized by lagged total assets. In the previous chapter it was already noticed that discretionary accruals can be negative or positive. </w:t>
      </w:r>
      <w:r w:rsidR="00D76CAE" w:rsidRPr="005635D8">
        <w:rPr>
          <w:rFonts w:ascii="Calibri" w:hAnsi="Calibri"/>
          <w:color w:val="000000"/>
          <w:lang w:val="en-GB"/>
        </w:rPr>
        <w:t>T</w:t>
      </w:r>
      <w:r w:rsidRPr="005635D8">
        <w:rPr>
          <w:rFonts w:ascii="Calibri" w:hAnsi="Calibri"/>
          <w:color w:val="000000"/>
          <w:lang w:val="en-GB"/>
        </w:rPr>
        <w:t xml:space="preserve">he mean of </w:t>
      </w:r>
      <w:r w:rsidR="00D76CAE" w:rsidRPr="005635D8">
        <w:rPr>
          <w:rFonts w:ascii="Calibri" w:hAnsi="Calibri"/>
          <w:color w:val="000000"/>
          <w:lang w:val="en-GB"/>
        </w:rPr>
        <w:t xml:space="preserve">these </w:t>
      </w:r>
      <w:r w:rsidRPr="005635D8">
        <w:rPr>
          <w:rFonts w:ascii="Calibri" w:hAnsi="Calibri"/>
          <w:color w:val="000000"/>
          <w:lang w:val="en-GB"/>
        </w:rPr>
        <w:t xml:space="preserve">scores not properly represent the total amount of discretionary accruals as the negative and positive values will be eliminated against each other. It is </w:t>
      </w:r>
      <w:r w:rsidR="00D76CAE" w:rsidRPr="005635D8">
        <w:rPr>
          <w:rFonts w:ascii="Calibri" w:hAnsi="Calibri"/>
          <w:color w:val="000000"/>
          <w:lang w:val="en-GB"/>
        </w:rPr>
        <w:t>signalled</w:t>
      </w:r>
      <w:r w:rsidRPr="005635D8">
        <w:rPr>
          <w:rFonts w:ascii="Calibri" w:hAnsi="Calibri"/>
          <w:color w:val="000000"/>
          <w:lang w:val="en-GB"/>
        </w:rPr>
        <w:t xml:space="preserve"> for this reason that </w:t>
      </w:r>
      <w:r w:rsidR="00F71079" w:rsidRPr="005635D8">
        <w:rPr>
          <w:rFonts w:ascii="Calibri" w:hAnsi="Calibri"/>
          <w:color w:val="000000"/>
          <w:lang w:val="en-GB"/>
        </w:rPr>
        <w:t>consequently</w:t>
      </w:r>
      <w:r w:rsidRPr="005635D8">
        <w:rPr>
          <w:rFonts w:ascii="Calibri" w:hAnsi="Calibri"/>
          <w:color w:val="000000"/>
          <w:lang w:val="en-GB"/>
        </w:rPr>
        <w:t xml:space="preserve"> the absolute value of the discretionary accruals should be taken (Heemskerk and van der Tas 2006, 576). </w:t>
      </w:r>
      <w:r w:rsidR="00D76CAE" w:rsidRPr="005635D8">
        <w:rPr>
          <w:rFonts w:ascii="Calibri" w:hAnsi="Calibri"/>
          <w:color w:val="000000"/>
          <w:lang w:val="en-GB"/>
        </w:rPr>
        <w:t xml:space="preserve">Based on this </w:t>
      </w:r>
      <w:r w:rsidRPr="005635D8">
        <w:rPr>
          <w:rFonts w:ascii="Calibri" w:hAnsi="Calibri"/>
          <w:color w:val="000000"/>
          <w:lang w:val="en-GB"/>
        </w:rPr>
        <w:t xml:space="preserve">the absolute value of the negative discretionary accruals are added to the positive discretionary accruals which </w:t>
      </w:r>
      <w:r w:rsidR="005C7029" w:rsidRPr="005635D8">
        <w:rPr>
          <w:rFonts w:ascii="Calibri" w:hAnsi="Calibri"/>
          <w:color w:val="000000"/>
          <w:lang w:val="en-GB"/>
        </w:rPr>
        <w:t xml:space="preserve">calculates the real total value of the discretionary accruals. </w:t>
      </w:r>
    </w:p>
    <w:p w:rsidR="00B865D9" w:rsidRPr="005635D8" w:rsidRDefault="005C7029" w:rsidP="00DA6BD4">
      <w:pPr>
        <w:pStyle w:val="BodyTextIndent"/>
        <w:ind w:left="0"/>
        <w:jc w:val="both"/>
        <w:rPr>
          <w:rFonts w:ascii="Calibri" w:hAnsi="Calibri"/>
          <w:color w:val="000000"/>
          <w:lang w:val="en-GB"/>
        </w:rPr>
      </w:pPr>
      <w:r w:rsidRPr="005635D8">
        <w:rPr>
          <w:rFonts w:ascii="Calibri" w:hAnsi="Calibri"/>
          <w:color w:val="000000"/>
          <w:lang w:val="en-GB"/>
        </w:rPr>
        <w:t xml:space="preserve">Before entering the </w:t>
      </w:r>
      <w:r w:rsidR="00843B3A" w:rsidRPr="005635D8">
        <w:rPr>
          <w:rFonts w:ascii="Calibri" w:hAnsi="Calibri"/>
          <w:color w:val="000000"/>
          <w:lang w:val="en-GB"/>
        </w:rPr>
        <w:t xml:space="preserve">|DAP t/ Ta t-1| </w:t>
      </w:r>
      <w:r w:rsidRPr="005635D8">
        <w:rPr>
          <w:rFonts w:ascii="Calibri" w:hAnsi="Calibri"/>
          <w:color w:val="000000"/>
          <w:lang w:val="en-GB"/>
        </w:rPr>
        <w:t>variable into the regression equation the regression assumption that the values of the dependent variable are normally distributed has to be checked. Using a boxplot and a Q-Q plot the distribution of the variable containi</w:t>
      </w:r>
      <w:r w:rsidR="0058504C" w:rsidRPr="005635D8">
        <w:rPr>
          <w:rFonts w:ascii="Calibri" w:hAnsi="Calibri"/>
          <w:color w:val="000000"/>
          <w:lang w:val="en-GB"/>
        </w:rPr>
        <w:t>ng 144</w:t>
      </w:r>
      <w:r w:rsidRPr="005635D8">
        <w:rPr>
          <w:rFonts w:ascii="Calibri" w:hAnsi="Calibri"/>
          <w:color w:val="000000"/>
          <w:lang w:val="en-GB"/>
        </w:rPr>
        <w:t xml:space="preserve"> data po</w:t>
      </w:r>
      <w:r w:rsidR="00B865D9" w:rsidRPr="005635D8">
        <w:rPr>
          <w:rFonts w:ascii="Calibri" w:hAnsi="Calibri"/>
          <w:color w:val="000000"/>
          <w:lang w:val="en-GB"/>
        </w:rPr>
        <w:t>ints is shown in figures 1 and 3</w:t>
      </w:r>
      <w:r w:rsidR="00DA6BD4" w:rsidRPr="005635D8">
        <w:rPr>
          <w:rFonts w:ascii="Calibri" w:hAnsi="Calibri"/>
          <w:color w:val="000000"/>
          <w:lang w:val="en-GB"/>
        </w:rPr>
        <w:t xml:space="preserve"> of appendix 3</w:t>
      </w:r>
      <w:r w:rsidRPr="005635D8">
        <w:rPr>
          <w:rFonts w:ascii="Calibri" w:hAnsi="Calibri"/>
          <w:color w:val="000000"/>
          <w:lang w:val="en-GB"/>
        </w:rPr>
        <w:t>. The first box-plot shows that there are several outliers.</w:t>
      </w:r>
      <w:r w:rsidR="00DA6BD4" w:rsidRPr="005635D8">
        <w:rPr>
          <w:rFonts w:ascii="Calibri" w:hAnsi="Calibri"/>
          <w:color w:val="000000"/>
          <w:lang w:val="en-GB"/>
        </w:rPr>
        <w:t xml:space="preserve"> A total number of</w:t>
      </w:r>
      <w:r w:rsidRPr="005635D8">
        <w:rPr>
          <w:rFonts w:ascii="Calibri" w:hAnsi="Calibri"/>
          <w:color w:val="000000"/>
          <w:lang w:val="en-GB"/>
        </w:rPr>
        <w:t xml:space="preserve"> </w:t>
      </w:r>
      <w:r w:rsidR="00B865D9" w:rsidRPr="005635D8">
        <w:rPr>
          <w:rFonts w:ascii="Calibri" w:hAnsi="Calibri"/>
          <w:color w:val="000000"/>
          <w:lang w:val="en-GB"/>
        </w:rPr>
        <w:t xml:space="preserve">9 data points were identified as outliers and </w:t>
      </w:r>
      <w:r w:rsidR="00DA6BD4" w:rsidRPr="005635D8">
        <w:rPr>
          <w:rFonts w:ascii="Calibri" w:hAnsi="Calibri"/>
          <w:color w:val="000000"/>
          <w:lang w:val="en-GB"/>
        </w:rPr>
        <w:t>eliminated from the dataset. A</w:t>
      </w:r>
      <w:r w:rsidR="00B865D9" w:rsidRPr="005635D8">
        <w:rPr>
          <w:rFonts w:ascii="Calibri" w:hAnsi="Calibri"/>
          <w:color w:val="000000"/>
          <w:lang w:val="en-GB"/>
        </w:rPr>
        <w:t xml:space="preserve"> Q-Q plot of residual weights is a special test to check for normality. The differences between the observed values and the predicted values of a variable are called the residuals. Using those residuals each observed weight difference can be plotted against the expected weight difference if the data is from a normal distribution. The sample should more or less cluster around the straight line in order to assume normality (Norusis 2008, 149). Figure 3 </w:t>
      </w:r>
      <w:r w:rsidR="00DA6BD4" w:rsidRPr="005635D8">
        <w:rPr>
          <w:rFonts w:ascii="Calibri" w:hAnsi="Calibri"/>
          <w:color w:val="000000"/>
          <w:lang w:val="en-GB"/>
        </w:rPr>
        <w:t xml:space="preserve">in appendix 3 </w:t>
      </w:r>
      <w:r w:rsidR="00B865D9" w:rsidRPr="005635D8">
        <w:rPr>
          <w:rFonts w:ascii="Calibri" w:hAnsi="Calibri"/>
          <w:color w:val="000000"/>
          <w:lang w:val="en-GB"/>
        </w:rPr>
        <w:t>sho</w:t>
      </w:r>
      <w:r w:rsidR="00DA6BD4" w:rsidRPr="005635D8">
        <w:rPr>
          <w:rFonts w:ascii="Calibri" w:hAnsi="Calibri"/>
          <w:color w:val="000000"/>
          <w:lang w:val="en-GB"/>
        </w:rPr>
        <w:t>ws that the values</w:t>
      </w:r>
      <w:r w:rsidR="00B865D9" w:rsidRPr="005635D8">
        <w:rPr>
          <w:rFonts w:ascii="Calibri" w:hAnsi="Calibri"/>
          <w:color w:val="000000"/>
          <w:lang w:val="en-GB"/>
        </w:rPr>
        <w:t xml:space="preserve"> in the lower left section of the line deviate from the line. However, this is normal as the absolute observed values of </w:t>
      </w:r>
      <w:r w:rsidR="00843B3A" w:rsidRPr="005635D8">
        <w:rPr>
          <w:rFonts w:ascii="Calibri" w:hAnsi="Calibri"/>
          <w:color w:val="000000"/>
          <w:lang w:val="en-GB"/>
        </w:rPr>
        <w:t xml:space="preserve">|DAP t/ Ta t-1| </w:t>
      </w:r>
      <w:r w:rsidR="00B865D9" w:rsidRPr="005635D8">
        <w:rPr>
          <w:rFonts w:ascii="Calibri" w:hAnsi="Calibri"/>
          <w:color w:val="000000"/>
          <w:lang w:val="en-GB"/>
        </w:rPr>
        <w:t>can’t be lower than 0. However</w:t>
      </w:r>
      <w:r w:rsidR="00DA6BD4" w:rsidRPr="005635D8">
        <w:rPr>
          <w:rFonts w:ascii="Calibri" w:hAnsi="Calibri"/>
          <w:color w:val="000000"/>
          <w:lang w:val="en-GB"/>
        </w:rPr>
        <w:t>,</w:t>
      </w:r>
      <w:r w:rsidR="00B865D9" w:rsidRPr="005635D8">
        <w:rPr>
          <w:rFonts w:ascii="Calibri" w:hAnsi="Calibri"/>
          <w:color w:val="000000"/>
          <w:lang w:val="en-GB"/>
        </w:rPr>
        <w:t xml:space="preserve"> </w:t>
      </w:r>
      <w:r w:rsidR="00323D4C" w:rsidRPr="005635D8">
        <w:rPr>
          <w:rFonts w:ascii="Calibri" w:hAnsi="Calibri"/>
          <w:color w:val="000000"/>
          <w:lang w:val="en-GB"/>
        </w:rPr>
        <w:t>in addition</w:t>
      </w:r>
      <w:r w:rsidR="00B865D9" w:rsidRPr="005635D8">
        <w:rPr>
          <w:rFonts w:ascii="Calibri" w:hAnsi="Calibri"/>
          <w:color w:val="000000"/>
          <w:lang w:val="en-GB"/>
        </w:rPr>
        <w:t xml:space="preserve"> in the upper right section of the line </w:t>
      </w:r>
      <w:r w:rsidR="00F71CFA">
        <w:rPr>
          <w:rFonts w:ascii="Calibri" w:hAnsi="Calibri"/>
          <w:color w:val="000000"/>
          <w:lang w:val="en-GB"/>
        </w:rPr>
        <w:t xml:space="preserve">of </w:t>
      </w:r>
      <w:r w:rsidR="00B865D9" w:rsidRPr="005635D8">
        <w:rPr>
          <w:rFonts w:ascii="Calibri" w:hAnsi="Calibri"/>
          <w:color w:val="000000"/>
          <w:lang w:val="en-GB"/>
        </w:rPr>
        <w:t xml:space="preserve">the observed values </w:t>
      </w:r>
      <w:r w:rsidR="00F71CFA">
        <w:rPr>
          <w:rFonts w:ascii="Calibri" w:hAnsi="Calibri"/>
          <w:color w:val="000000"/>
          <w:lang w:val="en-GB"/>
        </w:rPr>
        <w:t xml:space="preserve">in addition </w:t>
      </w:r>
      <w:r w:rsidR="00B865D9" w:rsidRPr="005635D8">
        <w:rPr>
          <w:rFonts w:ascii="Calibri" w:hAnsi="Calibri"/>
          <w:color w:val="000000"/>
          <w:lang w:val="en-GB"/>
        </w:rPr>
        <w:t>deviate</w:t>
      </w:r>
      <w:r w:rsidR="00F71CFA">
        <w:rPr>
          <w:rFonts w:ascii="Calibri" w:hAnsi="Calibri"/>
          <w:color w:val="000000"/>
          <w:lang w:val="en-GB"/>
        </w:rPr>
        <w:t>d</w:t>
      </w:r>
      <w:r w:rsidR="00DA6BD4" w:rsidRPr="005635D8">
        <w:rPr>
          <w:rFonts w:ascii="Calibri" w:hAnsi="Calibri"/>
          <w:color w:val="000000"/>
          <w:lang w:val="en-GB"/>
        </w:rPr>
        <w:t xml:space="preserve"> </w:t>
      </w:r>
      <w:r w:rsidR="00F71CFA" w:rsidRPr="005635D8">
        <w:rPr>
          <w:rFonts w:ascii="Calibri" w:hAnsi="Calibri"/>
          <w:color w:val="000000"/>
          <w:lang w:val="en-GB"/>
        </w:rPr>
        <w:t>from</w:t>
      </w:r>
      <w:r w:rsidR="00DA6BD4" w:rsidRPr="005635D8">
        <w:rPr>
          <w:rFonts w:ascii="Calibri" w:hAnsi="Calibri"/>
          <w:color w:val="000000"/>
          <w:lang w:val="en-GB"/>
        </w:rPr>
        <w:t xml:space="preserve"> the line</w:t>
      </w:r>
      <w:r w:rsidR="00B865D9" w:rsidRPr="005635D8">
        <w:rPr>
          <w:rFonts w:ascii="Calibri" w:hAnsi="Calibri"/>
          <w:color w:val="000000"/>
          <w:lang w:val="en-GB"/>
        </w:rPr>
        <w:t>. This is due to outliers. In order to improve the normal distribution those outliers have to be eliminated.</w:t>
      </w:r>
      <w:r w:rsidR="00763D44" w:rsidRPr="005635D8">
        <w:rPr>
          <w:rFonts w:ascii="Calibri" w:hAnsi="Calibri"/>
          <w:color w:val="000000"/>
          <w:lang w:val="en-GB"/>
        </w:rPr>
        <w:t xml:space="preserve"> The nine</w:t>
      </w:r>
      <w:r w:rsidR="00DA6BD4" w:rsidRPr="005635D8">
        <w:rPr>
          <w:rFonts w:ascii="Calibri" w:hAnsi="Calibri"/>
          <w:color w:val="000000"/>
          <w:lang w:val="en-GB"/>
        </w:rPr>
        <w:t xml:space="preserve"> specific outliers identified in</w:t>
      </w:r>
      <w:r w:rsidR="00763D44" w:rsidRPr="005635D8">
        <w:rPr>
          <w:rFonts w:ascii="Calibri" w:hAnsi="Calibri"/>
          <w:color w:val="000000"/>
          <w:lang w:val="en-GB"/>
        </w:rPr>
        <w:t xml:space="preserve"> the boxplot were eliminated from the dataset. Figure 2 shows the boxplot after the elimination of those 9 data points. </w:t>
      </w:r>
      <w:r w:rsidR="00DA6BD4" w:rsidRPr="005635D8">
        <w:rPr>
          <w:rFonts w:ascii="Calibri" w:hAnsi="Calibri"/>
          <w:color w:val="000000"/>
          <w:lang w:val="en-GB"/>
        </w:rPr>
        <w:t>The Q-Q plot in f</w:t>
      </w:r>
      <w:r w:rsidR="00763D44" w:rsidRPr="005635D8">
        <w:rPr>
          <w:rFonts w:ascii="Calibri" w:hAnsi="Calibri"/>
          <w:color w:val="000000"/>
          <w:lang w:val="en-GB"/>
        </w:rPr>
        <w:t>igure 4</w:t>
      </w:r>
      <w:r w:rsidR="00DA6BD4" w:rsidRPr="005635D8">
        <w:rPr>
          <w:rFonts w:ascii="Calibri" w:hAnsi="Calibri"/>
          <w:color w:val="000000"/>
          <w:lang w:val="en-GB"/>
        </w:rPr>
        <w:t xml:space="preserve"> in appendix 3</w:t>
      </w:r>
      <w:r w:rsidR="00763D44" w:rsidRPr="005635D8">
        <w:rPr>
          <w:rFonts w:ascii="Calibri" w:hAnsi="Calibri"/>
          <w:color w:val="000000"/>
          <w:lang w:val="en-GB"/>
        </w:rPr>
        <w:t xml:space="preserve"> shows that the observed values of the dependent variable now cluster much better around the straight line (the scale of the observed values in this figure</w:t>
      </w:r>
      <w:r w:rsidR="0058504C" w:rsidRPr="005635D8">
        <w:rPr>
          <w:rFonts w:ascii="Calibri" w:hAnsi="Calibri"/>
          <w:color w:val="000000"/>
          <w:lang w:val="en-GB"/>
        </w:rPr>
        <w:t xml:space="preserve"> 4</w:t>
      </w:r>
      <w:r w:rsidR="00763D44" w:rsidRPr="005635D8">
        <w:rPr>
          <w:rFonts w:ascii="Calibri" w:hAnsi="Calibri"/>
          <w:color w:val="000000"/>
          <w:lang w:val="en-GB"/>
        </w:rPr>
        <w:t xml:space="preserve"> is much smaller than the scale in figure 3</w:t>
      </w:r>
      <w:r w:rsidR="0058504C" w:rsidRPr="005635D8">
        <w:rPr>
          <w:rFonts w:ascii="Calibri" w:hAnsi="Calibri"/>
          <w:color w:val="000000"/>
          <w:lang w:val="en-GB"/>
        </w:rPr>
        <w:t xml:space="preserve"> which can distort the interpretation on </w:t>
      </w:r>
      <w:r w:rsidR="00D76CAE" w:rsidRPr="005635D8">
        <w:rPr>
          <w:rFonts w:ascii="Calibri" w:hAnsi="Calibri"/>
          <w:color w:val="000000"/>
          <w:lang w:val="en-GB"/>
        </w:rPr>
        <w:t xml:space="preserve">the </w:t>
      </w:r>
      <w:r w:rsidR="0058504C" w:rsidRPr="005635D8">
        <w:rPr>
          <w:rFonts w:ascii="Calibri" w:hAnsi="Calibri"/>
          <w:color w:val="000000"/>
          <w:lang w:val="en-GB"/>
        </w:rPr>
        <w:t>first view</w:t>
      </w:r>
      <w:r w:rsidR="00763D44" w:rsidRPr="005635D8">
        <w:rPr>
          <w:rFonts w:ascii="Calibri" w:hAnsi="Calibri"/>
          <w:color w:val="000000"/>
          <w:lang w:val="en-GB"/>
        </w:rPr>
        <w:t xml:space="preserve">). Normality can now be assumed. </w:t>
      </w:r>
    </w:p>
    <w:p w:rsidR="00DA6BD4" w:rsidRPr="005635D8" w:rsidRDefault="00DA6BD4" w:rsidP="005D7DD1">
      <w:pPr>
        <w:pStyle w:val="BodyTextIndent"/>
        <w:ind w:left="0"/>
        <w:jc w:val="both"/>
        <w:rPr>
          <w:rFonts w:ascii="Times New Roman" w:hAnsi="Times New Roman" w:cs="Times New Roman"/>
          <w:b/>
          <w:bCs/>
          <w:sz w:val="24"/>
          <w:szCs w:val="24"/>
          <w:lang w:val="en-GB"/>
        </w:rPr>
      </w:pPr>
    </w:p>
    <w:p w:rsidR="00E21223" w:rsidRPr="005635D8" w:rsidRDefault="0058504C" w:rsidP="005D7DD1">
      <w:pPr>
        <w:pStyle w:val="BodyTextIndent"/>
        <w:ind w:left="0"/>
        <w:jc w:val="both"/>
        <w:rPr>
          <w:rFonts w:ascii="Calibri" w:hAnsi="Calibri"/>
          <w:color w:val="000000"/>
          <w:lang w:val="en-GB"/>
        </w:rPr>
      </w:pPr>
      <w:r w:rsidRPr="005635D8">
        <w:rPr>
          <w:rFonts w:ascii="Calibri" w:hAnsi="Calibri"/>
          <w:color w:val="000000"/>
          <w:lang w:val="en-GB"/>
        </w:rPr>
        <w:t xml:space="preserve">Based on the remaining 135 observations some more information can be given on the absolute values of the discretionary accruals scaled by the lagged total assets. Table 6 presents </w:t>
      </w:r>
      <w:r w:rsidR="006768F8" w:rsidRPr="005635D8">
        <w:rPr>
          <w:rFonts w:ascii="Calibri" w:hAnsi="Calibri"/>
          <w:color w:val="000000"/>
          <w:lang w:val="en-GB"/>
        </w:rPr>
        <w:t xml:space="preserve">the average absolute values per year of the discretionary accruals scaled by the lagged total assets and the discretionary accruals. It is important to observe the differences between the two variables. When scaled by lagged total assets the value for discretionary accruals for example increases from ,066 to ,086 between 2004 and 2005 while </w:t>
      </w:r>
      <w:r w:rsidR="0098240C" w:rsidRPr="005635D8">
        <w:rPr>
          <w:rFonts w:ascii="Calibri" w:hAnsi="Calibri"/>
          <w:color w:val="000000"/>
          <w:lang w:val="en-GB"/>
        </w:rPr>
        <w:t>based</w:t>
      </w:r>
      <w:r w:rsidR="006768F8" w:rsidRPr="005635D8">
        <w:rPr>
          <w:rFonts w:ascii="Calibri" w:hAnsi="Calibri"/>
          <w:color w:val="000000"/>
          <w:lang w:val="en-GB"/>
        </w:rPr>
        <w:t xml:space="preserve"> at the variable that is not scaled by lagged total assets the value of accruals decreases from 429,41 to 240, 60 between 2004 and 2005. </w:t>
      </w:r>
      <w:r w:rsidR="00D76CAE" w:rsidRPr="005635D8">
        <w:rPr>
          <w:rFonts w:ascii="Calibri" w:hAnsi="Calibri"/>
          <w:color w:val="000000"/>
          <w:lang w:val="en-GB"/>
        </w:rPr>
        <w:t>These patters</w:t>
      </w:r>
      <w:r w:rsidR="006768F8" w:rsidRPr="005635D8">
        <w:rPr>
          <w:rFonts w:ascii="Calibri" w:hAnsi="Calibri"/>
          <w:color w:val="000000"/>
          <w:lang w:val="en-GB"/>
        </w:rPr>
        <w:t xml:space="preserve"> can </w:t>
      </w:r>
      <w:r w:rsidR="00323D4C" w:rsidRPr="005635D8">
        <w:rPr>
          <w:rFonts w:ascii="Calibri" w:hAnsi="Calibri"/>
          <w:color w:val="000000"/>
          <w:lang w:val="en-GB"/>
        </w:rPr>
        <w:t>in addition</w:t>
      </w:r>
      <w:r w:rsidR="003827CC" w:rsidRPr="005635D8">
        <w:rPr>
          <w:rFonts w:ascii="Calibri" w:hAnsi="Calibri"/>
          <w:color w:val="000000"/>
          <w:lang w:val="en-GB"/>
        </w:rPr>
        <w:t xml:space="preserve"> be observed in figures 1 and 2</w:t>
      </w:r>
      <w:r w:rsidR="006768F8" w:rsidRPr="005635D8">
        <w:rPr>
          <w:rFonts w:ascii="Calibri" w:hAnsi="Calibri"/>
          <w:color w:val="000000"/>
          <w:lang w:val="en-GB"/>
        </w:rPr>
        <w:t xml:space="preserve"> in which the values presented in the table are graphically plotted against the time.</w:t>
      </w:r>
      <w:r w:rsidR="003B65FC" w:rsidRPr="005635D8">
        <w:rPr>
          <w:rFonts w:ascii="Calibri" w:hAnsi="Calibri"/>
          <w:color w:val="000000"/>
          <w:lang w:val="en-GB"/>
        </w:rPr>
        <w:t xml:space="preserve"> </w:t>
      </w:r>
      <w:r w:rsidR="0098240C" w:rsidRPr="005635D8">
        <w:rPr>
          <w:rFonts w:ascii="Calibri" w:hAnsi="Calibri"/>
          <w:color w:val="000000"/>
          <w:lang w:val="en-GB"/>
        </w:rPr>
        <w:t>Based</w:t>
      </w:r>
      <w:r w:rsidR="003827CC" w:rsidRPr="005635D8">
        <w:rPr>
          <w:rFonts w:ascii="Calibri" w:hAnsi="Calibri"/>
          <w:color w:val="000000"/>
          <w:lang w:val="en-GB"/>
        </w:rPr>
        <w:t xml:space="preserve"> at figure 1</w:t>
      </w:r>
      <w:r w:rsidR="003B65FC" w:rsidRPr="005635D8">
        <w:rPr>
          <w:rFonts w:ascii="Calibri" w:hAnsi="Calibri"/>
          <w:color w:val="000000"/>
          <w:lang w:val="en-GB"/>
        </w:rPr>
        <w:t xml:space="preserve"> it seems to be the case that discretionary accruals decrease between 2003 and 2004 and then increase again in 2005. After 2005 the level of discretionary accruals decreases again. But it the level of discretionary accruals never gets much lower in the IFRS period than it once was in 2004 in the period befo</w:t>
      </w:r>
      <w:r w:rsidR="003827CC" w:rsidRPr="005635D8">
        <w:rPr>
          <w:rFonts w:ascii="Calibri" w:hAnsi="Calibri"/>
          <w:color w:val="000000"/>
          <w:lang w:val="en-GB"/>
        </w:rPr>
        <w:t>re IFRS was introduces. Figure 2</w:t>
      </w:r>
      <w:r w:rsidR="003B65FC" w:rsidRPr="005635D8">
        <w:rPr>
          <w:rFonts w:ascii="Calibri" w:hAnsi="Calibri"/>
          <w:color w:val="000000"/>
          <w:lang w:val="en-GB"/>
        </w:rPr>
        <w:t xml:space="preserve"> in which the discretionary accruals are not scaled by the lagged total assets shows a different pattern </w:t>
      </w:r>
    </w:p>
    <w:tbl>
      <w:tblPr>
        <w:tblStyle w:val="TableGrid"/>
        <w:tblpPr w:leftFromText="180" w:rightFromText="180" w:vertAnchor="text" w:tblpY="110"/>
        <w:tblW w:w="8703" w:type="dxa"/>
        <w:tblLook w:val="04A0"/>
      </w:tblPr>
      <w:tblGrid>
        <w:gridCol w:w="2172"/>
        <w:gridCol w:w="2007"/>
        <w:gridCol w:w="2230"/>
        <w:gridCol w:w="2294"/>
      </w:tblGrid>
      <w:tr w:rsidR="00DB6551" w:rsidRPr="005635D8" w:rsidTr="00DB6551">
        <w:trPr>
          <w:trHeight w:val="338"/>
        </w:trPr>
        <w:tc>
          <w:tcPr>
            <w:tcW w:w="2172" w:type="dxa"/>
          </w:tcPr>
          <w:p w:rsidR="00DB6551" w:rsidRPr="005635D8" w:rsidRDefault="00DB6551" w:rsidP="00DB6551">
            <w:pPr>
              <w:pStyle w:val="NoSpacing"/>
              <w:rPr>
                <w:rFonts w:eastAsiaTheme="minorHAnsi"/>
                <w:sz w:val="20"/>
                <w:szCs w:val="20"/>
                <w:lang w:val="en-GB" w:eastAsia="nl-NL"/>
              </w:rPr>
            </w:pPr>
          </w:p>
        </w:tc>
        <w:tc>
          <w:tcPr>
            <w:tcW w:w="2007" w:type="dxa"/>
          </w:tcPr>
          <w:p w:rsidR="00DB6551" w:rsidRPr="005635D8" w:rsidRDefault="00DB6551" w:rsidP="00DB6551">
            <w:pPr>
              <w:pStyle w:val="NoSpacing"/>
              <w:rPr>
                <w:rFonts w:eastAsiaTheme="minorHAnsi"/>
                <w:sz w:val="20"/>
                <w:szCs w:val="20"/>
                <w:lang w:val="en-GB" w:eastAsia="nl-NL"/>
              </w:rPr>
            </w:pPr>
            <w:r w:rsidRPr="005635D8">
              <w:rPr>
                <w:rFonts w:eastAsiaTheme="minorHAnsi"/>
                <w:sz w:val="20"/>
                <w:szCs w:val="20"/>
                <w:lang w:val="en-GB" w:eastAsia="nl-NL"/>
              </w:rPr>
              <w:t>N</w:t>
            </w:r>
          </w:p>
        </w:tc>
        <w:tc>
          <w:tcPr>
            <w:tcW w:w="2230" w:type="dxa"/>
          </w:tcPr>
          <w:p w:rsidR="00DB6551" w:rsidRPr="005635D8" w:rsidRDefault="00DB6551" w:rsidP="00DB6551">
            <w:pPr>
              <w:pStyle w:val="NoSpacing"/>
              <w:rPr>
                <w:rFonts w:eastAsiaTheme="minorHAnsi"/>
                <w:sz w:val="20"/>
                <w:szCs w:val="20"/>
                <w:lang w:val="en-GB" w:eastAsia="nl-NL"/>
              </w:rPr>
            </w:pPr>
            <w:r w:rsidRPr="005635D8">
              <w:rPr>
                <w:sz w:val="20"/>
                <w:szCs w:val="20"/>
                <w:lang w:val="en-GB"/>
              </w:rPr>
              <w:t>|</w:t>
            </w:r>
            <w:r w:rsidRPr="005635D8">
              <w:rPr>
                <w:i/>
                <w:sz w:val="20"/>
                <w:szCs w:val="20"/>
                <w:lang w:val="en-GB"/>
              </w:rPr>
              <w:t>DAP t/ Ta t-1</w:t>
            </w:r>
            <w:r w:rsidRPr="005635D8">
              <w:rPr>
                <w:sz w:val="20"/>
                <w:szCs w:val="20"/>
                <w:lang w:val="en-GB"/>
              </w:rPr>
              <w:t>|</w:t>
            </w:r>
          </w:p>
        </w:tc>
        <w:tc>
          <w:tcPr>
            <w:tcW w:w="2294" w:type="dxa"/>
          </w:tcPr>
          <w:p w:rsidR="00DB6551" w:rsidRPr="005635D8" w:rsidRDefault="00DB6551" w:rsidP="00DB6551">
            <w:pPr>
              <w:pStyle w:val="NoSpacing"/>
              <w:rPr>
                <w:rFonts w:eastAsiaTheme="minorHAnsi"/>
                <w:sz w:val="20"/>
                <w:szCs w:val="20"/>
                <w:lang w:val="en-GB" w:eastAsia="nl-NL"/>
              </w:rPr>
            </w:pPr>
            <w:r w:rsidRPr="005635D8">
              <w:rPr>
                <w:sz w:val="20"/>
                <w:szCs w:val="20"/>
                <w:lang w:val="en-GB"/>
              </w:rPr>
              <w:t>|</w:t>
            </w:r>
            <w:r w:rsidRPr="005635D8">
              <w:rPr>
                <w:i/>
                <w:sz w:val="20"/>
                <w:szCs w:val="20"/>
                <w:lang w:val="en-GB"/>
              </w:rPr>
              <w:t>DAP t</w:t>
            </w:r>
            <w:r w:rsidRPr="005635D8">
              <w:rPr>
                <w:sz w:val="20"/>
                <w:szCs w:val="20"/>
                <w:lang w:val="en-GB"/>
              </w:rPr>
              <w:t>|</w:t>
            </w:r>
          </w:p>
        </w:tc>
      </w:tr>
      <w:tr w:rsidR="00DB6551" w:rsidRPr="005635D8" w:rsidTr="00DB6551">
        <w:trPr>
          <w:trHeight w:val="338"/>
        </w:trPr>
        <w:tc>
          <w:tcPr>
            <w:tcW w:w="2172" w:type="dxa"/>
          </w:tcPr>
          <w:p w:rsidR="00DB6551" w:rsidRPr="005635D8" w:rsidRDefault="00DB6551" w:rsidP="00DB6551">
            <w:pPr>
              <w:pStyle w:val="NoSpacing"/>
              <w:rPr>
                <w:rFonts w:eastAsiaTheme="minorHAnsi"/>
                <w:sz w:val="20"/>
                <w:szCs w:val="20"/>
                <w:lang w:val="en-GB" w:eastAsia="nl-NL"/>
              </w:rPr>
            </w:pPr>
            <w:r w:rsidRPr="005635D8">
              <w:rPr>
                <w:rFonts w:eastAsiaTheme="minorHAnsi"/>
                <w:sz w:val="20"/>
                <w:szCs w:val="20"/>
                <w:lang w:val="en-GB" w:eastAsia="nl-NL"/>
              </w:rPr>
              <w:t>2002</w:t>
            </w:r>
          </w:p>
        </w:tc>
        <w:tc>
          <w:tcPr>
            <w:tcW w:w="2007" w:type="dxa"/>
          </w:tcPr>
          <w:p w:rsidR="00DB6551" w:rsidRPr="005635D8" w:rsidRDefault="00DB6551" w:rsidP="00DB6551">
            <w:pPr>
              <w:pStyle w:val="NoSpacing"/>
              <w:rPr>
                <w:rFonts w:eastAsiaTheme="minorHAnsi"/>
                <w:sz w:val="20"/>
                <w:szCs w:val="20"/>
                <w:lang w:val="en-GB" w:eastAsia="nl-NL"/>
              </w:rPr>
            </w:pPr>
            <w:r w:rsidRPr="005635D8">
              <w:rPr>
                <w:rFonts w:eastAsiaTheme="minorHAnsi"/>
                <w:sz w:val="20"/>
                <w:szCs w:val="20"/>
                <w:lang w:val="en-GB" w:eastAsia="nl-NL"/>
              </w:rPr>
              <w:t>23</w:t>
            </w:r>
          </w:p>
        </w:tc>
        <w:tc>
          <w:tcPr>
            <w:tcW w:w="2230" w:type="dxa"/>
          </w:tcPr>
          <w:p w:rsidR="00DB6551" w:rsidRPr="005635D8" w:rsidRDefault="00DB6551" w:rsidP="00DB6551">
            <w:pPr>
              <w:pStyle w:val="NoSpacing"/>
              <w:rPr>
                <w:rFonts w:eastAsiaTheme="minorHAnsi"/>
                <w:sz w:val="20"/>
                <w:szCs w:val="20"/>
                <w:lang w:val="en-GB" w:eastAsia="nl-NL"/>
              </w:rPr>
            </w:pPr>
            <w:r w:rsidRPr="005635D8">
              <w:rPr>
                <w:rFonts w:eastAsiaTheme="minorHAnsi"/>
                <w:sz w:val="20"/>
                <w:szCs w:val="20"/>
                <w:lang w:val="en-GB" w:eastAsia="nl-NL"/>
              </w:rPr>
              <w:t>,089</w:t>
            </w:r>
          </w:p>
        </w:tc>
        <w:tc>
          <w:tcPr>
            <w:tcW w:w="2294" w:type="dxa"/>
          </w:tcPr>
          <w:p w:rsidR="00DB6551" w:rsidRPr="005635D8" w:rsidRDefault="00DB6551" w:rsidP="00DB6551">
            <w:pPr>
              <w:pStyle w:val="NoSpacing"/>
              <w:rPr>
                <w:rFonts w:eastAsiaTheme="minorHAnsi"/>
                <w:sz w:val="20"/>
                <w:szCs w:val="20"/>
                <w:lang w:val="en-GB" w:eastAsia="nl-NL"/>
              </w:rPr>
            </w:pPr>
            <w:r w:rsidRPr="005635D8">
              <w:rPr>
                <w:rFonts w:eastAsiaTheme="minorHAnsi"/>
                <w:sz w:val="20"/>
                <w:szCs w:val="20"/>
                <w:lang w:val="en-GB" w:eastAsia="nl-NL"/>
              </w:rPr>
              <w:t>405,60</w:t>
            </w:r>
          </w:p>
        </w:tc>
      </w:tr>
      <w:tr w:rsidR="00DB6551" w:rsidRPr="005635D8" w:rsidTr="00DB6551">
        <w:trPr>
          <w:trHeight w:val="355"/>
        </w:trPr>
        <w:tc>
          <w:tcPr>
            <w:tcW w:w="2172" w:type="dxa"/>
          </w:tcPr>
          <w:p w:rsidR="00DB6551" w:rsidRPr="005635D8" w:rsidRDefault="00DB6551" w:rsidP="00DB6551">
            <w:pPr>
              <w:rPr>
                <w:rFonts w:eastAsiaTheme="minorHAnsi"/>
                <w:sz w:val="20"/>
                <w:szCs w:val="20"/>
                <w:lang w:val="en-GB" w:eastAsia="nl-NL"/>
              </w:rPr>
            </w:pPr>
            <w:r w:rsidRPr="005635D8">
              <w:rPr>
                <w:rFonts w:eastAsiaTheme="minorHAnsi"/>
                <w:sz w:val="20"/>
                <w:szCs w:val="20"/>
                <w:lang w:val="en-GB" w:eastAsia="nl-NL"/>
              </w:rPr>
              <w:t>2003</w:t>
            </w:r>
          </w:p>
        </w:tc>
        <w:tc>
          <w:tcPr>
            <w:tcW w:w="2007" w:type="dxa"/>
          </w:tcPr>
          <w:p w:rsidR="00DB6551" w:rsidRPr="005635D8" w:rsidRDefault="00DB6551" w:rsidP="00DB6551">
            <w:pPr>
              <w:rPr>
                <w:rFonts w:eastAsiaTheme="minorHAnsi"/>
                <w:sz w:val="20"/>
                <w:szCs w:val="20"/>
                <w:lang w:val="en-GB" w:eastAsia="nl-NL"/>
              </w:rPr>
            </w:pPr>
            <w:r w:rsidRPr="005635D8">
              <w:rPr>
                <w:rFonts w:eastAsiaTheme="minorHAnsi"/>
                <w:sz w:val="20"/>
                <w:szCs w:val="20"/>
                <w:lang w:val="en-GB" w:eastAsia="nl-NL"/>
              </w:rPr>
              <w:t>21</w:t>
            </w:r>
          </w:p>
        </w:tc>
        <w:tc>
          <w:tcPr>
            <w:tcW w:w="2230" w:type="dxa"/>
          </w:tcPr>
          <w:p w:rsidR="00DB6551" w:rsidRPr="005635D8" w:rsidRDefault="00DB6551" w:rsidP="00DB6551">
            <w:pPr>
              <w:rPr>
                <w:rFonts w:eastAsiaTheme="minorHAnsi"/>
                <w:sz w:val="20"/>
                <w:szCs w:val="20"/>
                <w:lang w:val="en-GB" w:eastAsia="nl-NL"/>
              </w:rPr>
            </w:pPr>
            <w:r w:rsidRPr="005635D8">
              <w:rPr>
                <w:rFonts w:eastAsiaTheme="minorHAnsi"/>
                <w:sz w:val="20"/>
                <w:szCs w:val="20"/>
                <w:lang w:val="en-GB" w:eastAsia="nl-NL"/>
              </w:rPr>
              <w:t>,092</w:t>
            </w:r>
          </w:p>
        </w:tc>
        <w:tc>
          <w:tcPr>
            <w:tcW w:w="2294" w:type="dxa"/>
          </w:tcPr>
          <w:p w:rsidR="00DB6551" w:rsidRPr="005635D8" w:rsidRDefault="00DB6551" w:rsidP="00DB6551">
            <w:pPr>
              <w:rPr>
                <w:rFonts w:eastAsiaTheme="minorHAnsi"/>
                <w:sz w:val="20"/>
                <w:szCs w:val="20"/>
                <w:lang w:val="en-GB" w:eastAsia="nl-NL"/>
              </w:rPr>
            </w:pPr>
            <w:r w:rsidRPr="005635D8">
              <w:rPr>
                <w:rFonts w:eastAsiaTheme="minorHAnsi"/>
                <w:sz w:val="20"/>
                <w:szCs w:val="20"/>
                <w:lang w:val="en-GB" w:eastAsia="nl-NL"/>
              </w:rPr>
              <w:t>531,83</w:t>
            </w:r>
          </w:p>
        </w:tc>
      </w:tr>
      <w:tr w:rsidR="00DB6551" w:rsidRPr="005635D8" w:rsidTr="00DB6551">
        <w:trPr>
          <w:trHeight w:val="338"/>
        </w:trPr>
        <w:tc>
          <w:tcPr>
            <w:tcW w:w="2172" w:type="dxa"/>
          </w:tcPr>
          <w:p w:rsidR="00DB6551" w:rsidRPr="005635D8" w:rsidRDefault="00DB6551" w:rsidP="00DB6551">
            <w:pPr>
              <w:rPr>
                <w:rFonts w:eastAsiaTheme="minorHAnsi"/>
                <w:sz w:val="20"/>
                <w:szCs w:val="20"/>
                <w:lang w:val="en-GB" w:eastAsia="nl-NL"/>
              </w:rPr>
            </w:pPr>
            <w:r w:rsidRPr="005635D8">
              <w:rPr>
                <w:rFonts w:eastAsiaTheme="minorHAnsi"/>
                <w:sz w:val="20"/>
                <w:szCs w:val="20"/>
                <w:lang w:val="en-GB" w:eastAsia="nl-NL"/>
              </w:rPr>
              <w:t>2004</w:t>
            </w:r>
          </w:p>
        </w:tc>
        <w:tc>
          <w:tcPr>
            <w:tcW w:w="2007" w:type="dxa"/>
          </w:tcPr>
          <w:p w:rsidR="00DB6551" w:rsidRPr="005635D8" w:rsidRDefault="00DB6551" w:rsidP="00DB6551">
            <w:pPr>
              <w:rPr>
                <w:rFonts w:eastAsiaTheme="minorHAnsi"/>
                <w:sz w:val="20"/>
                <w:szCs w:val="20"/>
                <w:lang w:val="en-GB" w:eastAsia="nl-NL"/>
              </w:rPr>
            </w:pPr>
            <w:r w:rsidRPr="005635D8">
              <w:rPr>
                <w:rFonts w:eastAsiaTheme="minorHAnsi"/>
                <w:sz w:val="20"/>
                <w:szCs w:val="20"/>
                <w:lang w:val="en-GB" w:eastAsia="nl-NL"/>
              </w:rPr>
              <w:t>23</w:t>
            </w:r>
          </w:p>
        </w:tc>
        <w:tc>
          <w:tcPr>
            <w:tcW w:w="2230" w:type="dxa"/>
          </w:tcPr>
          <w:p w:rsidR="00DB6551" w:rsidRPr="005635D8" w:rsidRDefault="00DB6551" w:rsidP="00DB6551">
            <w:pPr>
              <w:rPr>
                <w:rFonts w:eastAsiaTheme="minorHAnsi"/>
                <w:sz w:val="20"/>
                <w:szCs w:val="20"/>
                <w:lang w:val="en-GB" w:eastAsia="nl-NL"/>
              </w:rPr>
            </w:pPr>
            <w:r w:rsidRPr="005635D8">
              <w:rPr>
                <w:rFonts w:eastAsiaTheme="minorHAnsi"/>
                <w:sz w:val="20"/>
                <w:szCs w:val="20"/>
                <w:lang w:val="en-GB" w:eastAsia="nl-NL"/>
              </w:rPr>
              <w:t>,066</w:t>
            </w:r>
          </w:p>
        </w:tc>
        <w:tc>
          <w:tcPr>
            <w:tcW w:w="2294" w:type="dxa"/>
          </w:tcPr>
          <w:p w:rsidR="00DB6551" w:rsidRPr="005635D8" w:rsidRDefault="00DB6551" w:rsidP="00DB6551">
            <w:pPr>
              <w:rPr>
                <w:rFonts w:eastAsiaTheme="minorHAnsi"/>
                <w:sz w:val="20"/>
                <w:szCs w:val="20"/>
                <w:lang w:val="en-GB" w:eastAsia="nl-NL"/>
              </w:rPr>
            </w:pPr>
            <w:r w:rsidRPr="005635D8">
              <w:rPr>
                <w:rFonts w:eastAsiaTheme="minorHAnsi"/>
                <w:sz w:val="20"/>
                <w:szCs w:val="20"/>
                <w:lang w:val="en-GB" w:eastAsia="nl-NL"/>
              </w:rPr>
              <w:t>429,41</w:t>
            </w:r>
          </w:p>
        </w:tc>
      </w:tr>
      <w:tr w:rsidR="00DB6551" w:rsidRPr="005635D8" w:rsidTr="00DB6551">
        <w:trPr>
          <w:trHeight w:val="338"/>
        </w:trPr>
        <w:tc>
          <w:tcPr>
            <w:tcW w:w="2172" w:type="dxa"/>
          </w:tcPr>
          <w:p w:rsidR="00DB6551" w:rsidRPr="005635D8" w:rsidRDefault="00DB6551" w:rsidP="00DB6551">
            <w:pPr>
              <w:rPr>
                <w:rFonts w:eastAsiaTheme="minorHAnsi"/>
                <w:sz w:val="20"/>
                <w:szCs w:val="20"/>
                <w:lang w:val="en-GB" w:eastAsia="nl-NL"/>
              </w:rPr>
            </w:pPr>
            <w:r w:rsidRPr="005635D8">
              <w:rPr>
                <w:rFonts w:eastAsiaTheme="minorHAnsi"/>
                <w:sz w:val="20"/>
                <w:szCs w:val="20"/>
                <w:lang w:val="en-GB" w:eastAsia="nl-NL"/>
              </w:rPr>
              <w:t>2005</w:t>
            </w:r>
          </w:p>
        </w:tc>
        <w:tc>
          <w:tcPr>
            <w:tcW w:w="2007" w:type="dxa"/>
          </w:tcPr>
          <w:p w:rsidR="00DB6551" w:rsidRPr="005635D8" w:rsidRDefault="00DB6551" w:rsidP="00DB6551">
            <w:pPr>
              <w:rPr>
                <w:rFonts w:eastAsiaTheme="minorHAnsi"/>
                <w:sz w:val="20"/>
                <w:szCs w:val="20"/>
                <w:lang w:val="en-GB" w:eastAsia="nl-NL"/>
              </w:rPr>
            </w:pPr>
            <w:r w:rsidRPr="005635D8">
              <w:rPr>
                <w:rFonts w:eastAsiaTheme="minorHAnsi"/>
                <w:sz w:val="20"/>
                <w:szCs w:val="20"/>
                <w:lang w:val="en-GB" w:eastAsia="nl-NL"/>
              </w:rPr>
              <w:t>23</w:t>
            </w:r>
          </w:p>
        </w:tc>
        <w:tc>
          <w:tcPr>
            <w:tcW w:w="2230" w:type="dxa"/>
          </w:tcPr>
          <w:p w:rsidR="00DB6551" w:rsidRPr="005635D8" w:rsidRDefault="00DB6551" w:rsidP="00DB6551">
            <w:pPr>
              <w:rPr>
                <w:rFonts w:eastAsiaTheme="minorHAnsi"/>
                <w:sz w:val="20"/>
                <w:szCs w:val="20"/>
                <w:lang w:val="en-GB" w:eastAsia="nl-NL"/>
              </w:rPr>
            </w:pPr>
            <w:r w:rsidRPr="005635D8">
              <w:rPr>
                <w:rFonts w:eastAsiaTheme="minorHAnsi"/>
                <w:sz w:val="20"/>
                <w:szCs w:val="20"/>
                <w:lang w:val="en-GB" w:eastAsia="nl-NL"/>
              </w:rPr>
              <w:t>,086</w:t>
            </w:r>
          </w:p>
        </w:tc>
        <w:tc>
          <w:tcPr>
            <w:tcW w:w="2294" w:type="dxa"/>
          </w:tcPr>
          <w:p w:rsidR="00DB6551" w:rsidRPr="005635D8" w:rsidRDefault="00DB6551" w:rsidP="00DB6551">
            <w:pPr>
              <w:rPr>
                <w:rFonts w:eastAsiaTheme="minorHAnsi"/>
                <w:sz w:val="20"/>
                <w:szCs w:val="20"/>
                <w:lang w:val="en-GB" w:eastAsia="nl-NL"/>
              </w:rPr>
            </w:pPr>
            <w:r w:rsidRPr="005635D8">
              <w:rPr>
                <w:rFonts w:eastAsiaTheme="minorHAnsi"/>
                <w:sz w:val="20"/>
                <w:szCs w:val="20"/>
                <w:lang w:val="en-GB" w:eastAsia="nl-NL"/>
              </w:rPr>
              <w:t>240,60</w:t>
            </w:r>
          </w:p>
        </w:tc>
      </w:tr>
      <w:tr w:rsidR="00DB6551" w:rsidRPr="005635D8" w:rsidTr="00DB6551">
        <w:trPr>
          <w:trHeight w:val="338"/>
        </w:trPr>
        <w:tc>
          <w:tcPr>
            <w:tcW w:w="2172" w:type="dxa"/>
          </w:tcPr>
          <w:p w:rsidR="00DB6551" w:rsidRPr="005635D8" w:rsidRDefault="00DB6551" w:rsidP="00DB6551">
            <w:pPr>
              <w:rPr>
                <w:rFonts w:eastAsiaTheme="minorHAnsi"/>
                <w:sz w:val="20"/>
                <w:szCs w:val="20"/>
                <w:lang w:val="en-GB" w:eastAsia="nl-NL"/>
              </w:rPr>
            </w:pPr>
            <w:r w:rsidRPr="005635D8">
              <w:rPr>
                <w:rFonts w:eastAsiaTheme="minorHAnsi"/>
                <w:sz w:val="20"/>
                <w:szCs w:val="20"/>
                <w:lang w:val="en-GB" w:eastAsia="nl-NL"/>
              </w:rPr>
              <w:t>2006</w:t>
            </w:r>
          </w:p>
        </w:tc>
        <w:tc>
          <w:tcPr>
            <w:tcW w:w="2007" w:type="dxa"/>
          </w:tcPr>
          <w:p w:rsidR="00DB6551" w:rsidRPr="005635D8" w:rsidRDefault="00DB6551" w:rsidP="00DB6551">
            <w:pPr>
              <w:rPr>
                <w:rFonts w:eastAsiaTheme="minorHAnsi"/>
                <w:sz w:val="20"/>
                <w:szCs w:val="20"/>
                <w:lang w:val="en-GB" w:eastAsia="nl-NL"/>
              </w:rPr>
            </w:pPr>
            <w:r w:rsidRPr="005635D8">
              <w:rPr>
                <w:rFonts w:eastAsiaTheme="minorHAnsi"/>
                <w:sz w:val="20"/>
                <w:szCs w:val="20"/>
                <w:lang w:val="en-GB" w:eastAsia="nl-NL"/>
              </w:rPr>
              <w:t>22</w:t>
            </w:r>
          </w:p>
        </w:tc>
        <w:tc>
          <w:tcPr>
            <w:tcW w:w="2230" w:type="dxa"/>
          </w:tcPr>
          <w:p w:rsidR="00DB6551" w:rsidRPr="005635D8" w:rsidRDefault="00DB6551" w:rsidP="00DB6551">
            <w:pPr>
              <w:rPr>
                <w:rFonts w:eastAsiaTheme="minorHAnsi"/>
                <w:sz w:val="20"/>
                <w:szCs w:val="20"/>
                <w:lang w:val="en-GB" w:eastAsia="nl-NL"/>
              </w:rPr>
            </w:pPr>
            <w:r w:rsidRPr="005635D8">
              <w:rPr>
                <w:rFonts w:eastAsiaTheme="minorHAnsi"/>
                <w:sz w:val="20"/>
                <w:szCs w:val="20"/>
                <w:lang w:val="en-GB" w:eastAsia="nl-NL"/>
              </w:rPr>
              <w:t>,071</w:t>
            </w:r>
          </w:p>
        </w:tc>
        <w:tc>
          <w:tcPr>
            <w:tcW w:w="2294" w:type="dxa"/>
          </w:tcPr>
          <w:p w:rsidR="00DB6551" w:rsidRPr="005635D8" w:rsidRDefault="00DB6551" w:rsidP="00DB6551">
            <w:pPr>
              <w:rPr>
                <w:rFonts w:eastAsiaTheme="minorHAnsi"/>
                <w:sz w:val="20"/>
                <w:szCs w:val="20"/>
                <w:lang w:val="en-GB" w:eastAsia="nl-NL"/>
              </w:rPr>
            </w:pPr>
            <w:r w:rsidRPr="005635D8">
              <w:rPr>
                <w:rFonts w:eastAsiaTheme="minorHAnsi"/>
                <w:sz w:val="20"/>
                <w:szCs w:val="20"/>
                <w:lang w:val="en-GB" w:eastAsia="nl-NL"/>
              </w:rPr>
              <w:t>384,34</w:t>
            </w:r>
          </w:p>
        </w:tc>
      </w:tr>
      <w:tr w:rsidR="00DB6551" w:rsidRPr="005635D8" w:rsidTr="00DB6551">
        <w:trPr>
          <w:trHeight w:val="355"/>
        </w:trPr>
        <w:tc>
          <w:tcPr>
            <w:tcW w:w="2172" w:type="dxa"/>
          </w:tcPr>
          <w:p w:rsidR="00DB6551" w:rsidRPr="005635D8" w:rsidRDefault="00DB6551" w:rsidP="00DB6551">
            <w:pPr>
              <w:rPr>
                <w:rFonts w:eastAsiaTheme="minorHAnsi"/>
                <w:sz w:val="20"/>
                <w:szCs w:val="20"/>
                <w:lang w:val="en-GB" w:eastAsia="nl-NL"/>
              </w:rPr>
            </w:pPr>
            <w:r w:rsidRPr="005635D8">
              <w:rPr>
                <w:rFonts w:eastAsiaTheme="minorHAnsi"/>
                <w:sz w:val="20"/>
                <w:szCs w:val="20"/>
                <w:lang w:val="en-GB" w:eastAsia="nl-NL"/>
              </w:rPr>
              <w:t>2007</w:t>
            </w:r>
          </w:p>
        </w:tc>
        <w:tc>
          <w:tcPr>
            <w:tcW w:w="2007" w:type="dxa"/>
          </w:tcPr>
          <w:p w:rsidR="00DB6551" w:rsidRPr="005635D8" w:rsidRDefault="00DB6551" w:rsidP="00DB6551">
            <w:pPr>
              <w:rPr>
                <w:rFonts w:eastAsiaTheme="minorHAnsi"/>
                <w:sz w:val="20"/>
                <w:szCs w:val="20"/>
                <w:lang w:val="en-GB" w:eastAsia="nl-NL"/>
              </w:rPr>
            </w:pPr>
            <w:r w:rsidRPr="005635D8">
              <w:rPr>
                <w:rFonts w:eastAsiaTheme="minorHAnsi"/>
                <w:sz w:val="20"/>
                <w:szCs w:val="20"/>
                <w:lang w:val="en-GB" w:eastAsia="nl-NL"/>
              </w:rPr>
              <w:t>23</w:t>
            </w:r>
          </w:p>
        </w:tc>
        <w:tc>
          <w:tcPr>
            <w:tcW w:w="2230" w:type="dxa"/>
          </w:tcPr>
          <w:p w:rsidR="00DB6551" w:rsidRPr="005635D8" w:rsidRDefault="00DB6551" w:rsidP="00DB6551">
            <w:pPr>
              <w:rPr>
                <w:rFonts w:eastAsiaTheme="minorHAnsi"/>
                <w:sz w:val="20"/>
                <w:szCs w:val="20"/>
                <w:lang w:val="en-GB" w:eastAsia="nl-NL"/>
              </w:rPr>
            </w:pPr>
            <w:r w:rsidRPr="005635D8">
              <w:rPr>
                <w:rFonts w:eastAsiaTheme="minorHAnsi"/>
                <w:sz w:val="20"/>
                <w:szCs w:val="20"/>
                <w:lang w:val="en-GB" w:eastAsia="nl-NL"/>
              </w:rPr>
              <w:t>,063</w:t>
            </w:r>
          </w:p>
        </w:tc>
        <w:tc>
          <w:tcPr>
            <w:tcW w:w="2294" w:type="dxa"/>
          </w:tcPr>
          <w:p w:rsidR="00DB6551" w:rsidRPr="005635D8" w:rsidRDefault="00DB6551" w:rsidP="00DB6551">
            <w:pPr>
              <w:rPr>
                <w:rFonts w:eastAsiaTheme="minorHAnsi"/>
                <w:sz w:val="20"/>
                <w:szCs w:val="20"/>
                <w:lang w:val="en-GB" w:eastAsia="nl-NL"/>
              </w:rPr>
            </w:pPr>
            <w:r w:rsidRPr="005635D8">
              <w:rPr>
                <w:rFonts w:eastAsiaTheme="minorHAnsi"/>
                <w:sz w:val="20"/>
                <w:szCs w:val="20"/>
                <w:lang w:val="en-GB" w:eastAsia="nl-NL"/>
              </w:rPr>
              <w:t>259,28</w:t>
            </w:r>
          </w:p>
        </w:tc>
      </w:tr>
    </w:tbl>
    <w:p w:rsidR="00843B3A" w:rsidRDefault="00DB6551" w:rsidP="00DC6642">
      <w:pPr>
        <w:rPr>
          <w:sz w:val="20"/>
          <w:szCs w:val="20"/>
          <w:lang w:val="en-GB"/>
        </w:rPr>
      </w:pPr>
      <w:r w:rsidRPr="005635D8">
        <w:rPr>
          <w:b/>
          <w:sz w:val="20"/>
          <w:szCs w:val="20"/>
          <w:lang w:val="en-GB"/>
        </w:rPr>
        <w:t>Table 6</w:t>
      </w:r>
      <w:r>
        <w:rPr>
          <w:b/>
          <w:sz w:val="20"/>
          <w:szCs w:val="20"/>
          <w:lang w:val="en-GB"/>
        </w:rPr>
        <w:t xml:space="preserve">: </w:t>
      </w:r>
      <w:r w:rsidR="00EF6BD3" w:rsidRPr="005635D8">
        <w:rPr>
          <w:sz w:val="20"/>
          <w:szCs w:val="20"/>
          <w:lang w:val="en-GB"/>
        </w:rPr>
        <w:t>Absolute values of discretionary accruals variables per year</w:t>
      </w:r>
    </w:p>
    <w:p w:rsidR="00DB6551" w:rsidRPr="005635D8" w:rsidRDefault="00DB6551" w:rsidP="00DC6642">
      <w:pPr>
        <w:rPr>
          <w:color w:val="000000"/>
          <w:sz w:val="20"/>
          <w:szCs w:val="20"/>
          <w:lang w:val="en-GB"/>
        </w:rPr>
      </w:pPr>
    </w:p>
    <w:p w:rsidR="00FA390B" w:rsidRPr="005635D8" w:rsidRDefault="00FA390B" w:rsidP="00FA390B">
      <w:pPr>
        <w:autoSpaceDE w:val="0"/>
        <w:autoSpaceDN w:val="0"/>
        <w:adjustRightInd w:val="0"/>
        <w:spacing w:after="0" w:line="240" w:lineRule="auto"/>
        <w:rPr>
          <w:rFonts w:ascii="Times New Roman" w:hAnsi="Times New Roman" w:cs="Times New Roman"/>
          <w:sz w:val="24"/>
          <w:szCs w:val="24"/>
          <w:lang w:val="en-GB"/>
        </w:rPr>
      </w:pPr>
      <w:r w:rsidRPr="005635D8">
        <w:rPr>
          <w:rFonts w:ascii="Times New Roman" w:hAnsi="Times New Roman" w:cs="Times New Roman"/>
          <w:noProof/>
          <w:sz w:val="24"/>
          <w:szCs w:val="24"/>
          <w:lang w:val="en-US"/>
        </w:rPr>
        <w:drawing>
          <wp:inline distT="0" distB="0" distL="0" distR="0">
            <wp:extent cx="5448300" cy="2739783"/>
            <wp:effectExtent l="0" t="0" r="0" b="381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4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55096" cy="2743200"/>
                    </a:xfrm>
                    <a:prstGeom prst="rect">
                      <a:avLst/>
                    </a:prstGeom>
                    <a:noFill/>
                    <a:ln>
                      <a:noFill/>
                    </a:ln>
                  </pic:spPr>
                </pic:pic>
              </a:graphicData>
            </a:graphic>
          </wp:inline>
        </w:drawing>
      </w:r>
    </w:p>
    <w:p w:rsidR="00FA390B" w:rsidRPr="005635D8" w:rsidRDefault="00DB6551" w:rsidP="00DB6551">
      <w:pPr>
        <w:pStyle w:val="NoSpacing"/>
        <w:rPr>
          <w:rFonts w:ascii="Times New Roman" w:hAnsi="Times New Roman" w:cs="Times New Roman"/>
          <w:sz w:val="20"/>
          <w:szCs w:val="20"/>
          <w:lang w:val="en-GB"/>
        </w:rPr>
      </w:pPr>
      <w:r w:rsidRPr="005635D8">
        <w:rPr>
          <w:b/>
          <w:sz w:val="20"/>
          <w:szCs w:val="20"/>
          <w:lang w:val="en-GB"/>
        </w:rPr>
        <w:t>Figure 1</w:t>
      </w:r>
      <w:r>
        <w:rPr>
          <w:sz w:val="20"/>
          <w:szCs w:val="20"/>
          <w:lang w:val="en-GB"/>
        </w:rPr>
        <w:t xml:space="preserve">: </w:t>
      </w:r>
      <w:r w:rsidR="00EF6BD3" w:rsidRPr="005635D8">
        <w:rPr>
          <w:sz w:val="20"/>
          <w:szCs w:val="20"/>
          <w:lang w:val="en-GB"/>
        </w:rPr>
        <w:t>Graphical representation of average DACC scaled by TA</w:t>
      </w:r>
      <w:r w:rsidR="00EF6BD3" w:rsidRPr="005635D8">
        <w:rPr>
          <w:sz w:val="20"/>
          <w:szCs w:val="20"/>
          <w:vertAlign w:val="subscript"/>
          <w:lang w:val="en-GB"/>
        </w:rPr>
        <w:t>t-1</w:t>
      </w:r>
      <w:r w:rsidR="00EF6BD3" w:rsidRPr="005635D8">
        <w:rPr>
          <w:sz w:val="20"/>
          <w:szCs w:val="20"/>
          <w:lang w:val="en-GB"/>
        </w:rPr>
        <w:t xml:space="preserve"> per year</w:t>
      </w:r>
    </w:p>
    <w:p w:rsidR="00EF6BD3" w:rsidRPr="005635D8" w:rsidRDefault="00EF6BD3" w:rsidP="00FA390B">
      <w:pPr>
        <w:autoSpaceDE w:val="0"/>
        <w:autoSpaceDN w:val="0"/>
        <w:adjustRightInd w:val="0"/>
        <w:spacing w:after="0" w:line="400" w:lineRule="atLeast"/>
        <w:rPr>
          <w:b/>
          <w:sz w:val="24"/>
          <w:szCs w:val="24"/>
          <w:lang w:val="en-GB"/>
        </w:rPr>
      </w:pPr>
    </w:p>
    <w:p w:rsidR="00EF6BD3" w:rsidRPr="005635D8" w:rsidRDefault="00EF6BD3" w:rsidP="00FA390B">
      <w:pPr>
        <w:autoSpaceDE w:val="0"/>
        <w:autoSpaceDN w:val="0"/>
        <w:adjustRightInd w:val="0"/>
        <w:spacing w:after="0" w:line="400" w:lineRule="atLeast"/>
        <w:rPr>
          <w:b/>
          <w:sz w:val="24"/>
          <w:szCs w:val="24"/>
          <w:lang w:val="en-GB"/>
        </w:rPr>
      </w:pPr>
    </w:p>
    <w:p w:rsidR="00EF6BD3" w:rsidRPr="005635D8" w:rsidRDefault="00EF6BD3" w:rsidP="00FA390B">
      <w:pPr>
        <w:autoSpaceDE w:val="0"/>
        <w:autoSpaceDN w:val="0"/>
        <w:adjustRightInd w:val="0"/>
        <w:spacing w:after="0" w:line="400" w:lineRule="atLeast"/>
        <w:rPr>
          <w:b/>
          <w:sz w:val="24"/>
          <w:szCs w:val="24"/>
          <w:lang w:val="en-GB"/>
        </w:rPr>
      </w:pPr>
    </w:p>
    <w:p w:rsidR="00EF6BD3" w:rsidRPr="005635D8" w:rsidRDefault="00EF6BD3" w:rsidP="00FA390B">
      <w:pPr>
        <w:autoSpaceDE w:val="0"/>
        <w:autoSpaceDN w:val="0"/>
        <w:adjustRightInd w:val="0"/>
        <w:spacing w:after="0" w:line="400" w:lineRule="atLeast"/>
        <w:rPr>
          <w:b/>
          <w:sz w:val="24"/>
          <w:szCs w:val="24"/>
          <w:lang w:val="en-GB"/>
        </w:rPr>
      </w:pPr>
    </w:p>
    <w:p w:rsidR="00EF6BD3" w:rsidRPr="005635D8" w:rsidRDefault="00EF6BD3" w:rsidP="00FA390B">
      <w:pPr>
        <w:autoSpaceDE w:val="0"/>
        <w:autoSpaceDN w:val="0"/>
        <w:adjustRightInd w:val="0"/>
        <w:spacing w:after="0" w:line="400" w:lineRule="atLeast"/>
        <w:rPr>
          <w:b/>
          <w:sz w:val="24"/>
          <w:szCs w:val="24"/>
          <w:lang w:val="en-GB"/>
        </w:rPr>
      </w:pPr>
    </w:p>
    <w:p w:rsidR="00EF6BD3" w:rsidRPr="005635D8" w:rsidRDefault="00EF6BD3" w:rsidP="00FA390B">
      <w:pPr>
        <w:autoSpaceDE w:val="0"/>
        <w:autoSpaceDN w:val="0"/>
        <w:adjustRightInd w:val="0"/>
        <w:spacing w:after="0" w:line="400" w:lineRule="atLeast"/>
        <w:rPr>
          <w:b/>
          <w:sz w:val="24"/>
          <w:szCs w:val="24"/>
          <w:lang w:val="en-GB"/>
        </w:rPr>
      </w:pPr>
    </w:p>
    <w:p w:rsidR="00EF6BD3" w:rsidRPr="005635D8" w:rsidRDefault="00EF6BD3" w:rsidP="00FA390B">
      <w:pPr>
        <w:autoSpaceDE w:val="0"/>
        <w:autoSpaceDN w:val="0"/>
        <w:adjustRightInd w:val="0"/>
        <w:spacing w:after="0" w:line="400" w:lineRule="atLeast"/>
        <w:rPr>
          <w:b/>
          <w:sz w:val="24"/>
          <w:szCs w:val="24"/>
          <w:lang w:val="en-GB"/>
        </w:rPr>
      </w:pPr>
    </w:p>
    <w:p w:rsidR="00EF6BD3" w:rsidRPr="005635D8" w:rsidRDefault="00EF6BD3" w:rsidP="00FA390B">
      <w:pPr>
        <w:autoSpaceDE w:val="0"/>
        <w:autoSpaceDN w:val="0"/>
        <w:adjustRightInd w:val="0"/>
        <w:spacing w:after="0" w:line="400" w:lineRule="atLeast"/>
        <w:rPr>
          <w:b/>
          <w:sz w:val="24"/>
          <w:szCs w:val="24"/>
          <w:lang w:val="en-GB"/>
        </w:rPr>
      </w:pPr>
    </w:p>
    <w:p w:rsidR="00FA390B" w:rsidRPr="005635D8" w:rsidRDefault="00FA390B" w:rsidP="00FA390B">
      <w:pPr>
        <w:autoSpaceDE w:val="0"/>
        <w:autoSpaceDN w:val="0"/>
        <w:adjustRightInd w:val="0"/>
        <w:spacing w:after="0" w:line="240" w:lineRule="auto"/>
        <w:rPr>
          <w:rFonts w:ascii="Times New Roman" w:hAnsi="Times New Roman" w:cs="Times New Roman"/>
          <w:sz w:val="24"/>
          <w:szCs w:val="24"/>
          <w:lang w:val="en-GB"/>
        </w:rPr>
      </w:pPr>
      <w:r w:rsidRPr="005635D8">
        <w:rPr>
          <w:rFonts w:ascii="Times New Roman" w:hAnsi="Times New Roman" w:cs="Times New Roman"/>
          <w:noProof/>
          <w:sz w:val="24"/>
          <w:szCs w:val="24"/>
          <w:lang w:val="en-US"/>
        </w:rPr>
        <w:drawing>
          <wp:inline distT="0" distB="0" distL="0" distR="0">
            <wp:extent cx="5448300" cy="2587572"/>
            <wp:effectExtent l="0" t="0" r="0" b="381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4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62638" cy="2594382"/>
                    </a:xfrm>
                    <a:prstGeom prst="rect">
                      <a:avLst/>
                    </a:prstGeom>
                    <a:noFill/>
                    <a:ln>
                      <a:noFill/>
                    </a:ln>
                  </pic:spPr>
                </pic:pic>
              </a:graphicData>
            </a:graphic>
          </wp:inline>
        </w:drawing>
      </w:r>
    </w:p>
    <w:p w:rsidR="00FA390B" w:rsidRPr="005635D8" w:rsidRDefault="00FF2309" w:rsidP="00FF2309">
      <w:pPr>
        <w:autoSpaceDE w:val="0"/>
        <w:autoSpaceDN w:val="0"/>
        <w:adjustRightInd w:val="0"/>
        <w:spacing w:after="0" w:line="400" w:lineRule="atLeast"/>
        <w:rPr>
          <w:rFonts w:ascii="Times New Roman" w:hAnsi="Times New Roman" w:cs="Times New Roman"/>
          <w:sz w:val="20"/>
          <w:szCs w:val="20"/>
          <w:lang w:val="en-GB"/>
        </w:rPr>
      </w:pPr>
      <w:r w:rsidRPr="005635D8">
        <w:rPr>
          <w:b/>
          <w:sz w:val="20"/>
          <w:szCs w:val="20"/>
          <w:lang w:val="en-GB"/>
        </w:rPr>
        <w:t>Figure 2</w:t>
      </w:r>
      <w:r>
        <w:rPr>
          <w:sz w:val="20"/>
          <w:szCs w:val="20"/>
          <w:lang w:val="en-GB"/>
        </w:rPr>
        <w:t xml:space="preserve">: </w:t>
      </w:r>
      <w:r w:rsidR="00EF6BD3" w:rsidRPr="005635D8">
        <w:rPr>
          <w:sz w:val="20"/>
          <w:szCs w:val="20"/>
          <w:lang w:val="en-GB"/>
        </w:rPr>
        <w:t>Graphical representation of average DACC per year</w:t>
      </w:r>
    </w:p>
    <w:p w:rsidR="00EF6BD3" w:rsidRPr="005635D8" w:rsidRDefault="00EF6BD3" w:rsidP="005D7DD1">
      <w:pPr>
        <w:pStyle w:val="BodyTextIndent"/>
        <w:ind w:left="0"/>
        <w:jc w:val="both"/>
        <w:rPr>
          <w:rFonts w:ascii="Calibri" w:hAnsi="Calibri"/>
          <w:color w:val="000000"/>
          <w:lang w:val="en-GB"/>
        </w:rPr>
      </w:pPr>
    </w:p>
    <w:p w:rsidR="00FA390B" w:rsidRPr="005635D8" w:rsidRDefault="00D76CAE" w:rsidP="00EF6BD3">
      <w:pPr>
        <w:pStyle w:val="BodyTextIndent"/>
        <w:ind w:left="0"/>
        <w:jc w:val="both"/>
        <w:rPr>
          <w:rFonts w:ascii="Calibri" w:hAnsi="Calibri"/>
          <w:color w:val="000000"/>
          <w:lang w:val="en-GB"/>
        </w:rPr>
      </w:pPr>
      <w:r w:rsidRPr="005635D8">
        <w:rPr>
          <w:rFonts w:ascii="Calibri" w:hAnsi="Calibri"/>
          <w:color w:val="000000"/>
          <w:lang w:val="en-GB"/>
        </w:rPr>
        <w:t>A</w:t>
      </w:r>
      <w:r w:rsidR="0098240C" w:rsidRPr="005635D8">
        <w:rPr>
          <w:rFonts w:ascii="Calibri" w:hAnsi="Calibri"/>
          <w:color w:val="000000"/>
          <w:lang w:val="en-GB"/>
        </w:rPr>
        <w:t>l</w:t>
      </w:r>
      <w:r w:rsidR="003B65FC" w:rsidRPr="005635D8">
        <w:rPr>
          <w:rFonts w:ascii="Calibri" w:hAnsi="Calibri"/>
          <w:color w:val="000000"/>
          <w:lang w:val="en-GB"/>
        </w:rPr>
        <w:t>l the values of the discretionary accruals</w:t>
      </w:r>
      <w:r w:rsidR="001F4CF3" w:rsidRPr="005635D8">
        <w:rPr>
          <w:lang w:val="en-GB"/>
        </w:rPr>
        <w:t xml:space="preserve"> </w:t>
      </w:r>
      <w:r w:rsidR="0098240C" w:rsidRPr="005635D8">
        <w:rPr>
          <w:rFonts w:ascii="Calibri" w:hAnsi="Calibri"/>
          <w:color w:val="000000"/>
          <w:lang w:val="en-GB"/>
        </w:rPr>
        <w:t>in the period in which IFRS was introduced compared to the period before IFRS was introduced a</w:t>
      </w:r>
      <w:r w:rsidR="003B65FC" w:rsidRPr="005635D8">
        <w:rPr>
          <w:rFonts w:ascii="Calibri" w:hAnsi="Calibri"/>
          <w:color w:val="000000"/>
          <w:lang w:val="en-GB"/>
        </w:rPr>
        <w:t>re lower</w:t>
      </w:r>
      <w:r w:rsidR="00356809" w:rsidRPr="005635D8">
        <w:rPr>
          <w:rFonts w:ascii="Calibri" w:hAnsi="Calibri"/>
          <w:color w:val="000000"/>
          <w:lang w:val="en-GB"/>
        </w:rPr>
        <w:t xml:space="preserve">. Based on this second figure it can indeed be expected that earnings management has decreased after the adoption of IFRS. </w:t>
      </w:r>
      <w:r w:rsidR="003B65FC" w:rsidRPr="005635D8">
        <w:rPr>
          <w:rFonts w:ascii="Calibri" w:hAnsi="Calibri"/>
          <w:color w:val="000000"/>
          <w:lang w:val="en-GB"/>
        </w:rPr>
        <w:t xml:space="preserve">It </w:t>
      </w:r>
      <w:r w:rsidR="00C456CE" w:rsidRPr="005635D8">
        <w:rPr>
          <w:rFonts w:ascii="Calibri" w:hAnsi="Calibri"/>
          <w:color w:val="000000"/>
          <w:lang w:val="en-GB"/>
        </w:rPr>
        <w:t>consequently</w:t>
      </w:r>
      <w:r w:rsidR="003B65FC" w:rsidRPr="005635D8">
        <w:rPr>
          <w:rFonts w:ascii="Calibri" w:hAnsi="Calibri"/>
          <w:color w:val="000000"/>
          <w:lang w:val="en-GB"/>
        </w:rPr>
        <w:t xml:space="preserve"> distinctively matters which variable will be used for interpretation.</w:t>
      </w:r>
      <w:r w:rsidR="00356809" w:rsidRPr="005635D8">
        <w:rPr>
          <w:rFonts w:ascii="Calibri" w:hAnsi="Calibri"/>
          <w:color w:val="000000"/>
          <w:lang w:val="en-GB"/>
        </w:rPr>
        <w:t xml:space="preserve"> Confusion arises on this point when </w:t>
      </w:r>
      <w:r w:rsidR="0098240C" w:rsidRPr="005635D8">
        <w:rPr>
          <w:rFonts w:ascii="Calibri" w:hAnsi="Calibri"/>
          <w:color w:val="000000"/>
          <w:lang w:val="en-GB"/>
        </w:rPr>
        <w:t>based</w:t>
      </w:r>
      <w:r w:rsidR="00356809" w:rsidRPr="005635D8">
        <w:rPr>
          <w:rFonts w:ascii="Calibri" w:hAnsi="Calibri"/>
          <w:color w:val="000000"/>
          <w:lang w:val="en-GB"/>
        </w:rPr>
        <w:t xml:space="preserve"> at most existing articles reporting results of the modified Jones Model. While talking about discretionary accruals, in fact it is the DACC scaled by TAt-1 variable which is referred to most often. As this last variable is the one used in hypotheses testing by most articles (see Heemskerk and van der Tas 2006)</w:t>
      </w:r>
      <w:r w:rsidR="001F4CF3" w:rsidRPr="005635D8">
        <w:rPr>
          <w:lang w:val="en-GB"/>
        </w:rPr>
        <w:t xml:space="preserve"> </w:t>
      </w:r>
      <w:r w:rsidR="0098240C" w:rsidRPr="005635D8">
        <w:rPr>
          <w:rFonts w:ascii="Calibri" w:hAnsi="Calibri"/>
          <w:color w:val="000000"/>
          <w:lang w:val="en-GB"/>
        </w:rPr>
        <w:t xml:space="preserve">this variable </w:t>
      </w:r>
      <w:r w:rsidR="00356809" w:rsidRPr="005635D8">
        <w:rPr>
          <w:rFonts w:ascii="Calibri" w:hAnsi="Calibri"/>
          <w:color w:val="000000"/>
          <w:lang w:val="en-GB"/>
        </w:rPr>
        <w:t>will</w:t>
      </w:r>
      <w:r w:rsidR="003827CC" w:rsidRPr="005635D8">
        <w:rPr>
          <w:rFonts w:ascii="Calibri" w:hAnsi="Calibri"/>
          <w:color w:val="000000"/>
          <w:lang w:val="en-GB"/>
        </w:rPr>
        <w:t xml:space="preserve"> be</w:t>
      </w:r>
      <w:r w:rsidR="00356809" w:rsidRPr="005635D8">
        <w:rPr>
          <w:rFonts w:ascii="Calibri" w:hAnsi="Calibri"/>
          <w:color w:val="000000"/>
          <w:lang w:val="en-GB"/>
        </w:rPr>
        <w:t xml:space="preserve"> consider</w:t>
      </w:r>
      <w:r w:rsidR="003827CC" w:rsidRPr="005635D8">
        <w:rPr>
          <w:rFonts w:ascii="Calibri" w:hAnsi="Calibri"/>
          <w:color w:val="000000"/>
          <w:lang w:val="en-GB"/>
        </w:rPr>
        <w:t>ed in this thesis</w:t>
      </w:r>
      <w:r w:rsidR="00356809" w:rsidRPr="005635D8">
        <w:rPr>
          <w:rFonts w:ascii="Calibri" w:hAnsi="Calibri"/>
          <w:color w:val="000000"/>
          <w:lang w:val="en-GB"/>
        </w:rPr>
        <w:t xml:space="preserve"> as the most appropriate for interpretation.</w:t>
      </w:r>
    </w:p>
    <w:p w:rsidR="00DC6642" w:rsidRPr="005635D8" w:rsidRDefault="00DC6642" w:rsidP="00DC6642">
      <w:pPr>
        <w:rPr>
          <w:color w:val="000000"/>
          <w:sz w:val="23"/>
          <w:szCs w:val="23"/>
          <w:lang w:val="en-GB"/>
        </w:rPr>
      </w:pPr>
    </w:p>
    <w:p w:rsidR="00356809" w:rsidRPr="005635D8" w:rsidRDefault="00356809" w:rsidP="001E4C5D">
      <w:pPr>
        <w:pStyle w:val="Heading3"/>
        <w:rPr>
          <w:lang w:val="en-GB"/>
        </w:rPr>
      </w:pPr>
      <w:bookmarkStart w:id="86" w:name="_Toc362267310"/>
      <w:r w:rsidRPr="005635D8">
        <w:rPr>
          <w:lang w:val="en-GB"/>
        </w:rPr>
        <w:t>9.2.2 The independent variables: IFRS, Industry and Size</w:t>
      </w:r>
      <w:bookmarkEnd w:id="86"/>
    </w:p>
    <w:p w:rsidR="00356809" w:rsidRPr="005635D8" w:rsidRDefault="009F6B90" w:rsidP="006727EC">
      <w:pPr>
        <w:jc w:val="both"/>
        <w:rPr>
          <w:rFonts w:ascii="Calibri" w:hAnsi="Calibri"/>
          <w:color w:val="000000"/>
          <w:lang w:val="en-GB"/>
        </w:rPr>
      </w:pPr>
      <w:r w:rsidRPr="005635D8">
        <w:rPr>
          <w:rFonts w:ascii="Calibri" w:hAnsi="Calibri"/>
          <w:color w:val="000000"/>
          <w:lang w:val="en-GB"/>
        </w:rPr>
        <w:t xml:space="preserve">The independent variables that will be included in the </w:t>
      </w:r>
      <w:r w:rsidR="006727EC" w:rsidRPr="005635D8">
        <w:rPr>
          <w:rFonts w:ascii="Calibri" w:hAnsi="Calibri"/>
          <w:color w:val="000000"/>
          <w:lang w:val="en-GB"/>
        </w:rPr>
        <w:t xml:space="preserve">regression model are IFRS, Industry and Size. The variable IFRS is straightforwardly measured by coding the years 2002 to 2004 when the companies used NL GAAP with value 0 and coding the years 2005 to 2007 when the companies used IFRS with value 1. The proxy variable size is measured by first calculating the average total asset of each company in the sample over all the years in the study. </w:t>
      </w:r>
      <w:r w:rsidR="0098240C" w:rsidRPr="005635D8">
        <w:rPr>
          <w:rFonts w:ascii="Calibri" w:hAnsi="Calibri"/>
          <w:color w:val="000000"/>
          <w:lang w:val="en-GB"/>
        </w:rPr>
        <w:t>In order to measure size of the company n</w:t>
      </w:r>
      <w:r w:rsidR="006727EC" w:rsidRPr="005635D8">
        <w:rPr>
          <w:rFonts w:ascii="Calibri" w:hAnsi="Calibri"/>
          <w:color w:val="000000"/>
          <w:lang w:val="en-GB"/>
        </w:rPr>
        <w:t xml:space="preserve">ext the natural logarithm of these average values for each company </w:t>
      </w:r>
      <w:r w:rsidR="0098240C" w:rsidRPr="005635D8">
        <w:rPr>
          <w:rFonts w:ascii="Calibri" w:hAnsi="Calibri"/>
          <w:color w:val="000000"/>
          <w:lang w:val="en-GB"/>
        </w:rPr>
        <w:t xml:space="preserve">was </w:t>
      </w:r>
      <w:r w:rsidR="006727EC" w:rsidRPr="005635D8">
        <w:rPr>
          <w:rFonts w:ascii="Calibri" w:hAnsi="Calibri"/>
          <w:color w:val="000000"/>
          <w:lang w:val="en-GB"/>
        </w:rPr>
        <w:t xml:space="preserve">calculated. The independent variable industry is a nominal variable including several industry branches. The distributions of the 135 firm year observations over the different categories of this variable are presented in table 7. Most company year observations can be classified as industrial companies (42,2%). The category with the lowest amount of cases is the telecommunications (3,7%). </w:t>
      </w:r>
      <w:r w:rsidR="00D07ADE" w:rsidRPr="005635D8">
        <w:rPr>
          <w:rFonts w:ascii="Calibri" w:hAnsi="Calibri"/>
          <w:color w:val="000000"/>
          <w:lang w:val="en-GB"/>
        </w:rPr>
        <w:t>However, as nominal variables with several categories cannot as such be included in regression analyses and as the reliability increases when categories contain at least 10% of the cases it is decided to take together some of the categories into larger umbrella categories into which the more specific types of industry theoretically fit</w:t>
      </w:r>
      <w:r w:rsidR="009752E9" w:rsidRPr="005635D8">
        <w:rPr>
          <w:rFonts w:ascii="Calibri" w:hAnsi="Calibri"/>
          <w:color w:val="000000"/>
          <w:lang w:val="en-GB"/>
        </w:rPr>
        <w:t xml:space="preserve"> (Norusis 2008, 251)</w:t>
      </w:r>
      <w:r w:rsidR="00D07ADE" w:rsidRPr="005635D8">
        <w:rPr>
          <w:rFonts w:ascii="Calibri" w:hAnsi="Calibri"/>
          <w:color w:val="000000"/>
          <w:lang w:val="en-GB"/>
        </w:rPr>
        <w:t>. The categories oil and gas, basic materials and industrial are taken together into the industrial group. Consumer goods and Consumer</w:t>
      </w:r>
      <w:r w:rsidR="00D07ADE" w:rsidRPr="005635D8">
        <w:rPr>
          <w:color w:val="000000"/>
          <w:lang w:val="en-GB"/>
        </w:rPr>
        <w:t xml:space="preserve"> </w:t>
      </w:r>
      <w:r w:rsidR="00D07ADE" w:rsidRPr="005635D8">
        <w:rPr>
          <w:rFonts w:ascii="Calibri" w:hAnsi="Calibri"/>
          <w:color w:val="000000"/>
          <w:lang w:val="en-GB"/>
        </w:rPr>
        <w:t>services make up the consumer group  and telecommunications and technology are taken together as the Technology group. In order to include the industry groups in the regression equation three dummy variables are created. The first has code 1 for be</w:t>
      </w:r>
      <w:r w:rsidR="009859FD" w:rsidRPr="005635D8">
        <w:rPr>
          <w:rFonts w:ascii="Calibri" w:hAnsi="Calibri"/>
          <w:color w:val="000000"/>
          <w:lang w:val="en-GB"/>
        </w:rPr>
        <w:t xml:space="preserve">longing to the industrial group and code 0 for belonging to another group. The second has code 1 for belonging to the consumer group and code 0 for belonging to another group. The third dummy variable has code 1 for belonging to the technology group and code 0 for belonging to another group. </w:t>
      </w:r>
      <w:r w:rsidR="006727EC" w:rsidRPr="005635D8">
        <w:rPr>
          <w:rFonts w:ascii="Calibri" w:hAnsi="Calibri"/>
          <w:color w:val="000000"/>
          <w:lang w:val="en-GB"/>
        </w:rPr>
        <w:t xml:space="preserve">    </w:t>
      </w:r>
    </w:p>
    <w:p w:rsidR="00DC6642" w:rsidRPr="005635D8" w:rsidRDefault="00DC6642" w:rsidP="009859FD">
      <w:pPr>
        <w:pStyle w:val="NoSpacing"/>
        <w:rPr>
          <w:sz w:val="20"/>
          <w:szCs w:val="20"/>
          <w:lang w:val="en-GB"/>
        </w:rPr>
      </w:pPr>
    </w:p>
    <w:tbl>
      <w:tblPr>
        <w:tblStyle w:val="TableGrid"/>
        <w:tblW w:w="0" w:type="auto"/>
        <w:tblLook w:val="04A0"/>
      </w:tblPr>
      <w:tblGrid>
        <w:gridCol w:w="2188"/>
        <w:gridCol w:w="1884"/>
        <w:gridCol w:w="1794"/>
        <w:gridCol w:w="1875"/>
        <w:gridCol w:w="1545"/>
      </w:tblGrid>
      <w:tr w:rsidR="00D07ADE" w:rsidRPr="005635D8" w:rsidTr="007A20B0">
        <w:tc>
          <w:tcPr>
            <w:tcW w:w="2188" w:type="dxa"/>
          </w:tcPr>
          <w:p w:rsidR="00D07ADE" w:rsidRPr="005635D8" w:rsidRDefault="001F4CF3" w:rsidP="009859FD">
            <w:pPr>
              <w:pStyle w:val="NoSpacing"/>
              <w:rPr>
                <w:sz w:val="20"/>
                <w:szCs w:val="20"/>
                <w:lang w:val="en-GB"/>
              </w:rPr>
            </w:pPr>
            <w:r w:rsidRPr="005635D8">
              <w:rPr>
                <w:sz w:val="20"/>
                <w:szCs w:val="20"/>
                <w:lang w:val="en-GB"/>
              </w:rPr>
              <w:t>Type of industry</w:t>
            </w:r>
          </w:p>
        </w:tc>
        <w:tc>
          <w:tcPr>
            <w:tcW w:w="1884" w:type="dxa"/>
          </w:tcPr>
          <w:p w:rsidR="00D07ADE" w:rsidRPr="005635D8" w:rsidRDefault="00D07ADE" w:rsidP="009859FD">
            <w:pPr>
              <w:pStyle w:val="NoSpacing"/>
              <w:rPr>
                <w:sz w:val="20"/>
                <w:szCs w:val="20"/>
                <w:lang w:val="en-GB"/>
              </w:rPr>
            </w:pPr>
            <w:r w:rsidRPr="005635D8">
              <w:rPr>
                <w:sz w:val="20"/>
                <w:szCs w:val="20"/>
                <w:lang w:val="en-GB"/>
              </w:rPr>
              <w:t>Frequency</w:t>
            </w:r>
          </w:p>
        </w:tc>
        <w:tc>
          <w:tcPr>
            <w:tcW w:w="1794" w:type="dxa"/>
          </w:tcPr>
          <w:p w:rsidR="00D07ADE" w:rsidRPr="005635D8" w:rsidRDefault="00D07ADE" w:rsidP="009859FD">
            <w:pPr>
              <w:pStyle w:val="NoSpacing"/>
              <w:rPr>
                <w:sz w:val="20"/>
                <w:szCs w:val="20"/>
                <w:lang w:val="en-GB"/>
              </w:rPr>
            </w:pPr>
            <w:r w:rsidRPr="005635D8">
              <w:rPr>
                <w:sz w:val="20"/>
                <w:szCs w:val="20"/>
                <w:lang w:val="en-GB"/>
              </w:rPr>
              <w:t>Valid Percent</w:t>
            </w:r>
          </w:p>
        </w:tc>
        <w:tc>
          <w:tcPr>
            <w:tcW w:w="1875" w:type="dxa"/>
          </w:tcPr>
          <w:p w:rsidR="00D07ADE" w:rsidRPr="005635D8" w:rsidRDefault="009859FD" w:rsidP="009859FD">
            <w:pPr>
              <w:pStyle w:val="NoSpacing"/>
              <w:rPr>
                <w:sz w:val="20"/>
                <w:szCs w:val="20"/>
                <w:lang w:val="en-GB"/>
              </w:rPr>
            </w:pPr>
            <w:r w:rsidRPr="005635D8">
              <w:rPr>
                <w:sz w:val="20"/>
                <w:szCs w:val="20"/>
                <w:lang w:val="en-GB"/>
              </w:rPr>
              <w:t>Recode into:</w:t>
            </w:r>
          </w:p>
        </w:tc>
        <w:tc>
          <w:tcPr>
            <w:tcW w:w="1545" w:type="dxa"/>
          </w:tcPr>
          <w:p w:rsidR="00D07ADE" w:rsidRPr="005635D8" w:rsidRDefault="00D07ADE" w:rsidP="009859FD">
            <w:pPr>
              <w:pStyle w:val="NoSpacing"/>
              <w:rPr>
                <w:sz w:val="20"/>
                <w:szCs w:val="20"/>
                <w:lang w:val="en-GB"/>
              </w:rPr>
            </w:pPr>
          </w:p>
        </w:tc>
      </w:tr>
      <w:tr w:rsidR="00D07ADE" w:rsidRPr="005635D8" w:rsidTr="007A20B0">
        <w:tc>
          <w:tcPr>
            <w:tcW w:w="2188" w:type="dxa"/>
          </w:tcPr>
          <w:p w:rsidR="00D07ADE" w:rsidRPr="005635D8" w:rsidRDefault="001F4CF3" w:rsidP="003827CC">
            <w:pPr>
              <w:pStyle w:val="NoSpacing"/>
              <w:ind w:left="284"/>
              <w:rPr>
                <w:sz w:val="20"/>
                <w:szCs w:val="20"/>
                <w:lang w:val="en-GB"/>
              </w:rPr>
            </w:pPr>
            <w:r w:rsidRPr="005635D8">
              <w:rPr>
                <w:sz w:val="20"/>
                <w:szCs w:val="20"/>
                <w:lang w:val="en-GB"/>
              </w:rPr>
              <w:t>Oil and Gas</w:t>
            </w:r>
          </w:p>
        </w:tc>
        <w:tc>
          <w:tcPr>
            <w:tcW w:w="1884" w:type="dxa"/>
          </w:tcPr>
          <w:p w:rsidR="00D07ADE" w:rsidRPr="005635D8" w:rsidRDefault="00D07ADE" w:rsidP="009859FD">
            <w:pPr>
              <w:pStyle w:val="NoSpacing"/>
              <w:rPr>
                <w:sz w:val="20"/>
                <w:szCs w:val="20"/>
                <w:lang w:val="en-GB"/>
              </w:rPr>
            </w:pPr>
            <w:r w:rsidRPr="005635D8">
              <w:rPr>
                <w:sz w:val="20"/>
                <w:szCs w:val="20"/>
                <w:lang w:val="en-GB"/>
              </w:rPr>
              <w:t>6</w:t>
            </w:r>
          </w:p>
        </w:tc>
        <w:tc>
          <w:tcPr>
            <w:tcW w:w="1794" w:type="dxa"/>
          </w:tcPr>
          <w:p w:rsidR="00D07ADE" w:rsidRPr="005635D8" w:rsidRDefault="00D07ADE" w:rsidP="009859FD">
            <w:pPr>
              <w:pStyle w:val="NoSpacing"/>
              <w:rPr>
                <w:sz w:val="20"/>
                <w:szCs w:val="20"/>
                <w:lang w:val="en-GB"/>
              </w:rPr>
            </w:pPr>
            <w:r w:rsidRPr="005635D8">
              <w:rPr>
                <w:sz w:val="20"/>
                <w:szCs w:val="20"/>
                <w:lang w:val="en-GB"/>
              </w:rPr>
              <w:t>4,4</w:t>
            </w:r>
          </w:p>
        </w:tc>
        <w:tc>
          <w:tcPr>
            <w:tcW w:w="1875" w:type="dxa"/>
          </w:tcPr>
          <w:p w:rsidR="00D07ADE" w:rsidRPr="005635D8" w:rsidRDefault="00D07ADE" w:rsidP="009859FD">
            <w:pPr>
              <w:pStyle w:val="NoSpacing"/>
              <w:rPr>
                <w:sz w:val="20"/>
                <w:szCs w:val="20"/>
                <w:lang w:val="en-GB"/>
              </w:rPr>
            </w:pPr>
            <w:r w:rsidRPr="005635D8">
              <w:rPr>
                <w:sz w:val="20"/>
                <w:szCs w:val="20"/>
                <w:lang w:val="en-GB"/>
              </w:rPr>
              <w:t>Industrial Group</w:t>
            </w:r>
          </w:p>
        </w:tc>
        <w:tc>
          <w:tcPr>
            <w:tcW w:w="1545" w:type="dxa"/>
          </w:tcPr>
          <w:p w:rsidR="00D07ADE" w:rsidRPr="005635D8" w:rsidRDefault="00D07ADE" w:rsidP="009859FD">
            <w:pPr>
              <w:pStyle w:val="NoSpacing"/>
              <w:rPr>
                <w:sz w:val="20"/>
                <w:szCs w:val="20"/>
                <w:lang w:val="en-GB"/>
              </w:rPr>
            </w:pPr>
            <w:r w:rsidRPr="005635D8">
              <w:rPr>
                <w:sz w:val="20"/>
                <w:szCs w:val="20"/>
                <w:lang w:val="en-GB"/>
              </w:rPr>
              <w:t>54%</w:t>
            </w:r>
          </w:p>
        </w:tc>
      </w:tr>
      <w:tr w:rsidR="00D07ADE" w:rsidRPr="005635D8" w:rsidTr="007A20B0">
        <w:tc>
          <w:tcPr>
            <w:tcW w:w="2188" w:type="dxa"/>
          </w:tcPr>
          <w:p w:rsidR="00D07ADE" w:rsidRPr="005635D8" w:rsidRDefault="001F4CF3" w:rsidP="003827CC">
            <w:pPr>
              <w:spacing w:after="200" w:line="276" w:lineRule="auto"/>
              <w:ind w:left="284"/>
              <w:rPr>
                <w:sz w:val="20"/>
                <w:szCs w:val="20"/>
                <w:lang w:val="en-GB"/>
              </w:rPr>
            </w:pPr>
            <w:r w:rsidRPr="005635D8">
              <w:rPr>
                <w:sz w:val="20"/>
                <w:szCs w:val="20"/>
                <w:lang w:val="en-GB"/>
              </w:rPr>
              <w:t>Basic Materials</w:t>
            </w:r>
          </w:p>
        </w:tc>
        <w:tc>
          <w:tcPr>
            <w:tcW w:w="1884" w:type="dxa"/>
          </w:tcPr>
          <w:p w:rsidR="00D07ADE" w:rsidRPr="005635D8" w:rsidRDefault="00D07ADE" w:rsidP="00E86318">
            <w:pPr>
              <w:rPr>
                <w:sz w:val="20"/>
                <w:szCs w:val="20"/>
                <w:lang w:val="en-GB"/>
              </w:rPr>
            </w:pPr>
            <w:r w:rsidRPr="005635D8">
              <w:rPr>
                <w:sz w:val="20"/>
                <w:szCs w:val="20"/>
                <w:lang w:val="en-GB"/>
              </w:rPr>
              <w:t>10</w:t>
            </w:r>
          </w:p>
        </w:tc>
        <w:tc>
          <w:tcPr>
            <w:tcW w:w="1794" w:type="dxa"/>
          </w:tcPr>
          <w:p w:rsidR="00D07ADE" w:rsidRPr="005635D8" w:rsidRDefault="00D07ADE" w:rsidP="00E86318">
            <w:pPr>
              <w:rPr>
                <w:sz w:val="20"/>
                <w:szCs w:val="20"/>
                <w:lang w:val="en-GB"/>
              </w:rPr>
            </w:pPr>
            <w:r w:rsidRPr="005635D8">
              <w:rPr>
                <w:sz w:val="20"/>
                <w:szCs w:val="20"/>
                <w:lang w:val="en-GB"/>
              </w:rPr>
              <w:t>7,4</w:t>
            </w:r>
          </w:p>
        </w:tc>
        <w:tc>
          <w:tcPr>
            <w:tcW w:w="1875" w:type="dxa"/>
          </w:tcPr>
          <w:p w:rsidR="00D07ADE" w:rsidRPr="005635D8" w:rsidRDefault="00D07ADE" w:rsidP="00E86318">
            <w:pPr>
              <w:rPr>
                <w:sz w:val="20"/>
                <w:szCs w:val="20"/>
                <w:lang w:val="en-GB"/>
              </w:rPr>
            </w:pPr>
            <w:r w:rsidRPr="005635D8">
              <w:rPr>
                <w:sz w:val="20"/>
                <w:szCs w:val="20"/>
                <w:lang w:val="en-GB"/>
              </w:rPr>
              <w:t>Industrial Group</w:t>
            </w:r>
          </w:p>
        </w:tc>
        <w:tc>
          <w:tcPr>
            <w:tcW w:w="1545" w:type="dxa"/>
          </w:tcPr>
          <w:p w:rsidR="00D07ADE" w:rsidRPr="005635D8" w:rsidRDefault="00D07ADE" w:rsidP="00E86318">
            <w:pPr>
              <w:rPr>
                <w:sz w:val="20"/>
                <w:szCs w:val="20"/>
                <w:lang w:val="en-GB"/>
              </w:rPr>
            </w:pPr>
          </w:p>
        </w:tc>
      </w:tr>
      <w:tr w:rsidR="00D07ADE" w:rsidRPr="005635D8" w:rsidTr="007A20B0">
        <w:tc>
          <w:tcPr>
            <w:tcW w:w="2188" w:type="dxa"/>
          </w:tcPr>
          <w:p w:rsidR="00D07ADE" w:rsidRPr="005635D8" w:rsidRDefault="001F4CF3" w:rsidP="003827CC">
            <w:pPr>
              <w:spacing w:after="200" w:line="276" w:lineRule="auto"/>
              <w:ind w:left="284"/>
              <w:rPr>
                <w:sz w:val="20"/>
                <w:szCs w:val="20"/>
                <w:lang w:val="en-GB"/>
              </w:rPr>
            </w:pPr>
            <w:r w:rsidRPr="005635D8">
              <w:rPr>
                <w:sz w:val="20"/>
                <w:szCs w:val="20"/>
                <w:lang w:val="en-GB"/>
              </w:rPr>
              <w:t>Industrial</w:t>
            </w:r>
          </w:p>
        </w:tc>
        <w:tc>
          <w:tcPr>
            <w:tcW w:w="1884" w:type="dxa"/>
          </w:tcPr>
          <w:p w:rsidR="00D07ADE" w:rsidRPr="005635D8" w:rsidRDefault="00D07ADE" w:rsidP="00E86318">
            <w:pPr>
              <w:rPr>
                <w:sz w:val="20"/>
                <w:szCs w:val="20"/>
                <w:lang w:val="en-GB"/>
              </w:rPr>
            </w:pPr>
            <w:r w:rsidRPr="005635D8">
              <w:rPr>
                <w:sz w:val="20"/>
                <w:szCs w:val="20"/>
                <w:lang w:val="en-GB"/>
              </w:rPr>
              <w:t>57</w:t>
            </w:r>
          </w:p>
        </w:tc>
        <w:tc>
          <w:tcPr>
            <w:tcW w:w="1794" w:type="dxa"/>
          </w:tcPr>
          <w:p w:rsidR="00D07ADE" w:rsidRPr="005635D8" w:rsidRDefault="00D07ADE" w:rsidP="00E86318">
            <w:pPr>
              <w:rPr>
                <w:sz w:val="20"/>
                <w:szCs w:val="20"/>
                <w:lang w:val="en-GB"/>
              </w:rPr>
            </w:pPr>
            <w:r w:rsidRPr="005635D8">
              <w:rPr>
                <w:sz w:val="20"/>
                <w:szCs w:val="20"/>
                <w:lang w:val="en-GB"/>
              </w:rPr>
              <w:t>42,2</w:t>
            </w:r>
          </w:p>
        </w:tc>
        <w:tc>
          <w:tcPr>
            <w:tcW w:w="1875" w:type="dxa"/>
          </w:tcPr>
          <w:p w:rsidR="00D07ADE" w:rsidRPr="005635D8" w:rsidRDefault="00D07ADE" w:rsidP="00E86318">
            <w:pPr>
              <w:rPr>
                <w:sz w:val="20"/>
                <w:szCs w:val="20"/>
                <w:lang w:val="en-GB"/>
              </w:rPr>
            </w:pPr>
            <w:r w:rsidRPr="005635D8">
              <w:rPr>
                <w:sz w:val="20"/>
                <w:szCs w:val="20"/>
                <w:lang w:val="en-GB"/>
              </w:rPr>
              <w:t>Industrial Group</w:t>
            </w:r>
          </w:p>
        </w:tc>
        <w:tc>
          <w:tcPr>
            <w:tcW w:w="1545" w:type="dxa"/>
          </w:tcPr>
          <w:p w:rsidR="00D07ADE" w:rsidRPr="005635D8" w:rsidRDefault="00D07ADE" w:rsidP="00E86318">
            <w:pPr>
              <w:rPr>
                <w:sz w:val="20"/>
                <w:szCs w:val="20"/>
                <w:lang w:val="en-GB"/>
              </w:rPr>
            </w:pPr>
          </w:p>
        </w:tc>
      </w:tr>
      <w:tr w:rsidR="00D07ADE" w:rsidRPr="005635D8" w:rsidTr="007A20B0">
        <w:tc>
          <w:tcPr>
            <w:tcW w:w="2188" w:type="dxa"/>
          </w:tcPr>
          <w:p w:rsidR="00D07ADE" w:rsidRPr="005635D8" w:rsidRDefault="001F4CF3" w:rsidP="003827CC">
            <w:pPr>
              <w:spacing w:after="200" w:line="276" w:lineRule="auto"/>
              <w:ind w:left="284"/>
              <w:rPr>
                <w:sz w:val="20"/>
                <w:szCs w:val="20"/>
                <w:lang w:val="en-GB"/>
              </w:rPr>
            </w:pPr>
            <w:r w:rsidRPr="005635D8">
              <w:rPr>
                <w:sz w:val="20"/>
                <w:szCs w:val="20"/>
                <w:lang w:val="en-GB"/>
              </w:rPr>
              <w:t>Consumer Goods</w:t>
            </w:r>
          </w:p>
        </w:tc>
        <w:tc>
          <w:tcPr>
            <w:tcW w:w="1884" w:type="dxa"/>
          </w:tcPr>
          <w:p w:rsidR="00D07ADE" w:rsidRPr="005635D8" w:rsidRDefault="00D07ADE" w:rsidP="00E86318">
            <w:pPr>
              <w:rPr>
                <w:sz w:val="20"/>
                <w:szCs w:val="20"/>
                <w:lang w:val="en-GB"/>
              </w:rPr>
            </w:pPr>
            <w:r w:rsidRPr="005635D8">
              <w:rPr>
                <w:sz w:val="20"/>
                <w:szCs w:val="20"/>
                <w:lang w:val="en-GB"/>
              </w:rPr>
              <w:t>35</w:t>
            </w:r>
          </w:p>
        </w:tc>
        <w:tc>
          <w:tcPr>
            <w:tcW w:w="1794" w:type="dxa"/>
          </w:tcPr>
          <w:p w:rsidR="00D07ADE" w:rsidRPr="005635D8" w:rsidRDefault="00D07ADE" w:rsidP="00E86318">
            <w:pPr>
              <w:rPr>
                <w:sz w:val="20"/>
                <w:szCs w:val="20"/>
                <w:lang w:val="en-GB"/>
              </w:rPr>
            </w:pPr>
            <w:r w:rsidRPr="005635D8">
              <w:rPr>
                <w:sz w:val="20"/>
                <w:szCs w:val="20"/>
                <w:lang w:val="en-GB"/>
              </w:rPr>
              <w:t>25,9</w:t>
            </w:r>
          </w:p>
        </w:tc>
        <w:tc>
          <w:tcPr>
            <w:tcW w:w="1875" w:type="dxa"/>
          </w:tcPr>
          <w:p w:rsidR="00D07ADE" w:rsidRPr="005635D8" w:rsidRDefault="00D07ADE" w:rsidP="00E86318">
            <w:pPr>
              <w:rPr>
                <w:sz w:val="20"/>
                <w:szCs w:val="20"/>
                <w:lang w:val="en-GB"/>
              </w:rPr>
            </w:pPr>
            <w:r w:rsidRPr="005635D8">
              <w:rPr>
                <w:sz w:val="20"/>
                <w:szCs w:val="20"/>
                <w:lang w:val="en-GB"/>
              </w:rPr>
              <w:t>Consumer Group</w:t>
            </w:r>
          </w:p>
        </w:tc>
        <w:tc>
          <w:tcPr>
            <w:tcW w:w="1545" w:type="dxa"/>
          </w:tcPr>
          <w:p w:rsidR="00D07ADE" w:rsidRPr="005635D8" w:rsidRDefault="00D07ADE" w:rsidP="00E86318">
            <w:pPr>
              <w:rPr>
                <w:sz w:val="20"/>
                <w:szCs w:val="20"/>
                <w:lang w:val="en-GB"/>
              </w:rPr>
            </w:pPr>
            <w:r w:rsidRPr="005635D8">
              <w:rPr>
                <w:sz w:val="20"/>
                <w:szCs w:val="20"/>
                <w:lang w:val="en-GB"/>
              </w:rPr>
              <w:t>34.8%</w:t>
            </w:r>
          </w:p>
        </w:tc>
      </w:tr>
      <w:tr w:rsidR="00D07ADE" w:rsidRPr="005635D8" w:rsidTr="007A20B0">
        <w:tc>
          <w:tcPr>
            <w:tcW w:w="2188" w:type="dxa"/>
          </w:tcPr>
          <w:p w:rsidR="00D07ADE" w:rsidRPr="005635D8" w:rsidRDefault="001F4CF3" w:rsidP="003827CC">
            <w:pPr>
              <w:spacing w:after="200" w:line="276" w:lineRule="auto"/>
              <w:ind w:left="284"/>
              <w:rPr>
                <w:sz w:val="20"/>
                <w:szCs w:val="20"/>
                <w:lang w:val="en-GB"/>
              </w:rPr>
            </w:pPr>
            <w:r w:rsidRPr="005635D8">
              <w:rPr>
                <w:sz w:val="20"/>
                <w:szCs w:val="20"/>
                <w:lang w:val="en-GB"/>
              </w:rPr>
              <w:t>Consumer services</w:t>
            </w:r>
          </w:p>
        </w:tc>
        <w:tc>
          <w:tcPr>
            <w:tcW w:w="1884" w:type="dxa"/>
          </w:tcPr>
          <w:p w:rsidR="00D07ADE" w:rsidRPr="005635D8" w:rsidRDefault="00D07ADE" w:rsidP="00E86318">
            <w:pPr>
              <w:rPr>
                <w:sz w:val="20"/>
                <w:szCs w:val="20"/>
                <w:lang w:val="en-GB"/>
              </w:rPr>
            </w:pPr>
            <w:r w:rsidRPr="005635D8">
              <w:rPr>
                <w:sz w:val="20"/>
                <w:szCs w:val="20"/>
                <w:lang w:val="en-GB"/>
              </w:rPr>
              <w:t>12</w:t>
            </w:r>
          </w:p>
        </w:tc>
        <w:tc>
          <w:tcPr>
            <w:tcW w:w="1794" w:type="dxa"/>
          </w:tcPr>
          <w:p w:rsidR="00D07ADE" w:rsidRPr="005635D8" w:rsidRDefault="00D07ADE" w:rsidP="00E86318">
            <w:pPr>
              <w:rPr>
                <w:sz w:val="20"/>
                <w:szCs w:val="20"/>
                <w:lang w:val="en-GB"/>
              </w:rPr>
            </w:pPr>
            <w:r w:rsidRPr="005635D8">
              <w:rPr>
                <w:sz w:val="20"/>
                <w:szCs w:val="20"/>
                <w:lang w:val="en-GB"/>
              </w:rPr>
              <w:t>8,9</w:t>
            </w:r>
          </w:p>
        </w:tc>
        <w:tc>
          <w:tcPr>
            <w:tcW w:w="1875" w:type="dxa"/>
          </w:tcPr>
          <w:p w:rsidR="00D07ADE" w:rsidRPr="005635D8" w:rsidRDefault="00D07ADE" w:rsidP="00E86318">
            <w:pPr>
              <w:rPr>
                <w:sz w:val="20"/>
                <w:szCs w:val="20"/>
                <w:lang w:val="en-GB"/>
              </w:rPr>
            </w:pPr>
            <w:r w:rsidRPr="005635D8">
              <w:rPr>
                <w:sz w:val="20"/>
                <w:szCs w:val="20"/>
                <w:lang w:val="en-GB"/>
              </w:rPr>
              <w:t>Consumer Group</w:t>
            </w:r>
          </w:p>
        </w:tc>
        <w:tc>
          <w:tcPr>
            <w:tcW w:w="1545" w:type="dxa"/>
          </w:tcPr>
          <w:p w:rsidR="00D07ADE" w:rsidRPr="005635D8" w:rsidRDefault="00D07ADE" w:rsidP="00E86318">
            <w:pPr>
              <w:rPr>
                <w:sz w:val="20"/>
                <w:szCs w:val="20"/>
                <w:lang w:val="en-GB"/>
              </w:rPr>
            </w:pPr>
          </w:p>
        </w:tc>
      </w:tr>
      <w:tr w:rsidR="00D07ADE" w:rsidRPr="005635D8" w:rsidTr="007A20B0">
        <w:tc>
          <w:tcPr>
            <w:tcW w:w="2188" w:type="dxa"/>
          </w:tcPr>
          <w:p w:rsidR="00D07ADE" w:rsidRPr="005635D8" w:rsidRDefault="001F4CF3" w:rsidP="003827CC">
            <w:pPr>
              <w:spacing w:after="200" w:line="276" w:lineRule="auto"/>
              <w:ind w:left="284"/>
              <w:rPr>
                <w:sz w:val="20"/>
                <w:szCs w:val="20"/>
                <w:lang w:val="en-GB"/>
              </w:rPr>
            </w:pPr>
            <w:r w:rsidRPr="005635D8">
              <w:rPr>
                <w:sz w:val="20"/>
                <w:szCs w:val="20"/>
                <w:lang w:val="en-GB"/>
              </w:rPr>
              <w:t>Telecommunication</w:t>
            </w:r>
          </w:p>
        </w:tc>
        <w:tc>
          <w:tcPr>
            <w:tcW w:w="1884" w:type="dxa"/>
          </w:tcPr>
          <w:p w:rsidR="00D07ADE" w:rsidRPr="005635D8" w:rsidRDefault="00D07ADE" w:rsidP="00E86318">
            <w:pPr>
              <w:rPr>
                <w:sz w:val="20"/>
                <w:szCs w:val="20"/>
                <w:lang w:val="en-GB"/>
              </w:rPr>
            </w:pPr>
            <w:r w:rsidRPr="005635D8">
              <w:rPr>
                <w:sz w:val="20"/>
                <w:szCs w:val="20"/>
                <w:lang w:val="en-GB"/>
              </w:rPr>
              <w:t>5</w:t>
            </w:r>
          </w:p>
        </w:tc>
        <w:tc>
          <w:tcPr>
            <w:tcW w:w="1794" w:type="dxa"/>
          </w:tcPr>
          <w:p w:rsidR="00D07ADE" w:rsidRPr="005635D8" w:rsidRDefault="00D07ADE" w:rsidP="00E86318">
            <w:pPr>
              <w:rPr>
                <w:sz w:val="20"/>
                <w:szCs w:val="20"/>
                <w:lang w:val="en-GB"/>
              </w:rPr>
            </w:pPr>
            <w:r w:rsidRPr="005635D8">
              <w:rPr>
                <w:sz w:val="20"/>
                <w:szCs w:val="20"/>
                <w:lang w:val="en-GB"/>
              </w:rPr>
              <w:t>3,7</w:t>
            </w:r>
          </w:p>
        </w:tc>
        <w:tc>
          <w:tcPr>
            <w:tcW w:w="1875" w:type="dxa"/>
          </w:tcPr>
          <w:p w:rsidR="00D07ADE" w:rsidRPr="005635D8" w:rsidRDefault="00D07ADE" w:rsidP="00E86318">
            <w:pPr>
              <w:rPr>
                <w:sz w:val="20"/>
                <w:szCs w:val="20"/>
                <w:lang w:val="en-GB"/>
              </w:rPr>
            </w:pPr>
            <w:r w:rsidRPr="005635D8">
              <w:rPr>
                <w:sz w:val="20"/>
                <w:szCs w:val="20"/>
                <w:lang w:val="en-GB"/>
              </w:rPr>
              <w:t>Tech. Group</w:t>
            </w:r>
          </w:p>
        </w:tc>
        <w:tc>
          <w:tcPr>
            <w:tcW w:w="1545" w:type="dxa"/>
          </w:tcPr>
          <w:p w:rsidR="00D07ADE" w:rsidRPr="005635D8" w:rsidRDefault="00D07ADE" w:rsidP="00E86318">
            <w:pPr>
              <w:rPr>
                <w:sz w:val="20"/>
                <w:szCs w:val="20"/>
                <w:lang w:val="en-GB"/>
              </w:rPr>
            </w:pPr>
            <w:r w:rsidRPr="005635D8">
              <w:rPr>
                <w:sz w:val="20"/>
                <w:szCs w:val="20"/>
                <w:lang w:val="en-GB"/>
              </w:rPr>
              <w:t>11.1%</w:t>
            </w:r>
          </w:p>
        </w:tc>
      </w:tr>
      <w:tr w:rsidR="00D07ADE" w:rsidRPr="005635D8" w:rsidTr="007A20B0">
        <w:tc>
          <w:tcPr>
            <w:tcW w:w="2188" w:type="dxa"/>
          </w:tcPr>
          <w:p w:rsidR="00D07ADE" w:rsidRPr="005635D8" w:rsidRDefault="001F4CF3" w:rsidP="003827CC">
            <w:pPr>
              <w:spacing w:after="200" w:line="276" w:lineRule="auto"/>
              <w:ind w:left="284"/>
              <w:rPr>
                <w:sz w:val="20"/>
                <w:szCs w:val="20"/>
                <w:lang w:val="en-GB"/>
              </w:rPr>
            </w:pPr>
            <w:r w:rsidRPr="005635D8">
              <w:rPr>
                <w:sz w:val="20"/>
                <w:szCs w:val="20"/>
                <w:lang w:val="en-GB"/>
              </w:rPr>
              <w:t>Technology</w:t>
            </w:r>
          </w:p>
        </w:tc>
        <w:tc>
          <w:tcPr>
            <w:tcW w:w="1884" w:type="dxa"/>
          </w:tcPr>
          <w:p w:rsidR="00D07ADE" w:rsidRPr="005635D8" w:rsidRDefault="00D07ADE" w:rsidP="00E86318">
            <w:pPr>
              <w:rPr>
                <w:sz w:val="20"/>
                <w:szCs w:val="20"/>
                <w:lang w:val="en-GB"/>
              </w:rPr>
            </w:pPr>
            <w:r w:rsidRPr="005635D8">
              <w:rPr>
                <w:sz w:val="20"/>
                <w:szCs w:val="20"/>
                <w:lang w:val="en-GB"/>
              </w:rPr>
              <w:t>10</w:t>
            </w:r>
          </w:p>
        </w:tc>
        <w:tc>
          <w:tcPr>
            <w:tcW w:w="1794" w:type="dxa"/>
          </w:tcPr>
          <w:p w:rsidR="00D07ADE" w:rsidRPr="005635D8" w:rsidRDefault="00D07ADE" w:rsidP="00E86318">
            <w:pPr>
              <w:rPr>
                <w:sz w:val="20"/>
                <w:szCs w:val="20"/>
                <w:lang w:val="en-GB"/>
              </w:rPr>
            </w:pPr>
            <w:r w:rsidRPr="005635D8">
              <w:rPr>
                <w:sz w:val="20"/>
                <w:szCs w:val="20"/>
                <w:lang w:val="en-GB"/>
              </w:rPr>
              <w:t>7,4</w:t>
            </w:r>
          </w:p>
        </w:tc>
        <w:tc>
          <w:tcPr>
            <w:tcW w:w="1875" w:type="dxa"/>
          </w:tcPr>
          <w:p w:rsidR="00D07ADE" w:rsidRPr="005635D8" w:rsidRDefault="00D07ADE" w:rsidP="00E86318">
            <w:pPr>
              <w:rPr>
                <w:sz w:val="20"/>
                <w:szCs w:val="20"/>
                <w:lang w:val="en-GB"/>
              </w:rPr>
            </w:pPr>
            <w:r w:rsidRPr="005635D8">
              <w:rPr>
                <w:sz w:val="20"/>
                <w:szCs w:val="20"/>
                <w:lang w:val="en-GB"/>
              </w:rPr>
              <w:t>Tech. Group</w:t>
            </w:r>
          </w:p>
        </w:tc>
        <w:tc>
          <w:tcPr>
            <w:tcW w:w="1545" w:type="dxa"/>
          </w:tcPr>
          <w:p w:rsidR="00D07ADE" w:rsidRPr="005635D8" w:rsidRDefault="00D07ADE" w:rsidP="00E86318">
            <w:pPr>
              <w:rPr>
                <w:sz w:val="20"/>
                <w:szCs w:val="20"/>
                <w:lang w:val="en-GB"/>
              </w:rPr>
            </w:pPr>
          </w:p>
        </w:tc>
      </w:tr>
      <w:tr w:rsidR="00D07ADE" w:rsidRPr="005635D8" w:rsidTr="007A20B0">
        <w:tc>
          <w:tcPr>
            <w:tcW w:w="2188" w:type="dxa"/>
          </w:tcPr>
          <w:p w:rsidR="00D07ADE" w:rsidRPr="005635D8" w:rsidRDefault="001F4CF3" w:rsidP="003827CC">
            <w:pPr>
              <w:spacing w:after="200" w:line="276" w:lineRule="auto"/>
              <w:ind w:left="284"/>
              <w:rPr>
                <w:sz w:val="20"/>
                <w:szCs w:val="20"/>
                <w:lang w:val="en-GB"/>
              </w:rPr>
            </w:pPr>
            <w:r w:rsidRPr="005635D8">
              <w:rPr>
                <w:sz w:val="20"/>
                <w:szCs w:val="20"/>
                <w:lang w:val="en-GB"/>
              </w:rPr>
              <w:t>Total</w:t>
            </w:r>
          </w:p>
        </w:tc>
        <w:tc>
          <w:tcPr>
            <w:tcW w:w="1884" w:type="dxa"/>
          </w:tcPr>
          <w:p w:rsidR="00D07ADE" w:rsidRPr="005635D8" w:rsidRDefault="00D07ADE" w:rsidP="00E86318">
            <w:pPr>
              <w:rPr>
                <w:sz w:val="20"/>
                <w:szCs w:val="20"/>
                <w:lang w:val="en-GB"/>
              </w:rPr>
            </w:pPr>
            <w:r w:rsidRPr="005635D8">
              <w:rPr>
                <w:sz w:val="20"/>
                <w:szCs w:val="20"/>
                <w:lang w:val="en-GB"/>
              </w:rPr>
              <w:t>135</w:t>
            </w:r>
          </w:p>
        </w:tc>
        <w:tc>
          <w:tcPr>
            <w:tcW w:w="1794" w:type="dxa"/>
          </w:tcPr>
          <w:p w:rsidR="00D07ADE" w:rsidRPr="005635D8" w:rsidRDefault="00D07ADE" w:rsidP="00E86318">
            <w:pPr>
              <w:rPr>
                <w:sz w:val="20"/>
                <w:szCs w:val="20"/>
                <w:lang w:val="en-GB"/>
              </w:rPr>
            </w:pPr>
            <w:r w:rsidRPr="005635D8">
              <w:rPr>
                <w:sz w:val="20"/>
                <w:szCs w:val="20"/>
                <w:lang w:val="en-GB"/>
              </w:rPr>
              <w:t>100,0</w:t>
            </w:r>
          </w:p>
        </w:tc>
        <w:tc>
          <w:tcPr>
            <w:tcW w:w="1875" w:type="dxa"/>
          </w:tcPr>
          <w:p w:rsidR="00D07ADE" w:rsidRPr="005635D8" w:rsidRDefault="00D07ADE" w:rsidP="00E86318">
            <w:pPr>
              <w:rPr>
                <w:sz w:val="20"/>
                <w:szCs w:val="20"/>
                <w:lang w:val="en-GB"/>
              </w:rPr>
            </w:pPr>
          </w:p>
        </w:tc>
        <w:tc>
          <w:tcPr>
            <w:tcW w:w="1545" w:type="dxa"/>
          </w:tcPr>
          <w:p w:rsidR="00D07ADE" w:rsidRPr="005635D8" w:rsidRDefault="00D07ADE" w:rsidP="00E86318">
            <w:pPr>
              <w:rPr>
                <w:sz w:val="20"/>
                <w:szCs w:val="20"/>
                <w:lang w:val="en-GB"/>
              </w:rPr>
            </w:pPr>
          </w:p>
        </w:tc>
      </w:tr>
    </w:tbl>
    <w:p w:rsidR="00DC6642" w:rsidRPr="005635D8" w:rsidRDefault="00FF2309" w:rsidP="00DC6642">
      <w:pPr>
        <w:rPr>
          <w:rFonts w:ascii="Calibri" w:hAnsi="Calibri"/>
          <w:lang w:val="en-GB"/>
        </w:rPr>
      </w:pPr>
      <w:r w:rsidRPr="005635D8">
        <w:rPr>
          <w:b/>
          <w:sz w:val="20"/>
          <w:szCs w:val="20"/>
          <w:lang w:val="en-GB"/>
        </w:rPr>
        <w:t>Table 7</w:t>
      </w:r>
      <w:r>
        <w:rPr>
          <w:b/>
          <w:sz w:val="20"/>
          <w:szCs w:val="20"/>
          <w:lang w:val="en-GB"/>
        </w:rPr>
        <w:t xml:space="preserve">: </w:t>
      </w:r>
      <w:r w:rsidR="007A20B0" w:rsidRPr="00FF2309">
        <w:rPr>
          <w:sz w:val="20"/>
          <w:szCs w:val="20"/>
          <w:lang w:val="en-GB"/>
        </w:rPr>
        <w:t>Frequencies of type of industry</w:t>
      </w:r>
    </w:p>
    <w:p w:rsidR="00D575DE" w:rsidRPr="005635D8" w:rsidRDefault="009859FD" w:rsidP="001E4C5D">
      <w:pPr>
        <w:pStyle w:val="Heading3"/>
        <w:rPr>
          <w:lang w:val="en-GB"/>
        </w:rPr>
      </w:pPr>
      <w:bookmarkStart w:id="87" w:name="_Toc362267311"/>
      <w:r w:rsidRPr="005635D8">
        <w:rPr>
          <w:lang w:val="en-GB"/>
        </w:rPr>
        <w:t>9.2.3 The regression model</w:t>
      </w:r>
      <w:bookmarkEnd w:id="87"/>
    </w:p>
    <w:p w:rsidR="008460A5" w:rsidRPr="005635D8" w:rsidRDefault="00376993" w:rsidP="008460A5">
      <w:pPr>
        <w:jc w:val="both"/>
        <w:rPr>
          <w:rFonts w:ascii="Calibri" w:hAnsi="Calibri"/>
          <w:color w:val="000000"/>
          <w:lang w:val="en-GB"/>
        </w:rPr>
      </w:pPr>
      <w:r w:rsidRPr="005635D8">
        <w:rPr>
          <w:rFonts w:ascii="Calibri" w:hAnsi="Calibri"/>
          <w:color w:val="000000"/>
          <w:lang w:val="en-GB"/>
        </w:rPr>
        <w:t>The regression model was now constructed in SPSS. The assumption that the dependent variable is normally distributed is met as previously explained. The second assumption whether all observations are independent from one another is more difficult to assume. Observations within one company are clearly independent from the observations in another company. But it is less clear whether observations in one year within a specific company are totally independent from observations in a previous year. Sometimes the fact and figures of one year might influence the ones of the next year within the same compan</w:t>
      </w:r>
      <w:r w:rsidR="005C3E22" w:rsidRPr="005635D8">
        <w:rPr>
          <w:rFonts w:ascii="Calibri" w:hAnsi="Calibri"/>
          <w:color w:val="000000"/>
          <w:lang w:val="en-GB"/>
        </w:rPr>
        <w:t xml:space="preserve">y. It is </w:t>
      </w:r>
      <w:r w:rsidR="00F71079" w:rsidRPr="005635D8">
        <w:rPr>
          <w:rFonts w:ascii="Calibri" w:hAnsi="Calibri"/>
          <w:color w:val="000000"/>
          <w:lang w:val="en-GB"/>
        </w:rPr>
        <w:t>consequently</w:t>
      </w:r>
      <w:r w:rsidR="005C3E22" w:rsidRPr="005635D8">
        <w:rPr>
          <w:rFonts w:ascii="Calibri" w:hAnsi="Calibri"/>
          <w:color w:val="000000"/>
          <w:lang w:val="en-GB"/>
        </w:rPr>
        <w:t xml:space="preserve"> not totally clear whether this assumption is met. The assumption that there is a linear relation between the independent variables and the dependent variable is less relevant as most variables are dummy variables. As dummies only have to categories the relationship is always linear. </w:t>
      </w:r>
      <w:r w:rsidRPr="005635D8">
        <w:rPr>
          <w:rFonts w:ascii="Calibri" w:hAnsi="Calibri"/>
          <w:color w:val="000000"/>
          <w:lang w:val="en-GB"/>
        </w:rPr>
        <w:t xml:space="preserve"> </w:t>
      </w:r>
      <w:r w:rsidR="005C3E22" w:rsidRPr="005635D8">
        <w:rPr>
          <w:rFonts w:ascii="Calibri" w:hAnsi="Calibri"/>
          <w:color w:val="000000"/>
          <w:lang w:val="en-GB"/>
        </w:rPr>
        <w:t xml:space="preserve">Two different regression models were constructed. They are presented in table 8. In the first model the independent variables IFRS, Size and the dummy variable Industry-group were entered. However, as the ANOVA analysis for the overall significance of the model shows those three variables do together not significantly explain any variance in the dependent variable DACC / TAt-1. Consequently the overall explained variance is low </w:t>
      </w:r>
      <w:r w:rsidR="008460A5" w:rsidRPr="005635D8">
        <w:rPr>
          <w:rFonts w:ascii="Calibri" w:hAnsi="Calibri"/>
          <w:color w:val="000000"/>
          <w:lang w:val="en-GB"/>
        </w:rPr>
        <w:t>as the R</w:t>
      </w:r>
      <w:r w:rsidR="008460A5" w:rsidRPr="005635D8">
        <w:rPr>
          <w:rFonts w:ascii="Calibri" w:hAnsi="Calibri"/>
          <w:color w:val="000000"/>
          <w:vertAlign w:val="superscript"/>
          <w:lang w:val="en-GB"/>
        </w:rPr>
        <w:t>2</w:t>
      </w:r>
      <w:r w:rsidR="008460A5" w:rsidRPr="005635D8">
        <w:rPr>
          <w:rFonts w:ascii="Calibri" w:hAnsi="Calibri"/>
          <w:color w:val="000000"/>
          <w:lang w:val="en-GB"/>
        </w:rPr>
        <w:t xml:space="preserve"> value of ,040 </w:t>
      </w:r>
      <w:r w:rsidR="00F71CFA">
        <w:rPr>
          <w:rFonts w:ascii="Calibri" w:hAnsi="Calibri"/>
          <w:color w:val="000000"/>
          <w:lang w:val="en-GB"/>
        </w:rPr>
        <w:t xml:space="preserve">is </w:t>
      </w:r>
      <w:r w:rsidR="008460A5" w:rsidRPr="005635D8">
        <w:rPr>
          <w:rFonts w:ascii="Calibri" w:hAnsi="Calibri"/>
          <w:color w:val="000000"/>
          <w:lang w:val="en-GB"/>
        </w:rPr>
        <w:t>indicate. (The R</w:t>
      </w:r>
      <w:r w:rsidR="008460A5" w:rsidRPr="005635D8">
        <w:rPr>
          <w:rFonts w:ascii="Calibri" w:hAnsi="Calibri"/>
          <w:color w:val="000000"/>
          <w:vertAlign w:val="superscript"/>
          <w:lang w:val="en-GB"/>
        </w:rPr>
        <w:t xml:space="preserve">2 </w:t>
      </w:r>
      <w:r w:rsidR="008460A5" w:rsidRPr="005635D8">
        <w:rPr>
          <w:rFonts w:ascii="Calibri" w:hAnsi="Calibri"/>
          <w:color w:val="000000"/>
          <w:lang w:val="en-GB"/>
        </w:rPr>
        <w:t>explains how much of the variance in the dependent variable is together explained by all the independent variables in the model)</w:t>
      </w:r>
      <w:r w:rsidR="008460A5" w:rsidRPr="005635D8">
        <w:rPr>
          <w:rFonts w:ascii="Calibri" w:hAnsi="Calibri"/>
          <w:color w:val="000000"/>
          <w:vertAlign w:val="superscript"/>
          <w:lang w:val="en-GB"/>
        </w:rPr>
        <w:t xml:space="preserve"> </w:t>
      </w:r>
      <w:r w:rsidR="008460A5" w:rsidRPr="005635D8">
        <w:rPr>
          <w:rFonts w:ascii="Calibri" w:hAnsi="Calibri"/>
          <w:color w:val="000000"/>
          <w:lang w:val="en-GB"/>
        </w:rPr>
        <w:t xml:space="preserve"> This implies that the used independent variables </w:t>
      </w:r>
      <w:r w:rsidR="00B32D82" w:rsidRPr="005635D8">
        <w:rPr>
          <w:rFonts w:ascii="Calibri" w:hAnsi="Calibri"/>
          <w:color w:val="000000"/>
          <w:lang w:val="en-GB"/>
        </w:rPr>
        <w:t>together are</w:t>
      </w:r>
      <w:r w:rsidR="008460A5" w:rsidRPr="005635D8">
        <w:rPr>
          <w:rFonts w:ascii="Calibri" w:hAnsi="Calibri"/>
          <w:color w:val="000000"/>
          <w:lang w:val="en-GB"/>
        </w:rPr>
        <w:t xml:space="preserve"> weak predictors of discretionary accruals scaled by lagged total assets. </w:t>
      </w:r>
      <w:r w:rsidR="008460A5" w:rsidRPr="005635D8">
        <w:rPr>
          <w:lang w:val="en-GB"/>
        </w:rPr>
        <w:t>O</w:t>
      </w:r>
      <w:r w:rsidR="008460A5" w:rsidRPr="005635D8">
        <w:rPr>
          <w:rFonts w:ascii="Calibri" w:hAnsi="Calibri"/>
          <w:color w:val="000000"/>
          <w:lang w:val="en-GB"/>
        </w:rPr>
        <w:t>nly size, based on the individual independent variables, has a significant negative impact on the absolute value of the discretionary accruals scaled by lagged total assets.</w:t>
      </w:r>
    </w:p>
    <w:p w:rsidR="008460A5" w:rsidRPr="005635D8" w:rsidRDefault="008460A5" w:rsidP="008460A5">
      <w:pPr>
        <w:jc w:val="both"/>
        <w:rPr>
          <w:rFonts w:ascii="Calibri" w:hAnsi="Calibri"/>
          <w:color w:val="000000"/>
          <w:lang w:val="en-GB"/>
        </w:rPr>
      </w:pPr>
    </w:p>
    <w:p w:rsidR="007A20B0" w:rsidRPr="005635D8" w:rsidRDefault="007A20B0" w:rsidP="008460A5">
      <w:pPr>
        <w:autoSpaceDE w:val="0"/>
        <w:autoSpaceDN w:val="0"/>
        <w:adjustRightInd w:val="0"/>
        <w:spacing w:after="0" w:line="400" w:lineRule="atLeast"/>
        <w:rPr>
          <w:rFonts w:ascii="Times New Roman" w:hAnsi="Times New Roman" w:cs="Times New Roman"/>
          <w:b/>
          <w:sz w:val="24"/>
          <w:szCs w:val="24"/>
          <w:lang w:val="en-GB"/>
        </w:rPr>
      </w:pPr>
    </w:p>
    <w:p w:rsidR="007A20B0" w:rsidRPr="005635D8" w:rsidRDefault="007A20B0" w:rsidP="008460A5">
      <w:pPr>
        <w:autoSpaceDE w:val="0"/>
        <w:autoSpaceDN w:val="0"/>
        <w:adjustRightInd w:val="0"/>
        <w:spacing w:after="0" w:line="400" w:lineRule="atLeast"/>
        <w:rPr>
          <w:rFonts w:ascii="Times New Roman" w:hAnsi="Times New Roman" w:cs="Times New Roman"/>
          <w:b/>
          <w:sz w:val="24"/>
          <w:szCs w:val="24"/>
          <w:lang w:val="en-GB"/>
        </w:rPr>
      </w:pPr>
    </w:p>
    <w:p w:rsidR="00376993" w:rsidRPr="005635D8" w:rsidRDefault="00376993" w:rsidP="008460A5">
      <w:pPr>
        <w:autoSpaceDE w:val="0"/>
        <w:autoSpaceDN w:val="0"/>
        <w:adjustRightInd w:val="0"/>
        <w:spacing w:after="0" w:line="400" w:lineRule="atLeast"/>
        <w:rPr>
          <w:rFonts w:ascii="Calibri" w:hAnsi="Calibri"/>
          <w:color w:val="000000"/>
          <w:sz w:val="20"/>
          <w:szCs w:val="20"/>
          <w:lang w:val="en-GB"/>
        </w:rPr>
      </w:pPr>
    </w:p>
    <w:tbl>
      <w:tblPr>
        <w:tblStyle w:val="TableGrid"/>
        <w:tblW w:w="0" w:type="auto"/>
        <w:tblLook w:val="04A0"/>
      </w:tblPr>
      <w:tblGrid>
        <w:gridCol w:w="1748"/>
        <w:gridCol w:w="1082"/>
        <w:gridCol w:w="760"/>
        <w:gridCol w:w="759"/>
        <w:gridCol w:w="1011"/>
        <w:gridCol w:w="1175"/>
        <w:gridCol w:w="870"/>
        <w:gridCol w:w="870"/>
        <w:gridCol w:w="1011"/>
      </w:tblGrid>
      <w:tr w:rsidR="008460A5" w:rsidRPr="005635D8" w:rsidTr="00FF2309">
        <w:tc>
          <w:tcPr>
            <w:tcW w:w="1748" w:type="dxa"/>
          </w:tcPr>
          <w:p w:rsidR="008460A5" w:rsidRPr="005635D8" w:rsidRDefault="008460A5" w:rsidP="008460A5">
            <w:pPr>
              <w:autoSpaceDE w:val="0"/>
              <w:autoSpaceDN w:val="0"/>
              <w:adjustRightInd w:val="0"/>
              <w:spacing w:line="400" w:lineRule="atLeast"/>
              <w:rPr>
                <w:rFonts w:cs="Times New Roman"/>
                <w:sz w:val="20"/>
                <w:szCs w:val="20"/>
                <w:lang w:val="en-GB"/>
              </w:rPr>
            </w:pPr>
          </w:p>
        </w:tc>
        <w:tc>
          <w:tcPr>
            <w:tcW w:w="3612" w:type="dxa"/>
            <w:gridSpan w:val="4"/>
          </w:tcPr>
          <w:p w:rsidR="008460A5" w:rsidRPr="005635D8" w:rsidRDefault="008460A5" w:rsidP="008460A5">
            <w:pPr>
              <w:autoSpaceDE w:val="0"/>
              <w:autoSpaceDN w:val="0"/>
              <w:adjustRightInd w:val="0"/>
              <w:spacing w:line="400" w:lineRule="atLeast"/>
              <w:jc w:val="center"/>
              <w:rPr>
                <w:rFonts w:cs="Times New Roman"/>
                <w:b/>
                <w:lang w:val="en-GB"/>
              </w:rPr>
            </w:pPr>
            <w:r w:rsidRPr="005635D8">
              <w:rPr>
                <w:rFonts w:cs="Times New Roman"/>
                <w:b/>
                <w:lang w:val="en-GB"/>
              </w:rPr>
              <w:t>Model I</w:t>
            </w:r>
          </w:p>
        </w:tc>
        <w:tc>
          <w:tcPr>
            <w:tcW w:w="3926" w:type="dxa"/>
            <w:gridSpan w:val="4"/>
          </w:tcPr>
          <w:p w:rsidR="008460A5" w:rsidRPr="005635D8" w:rsidRDefault="008460A5" w:rsidP="008460A5">
            <w:pPr>
              <w:autoSpaceDE w:val="0"/>
              <w:autoSpaceDN w:val="0"/>
              <w:adjustRightInd w:val="0"/>
              <w:spacing w:line="400" w:lineRule="atLeast"/>
              <w:jc w:val="center"/>
              <w:rPr>
                <w:rFonts w:cs="Times New Roman"/>
                <w:b/>
                <w:lang w:val="en-GB"/>
              </w:rPr>
            </w:pPr>
            <w:r w:rsidRPr="005635D8">
              <w:rPr>
                <w:rFonts w:cs="Times New Roman"/>
                <w:b/>
                <w:lang w:val="en-GB"/>
              </w:rPr>
              <w:t>Model II</w:t>
            </w:r>
          </w:p>
        </w:tc>
      </w:tr>
      <w:tr w:rsidR="008460A5" w:rsidRPr="005635D8" w:rsidTr="00FF2309">
        <w:tc>
          <w:tcPr>
            <w:tcW w:w="1748" w:type="dxa"/>
          </w:tcPr>
          <w:p w:rsidR="008460A5" w:rsidRPr="005635D8" w:rsidRDefault="008460A5" w:rsidP="008460A5">
            <w:pPr>
              <w:autoSpaceDE w:val="0"/>
              <w:autoSpaceDN w:val="0"/>
              <w:adjustRightInd w:val="0"/>
              <w:spacing w:line="400" w:lineRule="atLeast"/>
              <w:rPr>
                <w:rFonts w:cs="Times New Roman"/>
                <w:sz w:val="20"/>
                <w:szCs w:val="20"/>
                <w:lang w:val="en-GB"/>
              </w:rPr>
            </w:pPr>
          </w:p>
        </w:tc>
        <w:tc>
          <w:tcPr>
            <w:tcW w:w="1082" w:type="dxa"/>
          </w:tcPr>
          <w:p w:rsidR="008460A5" w:rsidRPr="005635D8" w:rsidRDefault="008460A5" w:rsidP="008460A5">
            <w:pPr>
              <w:autoSpaceDE w:val="0"/>
              <w:autoSpaceDN w:val="0"/>
              <w:adjustRightInd w:val="0"/>
              <w:spacing w:line="400" w:lineRule="atLeast"/>
              <w:rPr>
                <w:rFonts w:cs="Times New Roman"/>
                <w:i/>
                <w:iCs/>
                <w:sz w:val="20"/>
                <w:szCs w:val="20"/>
                <w:lang w:val="en-GB"/>
              </w:rPr>
            </w:pPr>
            <w:r w:rsidRPr="005635D8">
              <w:rPr>
                <w:rFonts w:cs="Times New Roman"/>
                <w:i/>
                <w:iCs/>
                <w:sz w:val="20"/>
                <w:szCs w:val="20"/>
                <w:lang w:val="en-GB"/>
              </w:rPr>
              <w:t>Coefficient</w:t>
            </w:r>
          </w:p>
        </w:tc>
        <w:tc>
          <w:tcPr>
            <w:tcW w:w="760" w:type="dxa"/>
          </w:tcPr>
          <w:p w:rsidR="008460A5" w:rsidRPr="005635D8" w:rsidRDefault="008460A5" w:rsidP="008460A5">
            <w:pPr>
              <w:autoSpaceDE w:val="0"/>
              <w:autoSpaceDN w:val="0"/>
              <w:adjustRightInd w:val="0"/>
              <w:spacing w:line="400" w:lineRule="atLeast"/>
              <w:rPr>
                <w:rFonts w:cs="Times New Roman"/>
                <w:i/>
                <w:iCs/>
                <w:sz w:val="20"/>
                <w:szCs w:val="20"/>
                <w:lang w:val="en-GB"/>
              </w:rPr>
            </w:pPr>
            <w:r w:rsidRPr="005635D8">
              <w:rPr>
                <w:rFonts w:cs="Times New Roman"/>
                <w:i/>
                <w:iCs/>
                <w:sz w:val="20"/>
                <w:szCs w:val="20"/>
                <w:lang w:val="en-GB"/>
              </w:rPr>
              <w:t>Beta</w:t>
            </w:r>
          </w:p>
        </w:tc>
        <w:tc>
          <w:tcPr>
            <w:tcW w:w="759" w:type="dxa"/>
          </w:tcPr>
          <w:p w:rsidR="008460A5" w:rsidRPr="005635D8" w:rsidRDefault="008460A5" w:rsidP="008460A5">
            <w:pPr>
              <w:autoSpaceDE w:val="0"/>
              <w:autoSpaceDN w:val="0"/>
              <w:adjustRightInd w:val="0"/>
              <w:spacing w:line="400" w:lineRule="atLeast"/>
              <w:rPr>
                <w:rFonts w:cs="Times New Roman"/>
                <w:i/>
                <w:iCs/>
                <w:sz w:val="20"/>
                <w:szCs w:val="20"/>
                <w:lang w:val="en-GB"/>
              </w:rPr>
            </w:pPr>
            <w:r w:rsidRPr="005635D8">
              <w:rPr>
                <w:rFonts w:cs="Times New Roman"/>
                <w:i/>
                <w:iCs/>
                <w:sz w:val="20"/>
                <w:szCs w:val="20"/>
                <w:lang w:val="en-GB"/>
              </w:rPr>
              <w:t>Sig</w:t>
            </w:r>
          </w:p>
        </w:tc>
        <w:tc>
          <w:tcPr>
            <w:tcW w:w="1011" w:type="dxa"/>
          </w:tcPr>
          <w:p w:rsidR="008460A5" w:rsidRPr="005635D8" w:rsidRDefault="008460A5" w:rsidP="008460A5">
            <w:pPr>
              <w:autoSpaceDE w:val="0"/>
              <w:autoSpaceDN w:val="0"/>
              <w:adjustRightInd w:val="0"/>
              <w:spacing w:line="400" w:lineRule="atLeast"/>
              <w:rPr>
                <w:rFonts w:cs="Times New Roman"/>
                <w:i/>
                <w:iCs/>
                <w:sz w:val="20"/>
                <w:szCs w:val="20"/>
                <w:lang w:val="en-GB"/>
              </w:rPr>
            </w:pPr>
            <w:r w:rsidRPr="005635D8">
              <w:rPr>
                <w:rFonts w:cs="Times New Roman"/>
                <w:i/>
                <w:iCs/>
                <w:sz w:val="20"/>
                <w:szCs w:val="20"/>
                <w:lang w:val="en-GB"/>
              </w:rPr>
              <w:t>Tolerance</w:t>
            </w:r>
          </w:p>
        </w:tc>
        <w:tc>
          <w:tcPr>
            <w:tcW w:w="1175" w:type="dxa"/>
          </w:tcPr>
          <w:p w:rsidR="008460A5" w:rsidRPr="005635D8" w:rsidRDefault="008460A5" w:rsidP="008460A5">
            <w:pPr>
              <w:autoSpaceDE w:val="0"/>
              <w:autoSpaceDN w:val="0"/>
              <w:adjustRightInd w:val="0"/>
              <w:spacing w:line="400" w:lineRule="atLeast"/>
              <w:rPr>
                <w:rFonts w:cs="Times New Roman"/>
                <w:i/>
                <w:iCs/>
                <w:sz w:val="20"/>
                <w:szCs w:val="20"/>
                <w:lang w:val="en-GB"/>
              </w:rPr>
            </w:pPr>
            <w:r w:rsidRPr="005635D8">
              <w:rPr>
                <w:rFonts w:cs="Times New Roman"/>
                <w:i/>
                <w:iCs/>
                <w:sz w:val="20"/>
                <w:szCs w:val="20"/>
                <w:lang w:val="en-GB"/>
              </w:rPr>
              <w:t>Coefficient</w:t>
            </w:r>
          </w:p>
        </w:tc>
        <w:tc>
          <w:tcPr>
            <w:tcW w:w="870" w:type="dxa"/>
          </w:tcPr>
          <w:p w:rsidR="008460A5" w:rsidRPr="005635D8" w:rsidRDefault="008460A5" w:rsidP="008460A5">
            <w:pPr>
              <w:autoSpaceDE w:val="0"/>
              <w:autoSpaceDN w:val="0"/>
              <w:adjustRightInd w:val="0"/>
              <w:spacing w:line="400" w:lineRule="atLeast"/>
              <w:rPr>
                <w:rFonts w:cs="Times New Roman"/>
                <w:i/>
                <w:iCs/>
                <w:sz w:val="20"/>
                <w:szCs w:val="20"/>
                <w:lang w:val="en-GB"/>
              </w:rPr>
            </w:pPr>
            <w:r w:rsidRPr="005635D8">
              <w:rPr>
                <w:rFonts w:cs="Times New Roman"/>
                <w:i/>
                <w:iCs/>
                <w:sz w:val="20"/>
                <w:szCs w:val="20"/>
                <w:lang w:val="en-GB"/>
              </w:rPr>
              <w:t>Beta</w:t>
            </w:r>
          </w:p>
        </w:tc>
        <w:tc>
          <w:tcPr>
            <w:tcW w:w="870" w:type="dxa"/>
          </w:tcPr>
          <w:p w:rsidR="008460A5" w:rsidRPr="005635D8" w:rsidRDefault="008460A5" w:rsidP="008460A5">
            <w:pPr>
              <w:autoSpaceDE w:val="0"/>
              <w:autoSpaceDN w:val="0"/>
              <w:adjustRightInd w:val="0"/>
              <w:spacing w:line="400" w:lineRule="atLeast"/>
              <w:rPr>
                <w:rFonts w:cs="Times New Roman"/>
                <w:i/>
                <w:iCs/>
                <w:sz w:val="20"/>
                <w:szCs w:val="20"/>
                <w:lang w:val="en-GB"/>
              </w:rPr>
            </w:pPr>
            <w:r w:rsidRPr="005635D8">
              <w:rPr>
                <w:rFonts w:cs="Times New Roman"/>
                <w:i/>
                <w:iCs/>
                <w:sz w:val="20"/>
                <w:szCs w:val="20"/>
                <w:lang w:val="en-GB"/>
              </w:rPr>
              <w:t>Sig</w:t>
            </w:r>
          </w:p>
        </w:tc>
        <w:tc>
          <w:tcPr>
            <w:tcW w:w="1011" w:type="dxa"/>
          </w:tcPr>
          <w:p w:rsidR="008460A5" w:rsidRPr="005635D8" w:rsidRDefault="008460A5" w:rsidP="008460A5">
            <w:pPr>
              <w:autoSpaceDE w:val="0"/>
              <w:autoSpaceDN w:val="0"/>
              <w:adjustRightInd w:val="0"/>
              <w:spacing w:line="400" w:lineRule="atLeast"/>
              <w:rPr>
                <w:rFonts w:cs="Times New Roman"/>
                <w:i/>
                <w:iCs/>
                <w:sz w:val="20"/>
                <w:szCs w:val="20"/>
                <w:lang w:val="en-GB"/>
              </w:rPr>
            </w:pPr>
            <w:r w:rsidRPr="005635D8">
              <w:rPr>
                <w:rFonts w:cs="Times New Roman"/>
                <w:i/>
                <w:iCs/>
                <w:sz w:val="20"/>
                <w:szCs w:val="20"/>
                <w:lang w:val="en-GB"/>
              </w:rPr>
              <w:t>Tolerance</w:t>
            </w:r>
          </w:p>
        </w:tc>
      </w:tr>
      <w:tr w:rsidR="008460A5" w:rsidRPr="005635D8" w:rsidTr="00FF2309">
        <w:tc>
          <w:tcPr>
            <w:tcW w:w="1748" w:type="dxa"/>
          </w:tcPr>
          <w:p w:rsidR="008460A5" w:rsidRPr="005635D8" w:rsidRDefault="008460A5" w:rsidP="008460A5">
            <w:pPr>
              <w:autoSpaceDE w:val="0"/>
              <w:autoSpaceDN w:val="0"/>
              <w:adjustRightInd w:val="0"/>
              <w:spacing w:line="400" w:lineRule="atLeast"/>
              <w:rPr>
                <w:rFonts w:cs="Times New Roman"/>
                <w:sz w:val="20"/>
                <w:szCs w:val="20"/>
                <w:lang w:val="en-GB"/>
              </w:rPr>
            </w:pPr>
            <w:r w:rsidRPr="005635D8">
              <w:rPr>
                <w:rFonts w:cs="Times New Roman"/>
                <w:sz w:val="20"/>
                <w:szCs w:val="20"/>
                <w:lang w:val="en-GB"/>
              </w:rPr>
              <w:t>Constant</w:t>
            </w:r>
          </w:p>
        </w:tc>
        <w:tc>
          <w:tcPr>
            <w:tcW w:w="1082" w:type="dxa"/>
          </w:tcPr>
          <w:p w:rsidR="008460A5" w:rsidRPr="005635D8" w:rsidRDefault="008460A5" w:rsidP="008460A5">
            <w:pPr>
              <w:autoSpaceDE w:val="0"/>
              <w:autoSpaceDN w:val="0"/>
              <w:adjustRightInd w:val="0"/>
              <w:spacing w:line="320" w:lineRule="atLeast"/>
              <w:ind w:left="60" w:right="60"/>
              <w:jc w:val="center"/>
              <w:rPr>
                <w:rFonts w:cs="Arial"/>
                <w:color w:val="000000"/>
                <w:sz w:val="20"/>
                <w:szCs w:val="20"/>
                <w:lang w:val="en-GB"/>
              </w:rPr>
            </w:pPr>
            <w:r w:rsidRPr="005635D8">
              <w:rPr>
                <w:rFonts w:cs="Arial"/>
                <w:color w:val="000000"/>
                <w:sz w:val="20"/>
                <w:szCs w:val="20"/>
                <w:lang w:val="en-GB"/>
              </w:rPr>
              <w:t>,112</w:t>
            </w:r>
          </w:p>
        </w:tc>
        <w:tc>
          <w:tcPr>
            <w:tcW w:w="760" w:type="dxa"/>
            <w:vAlign w:val="center"/>
          </w:tcPr>
          <w:p w:rsidR="008460A5" w:rsidRPr="005635D8" w:rsidRDefault="008460A5" w:rsidP="008460A5">
            <w:pPr>
              <w:autoSpaceDE w:val="0"/>
              <w:autoSpaceDN w:val="0"/>
              <w:adjustRightInd w:val="0"/>
              <w:jc w:val="center"/>
              <w:rPr>
                <w:rFonts w:cs="Times New Roman"/>
                <w:sz w:val="20"/>
                <w:szCs w:val="20"/>
                <w:lang w:val="en-GB"/>
              </w:rPr>
            </w:pPr>
          </w:p>
        </w:tc>
        <w:tc>
          <w:tcPr>
            <w:tcW w:w="759" w:type="dxa"/>
          </w:tcPr>
          <w:p w:rsidR="008460A5" w:rsidRPr="005635D8" w:rsidRDefault="008460A5" w:rsidP="008460A5">
            <w:pPr>
              <w:autoSpaceDE w:val="0"/>
              <w:autoSpaceDN w:val="0"/>
              <w:adjustRightInd w:val="0"/>
              <w:spacing w:line="320" w:lineRule="atLeast"/>
              <w:ind w:left="60" w:right="60"/>
              <w:jc w:val="center"/>
              <w:rPr>
                <w:rFonts w:cs="Arial"/>
                <w:color w:val="000000"/>
                <w:sz w:val="20"/>
                <w:szCs w:val="20"/>
                <w:lang w:val="en-GB"/>
              </w:rPr>
            </w:pPr>
            <w:r w:rsidRPr="005635D8">
              <w:rPr>
                <w:rFonts w:cs="Arial"/>
                <w:color w:val="000000"/>
                <w:sz w:val="20"/>
                <w:szCs w:val="20"/>
                <w:lang w:val="en-GB"/>
              </w:rPr>
              <w:t>,000</w:t>
            </w:r>
          </w:p>
        </w:tc>
        <w:tc>
          <w:tcPr>
            <w:tcW w:w="1011" w:type="dxa"/>
            <w:vAlign w:val="center"/>
          </w:tcPr>
          <w:p w:rsidR="008460A5" w:rsidRPr="005635D8" w:rsidRDefault="008460A5" w:rsidP="008460A5">
            <w:pPr>
              <w:autoSpaceDE w:val="0"/>
              <w:autoSpaceDN w:val="0"/>
              <w:adjustRightInd w:val="0"/>
              <w:jc w:val="center"/>
              <w:rPr>
                <w:rFonts w:cs="Times New Roman"/>
                <w:sz w:val="20"/>
                <w:szCs w:val="20"/>
                <w:lang w:val="en-GB"/>
              </w:rPr>
            </w:pPr>
          </w:p>
        </w:tc>
        <w:tc>
          <w:tcPr>
            <w:tcW w:w="1175" w:type="dxa"/>
          </w:tcPr>
          <w:p w:rsidR="008460A5" w:rsidRPr="005635D8" w:rsidRDefault="008460A5" w:rsidP="008460A5">
            <w:pPr>
              <w:autoSpaceDE w:val="0"/>
              <w:autoSpaceDN w:val="0"/>
              <w:adjustRightInd w:val="0"/>
              <w:spacing w:line="320" w:lineRule="atLeast"/>
              <w:ind w:left="60" w:right="60"/>
              <w:jc w:val="center"/>
              <w:rPr>
                <w:rFonts w:cs="Arial"/>
                <w:color w:val="000000"/>
                <w:sz w:val="20"/>
                <w:szCs w:val="20"/>
                <w:lang w:val="en-GB"/>
              </w:rPr>
            </w:pPr>
            <w:r w:rsidRPr="005635D8">
              <w:rPr>
                <w:rFonts w:cs="Arial"/>
                <w:color w:val="000000"/>
                <w:sz w:val="20"/>
                <w:szCs w:val="20"/>
                <w:lang w:val="en-GB"/>
              </w:rPr>
              <w:t>,108</w:t>
            </w:r>
          </w:p>
        </w:tc>
        <w:tc>
          <w:tcPr>
            <w:tcW w:w="870" w:type="dxa"/>
          </w:tcPr>
          <w:p w:rsidR="008460A5" w:rsidRPr="005635D8" w:rsidRDefault="008460A5" w:rsidP="008460A5">
            <w:pPr>
              <w:autoSpaceDE w:val="0"/>
              <w:autoSpaceDN w:val="0"/>
              <w:adjustRightInd w:val="0"/>
              <w:spacing w:line="400" w:lineRule="atLeast"/>
              <w:jc w:val="center"/>
              <w:rPr>
                <w:rFonts w:cs="Times New Roman"/>
                <w:sz w:val="20"/>
                <w:szCs w:val="20"/>
                <w:lang w:val="en-GB"/>
              </w:rPr>
            </w:pPr>
          </w:p>
        </w:tc>
        <w:tc>
          <w:tcPr>
            <w:tcW w:w="870" w:type="dxa"/>
          </w:tcPr>
          <w:p w:rsidR="008460A5" w:rsidRPr="005635D8" w:rsidRDefault="008460A5" w:rsidP="008460A5">
            <w:pPr>
              <w:autoSpaceDE w:val="0"/>
              <w:autoSpaceDN w:val="0"/>
              <w:adjustRightInd w:val="0"/>
              <w:spacing w:line="320" w:lineRule="atLeast"/>
              <w:ind w:left="60" w:right="60"/>
              <w:jc w:val="center"/>
              <w:rPr>
                <w:rFonts w:cs="Arial"/>
                <w:color w:val="000000"/>
                <w:sz w:val="20"/>
                <w:szCs w:val="20"/>
                <w:lang w:val="en-GB"/>
              </w:rPr>
            </w:pPr>
            <w:r w:rsidRPr="005635D8">
              <w:rPr>
                <w:rFonts w:cs="Arial"/>
                <w:color w:val="000000"/>
                <w:sz w:val="20"/>
                <w:szCs w:val="20"/>
                <w:lang w:val="en-GB"/>
              </w:rPr>
              <w:t>,000</w:t>
            </w:r>
          </w:p>
        </w:tc>
        <w:tc>
          <w:tcPr>
            <w:tcW w:w="1011" w:type="dxa"/>
            <w:vAlign w:val="center"/>
          </w:tcPr>
          <w:p w:rsidR="008460A5" w:rsidRPr="005635D8" w:rsidRDefault="008460A5" w:rsidP="008460A5">
            <w:pPr>
              <w:autoSpaceDE w:val="0"/>
              <w:autoSpaceDN w:val="0"/>
              <w:adjustRightInd w:val="0"/>
              <w:jc w:val="center"/>
              <w:rPr>
                <w:rFonts w:cs="Times New Roman"/>
                <w:sz w:val="20"/>
                <w:szCs w:val="20"/>
                <w:lang w:val="en-GB"/>
              </w:rPr>
            </w:pPr>
          </w:p>
        </w:tc>
      </w:tr>
      <w:tr w:rsidR="008460A5" w:rsidRPr="005635D8" w:rsidTr="00FF2309">
        <w:tc>
          <w:tcPr>
            <w:tcW w:w="1748" w:type="dxa"/>
          </w:tcPr>
          <w:p w:rsidR="008460A5" w:rsidRPr="005635D8" w:rsidRDefault="008460A5" w:rsidP="008460A5">
            <w:pPr>
              <w:autoSpaceDE w:val="0"/>
              <w:autoSpaceDN w:val="0"/>
              <w:adjustRightInd w:val="0"/>
              <w:spacing w:line="400" w:lineRule="atLeast"/>
              <w:rPr>
                <w:rFonts w:cs="Times New Roman"/>
                <w:sz w:val="20"/>
                <w:szCs w:val="20"/>
                <w:lang w:val="en-GB"/>
              </w:rPr>
            </w:pPr>
            <w:r w:rsidRPr="005635D8">
              <w:rPr>
                <w:rFonts w:cs="Times New Roman"/>
                <w:sz w:val="20"/>
                <w:szCs w:val="20"/>
                <w:lang w:val="en-GB"/>
              </w:rPr>
              <w:t>IFRS</w:t>
            </w:r>
          </w:p>
        </w:tc>
        <w:tc>
          <w:tcPr>
            <w:tcW w:w="1082" w:type="dxa"/>
          </w:tcPr>
          <w:p w:rsidR="008460A5" w:rsidRPr="005635D8" w:rsidRDefault="008460A5" w:rsidP="008460A5">
            <w:pPr>
              <w:autoSpaceDE w:val="0"/>
              <w:autoSpaceDN w:val="0"/>
              <w:adjustRightInd w:val="0"/>
              <w:spacing w:line="320" w:lineRule="atLeast"/>
              <w:ind w:left="60" w:right="60"/>
              <w:jc w:val="center"/>
              <w:rPr>
                <w:rFonts w:cs="Arial"/>
                <w:color w:val="000000"/>
                <w:sz w:val="20"/>
                <w:szCs w:val="20"/>
                <w:lang w:val="en-GB"/>
              </w:rPr>
            </w:pPr>
            <w:r w:rsidRPr="005635D8">
              <w:rPr>
                <w:rFonts w:cs="Arial"/>
                <w:color w:val="000000"/>
                <w:sz w:val="20"/>
                <w:szCs w:val="20"/>
                <w:lang w:val="en-GB"/>
              </w:rPr>
              <w:t>-,002</w:t>
            </w:r>
          </w:p>
        </w:tc>
        <w:tc>
          <w:tcPr>
            <w:tcW w:w="760" w:type="dxa"/>
          </w:tcPr>
          <w:p w:rsidR="008460A5" w:rsidRPr="005635D8" w:rsidRDefault="008460A5" w:rsidP="008460A5">
            <w:pPr>
              <w:autoSpaceDE w:val="0"/>
              <w:autoSpaceDN w:val="0"/>
              <w:adjustRightInd w:val="0"/>
              <w:spacing w:line="320" w:lineRule="atLeast"/>
              <w:ind w:left="60" w:right="60"/>
              <w:jc w:val="center"/>
              <w:rPr>
                <w:rFonts w:cs="Arial"/>
                <w:color w:val="000000"/>
                <w:sz w:val="20"/>
                <w:szCs w:val="20"/>
                <w:lang w:val="en-GB"/>
              </w:rPr>
            </w:pPr>
            <w:r w:rsidRPr="005635D8">
              <w:rPr>
                <w:rFonts w:cs="Arial"/>
                <w:color w:val="000000"/>
                <w:sz w:val="20"/>
                <w:szCs w:val="20"/>
                <w:lang w:val="en-GB"/>
              </w:rPr>
              <w:t>-,018</w:t>
            </w:r>
          </w:p>
        </w:tc>
        <w:tc>
          <w:tcPr>
            <w:tcW w:w="759" w:type="dxa"/>
          </w:tcPr>
          <w:p w:rsidR="008460A5" w:rsidRPr="005635D8" w:rsidRDefault="008460A5" w:rsidP="008460A5">
            <w:pPr>
              <w:autoSpaceDE w:val="0"/>
              <w:autoSpaceDN w:val="0"/>
              <w:adjustRightInd w:val="0"/>
              <w:spacing w:line="320" w:lineRule="atLeast"/>
              <w:ind w:left="60" w:right="60"/>
              <w:jc w:val="center"/>
              <w:rPr>
                <w:rFonts w:cs="Arial"/>
                <w:color w:val="000000"/>
                <w:sz w:val="20"/>
                <w:szCs w:val="20"/>
                <w:lang w:val="en-GB"/>
              </w:rPr>
            </w:pPr>
            <w:r w:rsidRPr="005635D8">
              <w:rPr>
                <w:rFonts w:cs="Arial"/>
                <w:color w:val="000000"/>
                <w:sz w:val="20"/>
                <w:szCs w:val="20"/>
                <w:lang w:val="en-GB"/>
              </w:rPr>
              <w:t>,831</w:t>
            </w:r>
          </w:p>
        </w:tc>
        <w:tc>
          <w:tcPr>
            <w:tcW w:w="1011" w:type="dxa"/>
          </w:tcPr>
          <w:p w:rsidR="008460A5" w:rsidRPr="005635D8" w:rsidRDefault="008460A5" w:rsidP="008460A5">
            <w:pPr>
              <w:autoSpaceDE w:val="0"/>
              <w:autoSpaceDN w:val="0"/>
              <w:adjustRightInd w:val="0"/>
              <w:spacing w:line="320" w:lineRule="atLeast"/>
              <w:ind w:left="60" w:right="60"/>
              <w:jc w:val="center"/>
              <w:rPr>
                <w:rFonts w:cs="Arial"/>
                <w:color w:val="000000"/>
                <w:sz w:val="20"/>
                <w:szCs w:val="20"/>
                <w:lang w:val="en-GB"/>
              </w:rPr>
            </w:pPr>
            <w:r w:rsidRPr="005635D8">
              <w:rPr>
                <w:rFonts w:cs="Arial"/>
                <w:color w:val="000000"/>
                <w:sz w:val="20"/>
                <w:szCs w:val="20"/>
                <w:lang w:val="en-GB"/>
              </w:rPr>
              <w:t>,997</w:t>
            </w:r>
          </w:p>
        </w:tc>
        <w:tc>
          <w:tcPr>
            <w:tcW w:w="1175" w:type="dxa"/>
          </w:tcPr>
          <w:p w:rsidR="008460A5" w:rsidRPr="005635D8" w:rsidRDefault="008460A5" w:rsidP="008460A5">
            <w:pPr>
              <w:autoSpaceDE w:val="0"/>
              <w:autoSpaceDN w:val="0"/>
              <w:adjustRightInd w:val="0"/>
              <w:spacing w:line="320" w:lineRule="atLeast"/>
              <w:ind w:left="60" w:right="60"/>
              <w:jc w:val="center"/>
              <w:rPr>
                <w:rFonts w:cs="Arial"/>
                <w:color w:val="000000"/>
                <w:sz w:val="20"/>
                <w:szCs w:val="20"/>
                <w:lang w:val="en-GB"/>
              </w:rPr>
            </w:pPr>
            <w:r w:rsidRPr="005635D8">
              <w:rPr>
                <w:rFonts w:cs="Arial"/>
                <w:color w:val="000000"/>
                <w:sz w:val="20"/>
                <w:szCs w:val="20"/>
                <w:lang w:val="en-GB"/>
              </w:rPr>
              <w:t>-,002</w:t>
            </w:r>
          </w:p>
        </w:tc>
        <w:tc>
          <w:tcPr>
            <w:tcW w:w="870" w:type="dxa"/>
          </w:tcPr>
          <w:p w:rsidR="008460A5" w:rsidRPr="005635D8" w:rsidRDefault="008460A5" w:rsidP="008460A5">
            <w:pPr>
              <w:autoSpaceDE w:val="0"/>
              <w:autoSpaceDN w:val="0"/>
              <w:adjustRightInd w:val="0"/>
              <w:spacing w:line="320" w:lineRule="atLeast"/>
              <w:ind w:left="60" w:right="60"/>
              <w:jc w:val="center"/>
              <w:rPr>
                <w:rFonts w:cs="Arial"/>
                <w:color w:val="000000"/>
                <w:sz w:val="20"/>
                <w:szCs w:val="20"/>
                <w:lang w:val="en-GB"/>
              </w:rPr>
            </w:pPr>
            <w:r w:rsidRPr="005635D8">
              <w:rPr>
                <w:rFonts w:cs="Arial"/>
                <w:color w:val="000000"/>
                <w:sz w:val="20"/>
                <w:szCs w:val="20"/>
                <w:lang w:val="en-GB"/>
              </w:rPr>
              <w:t>-,022</w:t>
            </w:r>
          </w:p>
        </w:tc>
        <w:tc>
          <w:tcPr>
            <w:tcW w:w="870" w:type="dxa"/>
          </w:tcPr>
          <w:p w:rsidR="008460A5" w:rsidRPr="005635D8" w:rsidRDefault="008460A5" w:rsidP="008460A5">
            <w:pPr>
              <w:autoSpaceDE w:val="0"/>
              <w:autoSpaceDN w:val="0"/>
              <w:adjustRightInd w:val="0"/>
              <w:spacing w:line="320" w:lineRule="atLeast"/>
              <w:ind w:left="60" w:right="60"/>
              <w:jc w:val="center"/>
              <w:rPr>
                <w:rFonts w:cs="Arial"/>
                <w:color w:val="000000"/>
                <w:sz w:val="20"/>
                <w:szCs w:val="20"/>
                <w:lang w:val="en-GB"/>
              </w:rPr>
            </w:pPr>
            <w:r w:rsidRPr="005635D8">
              <w:rPr>
                <w:rFonts w:cs="Arial"/>
                <w:color w:val="000000"/>
                <w:sz w:val="20"/>
                <w:szCs w:val="20"/>
                <w:lang w:val="en-GB"/>
              </w:rPr>
              <w:t>,798</w:t>
            </w:r>
          </w:p>
        </w:tc>
        <w:tc>
          <w:tcPr>
            <w:tcW w:w="1011" w:type="dxa"/>
          </w:tcPr>
          <w:p w:rsidR="008460A5" w:rsidRPr="005635D8" w:rsidRDefault="008460A5" w:rsidP="008460A5">
            <w:pPr>
              <w:autoSpaceDE w:val="0"/>
              <w:autoSpaceDN w:val="0"/>
              <w:adjustRightInd w:val="0"/>
              <w:spacing w:line="320" w:lineRule="atLeast"/>
              <w:ind w:left="60" w:right="60"/>
              <w:jc w:val="center"/>
              <w:rPr>
                <w:rFonts w:cs="Arial"/>
                <w:color w:val="000000"/>
                <w:sz w:val="20"/>
                <w:szCs w:val="20"/>
                <w:lang w:val="en-GB"/>
              </w:rPr>
            </w:pPr>
            <w:r w:rsidRPr="005635D8">
              <w:rPr>
                <w:rFonts w:cs="Arial"/>
                <w:color w:val="000000"/>
                <w:sz w:val="20"/>
                <w:szCs w:val="20"/>
                <w:lang w:val="en-GB"/>
              </w:rPr>
              <w:t>,996</w:t>
            </w:r>
          </w:p>
        </w:tc>
      </w:tr>
      <w:tr w:rsidR="008460A5" w:rsidRPr="005635D8" w:rsidTr="00FF2309">
        <w:tc>
          <w:tcPr>
            <w:tcW w:w="1748" w:type="dxa"/>
          </w:tcPr>
          <w:p w:rsidR="008460A5" w:rsidRPr="005635D8" w:rsidRDefault="008460A5" w:rsidP="008460A5">
            <w:pPr>
              <w:autoSpaceDE w:val="0"/>
              <w:autoSpaceDN w:val="0"/>
              <w:adjustRightInd w:val="0"/>
              <w:spacing w:line="400" w:lineRule="atLeast"/>
              <w:rPr>
                <w:rFonts w:cs="Times New Roman"/>
                <w:sz w:val="20"/>
                <w:szCs w:val="20"/>
                <w:lang w:val="en-GB"/>
              </w:rPr>
            </w:pPr>
            <w:r w:rsidRPr="005635D8">
              <w:rPr>
                <w:rFonts w:cs="Times New Roman"/>
                <w:sz w:val="20"/>
                <w:szCs w:val="20"/>
                <w:lang w:val="en-GB"/>
              </w:rPr>
              <w:t>Size</w:t>
            </w:r>
          </w:p>
        </w:tc>
        <w:tc>
          <w:tcPr>
            <w:tcW w:w="1082" w:type="dxa"/>
          </w:tcPr>
          <w:p w:rsidR="008460A5" w:rsidRPr="005635D8" w:rsidRDefault="008460A5" w:rsidP="008460A5">
            <w:pPr>
              <w:autoSpaceDE w:val="0"/>
              <w:autoSpaceDN w:val="0"/>
              <w:adjustRightInd w:val="0"/>
              <w:spacing w:line="320" w:lineRule="atLeast"/>
              <w:ind w:left="60" w:right="60"/>
              <w:jc w:val="center"/>
              <w:rPr>
                <w:rFonts w:cs="Arial"/>
                <w:color w:val="000000"/>
                <w:sz w:val="20"/>
                <w:szCs w:val="20"/>
                <w:lang w:val="en-GB"/>
              </w:rPr>
            </w:pPr>
            <w:r w:rsidRPr="005635D8">
              <w:rPr>
                <w:rFonts w:cs="Arial"/>
                <w:color w:val="000000"/>
                <w:sz w:val="20"/>
                <w:szCs w:val="20"/>
                <w:lang w:val="en-GB"/>
              </w:rPr>
              <w:t>-,006*</w:t>
            </w:r>
          </w:p>
        </w:tc>
        <w:tc>
          <w:tcPr>
            <w:tcW w:w="760" w:type="dxa"/>
          </w:tcPr>
          <w:p w:rsidR="008460A5" w:rsidRPr="005635D8" w:rsidRDefault="008460A5" w:rsidP="008460A5">
            <w:pPr>
              <w:autoSpaceDE w:val="0"/>
              <w:autoSpaceDN w:val="0"/>
              <w:adjustRightInd w:val="0"/>
              <w:spacing w:line="320" w:lineRule="atLeast"/>
              <w:ind w:left="60" w:right="60"/>
              <w:jc w:val="center"/>
              <w:rPr>
                <w:rFonts w:cs="Arial"/>
                <w:color w:val="000000"/>
                <w:sz w:val="20"/>
                <w:szCs w:val="20"/>
                <w:lang w:val="en-GB"/>
              </w:rPr>
            </w:pPr>
            <w:r w:rsidRPr="005635D8">
              <w:rPr>
                <w:rFonts w:cs="Arial"/>
                <w:color w:val="000000"/>
                <w:sz w:val="20"/>
                <w:szCs w:val="20"/>
                <w:lang w:val="en-GB"/>
              </w:rPr>
              <w:t>-,199</w:t>
            </w:r>
          </w:p>
        </w:tc>
        <w:tc>
          <w:tcPr>
            <w:tcW w:w="759" w:type="dxa"/>
          </w:tcPr>
          <w:p w:rsidR="008460A5" w:rsidRPr="005635D8" w:rsidRDefault="008460A5" w:rsidP="008460A5">
            <w:pPr>
              <w:autoSpaceDE w:val="0"/>
              <w:autoSpaceDN w:val="0"/>
              <w:adjustRightInd w:val="0"/>
              <w:spacing w:line="320" w:lineRule="atLeast"/>
              <w:ind w:left="60" w:right="60"/>
              <w:jc w:val="center"/>
              <w:rPr>
                <w:rFonts w:cs="Arial"/>
                <w:color w:val="000000"/>
                <w:sz w:val="20"/>
                <w:szCs w:val="20"/>
                <w:lang w:val="en-GB"/>
              </w:rPr>
            </w:pPr>
            <w:r w:rsidRPr="005635D8">
              <w:rPr>
                <w:rFonts w:cs="Arial"/>
                <w:color w:val="000000"/>
                <w:sz w:val="20"/>
                <w:szCs w:val="20"/>
                <w:lang w:val="en-GB"/>
              </w:rPr>
              <w:t>,031</w:t>
            </w:r>
          </w:p>
        </w:tc>
        <w:tc>
          <w:tcPr>
            <w:tcW w:w="1011" w:type="dxa"/>
          </w:tcPr>
          <w:p w:rsidR="008460A5" w:rsidRPr="005635D8" w:rsidRDefault="008460A5" w:rsidP="008460A5">
            <w:pPr>
              <w:autoSpaceDE w:val="0"/>
              <w:autoSpaceDN w:val="0"/>
              <w:adjustRightInd w:val="0"/>
              <w:spacing w:line="320" w:lineRule="atLeast"/>
              <w:ind w:left="60" w:right="60"/>
              <w:jc w:val="center"/>
              <w:rPr>
                <w:rFonts w:cs="Arial"/>
                <w:color w:val="000000"/>
                <w:sz w:val="20"/>
                <w:szCs w:val="20"/>
                <w:lang w:val="en-GB"/>
              </w:rPr>
            </w:pPr>
            <w:r w:rsidRPr="005635D8">
              <w:rPr>
                <w:rFonts w:cs="Arial"/>
                <w:color w:val="000000"/>
                <w:sz w:val="20"/>
                <w:szCs w:val="20"/>
                <w:lang w:val="en-GB"/>
              </w:rPr>
              <w:t>,880</w:t>
            </w:r>
          </w:p>
        </w:tc>
        <w:tc>
          <w:tcPr>
            <w:tcW w:w="1175" w:type="dxa"/>
          </w:tcPr>
          <w:p w:rsidR="008460A5" w:rsidRPr="005635D8" w:rsidRDefault="008460A5" w:rsidP="008460A5">
            <w:pPr>
              <w:autoSpaceDE w:val="0"/>
              <w:autoSpaceDN w:val="0"/>
              <w:adjustRightInd w:val="0"/>
              <w:spacing w:line="320" w:lineRule="atLeast"/>
              <w:ind w:left="60" w:right="60"/>
              <w:jc w:val="center"/>
              <w:rPr>
                <w:rFonts w:cs="Arial"/>
                <w:color w:val="000000"/>
                <w:sz w:val="20"/>
                <w:szCs w:val="20"/>
                <w:lang w:val="en-GB"/>
              </w:rPr>
            </w:pPr>
            <w:r w:rsidRPr="005635D8">
              <w:rPr>
                <w:rFonts w:cs="Arial"/>
                <w:color w:val="000000"/>
                <w:sz w:val="20"/>
                <w:szCs w:val="20"/>
                <w:lang w:val="en-GB"/>
              </w:rPr>
              <w:t>-,006</w:t>
            </w:r>
          </w:p>
        </w:tc>
        <w:tc>
          <w:tcPr>
            <w:tcW w:w="870" w:type="dxa"/>
          </w:tcPr>
          <w:p w:rsidR="008460A5" w:rsidRPr="005635D8" w:rsidRDefault="008460A5" w:rsidP="008460A5">
            <w:pPr>
              <w:autoSpaceDE w:val="0"/>
              <w:autoSpaceDN w:val="0"/>
              <w:adjustRightInd w:val="0"/>
              <w:spacing w:line="320" w:lineRule="atLeast"/>
              <w:ind w:left="60" w:right="60"/>
              <w:jc w:val="center"/>
              <w:rPr>
                <w:rFonts w:cs="Arial"/>
                <w:color w:val="000000"/>
                <w:sz w:val="20"/>
                <w:szCs w:val="20"/>
                <w:lang w:val="en-GB"/>
              </w:rPr>
            </w:pPr>
            <w:r w:rsidRPr="005635D8">
              <w:rPr>
                <w:rFonts w:cs="Arial"/>
                <w:color w:val="000000"/>
                <w:sz w:val="20"/>
                <w:szCs w:val="20"/>
                <w:lang w:val="en-GB"/>
              </w:rPr>
              <w:t>-,180</w:t>
            </w:r>
          </w:p>
        </w:tc>
        <w:tc>
          <w:tcPr>
            <w:tcW w:w="870" w:type="dxa"/>
          </w:tcPr>
          <w:p w:rsidR="008460A5" w:rsidRPr="005635D8" w:rsidRDefault="008460A5" w:rsidP="008460A5">
            <w:pPr>
              <w:autoSpaceDE w:val="0"/>
              <w:autoSpaceDN w:val="0"/>
              <w:adjustRightInd w:val="0"/>
              <w:spacing w:line="320" w:lineRule="atLeast"/>
              <w:ind w:left="60" w:right="60"/>
              <w:jc w:val="center"/>
              <w:rPr>
                <w:rFonts w:cs="Arial"/>
                <w:color w:val="000000"/>
                <w:sz w:val="20"/>
                <w:szCs w:val="20"/>
                <w:lang w:val="en-GB"/>
              </w:rPr>
            </w:pPr>
            <w:r w:rsidRPr="005635D8">
              <w:rPr>
                <w:rFonts w:cs="Arial"/>
                <w:color w:val="000000"/>
                <w:sz w:val="20"/>
                <w:szCs w:val="20"/>
                <w:lang w:val="en-GB"/>
              </w:rPr>
              <w:t>,054</w:t>
            </w:r>
          </w:p>
        </w:tc>
        <w:tc>
          <w:tcPr>
            <w:tcW w:w="1011" w:type="dxa"/>
          </w:tcPr>
          <w:p w:rsidR="008460A5" w:rsidRPr="005635D8" w:rsidRDefault="008460A5" w:rsidP="008460A5">
            <w:pPr>
              <w:autoSpaceDE w:val="0"/>
              <w:autoSpaceDN w:val="0"/>
              <w:adjustRightInd w:val="0"/>
              <w:spacing w:line="320" w:lineRule="atLeast"/>
              <w:ind w:left="60" w:right="60"/>
              <w:jc w:val="center"/>
              <w:rPr>
                <w:rFonts w:cs="Arial"/>
                <w:color w:val="000000"/>
                <w:sz w:val="20"/>
                <w:szCs w:val="20"/>
                <w:lang w:val="en-GB"/>
              </w:rPr>
            </w:pPr>
            <w:r w:rsidRPr="005635D8">
              <w:rPr>
                <w:rFonts w:cs="Arial"/>
                <w:color w:val="000000"/>
                <w:sz w:val="20"/>
                <w:szCs w:val="20"/>
                <w:lang w:val="en-GB"/>
              </w:rPr>
              <w:t>,853</w:t>
            </w:r>
          </w:p>
        </w:tc>
      </w:tr>
      <w:tr w:rsidR="008460A5" w:rsidRPr="005635D8" w:rsidTr="00FF2309">
        <w:tc>
          <w:tcPr>
            <w:tcW w:w="1748" w:type="dxa"/>
          </w:tcPr>
          <w:p w:rsidR="008460A5" w:rsidRPr="005635D8" w:rsidRDefault="008460A5" w:rsidP="008460A5">
            <w:pPr>
              <w:autoSpaceDE w:val="0"/>
              <w:autoSpaceDN w:val="0"/>
              <w:adjustRightInd w:val="0"/>
              <w:spacing w:line="400" w:lineRule="atLeast"/>
              <w:rPr>
                <w:rFonts w:cs="Times New Roman"/>
                <w:sz w:val="20"/>
                <w:szCs w:val="20"/>
                <w:lang w:val="en-GB"/>
              </w:rPr>
            </w:pPr>
            <w:r w:rsidRPr="005635D8">
              <w:rPr>
                <w:rFonts w:cs="Times New Roman"/>
                <w:sz w:val="20"/>
                <w:szCs w:val="20"/>
                <w:lang w:val="en-GB"/>
              </w:rPr>
              <w:t>Industry-group</w:t>
            </w:r>
          </w:p>
        </w:tc>
        <w:tc>
          <w:tcPr>
            <w:tcW w:w="1082" w:type="dxa"/>
          </w:tcPr>
          <w:p w:rsidR="008460A5" w:rsidRPr="005635D8" w:rsidRDefault="008460A5" w:rsidP="008460A5">
            <w:pPr>
              <w:autoSpaceDE w:val="0"/>
              <w:autoSpaceDN w:val="0"/>
              <w:adjustRightInd w:val="0"/>
              <w:spacing w:line="320" w:lineRule="atLeast"/>
              <w:ind w:left="60" w:right="60"/>
              <w:jc w:val="center"/>
              <w:rPr>
                <w:rFonts w:cs="Arial"/>
                <w:color w:val="000000"/>
                <w:sz w:val="20"/>
                <w:szCs w:val="20"/>
                <w:lang w:val="en-GB"/>
              </w:rPr>
            </w:pPr>
            <w:r w:rsidRPr="005635D8">
              <w:rPr>
                <w:rFonts w:cs="Arial"/>
                <w:color w:val="000000"/>
                <w:sz w:val="20"/>
                <w:szCs w:val="20"/>
                <w:lang w:val="en-GB"/>
              </w:rPr>
              <w:t>-,001</w:t>
            </w:r>
          </w:p>
        </w:tc>
        <w:tc>
          <w:tcPr>
            <w:tcW w:w="760" w:type="dxa"/>
          </w:tcPr>
          <w:p w:rsidR="008460A5" w:rsidRPr="005635D8" w:rsidRDefault="008460A5" w:rsidP="008460A5">
            <w:pPr>
              <w:autoSpaceDE w:val="0"/>
              <w:autoSpaceDN w:val="0"/>
              <w:adjustRightInd w:val="0"/>
              <w:spacing w:line="320" w:lineRule="atLeast"/>
              <w:ind w:left="60" w:right="60"/>
              <w:jc w:val="center"/>
              <w:rPr>
                <w:rFonts w:cs="Arial"/>
                <w:color w:val="000000"/>
                <w:sz w:val="20"/>
                <w:szCs w:val="20"/>
                <w:lang w:val="en-GB"/>
              </w:rPr>
            </w:pPr>
            <w:r w:rsidRPr="005635D8">
              <w:rPr>
                <w:rFonts w:cs="Arial"/>
                <w:color w:val="000000"/>
                <w:sz w:val="20"/>
                <w:szCs w:val="20"/>
                <w:lang w:val="en-GB"/>
              </w:rPr>
              <w:t>-,007</w:t>
            </w:r>
          </w:p>
        </w:tc>
        <w:tc>
          <w:tcPr>
            <w:tcW w:w="759" w:type="dxa"/>
          </w:tcPr>
          <w:p w:rsidR="008460A5" w:rsidRPr="005635D8" w:rsidRDefault="008460A5" w:rsidP="008460A5">
            <w:pPr>
              <w:autoSpaceDE w:val="0"/>
              <w:autoSpaceDN w:val="0"/>
              <w:adjustRightInd w:val="0"/>
              <w:spacing w:line="320" w:lineRule="atLeast"/>
              <w:ind w:left="60" w:right="60"/>
              <w:jc w:val="center"/>
              <w:rPr>
                <w:rFonts w:cs="Arial"/>
                <w:color w:val="000000"/>
                <w:sz w:val="20"/>
                <w:szCs w:val="20"/>
                <w:lang w:val="en-GB"/>
              </w:rPr>
            </w:pPr>
            <w:r w:rsidRPr="005635D8">
              <w:rPr>
                <w:rFonts w:cs="Arial"/>
                <w:color w:val="000000"/>
                <w:sz w:val="20"/>
                <w:szCs w:val="20"/>
                <w:lang w:val="en-GB"/>
              </w:rPr>
              <w:t>,941</w:t>
            </w:r>
          </w:p>
        </w:tc>
        <w:tc>
          <w:tcPr>
            <w:tcW w:w="1011" w:type="dxa"/>
          </w:tcPr>
          <w:p w:rsidR="008460A5" w:rsidRPr="005635D8" w:rsidRDefault="008460A5" w:rsidP="008460A5">
            <w:pPr>
              <w:autoSpaceDE w:val="0"/>
              <w:autoSpaceDN w:val="0"/>
              <w:adjustRightInd w:val="0"/>
              <w:spacing w:line="320" w:lineRule="atLeast"/>
              <w:ind w:left="60" w:right="60"/>
              <w:jc w:val="center"/>
              <w:rPr>
                <w:rFonts w:cs="Arial"/>
                <w:color w:val="000000"/>
                <w:sz w:val="20"/>
                <w:szCs w:val="20"/>
                <w:lang w:val="en-GB"/>
              </w:rPr>
            </w:pPr>
            <w:r w:rsidRPr="005635D8">
              <w:rPr>
                <w:rFonts w:cs="Arial"/>
                <w:color w:val="000000"/>
                <w:sz w:val="20"/>
                <w:szCs w:val="20"/>
                <w:lang w:val="en-GB"/>
              </w:rPr>
              <w:t>,882</w:t>
            </w:r>
          </w:p>
        </w:tc>
        <w:tc>
          <w:tcPr>
            <w:tcW w:w="1175" w:type="dxa"/>
          </w:tcPr>
          <w:p w:rsidR="008460A5" w:rsidRPr="005635D8" w:rsidRDefault="008460A5" w:rsidP="008460A5">
            <w:pPr>
              <w:autoSpaceDE w:val="0"/>
              <w:autoSpaceDN w:val="0"/>
              <w:adjustRightInd w:val="0"/>
              <w:spacing w:line="320" w:lineRule="atLeast"/>
              <w:ind w:right="60"/>
              <w:rPr>
                <w:rFonts w:cs="Arial"/>
                <w:color w:val="000000"/>
                <w:sz w:val="20"/>
                <w:szCs w:val="20"/>
                <w:lang w:val="en-GB"/>
              </w:rPr>
            </w:pPr>
            <w:r w:rsidRPr="005635D8">
              <w:rPr>
                <w:rFonts w:cs="Arial"/>
                <w:color w:val="000000"/>
                <w:sz w:val="20"/>
                <w:szCs w:val="20"/>
                <w:lang w:val="en-GB"/>
              </w:rPr>
              <w:t xml:space="preserve"> </w:t>
            </w:r>
            <w:r w:rsidR="00767B61" w:rsidRPr="005635D8">
              <w:rPr>
                <w:rFonts w:cs="Arial"/>
                <w:color w:val="000000"/>
                <w:sz w:val="20"/>
                <w:szCs w:val="20"/>
                <w:lang w:val="en-GB"/>
              </w:rPr>
              <w:t xml:space="preserve">  </w:t>
            </w:r>
            <w:r w:rsidRPr="005635D8">
              <w:rPr>
                <w:rFonts w:cs="Arial"/>
                <w:color w:val="000000"/>
                <w:sz w:val="20"/>
                <w:szCs w:val="20"/>
                <w:lang w:val="en-GB"/>
              </w:rPr>
              <w:t>excluded</w:t>
            </w:r>
          </w:p>
        </w:tc>
        <w:tc>
          <w:tcPr>
            <w:tcW w:w="870" w:type="dxa"/>
          </w:tcPr>
          <w:p w:rsidR="008460A5" w:rsidRPr="005635D8" w:rsidRDefault="008460A5" w:rsidP="008460A5">
            <w:pPr>
              <w:jc w:val="center"/>
              <w:rPr>
                <w:sz w:val="20"/>
                <w:szCs w:val="20"/>
                <w:lang w:val="en-GB"/>
              </w:rPr>
            </w:pPr>
          </w:p>
        </w:tc>
        <w:tc>
          <w:tcPr>
            <w:tcW w:w="870" w:type="dxa"/>
          </w:tcPr>
          <w:p w:rsidR="008460A5" w:rsidRPr="005635D8" w:rsidRDefault="008460A5" w:rsidP="008460A5">
            <w:pPr>
              <w:jc w:val="center"/>
              <w:rPr>
                <w:sz w:val="20"/>
                <w:szCs w:val="20"/>
                <w:lang w:val="en-GB"/>
              </w:rPr>
            </w:pPr>
          </w:p>
        </w:tc>
        <w:tc>
          <w:tcPr>
            <w:tcW w:w="1011" w:type="dxa"/>
          </w:tcPr>
          <w:p w:rsidR="008460A5" w:rsidRPr="005635D8" w:rsidRDefault="008460A5" w:rsidP="008460A5">
            <w:pPr>
              <w:autoSpaceDE w:val="0"/>
              <w:autoSpaceDN w:val="0"/>
              <w:adjustRightInd w:val="0"/>
              <w:spacing w:line="320" w:lineRule="atLeast"/>
              <w:ind w:left="60" w:right="60"/>
              <w:jc w:val="center"/>
              <w:rPr>
                <w:rFonts w:cs="Arial"/>
                <w:color w:val="000000"/>
                <w:sz w:val="20"/>
                <w:szCs w:val="20"/>
                <w:lang w:val="en-GB"/>
              </w:rPr>
            </w:pPr>
            <w:r w:rsidRPr="005635D8">
              <w:rPr>
                <w:rFonts w:cs="Arial"/>
                <w:color w:val="000000"/>
                <w:sz w:val="20"/>
                <w:szCs w:val="20"/>
                <w:lang w:val="en-GB"/>
              </w:rPr>
              <w:t>,000</w:t>
            </w:r>
          </w:p>
        </w:tc>
      </w:tr>
      <w:tr w:rsidR="008460A5" w:rsidRPr="005635D8" w:rsidTr="00FF2309">
        <w:tc>
          <w:tcPr>
            <w:tcW w:w="1748" w:type="dxa"/>
          </w:tcPr>
          <w:p w:rsidR="008460A5" w:rsidRPr="005635D8" w:rsidRDefault="008460A5" w:rsidP="008460A5">
            <w:pPr>
              <w:autoSpaceDE w:val="0"/>
              <w:autoSpaceDN w:val="0"/>
              <w:adjustRightInd w:val="0"/>
              <w:spacing w:line="400" w:lineRule="atLeast"/>
              <w:rPr>
                <w:rFonts w:cs="Times New Roman"/>
                <w:sz w:val="20"/>
                <w:szCs w:val="20"/>
                <w:lang w:val="en-GB"/>
              </w:rPr>
            </w:pPr>
            <w:r w:rsidRPr="005635D8">
              <w:rPr>
                <w:rFonts w:cs="Times New Roman"/>
                <w:sz w:val="20"/>
                <w:szCs w:val="20"/>
                <w:lang w:val="en-GB"/>
              </w:rPr>
              <w:t>Consumer-group</w:t>
            </w:r>
          </w:p>
        </w:tc>
        <w:tc>
          <w:tcPr>
            <w:tcW w:w="1082" w:type="dxa"/>
          </w:tcPr>
          <w:p w:rsidR="008460A5" w:rsidRPr="005635D8" w:rsidRDefault="008460A5" w:rsidP="008460A5">
            <w:pPr>
              <w:autoSpaceDE w:val="0"/>
              <w:autoSpaceDN w:val="0"/>
              <w:adjustRightInd w:val="0"/>
              <w:spacing w:line="400" w:lineRule="atLeast"/>
              <w:jc w:val="center"/>
              <w:rPr>
                <w:rFonts w:cs="Times New Roman"/>
                <w:sz w:val="20"/>
                <w:szCs w:val="20"/>
                <w:lang w:val="en-GB"/>
              </w:rPr>
            </w:pPr>
          </w:p>
        </w:tc>
        <w:tc>
          <w:tcPr>
            <w:tcW w:w="760" w:type="dxa"/>
          </w:tcPr>
          <w:p w:rsidR="008460A5" w:rsidRPr="005635D8" w:rsidRDefault="008460A5" w:rsidP="008460A5">
            <w:pPr>
              <w:autoSpaceDE w:val="0"/>
              <w:autoSpaceDN w:val="0"/>
              <w:adjustRightInd w:val="0"/>
              <w:spacing w:line="400" w:lineRule="atLeast"/>
              <w:jc w:val="center"/>
              <w:rPr>
                <w:rFonts w:cs="Times New Roman"/>
                <w:sz w:val="20"/>
                <w:szCs w:val="20"/>
                <w:lang w:val="en-GB"/>
              </w:rPr>
            </w:pPr>
          </w:p>
        </w:tc>
        <w:tc>
          <w:tcPr>
            <w:tcW w:w="759" w:type="dxa"/>
          </w:tcPr>
          <w:p w:rsidR="008460A5" w:rsidRPr="005635D8" w:rsidRDefault="008460A5" w:rsidP="008460A5">
            <w:pPr>
              <w:autoSpaceDE w:val="0"/>
              <w:autoSpaceDN w:val="0"/>
              <w:adjustRightInd w:val="0"/>
              <w:spacing w:line="400" w:lineRule="atLeast"/>
              <w:jc w:val="center"/>
              <w:rPr>
                <w:rFonts w:cs="Times New Roman"/>
                <w:sz w:val="20"/>
                <w:szCs w:val="20"/>
                <w:lang w:val="en-GB"/>
              </w:rPr>
            </w:pPr>
          </w:p>
        </w:tc>
        <w:tc>
          <w:tcPr>
            <w:tcW w:w="1011" w:type="dxa"/>
          </w:tcPr>
          <w:p w:rsidR="008460A5" w:rsidRPr="005635D8" w:rsidRDefault="008460A5" w:rsidP="008460A5">
            <w:pPr>
              <w:autoSpaceDE w:val="0"/>
              <w:autoSpaceDN w:val="0"/>
              <w:adjustRightInd w:val="0"/>
              <w:spacing w:line="320" w:lineRule="atLeast"/>
              <w:ind w:left="60" w:right="60"/>
              <w:jc w:val="center"/>
              <w:rPr>
                <w:rFonts w:cs="Arial"/>
                <w:color w:val="000000"/>
                <w:sz w:val="20"/>
                <w:szCs w:val="20"/>
                <w:lang w:val="en-GB"/>
              </w:rPr>
            </w:pPr>
          </w:p>
        </w:tc>
        <w:tc>
          <w:tcPr>
            <w:tcW w:w="1175" w:type="dxa"/>
          </w:tcPr>
          <w:p w:rsidR="008460A5" w:rsidRPr="005635D8" w:rsidRDefault="008460A5" w:rsidP="008460A5">
            <w:pPr>
              <w:autoSpaceDE w:val="0"/>
              <w:autoSpaceDN w:val="0"/>
              <w:adjustRightInd w:val="0"/>
              <w:spacing w:line="320" w:lineRule="atLeast"/>
              <w:ind w:left="60" w:right="60"/>
              <w:jc w:val="center"/>
              <w:rPr>
                <w:rFonts w:cs="Arial"/>
                <w:color w:val="000000"/>
                <w:sz w:val="20"/>
                <w:szCs w:val="20"/>
                <w:lang w:val="en-GB"/>
              </w:rPr>
            </w:pPr>
            <w:r w:rsidRPr="005635D8">
              <w:rPr>
                <w:rFonts w:cs="Arial"/>
                <w:color w:val="000000"/>
                <w:sz w:val="20"/>
                <w:szCs w:val="20"/>
                <w:lang w:val="en-GB"/>
              </w:rPr>
              <w:t>,108</w:t>
            </w:r>
          </w:p>
        </w:tc>
        <w:tc>
          <w:tcPr>
            <w:tcW w:w="870" w:type="dxa"/>
          </w:tcPr>
          <w:p w:rsidR="008460A5" w:rsidRPr="005635D8" w:rsidRDefault="008460A5" w:rsidP="008460A5">
            <w:pPr>
              <w:autoSpaceDE w:val="0"/>
              <w:autoSpaceDN w:val="0"/>
              <w:adjustRightInd w:val="0"/>
              <w:spacing w:line="320" w:lineRule="atLeast"/>
              <w:ind w:left="60" w:right="60"/>
              <w:jc w:val="center"/>
              <w:rPr>
                <w:rFonts w:cs="Arial"/>
                <w:color w:val="000000"/>
                <w:sz w:val="20"/>
                <w:szCs w:val="20"/>
                <w:lang w:val="en-GB"/>
              </w:rPr>
            </w:pPr>
            <w:r w:rsidRPr="005635D8">
              <w:rPr>
                <w:rFonts w:cs="Arial"/>
                <w:color w:val="000000"/>
                <w:sz w:val="20"/>
                <w:szCs w:val="20"/>
                <w:lang w:val="en-GB"/>
              </w:rPr>
              <w:t>-,040</w:t>
            </w:r>
          </w:p>
        </w:tc>
        <w:tc>
          <w:tcPr>
            <w:tcW w:w="870" w:type="dxa"/>
          </w:tcPr>
          <w:p w:rsidR="008460A5" w:rsidRPr="005635D8" w:rsidRDefault="008460A5" w:rsidP="008460A5">
            <w:pPr>
              <w:autoSpaceDE w:val="0"/>
              <w:autoSpaceDN w:val="0"/>
              <w:adjustRightInd w:val="0"/>
              <w:spacing w:line="320" w:lineRule="atLeast"/>
              <w:ind w:left="60" w:right="60"/>
              <w:jc w:val="center"/>
              <w:rPr>
                <w:rFonts w:cs="Arial"/>
                <w:color w:val="000000"/>
                <w:sz w:val="20"/>
                <w:szCs w:val="20"/>
                <w:lang w:val="en-GB"/>
              </w:rPr>
            </w:pPr>
            <w:r w:rsidRPr="005635D8">
              <w:rPr>
                <w:rFonts w:cs="Arial"/>
                <w:color w:val="000000"/>
                <w:sz w:val="20"/>
                <w:szCs w:val="20"/>
                <w:lang w:val="en-GB"/>
              </w:rPr>
              <w:t>,674</w:t>
            </w:r>
          </w:p>
        </w:tc>
        <w:tc>
          <w:tcPr>
            <w:tcW w:w="1011" w:type="dxa"/>
          </w:tcPr>
          <w:p w:rsidR="008460A5" w:rsidRPr="005635D8" w:rsidRDefault="008460A5" w:rsidP="008460A5">
            <w:pPr>
              <w:autoSpaceDE w:val="0"/>
              <w:autoSpaceDN w:val="0"/>
              <w:adjustRightInd w:val="0"/>
              <w:spacing w:line="320" w:lineRule="atLeast"/>
              <w:ind w:left="60" w:right="60"/>
              <w:jc w:val="center"/>
              <w:rPr>
                <w:rFonts w:cs="Arial"/>
                <w:color w:val="000000"/>
                <w:sz w:val="20"/>
                <w:szCs w:val="20"/>
                <w:lang w:val="en-GB"/>
              </w:rPr>
            </w:pPr>
            <w:r w:rsidRPr="005635D8">
              <w:rPr>
                <w:rFonts w:cs="Arial"/>
                <w:color w:val="000000"/>
                <w:sz w:val="20"/>
                <w:szCs w:val="20"/>
                <w:lang w:val="en-GB"/>
              </w:rPr>
              <w:t>,798</w:t>
            </w:r>
          </w:p>
        </w:tc>
      </w:tr>
      <w:tr w:rsidR="008460A5" w:rsidRPr="005635D8" w:rsidTr="00FF2309">
        <w:tc>
          <w:tcPr>
            <w:tcW w:w="1748" w:type="dxa"/>
          </w:tcPr>
          <w:p w:rsidR="008460A5" w:rsidRPr="005635D8" w:rsidRDefault="008460A5" w:rsidP="008460A5">
            <w:pPr>
              <w:autoSpaceDE w:val="0"/>
              <w:autoSpaceDN w:val="0"/>
              <w:adjustRightInd w:val="0"/>
              <w:spacing w:line="400" w:lineRule="atLeast"/>
              <w:rPr>
                <w:rFonts w:cs="Times New Roman"/>
                <w:sz w:val="20"/>
                <w:szCs w:val="20"/>
                <w:lang w:val="en-GB"/>
              </w:rPr>
            </w:pPr>
            <w:r w:rsidRPr="005635D8">
              <w:rPr>
                <w:rFonts w:cs="Times New Roman"/>
                <w:sz w:val="20"/>
                <w:szCs w:val="20"/>
                <w:lang w:val="en-GB"/>
              </w:rPr>
              <w:t>Technology-group</w:t>
            </w:r>
          </w:p>
        </w:tc>
        <w:tc>
          <w:tcPr>
            <w:tcW w:w="1082" w:type="dxa"/>
          </w:tcPr>
          <w:p w:rsidR="008460A5" w:rsidRPr="005635D8" w:rsidRDefault="008460A5" w:rsidP="008460A5">
            <w:pPr>
              <w:autoSpaceDE w:val="0"/>
              <w:autoSpaceDN w:val="0"/>
              <w:adjustRightInd w:val="0"/>
              <w:spacing w:line="400" w:lineRule="atLeast"/>
              <w:jc w:val="center"/>
              <w:rPr>
                <w:rFonts w:cs="Times New Roman"/>
                <w:sz w:val="20"/>
                <w:szCs w:val="20"/>
                <w:lang w:val="en-GB"/>
              </w:rPr>
            </w:pPr>
          </w:p>
        </w:tc>
        <w:tc>
          <w:tcPr>
            <w:tcW w:w="760" w:type="dxa"/>
          </w:tcPr>
          <w:p w:rsidR="008460A5" w:rsidRPr="005635D8" w:rsidRDefault="008460A5" w:rsidP="008460A5">
            <w:pPr>
              <w:autoSpaceDE w:val="0"/>
              <w:autoSpaceDN w:val="0"/>
              <w:adjustRightInd w:val="0"/>
              <w:spacing w:line="400" w:lineRule="atLeast"/>
              <w:jc w:val="center"/>
              <w:rPr>
                <w:rFonts w:cs="Times New Roman"/>
                <w:sz w:val="20"/>
                <w:szCs w:val="20"/>
                <w:lang w:val="en-GB"/>
              </w:rPr>
            </w:pPr>
          </w:p>
        </w:tc>
        <w:tc>
          <w:tcPr>
            <w:tcW w:w="759" w:type="dxa"/>
          </w:tcPr>
          <w:p w:rsidR="008460A5" w:rsidRPr="005635D8" w:rsidRDefault="008460A5" w:rsidP="008460A5">
            <w:pPr>
              <w:autoSpaceDE w:val="0"/>
              <w:autoSpaceDN w:val="0"/>
              <w:adjustRightInd w:val="0"/>
              <w:spacing w:line="400" w:lineRule="atLeast"/>
              <w:jc w:val="center"/>
              <w:rPr>
                <w:rFonts w:cs="Times New Roman"/>
                <w:sz w:val="20"/>
                <w:szCs w:val="20"/>
                <w:lang w:val="en-GB"/>
              </w:rPr>
            </w:pPr>
          </w:p>
        </w:tc>
        <w:tc>
          <w:tcPr>
            <w:tcW w:w="1011" w:type="dxa"/>
          </w:tcPr>
          <w:p w:rsidR="008460A5" w:rsidRPr="005635D8" w:rsidRDefault="008460A5" w:rsidP="008460A5">
            <w:pPr>
              <w:autoSpaceDE w:val="0"/>
              <w:autoSpaceDN w:val="0"/>
              <w:adjustRightInd w:val="0"/>
              <w:spacing w:line="320" w:lineRule="atLeast"/>
              <w:ind w:left="60" w:right="60"/>
              <w:jc w:val="center"/>
              <w:rPr>
                <w:rFonts w:cs="Arial"/>
                <w:color w:val="000000"/>
                <w:sz w:val="20"/>
                <w:szCs w:val="20"/>
                <w:lang w:val="en-GB"/>
              </w:rPr>
            </w:pPr>
          </w:p>
        </w:tc>
        <w:tc>
          <w:tcPr>
            <w:tcW w:w="1175" w:type="dxa"/>
          </w:tcPr>
          <w:p w:rsidR="008460A5" w:rsidRPr="005635D8" w:rsidRDefault="008460A5" w:rsidP="008460A5">
            <w:pPr>
              <w:autoSpaceDE w:val="0"/>
              <w:autoSpaceDN w:val="0"/>
              <w:adjustRightInd w:val="0"/>
              <w:spacing w:line="320" w:lineRule="atLeast"/>
              <w:ind w:left="60" w:right="60"/>
              <w:jc w:val="center"/>
              <w:rPr>
                <w:rFonts w:cs="Arial"/>
                <w:color w:val="000000"/>
                <w:sz w:val="20"/>
                <w:szCs w:val="20"/>
                <w:lang w:val="en-GB"/>
              </w:rPr>
            </w:pPr>
            <w:r w:rsidRPr="005635D8">
              <w:rPr>
                <w:rFonts w:cs="Arial"/>
                <w:color w:val="000000"/>
                <w:sz w:val="20"/>
                <w:szCs w:val="20"/>
                <w:lang w:val="en-GB"/>
              </w:rPr>
              <w:t>-,002</w:t>
            </w:r>
          </w:p>
        </w:tc>
        <w:tc>
          <w:tcPr>
            <w:tcW w:w="870" w:type="dxa"/>
          </w:tcPr>
          <w:p w:rsidR="008460A5" w:rsidRPr="005635D8" w:rsidRDefault="008460A5" w:rsidP="008460A5">
            <w:pPr>
              <w:autoSpaceDE w:val="0"/>
              <w:autoSpaceDN w:val="0"/>
              <w:adjustRightInd w:val="0"/>
              <w:spacing w:line="320" w:lineRule="atLeast"/>
              <w:ind w:left="60" w:right="60"/>
              <w:jc w:val="center"/>
              <w:rPr>
                <w:rFonts w:cs="Arial"/>
                <w:color w:val="000000"/>
                <w:sz w:val="20"/>
                <w:szCs w:val="20"/>
                <w:lang w:val="en-GB"/>
              </w:rPr>
            </w:pPr>
            <w:r w:rsidRPr="005635D8">
              <w:rPr>
                <w:rFonts w:cs="Arial"/>
                <w:color w:val="000000"/>
                <w:sz w:val="20"/>
                <w:szCs w:val="20"/>
                <w:lang w:val="en-GB"/>
              </w:rPr>
              <w:t>,084</w:t>
            </w:r>
          </w:p>
        </w:tc>
        <w:tc>
          <w:tcPr>
            <w:tcW w:w="870" w:type="dxa"/>
          </w:tcPr>
          <w:p w:rsidR="008460A5" w:rsidRPr="005635D8" w:rsidRDefault="008460A5" w:rsidP="008460A5">
            <w:pPr>
              <w:autoSpaceDE w:val="0"/>
              <w:autoSpaceDN w:val="0"/>
              <w:adjustRightInd w:val="0"/>
              <w:spacing w:line="320" w:lineRule="atLeast"/>
              <w:ind w:left="60" w:right="60"/>
              <w:jc w:val="center"/>
              <w:rPr>
                <w:rFonts w:cs="Arial"/>
                <w:color w:val="000000"/>
                <w:sz w:val="20"/>
                <w:szCs w:val="20"/>
                <w:lang w:val="en-GB"/>
              </w:rPr>
            </w:pPr>
            <w:r w:rsidRPr="005635D8">
              <w:rPr>
                <w:rFonts w:cs="Arial"/>
                <w:color w:val="000000"/>
                <w:sz w:val="20"/>
                <w:szCs w:val="20"/>
                <w:lang w:val="en-GB"/>
              </w:rPr>
              <w:t>,346</w:t>
            </w:r>
          </w:p>
        </w:tc>
        <w:tc>
          <w:tcPr>
            <w:tcW w:w="1011" w:type="dxa"/>
          </w:tcPr>
          <w:p w:rsidR="008460A5" w:rsidRPr="005635D8" w:rsidRDefault="008460A5" w:rsidP="008460A5">
            <w:pPr>
              <w:autoSpaceDE w:val="0"/>
              <w:autoSpaceDN w:val="0"/>
              <w:adjustRightInd w:val="0"/>
              <w:spacing w:line="320" w:lineRule="atLeast"/>
              <w:ind w:left="60" w:right="60"/>
              <w:jc w:val="center"/>
              <w:rPr>
                <w:rFonts w:cs="Arial"/>
                <w:color w:val="000000"/>
                <w:sz w:val="20"/>
                <w:szCs w:val="20"/>
                <w:lang w:val="en-GB"/>
              </w:rPr>
            </w:pPr>
            <w:r w:rsidRPr="005635D8">
              <w:rPr>
                <w:rFonts w:cs="Arial"/>
                <w:color w:val="000000"/>
                <w:sz w:val="20"/>
                <w:szCs w:val="20"/>
                <w:lang w:val="en-GB"/>
              </w:rPr>
              <w:t>,926</w:t>
            </w:r>
          </w:p>
        </w:tc>
      </w:tr>
      <w:tr w:rsidR="008460A5" w:rsidRPr="005635D8" w:rsidTr="00FF2309">
        <w:tc>
          <w:tcPr>
            <w:tcW w:w="1748" w:type="dxa"/>
          </w:tcPr>
          <w:p w:rsidR="008460A5" w:rsidRPr="005635D8" w:rsidRDefault="008460A5" w:rsidP="008460A5">
            <w:pPr>
              <w:autoSpaceDE w:val="0"/>
              <w:autoSpaceDN w:val="0"/>
              <w:adjustRightInd w:val="0"/>
              <w:spacing w:line="400" w:lineRule="atLeast"/>
              <w:rPr>
                <w:rFonts w:cs="Times New Roman"/>
                <w:sz w:val="20"/>
                <w:szCs w:val="20"/>
                <w:lang w:val="en-GB"/>
              </w:rPr>
            </w:pPr>
          </w:p>
        </w:tc>
        <w:tc>
          <w:tcPr>
            <w:tcW w:w="1082" w:type="dxa"/>
          </w:tcPr>
          <w:p w:rsidR="008460A5" w:rsidRPr="005635D8" w:rsidRDefault="008460A5" w:rsidP="008460A5">
            <w:pPr>
              <w:autoSpaceDE w:val="0"/>
              <w:autoSpaceDN w:val="0"/>
              <w:adjustRightInd w:val="0"/>
              <w:spacing w:line="400" w:lineRule="atLeast"/>
              <w:jc w:val="center"/>
              <w:rPr>
                <w:rFonts w:cs="Times New Roman"/>
                <w:sz w:val="20"/>
                <w:szCs w:val="20"/>
                <w:lang w:val="en-GB"/>
              </w:rPr>
            </w:pPr>
          </w:p>
        </w:tc>
        <w:tc>
          <w:tcPr>
            <w:tcW w:w="760" w:type="dxa"/>
          </w:tcPr>
          <w:p w:rsidR="008460A5" w:rsidRPr="005635D8" w:rsidRDefault="008460A5" w:rsidP="008460A5">
            <w:pPr>
              <w:autoSpaceDE w:val="0"/>
              <w:autoSpaceDN w:val="0"/>
              <w:adjustRightInd w:val="0"/>
              <w:spacing w:line="400" w:lineRule="atLeast"/>
              <w:jc w:val="center"/>
              <w:rPr>
                <w:rFonts w:cs="Times New Roman"/>
                <w:sz w:val="20"/>
                <w:szCs w:val="20"/>
                <w:lang w:val="en-GB"/>
              </w:rPr>
            </w:pPr>
          </w:p>
        </w:tc>
        <w:tc>
          <w:tcPr>
            <w:tcW w:w="759" w:type="dxa"/>
          </w:tcPr>
          <w:p w:rsidR="008460A5" w:rsidRPr="005635D8" w:rsidRDefault="008460A5" w:rsidP="008460A5">
            <w:pPr>
              <w:autoSpaceDE w:val="0"/>
              <w:autoSpaceDN w:val="0"/>
              <w:adjustRightInd w:val="0"/>
              <w:spacing w:line="400" w:lineRule="atLeast"/>
              <w:jc w:val="center"/>
              <w:rPr>
                <w:rFonts w:cs="Times New Roman"/>
                <w:sz w:val="20"/>
                <w:szCs w:val="20"/>
                <w:lang w:val="en-GB"/>
              </w:rPr>
            </w:pPr>
          </w:p>
        </w:tc>
        <w:tc>
          <w:tcPr>
            <w:tcW w:w="1011" w:type="dxa"/>
          </w:tcPr>
          <w:p w:rsidR="008460A5" w:rsidRPr="005635D8" w:rsidRDefault="008460A5" w:rsidP="008460A5">
            <w:pPr>
              <w:autoSpaceDE w:val="0"/>
              <w:autoSpaceDN w:val="0"/>
              <w:adjustRightInd w:val="0"/>
              <w:spacing w:line="400" w:lineRule="atLeast"/>
              <w:jc w:val="center"/>
              <w:rPr>
                <w:rFonts w:cs="Times New Roman"/>
                <w:sz w:val="20"/>
                <w:szCs w:val="20"/>
                <w:lang w:val="en-GB"/>
              </w:rPr>
            </w:pPr>
          </w:p>
        </w:tc>
        <w:tc>
          <w:tcPr>
            <w:tcW w:w="1175" w:type="dxa"/>
          </w:tcPr>
          <w:p w:rsidR="008460A5" w:rsidRPr="005635D8" w:rsidRDefault="008460A5" w:rsidP="008460A5">
            <w:pPr>
              <w:autoSpaceDE w:val="0"/>
              <w:autoSpaceDN w:val="0"/>
              <w:adjustRightInd w:val="0"/>
              <w:spacing w:line="400" w:lineRule="atLeast"/>
              <w:jc w:val="center"/>
              <w:rPr>
                <w:rFonts w:cs="Times New Roman"/>
                <w:sz w:val="20"/>
                <w:szCs w:val="20"/>
                <w:lang w:val="en-GB"/>
              </w:rPr>
            </w:pPr>
          </w:p>
        </w:tc>
        <w:tc>
          <w:tcPr>
            <w:tcW w:w="870" w:type="dxa"/>
          </w:tcPr>
          <w:p w:rsidR="008460A5" w:rsidRPr="005635D8" w:rsidRDefault="008460A5" w:rsidP="008460A5">
            <w:pPr>
              <w:autoSpaceDE w:val="0"/>
              <w:autoSpaceDN w:val="0"/>
              <w:adjustRightInd w:val="0"/>
              <w:spacing w:line="400" w:lineRule="atLeast"/>
              <w:jc w:val="center"/>
              <w:rPr>
                <w:rFonts w:cs="Times New Roman"/>
                <w:sz w:val="20"/>
                <w:szCs w:val="20"/>
                <w:lang w:val="en-GB"/>
              </w:rPr>
            </w:pPr>
          </w:p>
        </w:tc>
        <w:tc>
          <w:tcPr>
            <w:tcW w:w="870" w:type="dxa"/>
          </w:tcPr>
          <w:p w:rsidR="008460A5" w:rsidRPr="005635D8" w:rsidRDefault="008460A5" w:rsidP="008460A5">
            <w:pPr>
              <w:autoSpaceDE w:val="0"/>
              <w:autoSpaceDN w:val="0"/>
              <w:adjustRightInd w:val="0"/>
              <w:spacing w:line="400" w:lineRule="atLeast"/>
              <w:jc w:val="center"/>
              <w:rPr>
                <w:rFonts w:cs="Times New Roman"/>
                <w:sz w:val="20"/>
                <w:szCs w:val="20"/>
                <w:lang w:val="en-GB"/>
              </w:rPr>
            </w:pPr>
          </w:p>
        </w:tc>
        <w:tc>
          <w:tcPr>
            <w:tcW w:w="1011" w:type="dxa"/>
          </w:tcPr>
          <w:p w:rsidR="008460A5" w:rsidRPr="005635D8" w:rsidRDefault="008460A5" w:rsidP="008460A5">
            <w:pPr>
              <w:autoSpaceDE w:val="0"/>
              <w:autoSpaceDN w:val="0"/>
              <w:adjustRightInd w:val="0"/>
              <w:spacing w:line="400" w:lineRule="atLeast"/>
              <w:jc w:val="center"/>
              <w:rPr>
                <w:rFonts w:cs="Times New Roman"/>
                <w:sz w:val="20"/>
                <w:szCs w:val="20"/>
                <w:lang w:val="en-GB"/>
              </w:rPr>
            </w:pPr>
          </w:p>
        </w:tc>
      </w:tr>
      <w:tr w:rsidR="008460A5" w:rsidRPr="005635D8" w:rsidTr="00FF2309">
        <w:tc>
          <w:tcPr>
            <w:tcW w:w="1748" w:type="dxa"/>
          </w:tcPr>
          <w:p w:rsidR="008460A5" w:rsidRPr="005635D8" w:rsidRDefault="008460A5" w:rsidP="008460A5">
            <w:pPr>
              <w:autoSpaceDE w:val="0"/>
              <w:autoSpaceDN w:val="0"/>
              <w:adjustRightInd w:val="0"/>
              <w:spacing w:line="400" w:lineRule="atLeast"/>
              <w:rPr>
                <w:rFonts w:cs="Times New Roman"/>
                <w:sz w:val="20"/>
                <w:szCs w:val="20"/>
                <w:lang w:val="en-GB"/>
              </w:rPr>
            </w:pPr>
            <w:r w:rsidRPr="005635D8">
              <w:rPr>
                <w:rFonts w:cs="Times New Roman"/>
                <w:sz w:val="20"/>
                <w:szCs w:val="20"/>
                <w:lang w:val="en-GB"/>
              </w:rPr>
              <w:t>R-square</w:t>
            </w:r>
          </w:p>
        </w:tc>
        <w:tc>
          <w:tcPr>
            <w:tcW w:w="1082" w:type="dxa"/>
          </w:tcPr>
          <w:p w:rsidR="008460A5" w:rsidRPr="005635D8" w:rsidRDefault="008460A5" w:rsidP="008460A5">
            <w:pPr>
              <w:autoSpaceDE w:val="0"/>
              <w:autoSpaceDN w:val="0"/>
              <w:adjustRightInd w:val="0"/>
              <w:spacing w:line="400" w:lineRule="atLeast"/>
              <w:jc w:val="center"/>
              <w:rPr>
                <w:rFonts w:cs="Times New Roman"/>
                <w:sz w:val="20"/>
                <w:szCs w:val="20"/>
                <w:lang w:val="en-GB"/>
              </w:rPr>
            </w:pPr>
            <w:r w:rsidRPr="005635D8">
              <w:rPr>
                <w:rFonts w:cs="Times New Roman"/>
                <w:sz w:val="20"/>
                <w:szCs w:val="20"/>
                <w:lang w:val="en-GB"/>
              </w:rPr>
              <w:t>.040</w:t>
            </w:r>
          </w:p>
        </w:tc>
        <w:tc>
          <w:tcPr>
            <w:tcW w:w="760" w:type="dxa"/>
          </w:tcPr>
          <w:p w:rsidR="008460A5" w:rsidRPr="005635D8" w:rsidRDefault="008460A5" w:rsidP="008460A5">
            <w:pPr>
              <w:autoSpaceDE w:val="0"/>
              <w:autoSpaceDN w:val="0"/>
              <w:adjustRightInd w:val="0"/>
              <w:spacing w:line="400" w:lineRule="atLeast"/>
              <w:jc w:val="center"/>
              <w:rPr>
                <w:rFonts w:cs="Times New Roman"/>
                <w:sz w:val="20"/>
                <w:szCs w:val="20"/>
                <w:lang w:val="en-GB"/>
              </w:rPr>
            </w:pPr>
          </w:p>
        </w:tc>
        <w:tc>
          <w:tcPr>
            <w:tcW w:w="759" w:type="dxa"/>
          </w:tcPr>
          <w:p w:rsidR="008460A5" w:rsidRPr="005635D8" w:rsidRDefault="008460A5" w:rsidP="008460A5">
            <w:pPr>
              <w:autoSpaceDE w:val="0"/>
              <w:autoSpaceDN w:val="0"/>
              <w:adjustRightInd w:val="0"/>
              <w:spacing w:line="400" w:lineRule="atLeast"/>
              <w:jc w:val="center"/>
              <w:rPr>
                <w:rFonts w:cs="Times New Roman"/>
                <w:sz w:val="20"/>
                <w:szCs w:val="20"/>
                <w:lang w:val="en-GB"/>
              </w:rPr>
            </w:pPr>
          </w:p>
        </w:tc>
        <w:tc>
          <w:tcPr>
            <w:tcW w:w="1011" w:type="dxa"/>
          </w:tcPr>
          <w:p w:rsidR="008460A5" w:rsidRPr="005635D8" w:rsidRDefault="008460A5" w:rsidP="008460A5">
            <w:pPr>
              <w:autoSpaceDE w:val="0"/>
              <w:autoSpaceDN w:val="0"/>
              <w:adjustRightInd w:val="0"/>
              <w:spacing w:line="400" w:lineRule="atLeast"/>
              <w:jc w:val="center"/>
              <w:rPr>
                <w:rFonts w:cs="Times New Roman"/>
                <w:sz w:val="20"/>
                <w:szCs w:val="20"/>
                <w:lang w:val="en-GB"/>
              </w:rPr>
            </w:pPr>
          </w:p>
        </w:tc>
        <w:tc>
          <w:tcPr>
            <w:tcW w:w="1175" w:type="dxa"/>
          </w:tcPr>
          <w:p w:rsidR="008460A5" w:rsidRPr="005635D8" w:rsidRDefault="008460A5" w:rsidP="008460A5">
            <w:pPr>
              <w:autoSpaceDE w:val="0"/>
              <w:autoSpaceDN w:val="0"/>
              <w:adjustRightInd w:val="0"/>
              <w:spacing w:line="400" w:lineRule="atLeast"/>
              <w:jc w:val="center"/>
              <w:rPr>
                <w:rFonts w:cs="Times New Roman"/>
                <w:sz w:val="20"/>
                <w:szCs w:val="20"/>
                <w:lang w:val="en-GB"/>
              </w:rPr>
            </w:pPr>
            <w:r w:rsidRPr="005635D8">
              <w:rPr>
                <w:rFonts w:cs="Times New Roman"/>
                <w:sz w:val="20"/>
                <w:szCs w:val="20"/>
                <w:lang w:val="en-GB"/>
              </w:rPr>
              <w:t>.050</w:t>
            </w:r>
          </w:p>
        </w:tc>
        <w:tc>
          <w:tcPr>
            <w:tcW w:w="870" w:type="dxa"/>
          </w:tcPr>
          <w:p w:rsidR="008460A5" w:rsidRPr="005635D8" w:rsidRDefault="008460A5" w:rsidP="008460A5">
            <w:pPr>
              <w:autoSpaceDE w:val="0"/>
              <w:autoSpaceDN w:val="0"/>
              <w:adjustRightInd w:val="0"/>
              <w:spacing w:line="400" w:lineRule="atLeast"/>
              <w:jc w:val="center"/>
              <w:rPr>
                <w:rFonts w:cs="Times New Roman"/>
                <w:sz w:val="20"/>
                <w:szCs w:val="20"/>
                <w:lang w:val="en-GB"/>
              </w:rPr>
            </w:pPr>
          </w:p>
        </w:tc>
        <w:tc>
          <w:tcPr>
            <w:tcW w:w="870" w:type="dxa"/>
          </w:tcPr>
          <w:p w:rsidR="008460A5" w:rsidRPr="005635D8" w:rsidRDefault="008460A5" w:rsidP="008460A5">
            <w:pPr>
              <w:autoSpaceDE w:val="0"/>
              <w:autoSpaceDN w:val="0"/>
              <w:adjustRightInd w:val="0"/>
              <w:spacing w:line="400" w:lineRule="atLeast"/>
              <w:jc w:val="center"/>
              <w:rPr>
                <w:rFonts w:cs="Times New Roman"/>
                <w:sz w:val="20"/>
                <w:szCs w:val="20"/>
                <w:lang w:val="en-GB"/>
              </w:rPr>
            </w:pPr>
          </w:p>
        </w:tc>
        <w:tc>
          <w:tcPr>
            <w:tcW w:w="1011" w:type="dxa"/>
          </w:tcPr>
          <w:p w:rsidR="008460A5" w:rsidRPr="005635D8" w:rsidRDefault="008460A5" w:rsidP="008460A5">
            <w:pPr>
              <w:autoSpaceDE w:val="0"/>
              <w:autoSpaceDN w:val="0"/>
              <w:adjustRightInd w:val="0"/>
              <w:spacing w:line="400" w:lineRule="atLeast"/>
              <w:jc w:val="center"/>
              <w:rPr>
                <w:rFonts w:cs="Times New Roman"/>
                <w:sz w:val="20"/>
                <w:szCs w:val="20"/>
                <w:lang w:val="en-GB"/>
              </w:rPr>
            </w:pPr>
          </w:p>
        </w:tc>
      </w:tr>
      <w:tr w:rsidR="008460A5" w:rsidRPr="005635D8" w:rsidTr="00FF2309">
        <w:tc>
          <w:tcPr>
            <w:tcW w:w="1748" w:type="dxa"/>
          </w:tcPr>
          <w:p w:rsidR="008460A5" w:rsidRPr="005635D8" w:rsidRDefault="008460A5" w:rsidP="008460A5">
            <w:pPr>
              <w:autoSpaceDE w:val="0"/>
              <w:autoSpaceDN w:val="0"/>
              <w:adjustRightInd w:val="0"/>
              <w:spacing w:line="400" w:lineRule="atLeast"/>
              <w:rPr>
                <w:rFonts w:cs="Times New Roman"/>
                <w:sz w:val="20"/>
                <w:szCs w:val="20"/>
                <w:vertAlign w:val="superscript"/>
                <w:lang w:val="en-GB"/>
              </w:rPr>
            </w:pPr>
            <w:r w:rsidRPr="005635D8">
              <w:rPr>
                <w:rFonts w:cs="Times New Roman"/>
                <w:sz w:val="20"/>
                <w:szCs w:val="20"/>
                <w:lang w:val="en-GB"/>
              </w:rPr>
              <w:t>Adjusted R</w:t>
            </w:r>
            <w:r w:rsidRPr="005635D8">
              <w:rPr>
                <w:rFonts w:cs="Times New Roman"/>
                <w:sz w:val="20"/>
                <w:szCs w:val="20"/>
                <w:vertAlign w:val="superscript"/>
                <w:lang w:val="en-GB"/>
              </w:rPr>
              <w:t>2</w:t>
            </w:r>
          </w:p>
        </w:tc>
        <w:tc>
          <w:tcPr>
            <w:tcW w:w="1082" w:type="dxa"/>
          </w:tcPr>
          <w:p w:rsidR="008460A5" w:rsidRPr="005635D8" w:rsidRDefault="008460A5" w:rsidP="008460A5">
            <w:pPr>
              <w:autoSpaceDE w:val="0"/>
              <w:autoSpaceDN w:val="0"/>
              <w:adjustRightInd w:val="0"/>
              <w:spacing w:line="400" w:lineRule="atLeast"/>
              <w:jc w:val="center"/>
              <w:rPr>
                <w:rFonts w:cs="Times New Roman"/>
                <w:sz w:val="20"/>
                <w:szCs w:val="20"/>
                <w:lang w:val="en-GB"/>
              </w:rPr>
            </w:pPr>
            <w:r w:rsidRPr="005635D8">
              <w:rPr>
                <w:rFonts w:cs="Times New Roman"/>
                <w:sz w:val="20"/>
                <w:szCs w:val="20"/>
                <w:lang w:val="en-GB"/>
              </w:rPr>
              <w:t>.018</w:t>
            </w:r>
          </w:p>
        </w:tc>
        <w:tc>
          <w:tcPr>
            <w:tcW w:w="760" w:type="dxa"/>
          </w:tcPr>
          <w:p w:rsidR="008460A5" w:rsidRPr="005635D8" w:rsidRDefault="008460A5" w:rsidP="008460A5">
            <w:pPr>
              <w:autoSpaceDE w:val="0"/>
              <w:autoSpaceDN w:val="0"/>
              <w:adjustRightInd w:val="0"/>
              <w:spacing w:line="400" w:lineRule="atLeast"/>
              <w:jc w:val="center"/>
              <w:rPr>
                <w:rFonts w:cs="Times New Roman"/>
                <w:sz w:val="20"/>
                <w:szCs w:val="20"/>
                <w:lang w:val="en-GB"/>
              </w:rPr>
            </w:pPr>
          </w:p>
        </w:tc>
        <w:tc>
          <w:tcPr>
            <w:tcW w:w="759" w:type="dxa"/>
          </w:tcPr>
          <w:p w:rsidR="008460A5" w:rsidRPr="005635D8" w:rsidRDefault="008460A5" w:rsidP="008460A5">
            <w:pPr>
              <w:autoSpaceDE w:val="0"/>
              <w:autoSpaceDN w:val="0"/>
              <w:adjustRightInd w:val="0"/>
              <w:spacing w:line="400" w:lineRule="atLeast"/>
              <w:jc w:val="center"/>
              <w:rPr>
                <w:rFonts w:cs="Times New Roman"/>
                <w:sz w:val="20"/>
                <w:szCs w:val="20"/>
                <w:lang w:val="en-GB"/>
              </w:rPr>
            </w:pPr>
          </w:p>
        </w:tc>
        <w:tc>
          <w:tcPr>
            <w:tcW w:w="1011" w:type="dxa"/>
          </w:tcPr>
          <w:p w:rsidR="008460A5" w:rsidRPr="005635D8" w:rsidRDefault="008460A5" w:rsidP="008460A5">
            <w:pPr>
              <w:autoSpaceDE w:val="0"/>
              <w:autoSpaceDN w:val="0"/>
              <w:adjustRightInd w:val="0"/>
              <w:spacing w:line="400" w:lineRule="atLeast"/>
              <w:jc w:val="center"/>
              <w:rPr>
                <w:rFonts w:cs="Times New Roman"/>
                <w:sz w:val="20"/>
                <w:szCs w:val="20"/>
                <w:lang w:val="en-GB"/>
              </w:rPr>
            </w:pPr>
          </w:p>
        </w:tc>
        <w:tc>
          <w:tcPr>
            <w:tcW w:w="1175" w:type="dxa"/>
          </w:tcPr>
          <w:p w:rsidR="008460A5" w:rsidRPr="005635D8" w:rsidRDefault="008460A5" w:rsidP="008460A5">
            <w:pPr>
              <w:autoSpaceDE w:val="0"/>
              <w:autoSpaceDN w:val="0"/>
              <w:adjustRightInd w:val="0"/>
              <w:spacing w:line="400" w:lineRule="atLeast"/>
              <w:jc w:val="center"/>
              <w:rPr>
                <w:rFonts w:cs="Times New Roman"/>
                <w:sz w:val="20"/>
                <w:szCs w:val="20"/>
                <w:lang w:val="en-GB"/>
              </w:rPr>
            </w:pPr>
            <w:r w:rsidRPr="005635D8">
              <w:rPr>
                <w:rFonts w:cs="Times New Roman"/>
                <w:sz w:val="20"/>
                <w:szCs w:val="20"/>
                <w:lang w:val="en-GB"/>
              </w:rPr>
              <w:t>.020</w:t>
            </w:r>
          </w:p>
        </w:tc>
        <w:tc>
          <w:tcPr>
            <w:tcW w:w="870" w:type="dxa"/>
          </w:tcPr>
          <w:p w:rsidR="008460A5" w:rsidRPr="005635D8" w:rsidRDefault="008460A5" w:rsidP="008460A5">
            <w:pPr>
              <w:autoSpaceDE w:val="0"/>
              <w:autoSpaceDN w:val="0"/>
              <w:adjustRightInd w:val="0"/>
              <w:spacing w:line="400" w:lineRule="atLeast"/>
              <w:jc w:val="center"/>
              <w:rPr>
                <w:rFonts w:cs="Times New Roman"/>
                <w:sz w:val="20"/>
                <w:szCs w:val="20"/>
                <w:lang w:val="en-GB"/>
              </w:rPr>
            </w:pPr>
          </w:p>
        </w:tc>
        <w:tc>
          <w:tcPr>
            <w:tcW w:w="870" w:type="dxa"/>
          </w:tcPr>
          <w:p w:rsidR="008460A5" w:rsidRPr="005635D8" w:rsidRDefault="008460A5" w:rsidP="008460A5">
            <w:pPr>
              <w:autoSpaceDE w:val="0"/>
              <w:autoSpaceDN w:val="0"/>
              <w:adjustRightInd w:val="0"/>
              <w:spacing w:line="400" w:lineRule="atLeast"/>
              <w:jc w:val="center"/>
              <w:rPr>
                <w:rFonts w:cs="Times New Roman"/>
                <w:sz w:val="20"/>
                <w:szCs w:val="20"/>
                <w:lang w:val="en-GB"/>
              </w:rPr>
            </w:pPr>
          </w:p>
        </w:tc>
        <w:tc>
          <w:tcPr>
            <w:tcW w:w="1011" w:type="dxa"/>
          </w:tcPr>
          <w:p w:rsidR="008460A5" w:rsidRPr="005635D8" w:rsidRDefault="008460A5" w:rsidP="008460A5">
            <w:pPr>
              <w:autoSpaceDE w:val="0"/>
              <w:autoSpaceDN w:val="0"/>
              <w:adjustRightInd w:val="0"/>
              <w:spacing w:line="400" w:lineRule="atLeast"/>
              <w:jc w:val="center"/>
              <w:rPr>
                <w:rFonts w:cs="Times New Roman"/>
                <w:sz w:val="20"/>
                <w:szCs w:val="20"/>
                <w:lang w:val="en-GB"/>
              </w:rPr>
            </w:pPr>
          </w:p>
        </w:tc>
      </w:tr>
      <w:tr w:rsidR="008460A5" w:rsidRPr="005635D8" w:rsidTr="00FF2309">
        <w:tc>
          <w:tcPr>
            <w:tcW w:w="1748" w:type="dxa"/>
          </w:tcPr>
          <w:p w:rsidR="008460A5" w:rsidRPr="005635D8" w:rsidRDefault="008460A5" w:rsidP="008460A5">
            <w:pPr>
              <w:autoSpaceDE w:val="0"/>
              <w:autoSpaceDN w:val="0"/>
              <w:adjustRightInd w:val="0"/>
              <w:spacing w:line="400" w:lineRule="atLeast"/>
              <w:rPr>
                <w:rFonts w:cs="Times New Roman"/>
                <w:sz w:val="20"/>
                <w:szCs w:val="20"/>
                <w:lang w:val="en-GB"/>
              </w:rPr>
            </w:pPr>
            <w:r w:rsidRPr="005635D8">
              <w:rPr>
                <w:rFonts w:cs="Times New Roman"/>
                <w:sz w:val="20"/>
                <w:szCs w:val="20"/>
                <w:lang w:val="en-GB"/>
              </w:rPr>
              <w:t>ANOVA</w:t>
            </w:r>
          </w:p>
        </w:tc>
        <w:tc>
          <w:tcPr>
            <w:tcW w:w="1082" w:type="dxa"/>
          </w:tcPr>
          <w:p w:rsidR="008460A5" w:rsidRPr="005635D8" w:rsidRDefault="008460A5" w:rsidP="008460A5">
            <w:pPr>
              <w:autoSpaceDE w:val="0"/>
              <w:autoSpaceDN w:val="0"/>
              <w:adjustRightInd w:val="0"/>
              <w:spacing w:line="400" w:lineRule="atLeast"/>
              <w:jc w:val="center"/>
              <w:rPr>
                <w:rFonts w:cs="Times New Roman"/>
                <w:sz w:val="20"/>
                <w:szCs w:val="20"/>
                <w:lang w:val="en-GB"/>
              </w:rPr>
            </w:pPr>
            <w:r w:rsidRPr="005635D8">
              <w:rPr>
                <w:rFonts w:cs="Times New Roman"/>
                <w:sz w:val="20"/>
                <w:szCs w:val="20"/>
                <w:lang w:val="en-GB"/>
              </w:rPr>
              <w:t>F=1.797</w:t>
            </w:r>
          </w:p>
          <w:p w:rsidR="008460A5" w:rsidRPr="005635D8" w:rsidRDefault="008460A5" w:rsidP="008460A5">
            <w:pPr>
              <w:autoSpaceDE w:val="0"/>
              <w:autoSpaceDN w:val="0"/>
              <w:adjustRightInd w:val="0"/>
              <w:spacing w:line="400" w:lineRule="atLeast"/>
              <w:jc w:val="center"/>
              <w:rPr>
                <w:rFonts w:cs="Times New Roman"/>
                <w:sz w:val="20"/>
                <w:szCs w:val="20"/>
                <w:lang w:val="en-GB"/>
              </w:rPr>
            </w:pPr>
            <w:r w:rsidRPr="005635D8">
              <w:rPr>
                <w:rFonts w:cs="Times New Roman"/>
                <w:sz w:val="20"/>
                <w:szCs w:val="20"/>
                <w:lang w:val="en-GB"/>
              </w:rPr>
              <w:t>Sig =.151</w:t>
            </w:r>
          </w:p>
        </w:tc>
        <w:tc>
          <w:tcPr>
            <w:tcW w:w="760" w:type="dxa"/>
          </w:tcPr>
          <w:p w:rsidR="008460A5" w:rsidRPr="005635D8" w:rsidRDefault="008460A5" w:rsidP="008460A5">
            <w:pPr>
              <w:autoSpaceDE w:val="0"/>
              <w:autoSpaceDN w:val="0"/>
              <w:adjustRightInd w:val="0"/>
              <w:spacing w:line="400" w:lineRule="atLeast"/>
              <w:jc w:val="center"/>
              <w:rPr>
                <w:rFonts w:cs="Times New Roman"/>
                <w:sz w:val="20"/>
                <w:szCs w:val="20"/>
                <w:lang w:val="en-GB"/>
              </w:rPr>
            </w:pPr>
          </w:p>
        </w:tc>
        <w:tc>
          <w:tcPr>
            <w:tcW w:w="759" w:type="dxa"/>
          </w:tcPr>
          <w:p w:rsidR="008460A5" w:rsidRPr="005635D8" w:rsidRDefault="008460A5" w:rsidP="008460A5">
            <w:pPr>
              <w:autoSpaceDE w:val="0"/>
              <w:autoSpaceDN w:val="0"/>
              <w:adjustRightInd w:val="0"/>
              <w:spacing w:line="400" w:lineRule="atLeast"/>
              <w:jc w:val="center"/>
              <w:rPr>
                <w:rFonts w:cs="Times New Roman"/>
                <w:sz w:val="20"/>
                <w:szCs w:val="20"/>
                <w:lang w:val="en-GB"/>
              </w:rPr>
            </w:pPr>
          </w:p>
        </w:tc>
        <w:tc>
          <w:tcPr>
            <w:tcW w:w="1011" w:type="dxa"/>
          </w:tcPr>
          <w:p w:rsidR="008460A5" w:rsidRPr="005635D8" w:rsidRDefault="008460A5" w:rsidP="008460A5">
            <w:pPr>
              <w:autoSpaceDE w:val="0"/>
              <w:autoSpaceDN w:val="0"/>
              <w:adjustRightInd w:val="0"/>
              <w:spacing w:line="400" w:lineRule="atLeast"/>
              <w:jc w:val="center"/>
              <w:rPr>
                <w:rFonts w:cs="Times New Roman"/>
                <w:sz w:val="20"/>
                <w:szCs w:val="20"/>
                <w:lang w:val="en-GB"/>
              </w:rPr>
            </w:pPr>
          </w:p>
        </w:tc>
        <w:tc>
          <w:tcPr>
            <w:tcW w:w="1175" w:type="dxa"/>
          </w:tcPr>
          <w:p w:rsidR="008460A5" w:rsidRPr="005635D8" w:rsidRDefault="008460A5" w:rsidP="008460A5">
            <w:pPr>
              <w:autoSpaceDE w:val="0"/>
              <w:autoSpaceDN w:val="0"/>
              <w:adjustRightInd w:val="0"/>
              <w:spacing w:line="400" w:lineRule="atLeast"/>
              <w:jc w:val="center"/>
              <w:rPr>
                <w:rFonts w:cs="Times New Roman"/>
                <w:sz w:val="20"/>
                <w:szCs w:val="20"/>
                <w:lang w:val="en-GB"/>
              </w:rPr>
            </w:pPr>
            <w:r w:rsidRPr="005635D8">
              <w:rPr>
                <w:rFonts w:cs="Times New Roman"/>
                <w:sz w:val="20"/>
                <w:szCs w:val="20"/>
                <w:lang w:val="en-GB"/>
              </w:rPr>
              <w:t>F=1.697</w:t>
            </w:r>
          </w:p>
          <w:p w:rsidR="008460A5" w:rsidRPr="005635D8" w:rsidRDefault="008460A5" w:rsidP="008460A5">
            <w:pPr>
              <w:autoSpaceDE w:val="0"/>
              <w:autoSpaceDN w:val="0"/>
              <w:adjustRightInd w:val="0"/>
              <w:spacing w:line="400" w:lineRule="atLeast"/>
              <w:jc w:val="center"/>
              <w:rPr>
                <w:rFonts w:cs="Times New Roman"/>
                <w:sz w:val="20"/>
                <w:szCs w:val="20"/>
                <w:lang w:val="en-GB"/>
              </w:rPr>
            </w:pPr>
            <w:r w:rsidRPr="005635D8">
              <w:rPr>
                <w:rFonts w:cs="Times New Roman"/>
                <w:sz w:val="20"/>
                <w:szCs w:val="20"/>
                <w:lang w:val="en-GB"/>
              </w:rPr>
              <w:t>Sig. =.155</w:t>
            </w:r>
          </w:p>
        </w:tc>
        <w:tc>
          <w:tcPr>
            <w:tcW w:w="870" w:type="dxa"/>
          </w:tcPr>
          <w:p w:rsidR="008460A5" w:rsidRPr="005635D8" w:rsidRDefault="008460A5" w:rsidP="008460A5">
            <w:pPr>
              <w:autoSpaceDE w:val="0"/>
              <w:autoSpaceDN w:val="0"/>
              <w:adjustRightInd w:val="0"/>
              <w:spacing w:line="400" w:lineRule="atLeast"/>
              <w:jc w:val="center"/>
              <w:rPr>
                <w:rFonts w:cs="Times New Roman"/>
                <w:sz w:val="20"/>
                <w:szCs w:val="20"/>
                <w:lang w:val="en-GB"/>
              </w:rPr>
            </w:pPr>
          </w:p>
        </w:tc>
        <w:tc>
          <w:tcPr>
            <w:tcW w:w="870" w:type="dxa"/>
          </w:tcPr>
          <w:p w:rsidR="008460A5" w:rsidRPr="005635D8" w:rsidRDefault="008460A5" w:rsidP="008460A5">
            <w:pPr>
              <w:autoSpaceDE w:val="0"/>
              <w:autoSpaceDN w:val="0"/>
              <w:adjustRightInd w:val="0"/>
              <w:spacing w:line="400" w:lineRule="atLeast"/>
              <w:jc w:val="center"/>
              <w:rPr>
                <w:rFonts w:cs="Times New Roman"/>
                <w:sz w:val="20"/>
                <w:szCs w:val="20"/>
                <w:lang w:val="en-GB"/>
              </w:rPr>
            </w:pPr>
          </w:p>
        </w:tc>
        <w:tc>
          <w:tcPr>
            <w:tcW w:w="1011" w:type="dxa"/>
          </w:tcPr>
          <w:p w:rsidR="008460A5" w:rsidRPr="005635D8" w:rsidRDefault="008460A5" w:rsidP="008460A5">
            <w:pPr>
              <w:autoSpaceDE w:val="0"/>
              <w:autoSpaceDN w:val="0"/>
              <w:adjustRightInd w:val="0"/>
              <w:spacing w:line="400" w:lineRule="atLeast"/>
              <w:jc w:val="center"/>
              <w:rPr>
                <w:rFonts w:cs="Times New Roman"/>
                <w:sz w:val="20"/>
                <w:szCs w:val="20"/>
                <w:lang w:val="en-GB"/>
              </w:rPr>
            </w:pPr>
          </w:p>
        </w:tc>
      </w:tr>
      <w:tr w:rsidR="008460A5" w:rsidRPr="005635D8" w:rsidTr="00FF2309">
        <w:tc>
          <w:tcPr>
            <w:tcW w:w="1748" w:type="dxa"/>
          </w:tcPr>
          <w:p w:rsidR="008460A5" w:rsidRPr="005635D8" w:rsidRDefault="008460A5" w:rsidP="008460A5">
            <w:pPr>
              <w:autoSpaceDE w:val="0"/>
              <w:autoSpaceDN w:val="0"/>
              <w:adjustRightInd w:val="0"/>
              <w:spacing w:line="400" w:lineRule="atLeast"/>
              <w:rPr>
                <w:rFonts w:cs="Times New Roman"/>
                <w:sz w:val="20"/>
                <w:szCs w:val="20"/>
                <w:lang w:val="en-GB"/>
              </w:rPr>
            </w:pPr>
          </w:p>
        </w:tc>
        <w:tc>
          <w:tcPr>
            <w:tcW w:w="1082" w:type="dxa"/>
          </w:tcPr>
          <w:p w:rsidR="008460A5" w:rsidRPr="005635D8" w:rsidRDefault="008460A5" w:rsidP="008460A5">
            <w:pPr>
              <w:autoSpaceDE w:val="0"/>
              <w:autoSpaceDN w:val="0"/>
              <w:adjustRightInd w:val="0"/>
              <w:spacing w:line="400" w:lineRule="atLeast"/>
              <w:rPr>
                <w:rFonts w:cs="Times New Roman"/>
                <w:sz w:val="20"/>
                <w:szCs w:val="20"/>
                <w:lang w:val="en-GB"/>
              </w:rPr>
            </w:pPr>
          </w:p>
        </w:tc>
        <w:tc>
          <w:tcPr>
            <w:tcW w:w="760" w:type="dxa"/>
          </w:tcPr>
          <w:p w:rsidR="008460A5" w:rsidRPr="005635D8" w:rsidRDefault="008460A5" w:rsidP="008460A5">
            <w:pPr>
              <w:autoSpaceDE w:val="0"/>
              <w:autoSpaceDN w:val="0"/>
              <w:adjustRightInd w:val="0"/>
              <w:spacing w:line="400" w:lineRule="atLeast"/>
              <w:rPr>
                <w:rFonts w:cs="Times New Roman"/>
                <w:sz w:val="20"/>
                <w:szCs w:val="20"/>
                <w:lang w:val="en-GB"/>
              </w:rPr>
            </w:pPr>
          </w:p>
        </w:tc>
        <w:tc>
          <w:tcPr>
            <w:tcW w:w="759" w:type="dxa"/>
          </w:tcPr>
          <w:p w:rsidR="008460A5" w:rsidRPr="005635D8" w:rsidRDefault="008460A5" w:rsidP="008460A5">
            <w:pPr>
              <w:autoSpaceDE w:val="0"/>
              <w:autoSpaceDN w:val="0"/>
              <w:adjustRightInd w:val="0"/>
              <w:spacing w:line="400" w:lineRule="atLeast"/>
              <w:rPr>
                <w:rFonts w:cs="Times New Roman"/>
                <w:sz w:val="20"/>
                <w:szCs w:val="20"/>
                <w:lang w:val="en-GB"/>
              </w:rPr>
            </w:pPr>
          </w:p>
        </w:tc>
        <w:tc>
          <w:tcPr>
            <w:tcW w:w="1011" w:type="dxa"/>
          </w:tcPr>
          <w:p w:rsidR="008460A5" w:rsidRPr="005635D8" w:rsidRDefault="008460A5" w:rsidP="008460A5">
            <w:pPr>
              <w:autoSpaceDE w:val="0"/>
              <w:autoSpaceDN w:val="0"/>
              <w:adjustRightInd w:val="0"/>
              <w:spacing w:line="400" w:lineRule="atLeast"/>
              <w:rPr>
                <w:rFonts w:cs="Times New Roman"/>
                <w:sz w:val="20"/>
                <w:szCs w:val="20"/>
                <w:lang w:val="en-GB"/>
              </w:rPr>
            </w:pPr>
          </w:p>
        </w:tc>
        <w:tc>
          <w:tcPr>
            <w:tcW w:w="1175" w:type="dxa"/>
          </w:tcPr>
          <w:p w:rsidR="008460A5" w:rsidRPr="005635D8" w:rsidRDefault="008460A5" w:rsidP="008460A5">
            <w:pPr>
              <w:autoSpaceDE w:val="0"/>
              <w:autoSpaceDN w:val="0"/>
              <w:adjustRightInd w:val="0"/>
              <w:spacing w:line="400" w:lineRule="atLeast"/>
              <w:rPr>
                <w:rFonts w:cs="Times New Roman"/>
                <w:sz w:val="20"/>
                <w:szCs w:val="20"/>
                <w:lang w:val="en-GB"/>
              </w:rPr>
            </w:pPr>
          </w:p>
        </w:tc>
        <w:tc>
          <w:tcPr>
            <w:tcW w:w="870" w:type="dxa"/>
          </w:tcPr>
          <w:p w:rsidR="008460A5" w:rsidRPr="005635D8" w:rsidRDefault="008460A5" w:rsidP="008460A5">
            <w:pPr>
              <w:autoSpaceDE w:val="0"/>
              <w:autoSpaceDN w:val="0"/>
              <w:adjustRightInd w:val="0"/>
              <w:spacing w:line="400" w:lineRule="atLeast"/>
              <w:rPr>
                <w:rFonts w:cs="Times New Roman"/>
                <w:sz w:val="20"/>
                <w:szCs w:val="20"/>
                <w:lang w:val="en-GB"/>
              </w:rPr>
            </w:pPr>
          </w:p>
        </w:tc>
        <w:tc>
          <w:tcPr>
            <w:tcW w:w="870" w:type="dxa"/>
          </w:tcPr>
          <w:p w:rsidR="008460A5" w:rsidRPr="005635D8" w:rsidRDefault="008460A5" w:rsidP="008460A5">
            <w:pPr>
              <w:autoSpaceDE w:val="0"/>
              <w:autoSpaceDN w:val="0"/>
              <w:adjustRightInd w:val="0"/>
              <w:spacing w:line="400" w:lineRule="atLeast"/>
              <w:rPr>
                <w:rFonts w:cs="Times New Roman"/>
                <w:sz w:val="20"/>
                <w:szCs w:val="20"/>
                <w:lang w:val="en-GB"/>
              </w:rPr>
            </w:pPr>
          </w:p>
        </w:tc>
        <w:tc>
          <w:tcPr>
            <w:tcW w:w="1011" w:type="dxa"/>
          </w:tcPr>
          <w:p w:rsidR="008460A5" w:rsidRPr="005635D8" w:rsidRDefault="008460A5" w:rsidP="008460A5">
            <w:pPr>
              <w:autoSpaceDE w:val="0"/>
              <w:autoSpaceDN w:val="0"/>
              <w:adjustRightInd w:val="0"/>
              <w:spacing w:line="400" w:lineRule="atLeast"/>
              <w:rPr>
                <w:rFonts w:cs="Times New Roman"/>
                <w:sz w:val="20"/>
                <w:szCs w:val="20"/>
                <w:lang w:val="en-GB"/>
              </w:rPr>
            </w:pPr>
          </w:p>
        </w:tc>
      </w:tr>
    </w:tbl>
    <w:p w:rsidR="00767B61" w:rsidRPr="005635D8" w:rsidRDefault="00FF2309" w:rsidP="00767B61">
      <w:pPr>
        <w:autoSpaceDE w:val="0"/>
        <w:autoSpaceDN w:val="0"/>
        <w:adjustRightInd w:val="0"/>
        <w:spacing w:line="240" w:lineRule="auto"/>
        <w:rPr>
          <w:rFonts w:ascii="Calibri" w:hAnsi="Calibri"/>
          <w:color w:val="000000"/>
          <w:sz w:val="20"/>
          <w:szCs w:val="20"/>
          <w:lang w:val="en-GB"/>
        </w:rPr>
      </w:pPr>
      <w:r w:rsidRPr="005635D8">
        <w:rPr>
          <w:rFonts w:ascii="Times New Roman" w:hAnsi="Times New Roman" w:cs="Times New Roman"/>
          <w:b/>
          <w:sz w:val="20"/>
          <w:szCs w:val="20"/>
          <w:lang w:val="en-GB"/>
        </w:rPr>
        <w:t>Table 8</w:t>
      </w:r>
      <w:r>
        <w:rPr>
          <w:rFonts w:ascii="Times New Roman" w:hAnsi="Times New Roman" w:cs="Times New Roman"/>
          <w:sz w:val="20"/>
          <w:szCs w:val="20"/>
          <w:lang w:val="en-GB"/>
        </w:rPr>
        <w:t xml:space="preserve">: </w:t>
      </w:r>
      <w:r w:rsidR="008460A5" w:rsidRPr="005635D8">
        <w:rPr>
          <w:rFonts w:ascii="Calibri" w:hAnsi="Calibri"/>
          <w:color w:val="000000"/>
          <w:sz w:val="20"/>
          <w:szCs w:val="20"/>
          <w:lang w:val="en-GB"/>
        </w:rPr>
        <w:t>Regression models testing the impact of IFRS, Size and Industry on DACC/TAt-1 ABS</w:t>
      </w:r>
    </w:p>
    <w:p w:rsidR="009859FD" w:rsidRPr="005635D8" w:rsidRDefault="008460A5" w:rsidP="00767B61">
      <w:pPr>
        <w:autoSpaceDE w:val="0"/>
        <w:autoSpaceDN w:val="0"/>
        <w:adjustRightInd w:val="0"/>
        <w:spacing w:line="240" w:lineRule="auto"/>
        <w:rPr>
          <w:rFonts w:ascii="Times New Roman" w:hAnsi="Times New Roman" w:cs="Times New Roman"/>
          <w:sz w:val="24"/>
          <w:szCs w:val="24"/>
          <w:lang w:val="en-GB"/>
        </w:rPr>
      </w:pPr>
      <w:r w:rsidRPr="005635D8">
        <w:rPr>
          <w:rFonts w:ascii="Calibri" w:hAnsi="Calibri"/>
          <w:color w:val="000000"/>
          <w:sz w:val="20"/>
          <w:szCs w:val="20"/>
          <w:lang w:val="en-GB"/>
        </w:rPr>
        <w:t xml:space="preserve"> </w:t>
      </w:r>
      <w:r w:rsidRPr="005635D8">
        <w:rPr>
          <w:rFonts w:ascii="Times New Roman" w:hAnsi="Times New Roman" w:cs="Times New Roman"/>
          <w:sz w:val="24"/>
          <w:szCs w:val="24"/>
          <w:lang w:val="en-GB"/>
        </w:rPr>
        <w:t xml:space="preserve"> </w:t>
      </w:r>
      <w:r w:rsidR="001F4CF3" w:rsidRPr="005635D8">
        <w:rPr>
          <w:rFonts w:ascii="Times New Roman" w:hAnsi="Times New Roman" w:cs="Times New Roman"/>
          <w:sz w:val="20"/>
          <w:szCs w:val="20"/>
          <w:lang w:val="en-GB"/>
        </w:rPr>
        <w:t>*</w:t>
      </w:r>
      <w:r w:rsidR="001F4CF3" w:rsidRPr="005635D8">
        <w:rPr>
          <w:sz w:val="20"/>
          <w:szCs w:val="20"/>
          <w:lang w:val="en-GB"/>
        </w:rPr>
        <w:t xml:space="preserve"> = significant at the 95% reliability level.</w:t>
      </w:r>
    </w:p>
    <w:p w:rsidR="00177CBE" w:rsidRPr="005635D8" w:rsidRDefault="000E67DD" w:rsidP="008460A5">
      <w:pPr>
        <w:jc w:val="both"/>
        <w:rPr>
          <w:rFonts w:ascii="Calibri" w:hAnsi="Calibri"/>
          <w:color w:val="000000"/>
          <w:lang w:val="en-GB"/>
        </w:rPr>
      </w:pPr>
      <w:r w:rsidRPr="005635D8">
        <w:rPr>
          <w:rFonts w:ascii="Calibri" w:hAnsi="Calibri"/>
          <w:color w:val="000000"/>
          <w:lang w:val="en-GB"/>
        </w:rPr>
        <w:t>The introduction of IFRS has no significant impact nor has the difference between companies belonging to the industry group and other companies. The tol. = tolerance value is an indicator that tests whether there is any collinear relation between the independent variables. Collin</w:t>
      </w:r>
      <w:r w:rsidR="00177CBE" w:rsidRPr="005635D8">
        <w:rPr>
          <w:rFonts w:ascii="Calibri" w:hAnsi="Calibri"/>
          <w:color w:val="000000"/>
          <w:lang w:val="en-GB"/>
        </w:rPr>
        <w:t>e</w:t>
      </w:r>
      <w:r w:rsidRPr="005635D8">
        <w:rPr>
          <w:rFonts w:ascii="Calibri" w:hAnsi="Calibri"/>
          <w:color w:val="000000"/>
          <w:lang w:val="en-GB"/>
        </w:rPr>
        <w:t xml:space="preserve">arity refers to the situation in which a high multiple correlation </w:t>
      </w:r>
      <w:r w:rsidR="0098240C" w:rsidRPr="005635D8">
        <w:rPr>
          <w:rFonts w:ascii="Calibri" w:hAnsi="Calibri"/>
          <w:color w:val="000000"/>
          <w:lang w:val="en-GB"/>
        </w:rPr>
        <w:t xml:space="preserve">exists </w:t>
      </w:r>
      <w:r w:rsidRPr="005635D8">
        <w:rPr>
          <w:rFonts w:ascii="Calibri" w:hAnsi="Calibri"/>
          <w:color w:val="000000"/>
          <w:lang w:val="en-GB"/>
        </w:rPr>
        <w:t xml:space="preserve">when one of the independent variables is regressed on the others. The problem with collinear variables is that they </w:t>
      </w:r>
      <w:r w:rsidR="00B32D82" w:rsidRPr="005635D8">
        <w:rPr>
          <w:rFonts w:ascii="Calibri" w:hAnsi="Calibri"/>
          <w:color w:val="000000"/>
          <w:lang w:val="en-GB"/>
        </w:rPr>
        <w:t>provide similar</w:t>
      </w:r>
      <w:r w:rsidRPr="005635D8">
        <w:rPr>
          <w:rFonts w:ascii="Calibri" w:hAnsi="Calibri"/>
          <w:color w:val="000000"/>
          <w:lang w:val="en-GB"/>
        </w:rPr>
        <w:t xml:space="preserve"> information, and it is difficult to separate the effects of the independent variables (Norusis 2008, 271). </w:t>
      </w:r>
      <w:r w:rsidR="00745BCF" w:rsidRPr="005635D8">
        <w:rPr>
          <w:rFonts w:ascii="Calibri" w:hAnsi="Calibri"/>
          <w:color w:val="000000"/>
          <w:lang w:val="en-GB"/>
        </w:rPr>
        <w:t>Tolerance values close to 0 tell you that the variable is strongly related to the other indep</w:t>
      </w:r>
      <w:r w:rsidRPr="005635D8">
        <w:rPr>
          <w:rFonts w:ascii="Calibri" w:hAnsi="Calibri"/>
          <w:color w:val="000000"/>
          <w:lang w:val="en-GB"/>
        </w:rPr>
        <w:t>endent variables in the model. A value close to 1 tells that there is no collineari</w:t>
      </w:r>
      <w:r w:rsidR="00177CBE" w:rsidRPr="005635D8">
        <w:rPr>
          <w:rFonts w:ascii="Calibri" w:hAnsi="Calibri"/>
          <w:color w:val="000000"/>
          <w:lang w:val="en-GB"/>
        </w:rPr>
        <w:t>t</w:t>
      </w:r>
      <w:r w:rsidRPr="005635D8">
        <w:rPr>
          <w:rFonts w:ascii="Calibri" w:hAnsi="Calibri"/>
          <w:color w:val="000000"/>
          <w:lang w:val="en-GB"/>
        </w:rPr>
        <w:t>y</w:t>
      </w:r>
      <w:r w:rsidR="00177CBE" w:rsidRPr="005635D8">
        <w:rPr>
          <w:rFonts w:ascii="Calibri" w:hAnsi="Calibri"/>
          <w:color w:val="000000"/>
          <w:lang w:val="en-GB"/>
        </w:rPr>
        <w:t>. As all tolerance values for the variables in model I are close to</w:t>
      </w:r>
      <w:r w:rsidR="008460A5" w:rsidRPr="005635D8">
        <w:rPr>
          <w:rFonts w:ascii="Calibri" w:hAnsi="Calibri"/>
          <w:color w:val="000000"/>
          <w:lang w:val="en-GB"/>
        </w:rPr>
        <w:t xml:space="preserve"> 1 collinearity is no problem. </w:t>
      </w:r>
    </w:p>
    <w:p w:rsidR="00177CBE" w:rsidRPr="005635D8" w:rsidRDefault="00177CBE" w:rsidP="005D7DD1">
      <w:pPr>
        <w:jc w:val="both"/>
        <w:rPr>
          <w:rFonts w:ascii="Calibri" w:hAnsi="Calibri"/>
          <w:color w:val="000000"/>
          <w:lang w:val="en-GB"/>
        </w:rPr>
      </w:pPr>
      <w:r w:rsidRPr="005635D8">
        <w:rPr>
          <w:rFonts w:ascii="Calibri" w:hAnsi="Calibri"/>
          <w:color w:val="000000"/>
          <w:lang w:val="en-GB"/>
        </w:rPr>
        <w:t xml:space="preserve">In the second model the dummy variables consumer-group and technology-group are added to the model. However, in this model a problem with the collinearity arises. The SPSS procedure excludes the variable industry-group from the model as this variable is collinear with other variables. Four variables remain in the model. But </w:t>
      </w:r>
      <w:r w:rsidR="00323D4C" w:rsidRPr="005635D8">
        <w:rPr>
          <w:rFonts w:ascii="Calibri" w:hAnsi="Calibri"/>
          <w:color w:val="000000"/>
          <w:lang w:val="en-GB"/>
        </w:rPr>
        <w:t>in addition</w:t>
      </w:r>
      <w:r w:rsidRPr="005635D8">
        <w:rPr>
          <w:rFonts w:ascii="Calibri" w:hAnsi="Calibri"/>
          <w:color w:val="000000"/>
          <w:lang w:val="en-GB"/>
        </w:rPr>
        <w:t xml:space="preserve"> this model is not overall significant and the R2 is </w:t>
      </w:r>
      <w:r w:rsidR="00B32D82" w:rsidRPr="005635D8">
        <w:rPr>
          <w:rFonts w:ascii="Calibri" w:hAnsi="Calibri"/>
          <w:color w:val="000000"/>
          <w:lang w:val="en-GB"/>
        </w:rPr>
        <w:t>again low</w:t>
      </w:r>
      <w:r w:rsidRPr="005635D8">
        <w:rPr>
          <w:rFonts w:ascii="Calibri" w:hAnsi="Calibri"/>
          <w:color w:val="000000"/>
          <w:lang w:val="en-GB"/>
        </w:rPr>
        <w:t xml:space="preserve">. None of the individual predictors is significant </w:t>
      </w:r>
      <w:r w:rsidR="00F71079" w:rsidRPr="005635D8">
        <w:rPr>
          <w:rFonts w:ascii="Calibri" w:hAnsi="Calibri"/>
          <w:color w:val="000000"/>
          <w:lang w:val="en-GB"/>
        </w:rPr>
        <w:t>consequently</w:t>
      </w:r>
      <w:r w:rsidRPr="005635D8">
        <w:rPr>
          <w:rFonts w:ascii="Calibri" w:hAnsi="Calibri"/>
          <w:color w:val="000000"/>
          <w:lang w:val="en-GB"/>
        </w:rPr>
        <w:t xml:space="preserve"> any change in the dependent variable cannot be explained by the adoption of IFRS, the Size of the company or one of the industry variables consumer-group or technology-group. </w:t>
      </w:r>
      <w:r w:rsidR="00D330A5" w:rsidRPr="005635D8">
        <w:rPr>
          <w:rFonts w:ascii="Calibri" w:hAnsi="Calibri"/>
          <w:color w:val="000000"/>
          <w:lang w:val="en-GB"/>
        </w:rPr>
        <w:t xml:space="preserve">The implications of these results with regard to the stated hypotheses will be discussed in the next paragraph. </w:t>
      </w:r>
    </w:p>
    <w:p w:rsidR="00C9580B" w:rsidRDefault="00C9580B">
      <w:pPr>
        <w:rPr>
          <w:b/>
          <w:bCs/>
          <w:sz w:val="24"/>
          <w:szCs w:val="24"/>
          <w:lang w:val="en-GB"/>
        </w:rPr>
      </w:pPr>
      <w:r>
        <w:rPr>
          <w:lang w:val="en-GB"/>
        </w:rPr>
        <w:br w:type="page"/>
      </w:r>
    </w:p>
    <w:p w:rsidR="008460A5" w:rsidRPr="005635D8" w:rsidRDefault="008460A5" w:rsidP="001E4C5D">
      <w:pPr>
        <w:pStyle w:val="Heading3"/>
        <w:rPr>
          <w:lang w:val="en-GB"/>
        </w:rPr>
      </w:pPr>
      <w:bookmarkStart w:id="88" w:name="_Toc362267312"/>
      <w:r w:rsidRPr="005635D8">
        <w:rPr>
          <w:lang w:val="en-GB"/>
        </w:rPr>
        <w:t>9.3 Answering the hypotheses</w:t>
      </w:r>
      <w:bookmarkEnd w:id="88"/>
    </w:p>
    <w:p w:rsidR="008460A5" w:rsidRDefault="008460A5" w:rsidP="00A51D87">
      <w:pPr>
        <w:autoSpaceDE w:val="0"/>
        <w:autoSpaceDN w:val="0"/>
        <w:adjustRightInd w:val="0"/>
        <w:spacing w:after="0"/>
        <w:jc w:val="both"/>
        <w:rPr>
          <w:rFonts w:ascii="Calibri" w:hAnsi="Calibri" w:cs="Times New Roman"/>
          <w:lang w:val="en-GB"/>
        </w:rPr>
      </w:pPr>
      <w:r w:rsidRPr="005635D8">
        <w:rPr>
          <w:rFonts w:ascii="Calibri" w:hAnsi="Calibri" w:cs="Times New Roman"/>
          <w:lang w:val="en-GB"/>
        </w:rPr>
        <w:t xml:space="preserve">In this study three different hypotheses were tested. The first and most important hypothesis tested in this research states that: </w:t>
      </w:r>
      <w:r w:rsidRPr="005635D8">
        <w:rPr>
          <w:rFonts w:ascii="Calibri" w:hAnsi="Calibri"/>
          <w:i/>
          <w:lang w:val="en-GB"/>
        </w:rPr>
        <w:t>Dutch firms listed at the AEX and AMX engaged significantly less in earnings management a</w:t>
      </w:r>
      <w:r w:rsidR="00D330A5" w:rsidRPr="005635D8">
        <w:rPr>
          <w:rFonts w:ascii="Calibri" w:hAnsi="Calibri"/>
          <w:i/>
          <w:lang w:val="en-GB"/>
        </w:rPr>
        <w:t xml:space="preserve">fter the introduction of IFRS. </w:t>
      </w:r>
      <w:r w:rsidR="00D330A5" w:rsidRPr="005635D8">
        <w:rPr>
          <w:rFonts w:ascii="Calibri" w:hAnsi="Calibri"/>
          <w:iCs/>
          <w:lang w:val="en-GB"/>
        </w:rPr>
        <w:t>A decreasing trend of the level of earnings management was expected because IFRS was supposed to introduce higher quality standards and improved comparability betwe</w:t>
      </w:r>
      <w:r w:rsidR="00A51D87" w:rsidRPr="005635D8">
        <w:rPr>
          <w:rFonts w:ascii="Calibri" w:hAnsi="Calibri"/>
          <w:iCs/>
          <w:lang w:val="en-GB"/>
        </w:rPr>
        <w:t xml:space="preserve">en firms.  </w:t>
      </w:r>
      <w:r w:rsidRPr="005635D8">
        <w:rPr>
          <w:rFonts w:ascii="Calibri" w:hAnsi="Calibri" w:cs="Times New Roman"/>
          <w:lang w:val="en-GB"/>
        </w:rPr>
        <w:t xml:space="preserve">The results of the empirical analyses showed however that this hypothesis should be rejected. Based on a regression equation it can be said that the introduction of IFRS by Dutch companies previously using Dutch GAAP did not lead to a significant negative or positive effect on the absolute level of scaled discretionary accruals. None of the obtained models showed an effect of the IFRS variable. </w:t>
      </w:r>
      <w:r w:rsidR="00A51D87" w:rsidRPr="005635D8">
        <w:rPr>
          <w:bCs/>
          <w:lang w:val="en-GB"/>
        </w:rPr>
        <w:t xml:space="preserve">The level of earnings management remained constant. Probably the qualitative differences between using NL GAAP and IFRS are consequently small that a significant effect on the use of earnings management is not reached with only changing the standards. As some articles argued there might be a larger role of enforcement mechanisms instead of only updating the accountancy standards. With this main finding this study seems to be somewhere in the middle between the eight studies commented in the theoretical section. Neither an increasing pattern nor a decreasing pattern of the use of earnings management was observed. With the finding that earnings management more or less remains constant after adopting IFRS this study does neither confirm the four articles showing a positive effect of IFRS nor does the study confirm a negative effect of IFRS on earnings management. </w:t>
      </w:r>
      <w:r w:rsidRPr="005635D8">
        <w:rPr>
          <w:rFonts w:ascii="Calibri" w:hAnsi="Calibri" w:cs="Times New Roman"/>
          <w:lang w:val="en-GB"/>
        </w:rPr>
        <w:t xml:space="preserve"> </w:t>
      </w:r>
    </w:p>
    <w:p w:rsidR="00A16D76" w:rsidRDefault="00A16D76" w:rsidP="00A51D87">
      <w:pPr>
        <w:autoSpaceDE w:val="0"/>
        <w:autoSpaceDN w:val="0"/>
        <w:adjustRightInd w:val="0"/>
        <w:spacing w:after="0"/>
        <w:jc w:val="both"/>
        <w:rPr>
          <w:rFonts w:ascii="Calibri" w:hAnsi="Calibri" w:cs="Times New Roman"/>
          <w:lang w:val="en-GB"/>
        </w:rPr>
      </w:pPr>
    </w:p>
    <w:p w:rsidR="00A16D76" w:rsidRPr="00BB177E" w:rsidRDefault="00A16D76" w:rsidP="00A16D76">
      <w:pPr>
        <w:autoSpaceDE w:val="0"/>
        <w:autoSpaceDN w:val="0"/>
        <w:adjustRightInd w:val="0"/>
        <w:spacing w:after="0"/>
        <w:jc w:val="both"/>
        <w:rPr>
          <w:bCs/>
          <w:lang w:val="en-GB"/>
        </w:rPr>
      </w:pPr>
      <w:r w:rsidRPr="00BB177E">
        <w:rPr>
          <w:bCs/>
          <w:lang w:val="en-GB"/>
        </w:rPr>
        <w:t xml:space="preserve">The article by Tendeloo and Vanstraelen (2005) comes closest to the findings of this thesis as they stated that the adoption of IFRS in Germany cannot be associated with lower levels of earnings management. However, under some conditions IFRS adopters even </w:t>
      </w:r>
      <w:r w:rsidR="00761970">
        <w:rPr>
          <w:bCs/>
          <w:lang w:val="en-GB"/>
        </w:rPr>
        <w:t xml:space="preserve">used </w:t>
      </w:r>
      <w:r w:rsidRPr="00BB177E">
        <w:rPr>
          <w:bCs/>
          <w:lang w:val="en-GB"/>
        </w:rPr>
        <w:t xml:space="preserve">more discretionary accruals than </w:t>
      </w:r>
      <w:r w:rsidR="00C9580B">
        <w:rPr>
          <w:bCs/>
          <w:lang w:val="en-GB"/>
        </w:rPr>
        <w:t xml:space="preserve">based on </w:t>
      </w:r>
      <w:r w:rsidRPr="00BB177E">
        <w:rPr>
          <w:bCs/>
          <w:lang w:val="en-GB"/>
        </w:rPr>
        <w:t>German GAAP. A significant increasing pattern under the specific condition of possibilities of using hidden reserv</w:t>
      </w:r>
      <w:r w:rsidR="00C6680B">
        <w:rPr>
          <w:bCs/>
          <w:lang w:val="en-GB"/>
        </w:rPr>
        <w:t>es was not studied in</w:t>
      </w:r>
      <w:r>
        <w:rPr>
          <w:bCs/>
          <w:lang w:val="en-GB"/>
        </w:rPr>
        <w:t xml:space="preserve"> this thesis</w:t>
      </w:r>
      <w:r w:rsidRPr="00BB177E">
        <w:rPr>
          <w:bCs/>
          <w:lang w:val="en-GB"/>
        </w:rPr>
        <w:t xml:space="preserve">. But in general, comparable results were found. The German case and the Dutch case </w:t>
      </w:r>
      <w:r w:rsidR="008157F2">
        <w:rPr>
          <w:bCs/>
          <w:lang w:val="en-GB"/>
        </w:rPr>
        <w:t xml:space="preserve">in addition </w:t>
      </w:r>
      <w:r w:rsidRPr="00BB177E">
        <w:rPr>
          <w:bCs/>
          <w:lang w:val="en-GB"/>
        </w:rPr>
        <w:t xml:space="preserve">show many similarities as they both </w:t>
      </w:r>
      <w:r w:rsidR="008157F2" w:rsidRPr="00BB177E">
        <w:rPr>
          <w:bCs/>
          <w:lang w:val="en-GB"/>
        </w:rPr>
        <w:t xml:space="preserve">prior to IFRS </w:t>
      </w:r>
      <w:r w:rsidRPr="00BB177E">
        <w:rPr>
          <w:bCs/>
          <w:lang w:val="en-GB"/>
        </w:rPr>
        <w:t xml:space="preserve">used a principles based reporting system. Both studies </w:t>
      </w:r>
      <w:r w:rsidR="008157F2">
        <w:rPr>
          <w:bCs/>
          <w:lang w:val="en-GB"/>
        </w:rPr>
        <w:t xml:space="preserve">in addition </w:t>
      </w:r>
      <w:r w:rsidRPr="00BB177E">
        <w:rPr>
          <w:bCs/>
          <w:lang w:val="en-GB"/>
        </w:rPr>
        <w:t>used comparable research models although differences exist between the cross sectional Jones model and the time series based modified Jones model. Another major difference between the two studi</w:t>
      </w:r>
      <w:r w:rsidR="00C6680B">
        <w:rPr>
          <w:bCs/>
          <w:lang w:val="en-GB"/>
        </w:rPr>
        <w:t>es is that Tendeloo and Vanstrae</w:t>
      </w:r>
      <w:r w:rsidRPr="00BB177E">
        <w:rPr>
          <w:bCs/>
          <w:lang w:val="en-GB"/>
        </w:rPr>
        <w:t xml:space="preserve">len investigated </w:t>
      </w:r>
      <w:r w:rsidR="008157F2">
        <w:rPr>
          <w:bCs/>
          <w:lang w:val="en-GB"/>
        </w:rPr>
        <w:t xml:space="preserve">the </w:t>
      </w:r>
      <w:r w:rsidRPr="00BB177E">
        <w:rPr>
          <w:bCs/>
          <w:lang w:val="en-GB"/>
        </w:rPr>
        <w:t>voluntary adoption of IFRS while this thesis focused on mandatory adoption of IFRS.</w:t>
      </w:r>
    </w:p>
    <w:p w:rsidR="00A16D76" w:rsidRPr="00BB177E" w:rsidRDefault="00A16D76" w:rsidP="00A16D76">
      <w:pPr>
        <w:autoSpaceDE w:val="0"/>
        <w:autoSpaceDN w:val="0"/>
        <w:adjustRightInd w:val="0"/>
        <w:spacing w:after="0"/>
        <w:jc w:val="both"/>
        <w:rPr>
          <w:bCs/>
          <w:lang w:val="en-GB"/>
        </w:rPr>
      </w:pPr>
    </w:p>
    <w:p w:rsidR="00A16D76" w:rsidRPr="00BB177E" w:rsidRDefault="00A16D76" w:rsidP="00A16D76">
      <w:pPr>
        <w:autoSpaceDE w:val="0"/>
        <w:autoSpaceDN w:val="0"/>
        <w:adjustRightInd w:val="0"/>
        <w:spacing w:after="0"/>
        <w:jc w:val="both"/>
        <w:rPr>
          <w:bCs/>
          <w:lang w:val="en-GB"/>
        </w:rPr>
      </w:pPr>
      <w:r w:rsidRPr="00BB177E">
        <w:rPr>
          <w:bCs/>
          <w:lang w:val="en-GB"/>
        </w:rPr>
        <w:t xml:space="preserve">Comparing the current findings with other studies that investigated </w:t>
      </w:r>
      <w:r w:rsidR="008157F2">
        <w:rPr>
          <w:bCs/>
          <w:lang w:val="en-GB"/>
        </w:rPr>
        <w:t xml:space="preserve">the </w:t>
      </w:r>
      <w:r w:rsidRPr="00BB177E">
        <w:rPr>
          <w:bCs/>
          <w:lang w:val="en-GB"/>
        </w:rPr>
        <w:t xml:space="preserve">mandatory adoption of IFRS shows that the findings of this study deviate from previous findings. Cai et al. (2008) showed that the use of earnings management decreased after the mandatory adoption of IFRS. However, they </w:t>
      </w:r>
      <w:r w:rsidR="008157F2">
        <w:rPr>
          <w:bCs/>
          <w:lang w:val="en-GB"/>
        </w:rPr>
        <w:t xml:space="preserve">investigated </w:t>
      </w:r>
      <w:r w:rsidRPr="00BB177E">
        <w:rPr>
          <w:bCs/>
          <w:lang w:val="en-GB"/>
        </w:rPr>
        <w:t xml:space="preserve">32 different countries with different quality standards before the adoption of IFRS. </w:t>
      </w:r>
      <w:r w:rsidR="008157F2">
        <w:rPr>
          <w:bCs/>
          <w:lang w:val="en-GB"/>
        </w:rPr>
        <w:t xml:space="preserve">In addition, </w:t>
      </w:r>
      <w:r w:rsidRPr="00BB177E">
        <w:rPr>
          <w:bCs/>
          <w:lang w:val="en-GB"/>
        </w:rPr>
        <w:t xml:space="preserve">a different methodology was used. </w:t>
      </w:r>
      <w:r w:rsidR="008157F2">
        <w:rPr>
          <w:bCs/>
          <w:lang w:val="en-GB"/>
        </w:rPr>
        <w:t xml:space="preserve">Consequently </w:t>
      </w:r>
      <w:r w:rsidRPr="00BB177E">
        <w:rPr>
          <w:bCs/>
          <w:lang w:val="en-GB"/>
        </w:rPr>
        <w:t xml:space="preserve">comparison with the current study </w:t>
      </w:r>
      <w:r w:rsidR="008157F2">
        <w:rPr>
          <w:bCs/>
          <w:lang w:val="en-GB"/>
        </w:rPr>
        <w:t xml:space="preserve">is </w:t>
      </w:r>
      <w:r w:rsidRPr="00BB177E">
        <w:rPr>
          <w:bCs/>
          <w:lang w:val="en-GB"/>
        </w:rPr>
        <w:t xml:space="preserve">difficult. Christensen at al. (2009) </w:t>
      </w:r>
      <w:r w:rsidR="008157F2">
        <w:rPr>
          <w:bCs/>
          <w:lang w:val="en-GB"/>
        </w:rPr>
        <w:t xml:space="preserve">in addition </w:t>
      </w:r>
      <w:r w:rsidRPr="00BB177E">
        <w:rPr>
          <w:bCs/>
          <w:lang w:val="en-GB"/>
        </w:rPr>
        <w:t xml:space="preserve">investigated the mandatory adoption of IFRS and only </w:t>
      </w:r>
      <w:r w:rsidR="008157F2">
        <w:rPr>
          <w:bCs/>
          <w:lang w:val="en-GB"/>
        </w:rPr>
        <w:t xml:space="preserve">investigated </w:t>
      </w:r>
      <w:r w:rsidRPr="00BB177E">
        <w:rPr>
          <w:bCs/>
          <w:lang w:val="en-GB"/>
        </w:rPr>
        <w:t xml:space="preserve">the U.K, a case with qualitatively high standards before adopting IFRS. However, </w:t>
      </w:r>
      <w:r w:rsidR="008157F2" w:rsidRPr="00BB177E">
        <w:rPr>
          <w:bCs/>
          <w:lang w:val="en-GB"/>
        </w:rPr>
        <w:t xml:space="preserve">as they used a totally different methodology not based on </w:t>
      </w:r>
      <w:r w:rsidR="008157F2">
        <w:rPr>
          <w:bCs/>
          <w:lang w:val="en-GB"/>
        </w:rPr>
        <w:t xml:space="preserve">the </w:t>
      </w:r>
      <w:r w:rsidR="008157F2" w:rsidRPr="00BB177E">
        <w:rPr>
          <w:bCs/>
          <w:lang w:val="en-GB"/>
        </w:rPr>
        <w:t>estimating accruals</w:t>
      </w:r>
      <w:r w:rsidR="008157F2">
        <w:rPr>
          <w:bCs/>
          <w:lang w:val="en-GB"/>
        </w:rPr>
        <w:t xml:space="preserve">, </w:t>
      </w:r>
      <w:r w:rsidRPr="00BB177E">
        <w:rPr>
          <w:bCs/>
          <w:lang w:val="en-GB"/>
        </w:rPr>
        <w:t xml:space="preserve">comparing the current findings with this study is </w:t>
      </w:r>
      <w:r w:rsidR="008157F2">
        <w:rPr>
          <w:bCs/>
          <w:lang w:val="en-GB"/>
        </w:rPr>
        <w:t xml:space="preserve">not useful. </w:t>
      </w:r>
      <w:r w:rsidRPr="00BB177E">
        <w:rPr>
          <w:bCs/>
          <w:lang w:val="en-GB"/>
        </w:rPr>
        <w:t xml:space="preserve">The study by Paananen and Lin (2008) more resembles the current research approach as they only </w:t>
      </w:r>
      <w:r w:rsidR="008157F2">
        <w:rPr>
          <w:bCs/>
          <w:lang w:val="en-GB"/>
        </w:rPr>
        <w:t xml:space="preserve">investigated </w:t>
      </w:r>
      <w:r w:rsidRPr="00BB177E">
        <w:rPr>
          <w:bCs/>
          <w:lang w:val="en-GB"/>
        </w:rPr>
        <w:t xml:space="preserve">the comparable case of Germany and used a method based on </w:t>
      </w:r>
      <w:r w:rsidR="008157F2">
        <w:rPr>
          <w:bCs/>
          <w:lang w:val="en-GB"/>
        </w:rPr>
        <w:t xml:space="preserve">the </w:t>
      </w:r>
      <w:r w:rsidRPr="00BB177E">
        <w:rPr>
          <w:bCs/>
          <w:lang w:val="en-GB"/>
        </w:rPr>
        <w:t xml:space="preserve">income scaled by total assets. However this study showed that </w:t>
      </w:r>
      <w:r w:rsidR="008157F2" w:rsidRPr="00BB177E">
        <w:rPr>
          <w:bCs/>
          <w:lang w:val="en-GB"/>
        </w:rPr>
        <w:t xml:space="preserve">after the introduction of IFRS </w:t>
      </w:r>
      <w:r w:rsidRPr="00BB177E">
        <w:rPr>
          <w:bCs/>
          <w:lang w:val="en-GB"/>
        </w:rPr>
        <w:t xml:space="preserve">accounting quality worsened over time. It is difficult to explain why this finding deviates from the findings of this research. Probably the fact that their study period only reaches to the year 2006, which might be a too short period for investigating the effect of </w:t>
      </w:r>
      <w:r w:rsidR="008157F2">
        <w:rPr>
          <w:bCs/>
          <w:lang w:val="en-GB"/>
        </w:rPr>
        <w:t xml:space="preserve">the </w:t>
      </w:r>
      <w:r w:rsidRPr="00BB177E">
        <w:rPr>
          <w:bCs/>
          <w:lang w:val="en-GB"/>
        </w:rPr>
        <w:t xml:space="preserve">mandatory adoption, can be an explanation. </w:t>
      </w:r>
    </w:p>
    <w:p w:rsidR="00A16D76" w:rsidRPr="00BB177E" w:rsidRDefault="00A16D76" w:rsidP="00A16D76">
      <w:pPr>
        <w:autoSpaceDE w:val="0"/>
        <w:autoSpaceDN w:val="0"/>
        <w:adjustRightInd w:val="0"/>
        <w:spacing w:after="0"/>
        <w:jc w:val="both"/>
        <w:rPr>
          <w:bCs/>
          <w:lang w:val="en-GB"/>
        </w:rPr>
      </w:pPr>
    </w:p>
    <w:p w:rsidR="00A16D76" w:rsidRPr="0029500A" w:rsidRDefault="00A16D76" w:rsidP="00A16D76">
      <w:pPr>
        <w:autoSpaceDE w:val="0"/>
        <w:autoSpaceDN w:val="0"/>
        <w:adjustRightInd w:val="0"/>
        <w:spacing w:after="0"/>
        <w:jc w:val="both"/>
        <w:rPr>
          <w:rFonts w:ascii="Calibri" w:hAnsi="Calibri" w:cs="Times New Roman"/>
          <w:lang w:val="en-GB"/>
        </w:rPr>
      </w:pPr>
      <w:r w:rsidRPr="00BB177E">
        <w:rPr>
          <w:bCs/>
          <w:lang w:val="en-GB"/>
        </w:rPr>
        <w:t xml:space="preserve">As was already suggested in the first chapter it might well be the case that the previously used NL GAAP standards did not deviate much from the quality of IFRS. The introduction of </w:t>
      </w:r>
      <w:r w:rsidR="008157F2">
        <w:rPr>
          <w:bCs/>
          <w:lang w:val="en-GB"/>
        </w:rPr>
        <w:t xml:space="preserve">IFRS consequently </w:t>
      </w:r>
      <w:r w:rsidRPr="00BB177E">
        <w:rPr>
          <w:bCs/>
          <w:lang w:val="en-GB"/>
        </w:rPr>
        <w:t xml:space="preserve">might not have shown the same effects on the use of earnings management as some other studies observed investigating other cases. </w:t>
      </w:r>
      <w:r w:rsidR="008157F2">
        <w:rPr>
          <w:bCs/>
          <w:lang w:val="en-GB"/>
        </w:rPr>
        <w:t xml:space="preserve">In addition </w:t>
      </w:r>
      <w:r w:rsidRPr="00BB177E">
        <w:rPr>
          <w:bCs/>
          <w:lang w:val="en-GB"/>
        </w:rPr>
        <w:t>differences in the used methods might explain why</w:t>
      </w:r>
      <w:r w:rsidR="008157F2" w:rsidRPr="008157F2">
        <w:rPr>
          <w:bCs/>
          <w:lang w:val="en-GB"/>
        </w:rPr>
        <w:t xml:space="preserve"> </w:t>
      </w:r>
      <w:r w:rsidR="008157F2" w:rsidRPr="00BB177E">
        <w:rPr>
          <w:bCs/>
          <w:lang w:val="en-GB"/>
        </w:rPr>
        <w:t>after the mandatory adoption of IFRS in 2005</w:t>
      </w:r>
      <w:r w:rsidRPr="00BB177E">
        <w:rPr>
          <w:bCs/>
          <w:lang w:val="en-GB"/>
        </w:rPr>
        <w:t xml:space="preserve"> </w:t>
      </w:r>
      <w:r w:rsidR="008157F2">
        <w:rPr>
          <w:bCs/>
          <w:lang w:val="en-GB"/>
        </w:rPr>
        <w:t xml:space="preserve">in the Netherlands </w:t>
      </w:r>
      <w:r w:rsidRPr="00BB177E">
        <w:rPr>
          <w:bCs/>
          <w:lang w:val="en-GB"/>
        </w:rPr>
        <w:t>a different trend in the use of earnings management was not observed.</w:t>
      </w:r>
    </w:p>
    <w:p w:rsidR="008460A5" w:rsidRPr="005635D8" w:rsidRDefault="008460A5" w:rsidP="00A51D87">
      <w:pPr>
        <w:pStyle w:val="BodyText"/>
        <w:spacing w:after="0" w:line="276" w:lineRule="auto"/>
        <w:jc w:val="both"/>
        <w:rPr>
          <w:rFonts w:ascii="Calibri" w:hAnsi="Calibri"/>
          <w:sz w:val="22"/>
          <w:szCs w:val="22"/>
          <w:lang w:val="en-GB"/>
        </w:rPr>
      </w:pPr>
      <w:r w:rsidRPr="005635D8">
        <w:rPr>
          <w:rFonts w:ascii="Calibri" w:eastAsia="PMingLiU" w:hAnsi="Calibri"/>
          <w:sz w:val="22"/>
          <w:szCs w:val="22"/>
          <w:lang w:val="en-GB"/>
        </w:rPr>
        <w:t>The second hypothesis was adopted in the study in order to control whether differences between branches of industry influence to what extent firms use discretionary accruals.</w:t>
      </w:r>
      <w:r w:rsidR="00A51D87" w:rsidRPr="005635D8">
        <w:rPr>
          <w:rFonts w:ascii="Calibri" w:eastAsia="PMingLiU" w:hAnsi="Calibri"/>
          <w:sz w:val="22"/>
          <w:szCs w:val="22"/>
          <w:lang w:val="en-GB"/>
        </w:rPr>
        <w:t xml:space="preserve"> </w:t>
      </w:r>
      <w:r w:rsidR="00A51D87" w:rsidRPr="005635D8">
        <w:rPr>
          <w:rFonts w:ascii="Calibri" w:hAnsi="Calibri"/>
          <w:color w:val="000000"/>
          <w:lang w:val="en-GB"/>
        </w:rPr>
        <w:t xml:space="preserve">Potentially industry </w:t>
      </w:r>
      <w:r w:rsidR="00A51D87" w:rsidRPr="008157F2">
        <w:rPr>
          <w:rFonts w:ascii="Calibri" w:hAnsi="Calibri"/>
          <w:color w:val="000000"/>
          <w:sz w:val="22"/>
          <w:szCs w:val="22"/>
          <w:lang w:val="en-GB"/>
        </w:rPr>
        <w:t>specific reporting requirements might influence in which way companies report their figures. In order to control for this potential influence this study tested the null-hypothesis that industry differences do not influence the main relations in the study.</w:t>
      </w:r>
      <w:r w:rsidRPr="008157F2">
        <w:rPr>
          <w:rFonts w:ascii="Calibri" w:eastAsia="PMingLiU" w:hAnsi="Calibri"/>
          <w:sz w:val="22"/>
          <w:szCs w:val="22"/>
          <w:lang w:val="en-GB"/>
        </w:rPr>
        <w:t xml:space="preserve"> The second hypothesis </w:t>
      </w:r>
      <w:r w:rsidRPr="005635D8">
        <w:rPr>
          <w:rFonts w:ascii="Calibri" w:eastAsia="PMingLiU" w:hAnsi="Calibri"/>
          <w:sz w:val="22"/>
          <w:szCs w:val="22"/>
          <w:lang w:val="en-GB"/>
        </w:rPr>
        <w:t>states:</w:t>
      </w:r>
      <w:r w:rsidRPr="005635D8">
        <w:rPr>
          <w:rFonts w:ascii="Calibri" w:hAnsi="Calibri"/>
          <w:i/>
          <w:sz w:val="22"/>
          <w:szCs w:val="22"/>
          <w:lang w:val="en-GB"/>
        </w:rPr>
        <w:t xml:space="preserve"> The industry in which a firm operates has no significant influence on the level of earnings management.</w:t>
      </w:r>
      <w:r w:rsidRPr="005635D8">
        <w:rPr>
          <w:rFonts w:ascii="Calibri" w:hAnsi="Calibri"/>
          <w:sz w:val="22"/>
          <w:szCs w:val="22"/>
          <w:lang w:val="en-GB"/>
        </w:rPr>
        <w:t xml:space="preserve"> This hypothesis cannot be rejected. The regression models showed that differences between industry-groups never had a significant effect upon the absolute values of discretionary accruals scaled by lagged total assets. Any evidence that the hypothesis should be rejected was not found. The industry in which a firm operates has no influence on the level of the use of earnings management. </w:t>
      </w:r>
      <w:r w:rsidR="00E770FC" w:rsidRPr="005635D8">
        <w:rPr>
          <w:rFonts w:ascii="Calibri" w:hAnsi="Calibri"/>
          <w:sz w:val="22"/>
          <w:szCs w:val="22"/>
          <w:lang w:val="en-GB"/>
        </w:rPr>
        <w:t>The exclusion of financial institutions and utility companies from the sample might be one of the main causes for the fact that industry difference</w:t>
      </w:r>
      <w:r w:rsidR="00F71CFA">
        <w:rPr>
          <w:rFonts w:ascii="Calibri" w:hAnsi="Calibri"/>
          <w:sz w:val="22"/>
          <w:szCs w:val="22"/>
          <w:lang w:val="en-GB"/>
        </w:rPr>
        <w:t>s</w:t>
      </w:r>
      <w:r w:rsidR="00E770FC" w:rsidRPr="005635D8">
        <w:rPr>
          <w:rFonts w:ascii="Calibri" w:hAnsi="Calibri"/>
          <w:sz w:val="22"/>
          <w:szCs w:val="22"/>
          <w:lang w:val="en-GB"/>
        </w:rPr>
        <w:t xml:space="preserve"> have no significant impact on </w:t>
      </w:r>
      <w:r w:rsidR="00F71CFA">
        <w:rPr>
          <w:rFonts w:ascii="Calibri" w:hAnsi="Calibri"/>
          <w:sz w:val="22"/>
          <w:szCs w:val="22"/>
          <w:lang w:val="en-GB"/>
        </w:rPr>
        <w:t xml:space="preserve">the </w:t>
      </w:r>
      <w:r w:rsidR="00E770FC" w:rsidRPr="005635D8">
        <w:rPr>
          <w:rFonts w:ascii="Calibri" w:hAnsi="Calibri"/>
          <w:sz w:val="22"/>
          <w:szCs w:val="22"/>
          <w:lang w:val="en-GB"/>
        </w:rPr>
        <w:t xml:space="preserve">levels of </w:t>
      </w:r>
      <w:r w:rsidR="00F71CFA">
        <w:rPr>
          <w:rFonts w:ascii="Calibri" w:hAnsi="Calibri"/>
          <w:sz w:val="22"/>
          <w:szCs w:val="22"/>
          <w:lang w:val="en-GB"/>
        </w:rPr>
        <w:t xml:space="preserve">the use of </w:t>
      </w:r>
      <w:r w:rsidR="00E770FC" w:rsidRPr="005635D8">
        <w:rPr>
          <w:rFonts w:ascii="Calibri" w:hAnsi="Calibri"/>
          <w:sz w:val="22"/>
          <w:szCs w:val="22"/>
          <w:lang w:val="en-GB"/>
        </w:rPr>
        <w:t>earnings management. With the exclusion of these two types of companies the variance in the industry branch differences variable is likely to be reduced to a large extent.</w:t>
      </w:r>
      <w:r w:rsidR="00A16D76" w:rsidRPr="00A16D76">
        <w:rPr>
          <w:rFonts w:ascii="Calibri" w:hAnsi="Calibri"/>
          <w:sz w:val="22"/>
          <w:szCs w:val="22"/>
          <w:lang w:val="en-GB"/>
        </w:rPr>
        <w:t xml:space="preserve"> </w:t>
      </w:r>
      <w:r w:rsidR="00F24543" w:rsidRPr="00BC052A">
        <w:rPr>
          <w:rFonts w:ascii="Calibri" w:hAnsi="Calibri"/>
          <w:sz w:val="22"/>
          <w:szCs w:val="22"/>
          <w:lang w:val="en-GB"/>
        </w:rPr>
        <w:t xml:space="preserve">The industry branches remaining in the sample might not differ so much with regard to industry </w:t>
      </w:r>
      <w:r w:rsidR="00761970" w:rsidRPr="00F24543">
        <w:rPr>
          <w:rFonts w:ascii="Calibri" w:hAnsi="Calibri"/>
          <w:sz w:val="22"/>
          <w:szCs w:val="22"/>
          <w:lang w:val="en-GB"/>
        </w:rPr>
        <w:t>specific reporting requirements which reduce</w:t>
      </w:r>
      <w:r w:rsidR="00F24543" w:rsidRPr="00BC052A">
        <w:rPr>
          <w:rFonts w:ascii="Calibri" w:hAnsi="Calibri"/>
          <w:sz w:val="22"/>
          <w:szCs w:val="22"/>
          <w:lang w:val="en-GB"/>
        </w:rPr>
        <w:t xml:space="preserve"> the variance between </w:t>
      </w:r>
      <w:r w:rsidR="008157F2">
        <w:rPr>
          <w:rFonts w:ascii="Calibri" w:hAnsi="Calibri"/>
          <w:sz w:val="22"/>
          <w:szCs w:val="22"/>
          <w:lang w:val="en-GB"/>
        </w:rPr>
        <w:t xml:space="preserve">the </w:t>
      </w:r>
      <w:r w:rsidR="00F24543" w:rsidRPr="00BC052A">
        <w:rPr>
          <w:rFonts w:ascii="Calibri" w:hAnsi="Calibri"/>
          <w:sz w:val="22"/>
          <w:szCs w:val="22"/>
          <w:lang w:val="en-GB"/>
        </w:rPr>
        <w:t>industry branches. This eliminates the underlying logic of the hypothesis. As exclusion of the two types of industries with the most deviating specific reporting requirements is commonplace</w:t>
      </w:r>
      <w:r w:rsidR="008157F2">
        <w:rPr>
          <w:rFonts w:ascii="Calibri" w:hAnsi="Calibri"/>
          <w:sz w:val="22"/>
          <w:szCs w:val="22"/>
          <w:lang w:val="en-GB"/>
        </w:rPr>
        <w:t>.</w:t>
      </w:r>
      <w:r w:rsidR="00E770FC" w:rsidRPr="005635D8">
        <w:rPr>
          <w:rFonts w:ascii="Calibri" w:hAnsi="Calibri"/>
          <w:sz w:val="22"/>
          <w:szCs w:val="22"/>
          <w:lang w:val="en-GB"/>
        </w:rPr>
        <w:t xml:space="preserve"> As exclusion of these two types of companies is commonplace in the sampling procedure for this kind of studies, the fact that most articles now neglect the possible disturbing impact of industry difference can be explained</w:t>
      </w:r>
      <w:r w:rsidR="00E770FC" w:rsidRPr="008157F2">
        <w:rPr>
          <w:rFonts w:ascii="Calibri" w:hAnsi="Calibri"/>
          <w:sz w:val="22"/>
          <w:szCs w:val="22"/>
          <w:lang w:val="en-GB"/>
        </w:rPr>
        <w:t>.</w:t>
      </w:r>
      <w:r w:rsidR="00A16D76" w:rsidRPr="008157F2">
        <w:rPr>
          <w:rFonts w:ascii="Calibri" w:hAnsi="Calibri"/>
          <w:sz w:val="22"/>
          <w:szCs w:val="22"/>
          <w:lang w:val="en-GB"/>
        </w:rPr>
        <w:t xml:space="preserve"> </w:t>
      </w:r>
      <w:r w:rsidR="00F24543" w:rsidRPr="00BC052A">
        <w:rPr>
          <w:rFonts w:ascii="Calibri" w:hAnsi="Calibri"/>
          <w:sz w:val="22"/>
          <w:szCs w:val="22"/>
          <w:lang w:val="en-GB"/>
        </w:rPr>
        <w:t xml:space="preserve">The finding that the null hypothesis cannot be rejected </w:t>
      </w:r>
      <w:r w:rsidR="008157F2">
        <w:rPr>
          <w:rFonts w:ascii="Calibri" w:hAnsi="Calibri"/>
          <w:sz w:val="22"/>
          <w:szCs w:val="22"/>
          <w:lang w:val="en-GB"/>
        </w:rPr>
        <w:t xml:space="preserve">consequently </w:t>
      </w:r>
      <w:r w:rsidR="00F24543" w:rsidRPr="00BC052A">
        <w:rPr>
          <w:rFonts w:ascii="Calibri" w:hAnsi="Calibri"/>
          <w:sz w:val="22"/>
          <w:szCs w:val="22"/>
          <w:lang w:val="en-GB"/>
        </w:rPr>
        <w:t>is not surprising. Probably for this reason few other resent publications included this variable in their analyses.</w:t>
      </w:r>
    </w:p>
    <w:p w:rsidR="008460A5" w:rsidRPr="005635D8" w:rsidRDefault="008460A5" w:rsidP="008460A5">
      <w:pPr>
        <w:pStyle w:val="BodyText"/>
        <w:spacing w:after="0" w:line="276" w:lineRule="auto"/>
        <w:rPr>
          <w:rFonts w:ascii="Calibri" w:hAnsi="Calibri"/>
          <w:sz w:val="22"/>
          <w:szCs w:val="22"/>
          <w:lang w:val="en-GB"/>
        </w:rPr>
      </w:pPr>
    </w:p>
    <w:p w:rsidR="008460A5" w:rsidRPr="005635D8" w:rsidRDefault="008460A5" w:rsidP="003C0657">
      <w:pPr>
        <w:pStyle w:val="BodyText"/>
        <w:spacing w:after="0" w:line="276" w:lineRule="auto"/>
        <w:jc w:val="both"/>
        <w:rPr>
          <w:rFonts w:ascii="Calibri" w:hAnsi="Calibri"/>
          <w:color w:val="FF0000"/>
          <w:sz w:val="22"/>
          <w:szCs w:val="22"/>
          <w:lang w:val="en-GB"/>
        </w:rPr>
      </w:pPr>
      <w:r w:rsidRPr="005635D8">
        <w:rPr>
          <w:rFonts w:ascii="Calibri" w:hAnsi="Calibri"/>
          <w:sz w:val="22"/>
          <w:szCs w:val="22"/>
          <w:lang w:val="en-GB"/>
        </w:rPr>
        <w:t>The last hypothesis served as a proxy for the political cost hypothesis. Larger firms were expected to manage their earnings downwards in order not to attract to much political attention. The third hypothesis states:</w:t>
      </w:r>
      <w:r w:rsidRPr="005635D8">
        <w:rPr>
          <w:rFonts w:ascii="Calibri" w:hAnsi="Calibri"/>
          <w:i/>
          <w:color w:val="000000" w:themeColor="text1"/>
          <w:sz w:val="22"/>
          <w:szCs w:val="22"/>
          <w:lang w:val="en-GB"/>
        </w:rPr>
        <w:t xml:space="preserve"> The size of the firm has a significant influence on the level of earnings management.</w:t>
      </w:r>
      <w:r w:rsidRPr="005635D8">
        <w:rPr>
          <w:rFonts w:ascii="Calibri" w:hAnsi="Calibri"/>
          <w:color w:val="000000" w:themeColor="text1"/>
          <w:sz w:val="22"/>
          <w:szCs w:val="22"/>
          <w:lang w:val="en-GB"/>
        </w:rPr>
        <w:t xml:space="preserve"> Some evidence that this hypothesis cannot be rejected was found in the first regression model. The variable size had a significant negative impact on the absolute value of the discretionary accruals scaled by the lagged total assets. This surprisingly implies that when firms grow larger the absolute amount of managing the discretionary accruals decreases a bit. Opposed to the political cost hypothesis larger firms do not engage more in earnings management in order to manage their accruals downwards.</w:t>
      </w:r>
      <w:r w:rsidR="00E770FC" w:rsidRPr="005635D8">
        <w:rPr>
          <w:rFonts w:ascii="Calibri" w:hAnsi="Calibri"/>
          <w:color w:val="000000" w:themeColor="text1"/>
          <w:sz w:val="22"/>
          <w:szCs w:val="22"/>
          <w:lang w:val="en-GB"/>
        </w:rPr>
        <w:t xml:space="preserve"> T</w:t>
      </w:r>
      <w:r w:rsidR="003C0657" w:rsidRPr="005635D8">
        <w:rPr>
          <w:rFonts w:ascii="Calibri" w:hAnsi="Calibri"/>
          <w:color w:val="000000" w:themeColor="text1"/>
          <w:sz w:val="22"/>
          <w:szCs w:val="22"/>
          <w:lang w:val="en-GB"/>
        </w:rPr>
        <w:t>his evidence can be used against the theoretical expectations by Watts and Zimmerman (1978) and Deegan and Une</w:t>
      </w:r>
      <w:r w:rsidR="00F71CFA">
        <w:rPr>
          <w:rFonts w:ascii="Calibri" w:hAnsi="Calibri"/>
          <w:color w:val="000000" w:themeColor="text1"/>
          <w:sz w:val="22"/>
          <w:szCs w:val="22"/>
          <w:lang w:val="en-GB"/>
        </w:rPr>
        <w:t>r</w:t>
      </w:r>
      <w:r w:rsidR="003C0657" w:rsidRPr="005635D8">
        <w:rPr>
          <w:rFonts w:ascii="Calibri" w:hAnsi="Calibri"/>
          <w:color w:val="000000" w:themeColor="text1"/>
          <w:sz w:val="22"/>
          <w:szCs w:val="22"/>
          <w:lang w:val="en-GB"/>
        </w:rPr>
        <w:t xml:space="preserve">man (2006) that larger firms attract more political attention and consequently are more likely to manage their earnings downwards. The finding </w:t>
      </w:r>
      <w:r w:rsidR="00F71CFA">
        <w:rPr>
          <w:rFonts w:ascii="Calibri" w:hAnsi="Calibri"/>
          <w:color w:val="000000" w:themeColor="text1"/>
          <w:sz w:val="22"/>
          <w:szCs w:val="22"/>
          <w:lang w:val="en-GB"/>
        </w:rPr>
        <w:t>in addition</w:t>
      </w:r>
      <w:r w:rsidR="003C0657" w:rsidRPr="005635D8">
        <w:rPr>
          <w:rFonts w:ascii="Calibri" w:hAnsi="Calibri"/>
          <w:color w:val="000000" w:themeColor="text1"/>
          <w:sz w:val="22"/>
          <w:szCs w:val="22"/>
          <w:lang w:val="en-GB"/>
        </w:rPr>
        <w:t xml:space="preserve"> contradict</w:t>
      </w:r>
      <w:r w:rsidR="00F71CFA">
        <w:rPr>
          <w:rFonts w:ascii="Calibri" w:hAnsi="Calibri"/>
          <w:color w:val="000000" w:themeColor="text1"/>
          <w:sz w:val="22"/>
          <w:szCs w:val="22"/>
          <w:lang w:val="en-GB"/>
        </w:rPr>
        <w:t>s</w:t>
      </w:r>
      <w:r w:rsidR="003C0657" w:rsidRPr="005635D8">
        <w:rPr>
          <w:rFonts w:ascii="Calibri" w:hAnsi="Calibri"/>
          <w:color w:val="000000" w:themeColor="text1"/>
          <w:sz w:val="22"/>
          <w:szCs w:val="22"/>
          <w:lang w:val="en-GB"/>
        </w:rPr>
        <w:t xml:space="preserve"> the empirically investigated findings </w:t>
      </w:r>
      <w:r w:rsidR="003C0657" w:rsidRPr="00F71CFA">
        <w:rPr>
          <w:rFonts w:ascii="Calibri" w:hAnsi="Calibri"/>
          <w:color w:val="000000" w:themeColor="text1"/>
          <w:sz w:val="22"/>
          <w:szCs w:val="22"/>
          <w:lang w:val="en-GB"/>
        </w:rPr>
        <w:t xml:space="preserve">by </w:t>
      </w:r>
      <w:r w:rsidR="003C0657" w:rsidRPr="00A16D76">
        <w:rPr>
          <w:rFonts w:ascii="Calibri" w:hAnsi="Calibri" w:cs="TimesNewRoman"/>
          <w:sz w:val="22"/>
          <w:lang w:val="en-GB"/>
        </w:rPr>
        <w:t>Belkaoui and Karpik</w:t>
      </w:r>
      <w:r w:rsidR="003C0657" w:rsidRPr="005635D8">
        <w:rPr>
          <w:rFonts w:ascii="Calibri" w:hAnsi="Calibri" w:cs="TimesNewRoman"/>
          <w:lang w:val="en-GB"/>
        </w:rPr>
        <w:t xml:space="preserve"> </w:t>
      </w:r>
      <w:r w:rsidR="003C0657" w:rsidRPr="00A16D76">
        <w:rPr>
          <w:rFonts w:ascii="Calibri" w:hAnsi="Calibri" w:cs="TimesNewRoman"/>
          <w:sz w:val="22"/>
          <w:lang w:val="en-GB"/>
        </w:rPr>
        <w:t>(1989) who found that politically visible firms</w:t>
      </w:r>
      <w:r w:rsidR="003C0657" w:rsidRPr="00A16D76">
        <w:rPr>
          <w:rFonts w:ascii="Calibri" w:hAnsi="Calibri"/>
          <w:sz w:val="22"/>
          <w:lang w:val="en-GB"/>
        </w:rPr>
        <w:t xml:space="preserve"> </w:t>
      </w:r>
      <w:r w:rsidR="003C0657" w:rsidRPr="00A16D76">
        <w:rPr>
          <w:rFonts w:ascii="Calibri" w:hAnsi="Calibri" w:cs="TimesNewRoman"/>
          <w:sz w:val="22"/>
          <w:lang w:val="en-GB"/>
        </w:rPr>
        <w:t>disclose more information. Potentially the logic behind the political cost hypothesis has reversed over the last decades. It can now be the case that politically visible firms have to be more cautious with engaging in earnings management as their accounting procedures will be better checked and will be more prone to media attention than the reported statements by smaller firms. However</w:t>
      </w:r>
      <w:r w:rsidR="003C0657" w:rsidRPr="005635D8">
        <w:rPr>
          <w:rFonts w:ascii="Calibri" w:hAnsi="Calibri" w:cs="TimesNewRoman"/>
          <w:lang w:val="en-GB"/>
        </w:rPr>
        <w:t>, t</w:t>
      </w:r>
      <w:r w:rsidRPr="005635D8">
        <w:rPr>
          <w:rFonts w:ascii="Calibri" w:hAnsi="Calibri"/>
          <w:color w:val="000000" w:themeColor="text1"/>
          <w:sz w:val="22"/>
          <w:szCs w:val="22"/>
          <w:lang w:val="en-GB"/>
        </w:rPr>
        <w:t>his conclusion should be taken with some caution as the overall regression model was not significant a</w:t>
      </w:r>
      <w:r w:rsidR="003C0657" w:rsidRPr="005635D8">
        <w:rPr>
          <w:rFonts w:ascii="Calibri" w:hAnsi="Calibri"/>
          <w:color w:val="000000" w:themeColor="text1"/>
          <w:sz w:val="22"/>
          <w:szCs w:val="22"/>
          <w:lang w:val="en-GB"/>
        </w:rPr>
        <w:t>nd the explanatory power of the size variable</w:t>
      </w:r>
      <w:r w:rsidRPr="005635D8">
        <w:rPr>
          <w:rFonts w:ascii="Calibri" w:hAnsi="Calibri"/>
          <w:color w:val="000000" w:themeColor="text1"/>
          <w:sz w:val="22"/>
          <w:szCs w:val="22"/>
          <w:lang w:val="en-GB"/>
        </w:rPr>
        <w:t xml:space="preserve"> is in addition  low.</w:t>
      </w:r>
    </w:p>
    <w:p w:rsidR="00AF4FEF" w:rsidRDefault="00AF4FEF">
      <w:pPr>
        <w:rPr>
          <w:rFonts w:cs="Times New Roman"/>
          <w:lang w:val="en-GB"/>
        </w:rPr>
      </w:pPr>
    </w:p>
    <w:p w:rsidR="003B0113" w:rsidRPr="005635D8" w:rsidRDefault="003B0113">
      <w:pPr>
        <w:rPr>
          <w:rFonts w:cs="Times New Roman"/>
          <w:lang w:val="en-GB"/>
        </w:rPr>
      </w:pPr>
      <w:r>
        <w:rPr>
          <w:rFonts w:cs="Times New Roman"/>
          <w:lang w:val="en-GB"/>
        </w:rPr>
        <w:t>The next chapter contains the conclusion.</w:t>
      </w:r>
    </w:p>
    <w:p w:rsidR="00177CBE" w:rsidRPr="005635D8" w:rsidRDefault="00177CBE">
      <w:pPr>
        <w:rPr>
          <w:rFonts w:cs="Times New Roman"/>
          <w:lang w:val="en-GB"/>
        </w:rPr>
      </w:pPr>
      <w:r w:rsidRPr="005635D8">
        <w:rPr>
          <w:rFonts w:cs="Times New Roman"/>
          <w:lang w:val="en-GB"/>
        </w:rPr>
        <w:br w:type="page"/>
      </w:r>
    </w:p>
    <w:p w:rsidR="00177CBE" w:rsidRDefault="00177CBE" w:rsidP="005D7DD1">
      <w:pPr>
        <w:pStyle w:val="Heading1"/>
      </w:pPr>
      <w:bookmarkStart w:id="89" w:name="_Toc362267313"/>
      <w:r w:rsidRPr="005635D8">
        <w:t>10</w:t>
      </w:r>
      <w:r w:rsidR="00803DAA" w:rsidRPr="005635D8">
        <w:t xml:space="preserve"> Conclusion</w:t>
      </w:r>
      <w:bookmarkEnd w:id="89"/>
    </w:p>
    <w:p w:rsidR="00DB17FE" w:rsidRDefault="00DB17FE" w:rsidP="00DB17FE">
      <w:pPr>
        <w:rPr>
          <w:lang w:val="en-GB"/>
        </w:rPr>
      </w:pPr>
    </w:p>
    <w:p w:rsidR="00A16D76" w:rsidRPr="0029500A" w:rsidRDefault="00F24543" w:rsidP="00A16D76">
      <w:pPr>
        <w:jc w:val="both"/>
        <w:rPr>
          <w:lang w:val="en-GB"/>
        </w:rPr>
      </w:pPr>
      <w:r w:rsidRPr="00BC052A">
        <w:rPr>
          <w:lang w:val="en-GB"/>
        </w:rPr>
        <w:t>In this chapter the final conclusions will be presented. First, a summary of the first chapters of the thesis is provided by shortly signalling the main conclusions of the chapters on the theoretical background, the supposed role of adopting IFRS and the concept of earnings management. Next the main conclusions with regard to measurement methods and the empirical research within this thesis are shortly summarized. In the second paragraph the answer to the main research question is shortly formulated. In the third paragraph the limitations to this thesis will be commented. The final paragraph concludes with providing recommendations for further research.</w:t>
      </w:r>
    </w:p>
    <w:p w:rsidR="003F5531" w:rsidRPr="005635D8" w:rsidRDefault="00C6563D" w:rsidP="001E4C5D">
      <w:pPr>
        <w:pStyle w:val="Heading3"/>
        <w:rPr>
          <w:rFonts w:cs="Times New Roman"/>
          <w:lang w:val="en-GB"/>
        </w:rPr>
      </w:pPr>
      <w:bookmarkStart w:id="90" w:name="_Toc362267314"/>
      <w:r w:rsidRPr="005635D8">
        <w:rPr>
          <w:lang w:val="en-GB"/>
        </w:rPr>
        <w:t xml:space="preserve">10 .1 </w:t>
      </w:r>
      <w:r w:rsidR="00120277" w:rsidRPr="005635D8">
        <w:rPr>
          <w:lang w:val="en-GB"/>
        </w:rPr>
        <w:t>Summary of the research</w:t>
      </w:r>
      <w:bookmarkEnd w:id="90"/>
    </w:p>
    <w:p w:rsidR="00120277" w:rsidRPr="005635D8" w:rsidRDefault="00120277" w:rsidP="00767B61">
      <w:pPr>
        <w:autoSpaceDE w:val="0"/>
        <w:autoSpaceDN w:val="0"/>
        <w:adjustRightInd w:val="0"/>
        <w:spacing w:after="0"/>
        <w:jc w:val="both"/>
        <w:rPr>
          <w:rFonts w:cs="Times New Roman"/>
          <w:lang w:val="en-GB"/>
        </w:rPr>
      </w:pPr>
      <w:r w:rsidRPr="005635D8">
        <w:rPr>
          <w:rFonts w:cs="Times New Roman"/>
          <w:lang w:val="en-GB"/>
        </w:rPr>
        <w:t xml:space="preserve">In this research the </w:t>
      </w:r>
      <w:r w:rsidR="00D312DE" w:rsidRPr="005635D8">
        <w:rPr>
          <w:rFonts w:cs="Times New Roman"/>
          <w:lang w:val="en-GB"/>
        </w:rPr>
        <w:t xml:space="preserve">following </w:t>
      </w:r>
      <w:r w:rsidRPr="005635D8">
        <w:rPr>
          <w:rFonts w:cs="Times New Roman"/>
          <w:lang w:val="en-GB"/>
        </w:rPr>
        <w:t>main question</w:t>
      </w:r>
      <w:r w:rsidR="00D312DE" w:rsidRPr="005635D8">
        <w:rPr>
          <w:rFonts w:cs="Times New Roman"/>
          <w:lang w:val="en-GB"/>
        </w:rPr>
        <w:t xml:space="preserve"> was studied:</w:t>
      </w:r>
      <w:r w:rsidRPr="005635D8">
        <w:rPr>
          <w:rFonts w:cs="Times New Roman"/>
          <w:lang w:val="en-GB"/>
        </w:rPr>
        <w:t xml:space="preserve"> </w:t>
      </w:r>
      <w:r w:rsidR="00D312DE" w:rsidRPr="005635D8">
        <w:rPr>
          <w:rFonts w:ascii="Calibri" w:hAnsi="Calibri"/>
          <w:bCs/>
          <w:i/>
          <w:lang w:val="en-GB"/>
        </w:rPr>
        <w:t xml:space="preserve">Does with the introduction of IFRS the use of Earnings Management among Dutch stock-exchange quoted firms decline? </w:t>
      </w:r>
      <w:r w:rsidR="00D312DE" w:rsidRPr="005635D8">
        <w:rPr>
          <w:rFonts w:ascii="Calibri" w:hAnsi="Calibri"/>
          <w:bCs/>
          <w:lang w:val="en-GB"/>
        </w:rPr>
        <w:t xml:space="preserve">This question was asked from the background perspective that accounting regulations were increasingly strengthened during the last decade as an answer to major accounting scandals occurring during the first decade of the new millennium. Due to those scandals the reliability and the quality of the accounting standards used by the involved companies was being questioned. </w:t>
      </w:r>
      <w:r w:rsidR="00F56635" w:rsidRPr="005635D8">
        <w:rPr>
          <w:rFonts w:ascii="Calibri" w:hAnsi="Calibri"/>
          <w:bCs/>
          <w:lang w:val="en-GB"/>
        </w:rPr>
        <w:t>The concept of earnings management was the central concept under investigation in this study.</w:t>
      </w:r>
    </w:p>
    <w:p w:rsidR="001B3C24" w:rsidRPr="005635D8" w:rsidRDefault="001B3C24" w:rsidP="00632021">
      <w:pPr>
        <w:autoSpaceDE w:val="0"/>
        <w:autoSpaceDN w:val="0"/>
        <w:adjustRightInd w:val="0"/>
        <w:spacing w:after="0"/>
        <w:jc w:val="both"/>
        <w:rPr>
          <w:rFonts w:cs="Times New Roman"/>
          <w:lang w:val="en-GB"/>
        </w:rPr>
      </w:pPr>
    </w:p>
    <w:p w:rsidR="00092335" w:rsidRPr="005635D8" w:rsidRDefault="00092335" w:rsidP="00767B61">
      <w:pPr>
        <w:autoSpaceDE w:val="0"/>
        <w:autoSpaceDN w:val="0"/>
        <w:adjustRightInd w:val="0"/>
        <w:spacing w:after="0"/>
        <w:jc w:val="both"/>
        <w:rPr>
          <w:rFonts w:ascii="Calibri" w:hAnsi="Calibri" w:cs="Times New Roman"/>
          <w:lang w:val="en-GB"/>
        </w:rPr>
      </w:pPr>
      <w:r w:rsidRPr="005635D8">
        <w:rPr>
          <w:rFonts w:ascii="Calibri" w:hAnsi="Calibri" w:cs="Times New Roman"/>
          <w:lang w:val="en-GB"/>
        </w:rPr>
        <w:t xml:space="preserve">The second chapter provided several background theories from which the study of earnings management is developed. </w:t>
      </w:r>
      <w:r w:rsidR="00767B61" w:rsidRPr="005635D8">
        <w:rPr>
          <w:rFonts w:ascii="Calibri" w:hAnsi="Calibri" w:cs="Times New Roman"/>
          <w:lang w:val="en-GB"/>
        </w:rPr>
        <w:t>After commenting on the relation between the concept of earnings management and the background theories it was</w:t>
      </w:r>
      <w:r w:rsidRPr="005635D8">
        <w:rPr>
          <w:rFonts w:ascii="Calibri" w:hAnsi="Calibri" w:cs="Times New Roman"/>
          <w:lang w:val="en-GB"/>
        </w:rPr>
        <w:t xml:space="preserve"> concluded that the theoretical approaches studying earnings management strongly rely upon many of the assumptions and hypotheses </w:t>
      </w:r>
      <w:r w:rsidR="0098240C" w:rsidRPr="005635D8">
        <w:rPr>
          <w:rFonts w:ascii="Calibri" w:hAnsi="Calibri" w:cs="Times New Roman"/>
          <w:lang w:val="en-GB"/>
        </w:rPr>
        <w:t xml:space="preserve">in </w:t>
      </w:r>
      <w:r w:rsidRPr="005635D8">
        <w:rPr>
          <w:rFonts w:ascii="Calibri" w:hAnsi="Calibri" w:cs="Times New Roman"/>
          <w:lang w:val="en-GB"/>
        </w:rPr>
        <w:t xml:space="preserve">the agency theory and </w:t>
      </w:r>
      <w:r w:rsidR="0098240C" w:rsidRPr="005635D8">
        <w:rPr>
          <w:rFonts w:ascii="Calibri" w:hAnsi="Calibri" w:cs="Times New Roman"/>
          <w:lang w:val="en-GB"/>
        </w:rPr>
        <w:t xml:space="preserve">in </w:t>
      </w:r>
      <w:r w:rsidRPr="005635D8">
        <w:rPr>
          <w:rFonts w:ascii="Calibri" w:hAnsi="Calibri" w:cs="Times New Roman"/>
          <w:lang w:val="en-GB"/>
        </w:rPr>
        <w:t xml:space="preserve">the positive accounting theory. The theoretical field studying </w:t>
      </w:r>
      <w:r w:rsidR="0098240C" w:rsidRPr="005635D8">
        <w:rPr>
          <w:rFonts w:ascii="Calibri" w:hAnsi="Calibri" w:cs="Times New Roman"/>
          <w:lang w:val="en-GB"/>
        </w:rPr>
        <w:t xml:space="preserve">the use of </w:t>
      </w:r>
      <w:r w:rsidRPr="005635D8">
        <w:rPr>
          <w:rFonts w:ascii="Calibri" w:hAnsi="Calibri" w:cs="Times New Roman"/>
          <w:lang w:val="en-GB"/>
        </w:rPr>
        <w:t xml:space="preserve">earnings management can be </w:t>
      </w:r>
      <w:r w:rsidR="0098240C" w:rsidRPr="005635D8">
        <w:rPr>
          <w:rFonts w:ascii="Calibri" w:hAnsi="Calibri" w:cs="Times New Roman"/>
          <w:lang w:val="en-GB"/>
        </w:rPr>
        <w:t xml:space="preserve">qualified </w:t>
      </w:r>
      <w:r w:rsidRPr="005635D8">
        <w:rPr>
          <w:rFonts w:ascii="Calibri" w:hAnsi="Calibri" w:cs="Times New Roman"/>
          <w:lang w:val="en-GB"/>
        </w:rPr>
        <w:t>a</w:t>
      </w:r>
      <w:r w:rsidR="00C6563D" w:rsidRPr="005635D8">
        <w:rPr>
          <w:rFonts w:ascii="Calibri" w:hAnsi="Calibri" w:cs="Times New Roman"/>
          <w:lang w:val="en-GB"/>
        </w:rPr>
        <w:t xml:space="preserve">s </w:t>
      </w:r>
      <w:r w:rsidR="00C33B55" w:rsidRPr="005635D8">
        <w:rPr>
          <w:rFonts w:ascii="Calibri" w:hAnsi="Calibri" w:cs="Times New Roman"/>
          <w:lang w:val="en-GB"/>
        </w:rPr>
        <w:t>a continuation of those theoretical approaches with a more narrowly focuses</w:t>
      </w:r>
      <w:r w:rsidR="002918C9" w:rsidRPr="005635D8">
        <w:rPr>
          <w:rFonts w:ascii="Calibri" w:hAnsi="Calibri" w:cs="Times New Roman"/>
          <w:lang w:val="en-GB"/>
        </w:rPr>
        <w:t xml:space="preserve"> on the specific topic of earnings management.</w:t>
      </w:r>
    </w:p>
    <w:p w:rsidR="00092335" w:rsidRPr="005635D8" w:rsidRDefault="00092335" w:rsidP="00632021">
      <w:pPr>
        <w:autoSpaceDE w:val="0"/>
        <w:autoSpaceDN w:val="0"/>
        <w:adjustRightInd w:val="0"/>
        <w:spacing w:after="0"/>
        <w:jc w:val="both"/>
        <w:rPr>
          <w:rFonts w:ascii="Calibri" w:hAnsi="Calibri" w:cs="Times New Roman"/>
          <w:lang w:val="en-GB"/>
        </w:rPr>
      </w:pPr>
    </w:p>
    <w:p w:rsidR="00D312DE" w:rsidRPr="005635D8" w:rsidRDefault="002918C9" w:rsidP="00767B61">
      <w:pPr>
        <w:autoSpaceDE w:val="0"/>
        <w:autoSpaceDN w:val="0"/>
        <w:adjustRightInd w:val="0"/>
        <w:spacing w:after="0"/>
        <w:jc w:val="both"/>
        <w:rPr>
          <w:rFonts w:ascii="Calibri" w:hAnsi="Calibri" w:cs="Times New Roman"/>
          <w:lang w:val="en-GB"/>
        </w:rPr>
      </w:pPr>
      <w:r w:rsidRPr="005635D8">
        <w:rPr>
          <w:rFonts w:ascii="Calibri" w:hAnsi="Calibri" w:cs="Times New Roman"/>
          <w:lang w:val="en-GB"/>
        </w:rPr>
        <w:t>The third chapter further introduced the</w:t>
      </w:r>
      <w:r w:rsidR="00D312DE" w:rsidRPr="005635D8">
        <w:rPr>
          <w:rFonts w:ascii="Calibri" w:hAnsi="Calibri" w:cs="Times New Roman"/>
          <w:lang w:val="en-GB"/>
        </w:rPr>
        <w:t xml:space="preserve"> international financial reporting standards</w:t>
      </w:r>
      <w:r w:rsidRPr="005635D8">
        <w:rPr>
          <w:rFonts w:ascii="Calibri" w:hAnsi="Calibri" w:cs="Times New Roman"/>
          <w:lang w:val="en-GB"/>
        </w:rPr>
        <w:t xml:space="preserve"> (IFRS). IFRS w</w:t>
      </w:r>
      <w:r w:rsidR="00C6680B">
        <w:rPr>
          <w:rFonts w:ascii="Calibri" w:hAnsi="Calibri" w:cs="Times New Roman"/>
          <w:lang w:val="en-GB"/>
        </w:rPr>
        <w:t>as</w:t>
      </w:r>
      <w:r w:rsidR="00D312DE" w:rsidRPr="005635D8">
        <w:rPr>
          <w:rFonts w:ascii="Calibri" w:hAnsi="Calibri" w:cs="Times New Roman"/>
          <w:lang w:val="en-GB"/>
        </w:rPr>
        <w:t xml:space="preserve"> </w:t>
      </w:r>
      <w:r w:rsidR="00C6680B">
        <w:rPr>
          <w:rFonts w:ascii="Calibri" w:hAnsi="Calibri" w:cs="Times New Roman"/>
          <w:lang w:val="en-GB"/>
        </w:rPr>
        <w:t xml:space="preserve">introduced </w:t>
      </w:r>
      <w:r w:rsidR="00D312DE" w:rsidRPr="005635D8">
        <w:rPr>
          <w:rFonts w:ascii="Calibri" w:hAnsi="Calibri" w:cs="Times New Roman"/>
          <w:lang w:val="en-GB"/>
        </w:rPr>
        <w:t xml:space="preserve">to harmonize international accounting standards, improve the comparability, </w:t>
      </w:r>
      <w:r w:rsidR="00C6680B" w:rsidRPr="005635D8">
        <w:rPr>
          <w:rFonts w:ascii="Calibri" w:hAnsi="Calibri" w:cs="Times New Roman"/>
          <w:lang w:val="en-GB"/>
        </w:rPr>
        <w:t>and increase</w:t>
      </w:r>
      <w:r w:rsidR="00D312DE" w:rsidRPr="005635D8">
        <w:rPr>
          <w:rFonts w:ascii="Calibri" w:hAnsi="Calibri" w:cs="Times New Roman"/>
          <w:lang w:val="en-GB"/>
        </w:rPr>
        <w:t xml:space="preserve"> the reliability and the transparency </w:t>
      </w:r>
      <w:r w:rsidR="00F56635" w:rsidRPr="005635D8">
        <w:rPr>
          <w:rFonts w:ascii="Calibri" w:hAnsi="Calibri" w:cs="Times New Roman"/>
          <w:lang w:val="en-GB"/>
        </w:rPr>
        <w:t xml:space="preserve">of published financial information. </w:t>
      </w:r>
      <w:r w:rsidRPr="005635D8">
        <w:rPr>
          <w:rFonts w:ascii="Calibri" w:hAnsi="Calibri" w:cs="Times New Roman"/>
          <w:lang w:val="en-GB"/>
        </w:rPr>
        <w:t xml:space="preserve">However, it was shown in this chapter that considerable doubts existed whether IFRS was really the improvement as expected by some. </w:t>
      </w:r>
      <w:r w:rsidRPr="005635D8">
        <w:rPr>
          <w:rFonts w:ascii="Calibri" w:hAnsi="Calibri" w:cstheme="majorBidi"/>
          <w:lang w:val="en-GB"/>
        </w:rPr>
        <w:t xml:space="preserve">Supposed disadvantages are possible misleading numbers in the reported information, </w:t>
      </w:r>
      <w:r w:rsidR="00767B61" w:rsidRPr="005635D8">
        <w:rPr>
          <w:rFonts w:ascii="Calibri" w:hAnsi="Calibri" w:cstheme="majorBidi"/>
          <w:lang w:val="en-GB"/>
        </w:rPr>
        <w:t xml:space="preserve">rising </w:t>
      </w:r>
      <w:r w:rsidRPr="005635D8">
        <w:rPr>
          <w:rFonts w:ascii="Calibri" w:hAnsi="Calibri" w:cstheme="majorBidi"/>
          <w:lang w:val="en-GB"/>
        </w:rPr>
        <w:t>information costs</w:t>
      </w:r>
      <w:r w:rsidR="00767B61" w:rsidRPr="005635D8">
        <w:rPr>
          <w:rFonts w:ascii="Calibri" w:hAnsi="Calibri" w:cstheme="majorBidi"/>
          <w:lang w:val="en-GB"/>
        </w:rPr>
        <w:t xml:space="preserve"> and</w:t>
      </w:r>
      <w:r w:rsidRPr="005635D8">
        <w:rPr>
          <w:rFonts w:ascii="Calibri" w:hAnsi="Calibri" w:cstheme="majorBidi"/>
          <w:lang w:val="en-GB"/>
        </w:rPr>
        <w:t xml:space="preserve"> doubt</w:t>
      </w:r>
      <w:r w:rsidR="00767B61" w:rsidRPr="005635D8">
        <w:rPr>
          <w:rFonts w:ascii="Calibri" w:hAnsi="Calibri" w:cstheme="majorBidi"/>
          <w:lang w:val="en-GB"/>
        </w:rPr>
        <w:t>s</w:t>
      </w:r>
      <w:r w:rsidRPr="005635D8">
        <w:rPr>
          <w:rFonts w:ascii="Calibri" w:hAnsi="Calibri" w:cstheme="majorBidi"/>
          <w:lang w:val="en-GB"/>
        </w:rPr>
        <w:t xml:space="preserve"> about the transparency of reported numbers</w:t>
      </w:r>
      <w:r w:rsidR="00767B61" w:rsidRPr="005635D8">
        <w:rPr>
          <w:rFonts w:ascii="Calibri" w:hAnsi="Calibri" w:cstheme="majorBidi"/>
          <w:lang w:val="en-GB"/>
        </w:rPr>
        <w:t>.</w:t>
      </w:r>
      <w:r w:rsidRPr="005635D8">
        <w:rPr>
          <w:rFonts w:ascii="Calibri" w:hAnsi="Calibri" w:cstheme="majorBidi"/>
          <w:lang w:val="en-GB"/>
        </w:rPr>
        <w:t xml:space="preserve"> Consequently, studying the actual effect of the adoption of IFRS on the use of earnings management was concluded to be a valuable enterprise.</w:t>
      </w:r>
    </w:p>
    <w:p w:rsidR="00D312DE" w:rsidRPr="005635D8" w:rsidRDefault="00D312DE" w:rsidP="00632021">
      <w:pPr>
        <w:autoSpaceDE w:val="0"/>
        <w:autoSpaceDN w:val="0"/>
        <w:adjustRightInd w:val="0"/>
        <w:spacing w:after="0"/>
        <w:jc w:val="both"/>
        <w:rPr>
          <w:rFonts w:ascii="Calibri" w:hAnsi="Calibri" w:cs="Times New Roman"/>
          <w:lang w:val="en-GB"/>
        </w:rPr>
      </w:pPr>
    </w:p>
    <w:p w:rsidR="007273AD" w:rsidRPr="005635D8" w:rsidRDefault="002918C9" w:rsidP="00576ADA">
      <w:pPr>
        <w:autoSpaceDE w:val="0"/>
        <w:autoSpaceDN w:val="0"/>
        <w:adjustRightInd w:val="0"/>
        <w:spacing w:after="0"/>
        <w:jc w:val="both"/>
        <w:rPr>
          <w:rFonts w:ascii="Calibri" w:hAnsi="Calibri" w:cs="AdvPS6F00"/>
          <w:lang w:val="en-GB" w:eastAsia="zh-TW"/>
        </w:rPr>
      </w:pPr>
      <w:r w:rsidRPr="005635D8">
        <w:rPr>
          <w:rFonts w:ascii="Calibri" w:hAnsi="Calibri" w:cs="Times New Roman"/>
          <w:lang w:val="en-GB"/>
        </w:rPr>
        <w:t xml:space="preserve">The fourth chapter </w:t>
      </w:r>
      <w:r w:rsidR="00767B61" w:rsidRPr="005635D8">
        <w:rPr>
          <w:rFonts w:ascii="Calibri" w:hAnsi="Calibri" w:cs="Times New Roman"/>
          <w:lang w:val="en-GB"/>
        </w:rPr>
        <w:t xml:space="preserve">introduced the </w:t>
      </w:r>
      <w:r w:rsidR="007273AD" w:rsidRPr="005635D8">
        <w:rPr>
          <w:rFonts w:ascii="Calibri" w:hAnsi="Calibri" w:cs="Times New Roman"/>
          <w:lang w:val="en-GB"/>
        </w:rPr>
        <w:t>distinction between real earnings management and accruals based earnings management. It was concluded that the focus of the research should be on the last type as this type of earnings management is more prominent</w:t>
      </w:r>
      <w:r w:rsidR="00C6563D" w:rsidRPr="005635D8">
        <w:rPr>
          <w:rFonts w:ascii="Calibri" w:hAnsi="Calibri" w:cs="Times New Roman"/>
          <w:lang w:val="en-GB"/>
        </w:rPr>
        <w:t>ly</w:t>
      </w:r>
      <w:r w:rsidR="00767B61" w:rsidRPr="005635D8">
        <w:rPr>
          <w:rFonts w:ascii="Calibri" w:hAnsi="Calibri" w:cs="Times New Roman"/>
          <w:lang w:val="en-GB"/>
        </w:rPr>
        <w:t xml:space="preserve"> present in current practices. The way in which earnings management should be measured by estimating accruals was f</w:t>
      </w:r>
      <w:r w:rsidR="00576ADA" w:rsidRPr="005635D8">
        <w:rPr>
          <w:rFonts w:ascii="Calibri" w:hAnsi="Calibri" w:cs="Times New Roman"/>
          <w:lang w:val="en-GB"/>
        </w:rPr>
        <w:t xml:space="preserve">urther explained in chapter 5. </w:t>
      </w:r>
      <w:r w:rsidR="00767B61" w:rsidRPr="005635D8">
        <w:rPr>
          <w:rFonts w:ascii="Calibri" w:hAnsi="Calibri" w:cs="Times New Roman"/>
          <w:lang w:val="en-GB"/>
        </w:rPr>
        <w:t>It was</w:t>
      </w:r>
      <w:r w:rsidR="007273AD" w:rsidRPr="005635D8">
        <w:rPr>
          <w:rFonts w:ascii="Calibri" w:hAnsi="Calibri" w:cs="Times New Roman"/>
          <w:lang w:val="en-GB"/>
        </w:rPr>
        <w:t xml:space="preserve"> explained that especially discretionary accruals are likely to be managed by </w:t>
      </w:r>
      <w:r w:rsidR="004434EB" w:rsidRPr="005635D8">
        <w:rPr>
          <w:rFonts w:ascii="Calibri" w:hAnsi="Calibri" w:cs="Times New Roman"/>
          <w:lang w:val="en-GB"/>
        </w:rPr>
        <w:t xml:space="preserve">agents within companies and </w:t>
      </w:r>
      <w:r w:rsidR="00F71079" w:rsidRPr="005635D8">
        <w:rPr>
          <w:rFonts w:ascii="Calibri" w:hAnsi="Calibri" w:cs="Times New Roman"/>
          <w:lang w:val="en-GB"/>
        </w:rPr>
        <w:t>consequently</w:t>
      </w:r>
      <w:r w:rsidR="004434EB" w:rsidRPr="005635D8">
        <w:rPr>
          <w:rFonts w:ascii="Calibri" w:hAnsi="Calibri" w:cs="Times New Roman"/>
          <w:lang w:val="en-GB"/>
        </w:rPr>
        <w:t xml:space="preserve"> serve as a proxy for the use of earnings management. The Jones Model and the Modified Jones Model were concluded to be the most up to date and accurate measurement instruments for measuring the level of discretionary accruals. Based on findings by other researchers that the Modified Jones Model showed out to be the most reliable way to estimate discretionary accruals it was later in the methodological section concluded that the Modified Jones Model is the best model that could be adopted by this study. The time series variant fit</w:t>
      </w:r>
      <w:r w:rsidR="00576ADA" w:rsidRPr="005635D8">
        <w:rPr>
          <w:rFonts w:ascii="Calibri" w:hAnsi="Calibri" w:cs="Times New Roman"/>
          <w:lang w:val="en-GB"/>
        </w:rPr>
        <w:t>s best with the structure of this</w:t>
      </w:r>
      <w:r w:rsidR="004434EB" w:rsidRPr="005635D8">
        <w:rPr>
          <w:rFonts w:ascii="Calibri" w:hAnsi="Calibri" w:cs="Times New Roman"/>
          <w:lang w:val="en-GB"/>
        </w:rPr>
        <w:t xml:space="preserve"> </w:t>
      </w:r>
      <w:r w:rsidR="00576ADA" w:rsidRPr="005635D8">
        <w:rPr>
          <w:rFonts w:ascii="Calibri" w:hAnsi="Calibri" w:cs="Times New Roman"/>
          <w:lang w:val="en-GB"/>
        </w:rPr>
        <w:t>thesis</w:t>
      </w:r>
      <w:r w:rsidR="004434EB" w:rsidRPr="005635D8">
        <w:rPr>
          <w:rFonts w:ascii="Calibri" w:hAnsi="Calibri" w:cs="Times New Roman"/>
          <w:lang w:val="en-GB"/>
        </w:rPr>
        <w:t xml:space="preserve"> in which companies are compared over time before and after the adoption of IFRS.</w:t>
      </w:r>
    </w:p>
    <w:p w:rsidR="004434EB" w:rsidRPr="005635D8" w:rsidRDefault="004434EB" w:rsidP="00632021">
      <w:pPr>
        <w:autoSpaceDE w:val="0"/>
        <w:autoSpaceDN w:val="0"/>
        <w:adjustRightInd w:val="0"/>
        <w:spacing w:after="0"/>
        <w:jc w:val="both"/>
        <w:rPr>
          <w:rFonts w:ascii="Calibri" w:hAnsi="Calibri" w:cs="Times New Roman"/>
          <w:lang w:val="en-GB"/>
        </w:rPr>
      </w:pPr>
    </w:p>
    <w:p w:rsidR="00235950" w:rsidRPr="005635D8" w:rsidRDefault="002E4C7D" w:rsidP="00576ADA">
      <w:pPr>
        <w:autoSpaceDE w:val="0"/>
        <w:autoSpaceDN w:val="0"/>
        <w:adjustRightInd w:val="0"/>
        <w:spacing w:after="0"/>
        <w:jc w:val="both"/>
        <w:rPr>
          <w:rFonts w:ascii="Calibri" w:hAnsi="Calibri"/>
          <w:lang w:val="en-GB"/>
        </w:rPr>
      </w:pPr>
      <w:r w:rsidRPr="005635D8">
        <w:rPr>
          <w:rFonts w:ascii="Calibri" w:hAnsi="Calibri" w:cs="Times New Roman"/>
          <w:lang w:val="en-GB"/>
        </w:rPr>
        <w:t>Studying several articles by different authors it was</w:t>
      </w:r>
      <w:r w:rsidR="00576ADA" w:rsidRPr="005635D8">
        <w:rPr>
          <w:rFonts w:ascii="Calibri" w:hAnsi="Calibri" w:cs="Times New Roman"/>
          <w:lang w:val="en-GB"/>
        </w:rPr>
        <w:t xml:space="preserve"> in the sixth chapter</w:t>
      </w:r>
      <w:r w:rsidRPr="005635D8">
        <w:rPr>
          <w:rFonts w:ascii="Calibri" w:hAnsi="Calibri" w:cs="Times New Roman"/>
          <w:lang w:val="en-GB"/>
        </w:rPr>
        <w:t xml:space="preserve"> shown that the findings </w:t>
      </w:r>
      <w:r w:rsidR="00576ADA" w:rsidRPr="005635D8">
        <w:rPr>
          <w:rFonts w:ascii="Calibri" w:hAnsi="Calibri" w:cs="Times New Roman"/>
          <w:lang w:val="en-GB"/>
        </w:rPr>
        <w:t>reported in the literature are</w:t>
      </w:r>
      <w:r w:rsidRPr="005635D8">
        <w:rPr>
          <w:rFonts w:ascii="Calibri" w:hAnsi="Calibri" w:cs="Times New Roman"/>
          <w:lang w:val="en-GB"/>
        </w:rPr>
        <w:t xml:space="preserve"> mixed. </w:t>
      </w:r>
      <w:r w:rsidRPr="005635D8">
        <w:rPr>
          <w:rFonts w:ascii="Calibri" w:hAnsi="Calibri"/>
          <w:lang w:val="en-GB"/>
        </w:rPr>
        <w:t xml:space="preserve">Some studies conclude that the introduction of IFRS indeed causes decreasing levels of earnings management as assumed, while many other studies observed an increasing level of earnings management after the introduction of IFRS. However, those studies </w:t>
      </w:r>
      <w:r w:rsidR="00323D4C" w:rsidRPr="005635D8">
        <w:rPr>
          <w:rFonts w:ascii="Calibri" w:hAnsi="Calibri"/>
          <w:lang w:val="en-GB"/>
        </w:rPr>
        <w:t>in addition</w:t>
      </w:r>
      <w:r w:rsidRPr="005635D8">
        <w:rPr>
          <w:rFonts w:ascii="Calibri" w:hAnsi="Calibri"/>
          <w:lang w:val="en-GB"/>
        </w:rPr>
        <w:t xml:space="preserve"> used  different methodologies, looked at different cases, included voluntary and mandatory adopters of IFRS</w:t>
      </w:r>
      <w:r w:rsidR="00235950" w:rsidRPr="005635D8">
        <w:rPr>
          <w:rFonts w:ascii="Calibri" w:hAnsi="Calibri"/>
          <w:lang w:val="en-GB"/>
        </w:rPr>
        <w:t xml:space="preserve"> and studied different time intervals. It was concluded that those mixed findings show that the debate on the effect of adopting IFRS is far from settled and that providing further research in this field will be valuable. </w:t>
      </w:r>
      <w:r w:rsidR="00576ADA" w:rsidRPr="005635D8">
        <w:rPr>
          <w:rFonts w:ascii="Calibri" w:hAnsi="Calibri"/>
          <w:lang w:val="en-GB"/>
        </w:rPr>
        <w:t>As th</w:t>
      </w:r>
      <w:r w:rsidR="00235950" w:rsidRPr="005635D8">
        <w:rPr>
          <w:rFonts w:ascii="Calibri" w:hAnsi="Calibri"/>
          <w:lang w:val="en-GB"/>
        </w:rPr>
        <w:t>e case of the Netherlands was not extensively studied before</w:t>
      </w:r>
      <w:r w:rsidR="00576ADA" w:rsidRPr="005635D8">
        <w:rPr>
          <w:rFonts w:ascii="Calibri" w:hAnsi="Calibri"/>
          <w:lang w:val="en-GB"/>
        </w:rPr>
        <w:t xml:space="preserve"> this case was adopted by this thesis. As s</w:t>
      </w:r>
      <w:r w:rsidR="00235950" w:rsidRPr="005635D8">
        <w:rPr>
          <w:rFonts w:ascii="Calibri" w:hAnsi="Calibri"/>
          <w:lang w:val="en-GB"/>
        </w:rPr>
        <w:t xml:space="preserve">tandards </w:t>
      </w:r>
      <w:r w:rsidR="00576ADA" w:rsidRPr="005635D8">
        <w:rPr>
          <w:rFonts w:ascii="Calibri" w:hAnsi="Calibri"/>
          <w:lang w:val="en-GB"/>
        </w:rPr>
        <w:t xml:space="preserve">in the Netherlands </w:t>
      </w:r>
      <w:r w:rsidR="00235950" w:rsidRPr="005635D8">
        <w:rPr>
          <w:rFonts w:ascii="Calibri" w:hAnsi="Calibri"/>
          <w:lang w:val="en-GB"/>
        </w:rPr>
        <w:t>were supposed to be high before the adoption of IFRS it might be questionable whether there will be any effect at</w:t>
      </w:r>
      <w:r w:rsidR="00576ADA" w:rsidRPr="005635D8">
        <w:rPr>
          <w:rFonts w:ascii="Calibri" w:hAnsi="Calibri"/>
          <w:lang w:val="en-GB"/>
        </w:rPr>
        <w:t xml:space="preserve"> all. But when on the other end </w:t>
      </w:r>
      <w:r w:rsidR="00235950" w:rsidRPr="005635D8">
        <w:rPr>
          <w:rFonts w:ascii="Calibri" w:hAnsi="Calibri"/>
          <w:lang w:val="en-GB"/>
        </w:rPr>
        <w:t xml:space="preserve">an influence of IFRS on </w:t>
      </w:r>
      <w:r w:rsidR="00C33B55" w:rsidRPr="005635D8">
        <w:rPr>
          <w:rFonts w:ascii="Calibri" w:hAnsi="Calibri"/>
          <w:lang w:val="en-GB"/>
        </w:rPr>
        <w:t xml:space="preserve">the use of </w:t>
      </w:r>
      <w:r w:rsidR="00235950" w:rsidRPr="005635D8">
        <w:rPr>
          <w:rFonts w:ascii="Calibri" w:hAnsi="Calibri"/>
          <w:lang w:val="en-GB"/>
        </w:rPr>
        <w:t>earnings management</w:t>
      </w:r>
      <w:r w:rsidR="00C6563D" w:rsidRPr="005635D8">
        <w:rPr>
          <w:rFonts w:ascii="Calibri" w:hAnsi="Calibri"/>
          <w:lang w:val="en-GB"/>
        </w:rPr>
        <w:t xml:space="preserve"> will be found</w:t>
      </w:r>
      <w:r w:rsidR="00576ADA" w:rsidRPr="005635D8">
        <w:rPr>
          <w:rFonts w:ascii="Calibri" w:hAnsi="Calibri"/>
          <w:lang w:val="en-GB"/>
        </w:rPr>
        <w:t>,</w:t>
      </w:r>
      <w:r w:rsidR="00235950" w:rsidRPr="005635D8">
        <w:rPr>
          <w:rFonts w:ascii="Calibri" w:hAnsi="Calibri"/>
          <w:lang w:val="en-GB"/>
        </w:rPr>
        <w:t xml:space="preserve"> th</w:t>
      </w:r>
      <w:r w:rsidR="00576ADA" w:rsidRPr="005635D8">
        <w:rPr>
          <w:rFonts w:ascii="Calibri" w:hAnsi="Calibri"/>
          <w:lang w:val="en-GB"/>
        </w:rPr>
        <w:t>e</w:t>
      </w:r>
      <w:r w:rsidR="00C33B55" w:rsidRPr="005635D8">
        <w:rPr>
          <w:rFonts w:ascii="Calibri" w:hAnsi="Calibri"/>
          <w:lang w:val="en-GB"/>
        </w:rPr>
        <w:t xml:space="preserve"> </w:t>
      </w:r>
      <w:r w:rsidR="00235950" w:rsidRPr="005635D8">
        <w:rPr>
          <w:rFonts w:ascii="Calibri" w:hAnsi="Calibri"/>
          <w:lang w:val="en-GB"/>
        </w:rPr>
        <w:t>case</w:t>
      </w:r>
      <w:r w:rsidR="00576ADA" w:rsidRPr="005635D8">
        <w:rPr>
          <w:rFonts w:ascii="Calibri" w:hAnsi="Calibri"/>
          <w:lang w:val="en-GB"/>
        </w:rPr>
        <w:t xml:space="preserve"> of the Netherlands</w:t>
      </w:r>
      <w:r w:rsidR="00235950" w:rsidRPr="005635D8">
        <w:rPr>
          <w:rFonts w:ascii="Calibri" w:hAnsi="Calibri"/>
          <w:lang w:val="en-GB"/>
        </w:rPr>
        <w:t xml:space="preserve"> provides strong evidence that adopting IFRS matters as the Netherlands can be </w:t>
      </w:r>
      <w:r w:rsidR="00C33B55" w:rsidRPr="005635D8">
        <w:rPr>
          <w:rFonts w:ascii="Calibri" w:hAnsi="Calibri"/>
          <w:lang w:val="en-GB"/>
        </w:rPr>
        <w:t xml:space="preserve">qualified </w:t>
      </w:r>
      <w:r w:rsidR="00235950" w:rsidRPr="005635D8">
        <w:rPr>
          <w:rFonts w:ascii="Calibri" w:hAnsi="Calibri"/>
          <w:lang w:val="en-GB"/>
        </w:rPr>
        <w:t>as a hard case because of its previous high standards.</w:t>
      </w:r>
    </w:p>
    <w:p w:rsidR="00235950" w:rsidRPr="005635D8" w:rsidRDefault="00235950" w:rsidP="00632021">
      <w:pPr>
        <w:autoSpaceDE w:val="0"/>
        <w:autoSpaceDN w:val="0"/>
        <w:adjustRightInd w:val="0"/>
        <w:spacing w:after="0"/>
        <w:jc w:val="both"/>
        <w:rPr>
          <w:rFonts w:ascii="Calibri" w:hAnsi="Calibri"/>
          <w:lang w:val="en-GB"/>
        </w:rPr>
      </w:pPr>
    </w:p>
    <w:p w:rsidR="005149F1" w:rsidRPr="005635D8" w:rsidRDefault="00235950" w:rsidP="006562C7">
      <w:pPr>
        <w:autoSpaceDE w:val="0"/>
        <w:autoSpaceDN w:val="0"/>
        <w:adjustRightInd w:val="0"/>
        <w:spacing w:after="0"/>
        <w:jc w:val="both"/>
        <w:rPr>
          <w:rFonts w:ascii="Calibri" w:hAnsi="Calibri" w:cs="AdvPS6F00"/>
          <w:lang w:val="en-GB" w:eastAsia="zh-TW"/>
        </w:rPr>
      </w:pPr>
      <w:r w:rsidRPr="005635D8">
        <w:rPr>
          <w:rFonts w:ascii="Calibri" w:hAnsi="Calibri"/>
          <w:lang w:val="en-GB"/>
        </w:rPr>
        <w:t xml:space="preserve">The seventh chapter </w:t>
      </w:r>
      <w:r w:rsidR="00576ADA" w:rsidRPr="005635D8">
        <w:rPr>
          <w:rFonts w:ascii="Calibri" w:hAnsi="Calibri"/>
          <w:lang w:val="en-GB"/>
        </w:rPr>
        <w:t>developed three hypotheses with regard to the introduction of IFRS, the industry branch of firms and the size of firms. In the research design section of the thesis t</w:t>
      </w:r>
      <w:r w:rsidRPr="005635D8">
        <w:rPr>
          <w:rFonts w:ascii="Calibri" w:hAnsi="Calibri"/>
          <w:lang w:val="en-GB"/>
        </w:rPr>
        <w:t>he total approach of this study was explained to be a</w:t>
      </w:r>
      <w:r w:rsidR="0085241B" w:rsidRPr="005635D8">
        <w:rPr>
          <w:rFonts w:ascii="Calibri" w:hAnsi="Calibri"/>
          <w:lang w:val="en-GB"/>
        </w:rPr>
        <w:t xml:space="preserve"> quantitative approach; more specifically a </w:t>
      </w:r>
      <w:r w:rsidR="00576ADA" w:rsidRPr="005635D8">
        <w:rPr>
          <w:rFonts w:ascii="Calibri" w:hAnsi="Calibri"/>
          <w:lang w:val="en-GB"/>
        </w:rPr>
        <w:t>desk research approach</w:t>
      </w:r>
      <w:r w:rsidR="0085241B" w:rsidRPr="005635D8">
        <w:rPr>
          <w:rFonts w:ascii="Calibri" w:hAnsi="Calibri"/>
          <w:lang w:val="en-GB"/>
        </w:rPr>
        <w:t xml:space="preserve">. </w:t>
      </w:r>
      <w:r w:rsidR="00576ADA" w:rsidRPr="005635D8">
        <w:rPr>
          <w:rFonts w:ascii="Calibri" w:hAnsi="Calibri"/>
          <w:lang w:val="en-GB"/>
        </w:rPr>
        <w:t>With regard to the time interval of the research</w:t>
      </w:r>
      <w:r w:rsidR="0085241B" w:rsidRPr="005635D8">
        <w:rPr>
          <w:rFonts w:ascii="Calibri" w:hAnsi="Calibri"/>
          <w:lang w:val="en-GB"/>
        </w:rPr>
        <w:t xml:space="preserve"> it was concluded that the period from 2002 to 2004 in which NL GAAP was used will be compared with the period from 2005 to 2007 in which </w:t>
      </w:r>
      <w:r w:rsidR="00C6563D" w:rsidRPr="005635D8">
        <w:rPr>
          <w:rFonts w:ascii="Calibri" w:hAnsi="Calibri"/>
          <w:lang w:val="en-GB"/>
        </w:rPr>
        <w:t xml:space="preserve">all companies used IFRS. </w:t>
      </w:r>
      <w:r w:rsidR="00576ADA" w:rsidRPr="005635D8">
        <w:rPr>
          <w:rFonts w:ascii="Calibri" w:hAnsi="Calibri"/>
          <w:lang w:val="en-GB"/>
        </w:rPr>
        <w:t xml:space="preserve">The last issue of the research design was sampling. </w:t>
      </w:r>
      <w:r w:rsidR="0085241B" w:rsidRPr="005635D8">
        <w:rPr>
          <w:rFonts w:ascii="Calibri" w:hAnsi="Calibri"/>
          <w:lang w:val="en-GB"/>
        </w:rPr>
        <w:t xml:space="preserve">Starting from a set of 50 companies the sample was </w:t>
      </w:r>
      <w:r w:rsidR="00C6563D" w:rsidRPr="005635D8">
        <w:rPr>
          <w:rFonts w:ascii="Calibri" w:hAnsi="Calibri"/>
          <w:lang w:val="en-GB"/>
        </w:rPr>
        <w:t>reduced to 24 companies meeting</w:t>
      </w:r>
      <w:r w:rsidR="0085241B" w:rsidRPr="005635D8">
        <w:rPr>
          <w:rFonts w:ascii="Calibri" w:hAnsi="Calibri"/>
          <w:lang w:val="en-GB"/>
        </w:rPr>
        <w:t xml:space="preserve"> all research criteria. Finally all the statistical analyses and corresponding checks were presented in chapter nine. The main</w:t>
      </w:r>
      <w:r w:rsidR="006562C7" w:rsidRPr="005635D8">
        <w:rPr>
          <w:rFonts w:ascii="Calibri" w:hAnsi="Calibri"/>
          <w:lang w:val="en-GB"/>
        </w:rPr>
        <w:t xml:space="preserve"> findings showed that adopting IFRS has no significant effect on the absolute levels of discretionary accruals scaled by lagged total assets, differences between industries do not affect the analysis, and the size of the firm has a significant negative effect on the use of earnings management. </w:t>
      </w:r>
    </w:p>
    <w:p w:rsidR="001B3C24" w:rsidRPr="005635D8" w:rsidRDefault="006E52BD" w:rsidP="001E4C5D">
      <w:pPr>
        <w:pStyle w:val="Heading3"/>
        <w:rPr>
          <w:lang w:val="en-GB"/>
        </w:rPr>
      </w:pPr>
      <w:bookmarkStart w:id="91" w:name="_Toc362267315"/>
      <w:r w:rsidRPr="005635D8">
        <w:rPr>
          <w:lang w:val="en-GB"/>
        </w:rPr>
        <w:t>10.</w:t>
      </w:r>
      <w:r w:rsidR="00DB17FE">
        <w:rPr>
          <w:lang w:val="en-GB"/>
        </w:rPr>
        <w:t>2 Conclusion</w:t>
      </w:r>
      <w:bookmarkEnd w:id="91"/>
      <w:r w:rsidR="00DB17FE">
        <w:rPr>
          <w:lang w:val="en-GB"/>
        </w:rPr>
        <w:t xml:space="preserve"> </w:t>
      </w:r>
    </w:p>
    <w:p w:rsidR="00A16D76" w:rsidRPr="0029500A" w:rsidRDefault="0057073D" w:rsidP="00A16D76">
      <w:pPr>
        <w:autoSpaceDE w:val="0"/>
        <w:autoSpaceDN w:val="0"/>
        <w:adjustRightInd w:val="0"/>
        <w:spacing w:after="0"/>
        <w:jc w:val="both"/>
        <w:rPr>
          <w:bCs/>
          <w:lang w:val="en-GB"/>
        </w:rPr>
      </w:pPr>
      <w:r w:rsidRPr="005635D8">
        <w:rPr>
          <w:rFonts w:cs="Times New Roman"/>
          <w:lang w:val="en-GB"/>
        </w:rPr>
        <w:t>In answer to the main question it can now be concluded that</w:t>
      </w:r>
      <w:r w:rsidRPr="005635D8">
        <w:rPr>
          <w:bCs/>
          <w:lang w:val="en-GB"/>
        </w:rPr>
        <w:t xml:space="preserve"> with the introduction of IFRS the use of Earnings Management among Dutch stock-exchange quoted firms did not decline. A pattern of </w:t>
      </w:r>
      <w:r w:rsidR="00C33B55" w:rsidRPr="005635D8">
        <w:rPr>
          <w:bCs/>
          <w:lang w:val="en-GB"/>
        </w:rPr>
        <w:t xml:space="preserve">the </w:t>
      </w:r>
      <w:r w:rsidRPr="005635D8">
        <w:rPr>
          <w:bCs/>
          <w:lang w:val="en-GB"/>
        </w:rPr>
        <w:t xml:space="preserve">growth of </w:t>
      </w:r>
      <w:r w:rsidR="00C33B55" w:rsidRPr="005635D8">
        <w:rPr>
          <w:bCs/>
          <w:lang w:val="en-GB"/>
        </w:rPr>
        <w:t xml:space="preserve">the use of </w:t>
      </w:r>
      <w:r w:rsidRPr="005635D8">
        <w:rPr>
          <w:bCs/>
          <w:lang w:val="en-GB"/>
        </w:rPr>
        <w:t>earnings management could however not be observed</w:t>
      </w:r>
      <w:r w:rsidR="006562C7" w:rsidRPr="005635D8">
        <w:rPr>
          <w:bCs/>
          <w:lang w:val="en-GB"/>
        </w:rPr>
        <w:t xml:space="preserve"> too</w:t>
      </w:r>
      <w:r w:rsidRPr="005635D8">
        <w:rPr>
          <w:bCs/>
          <w:lang w:val="en-GB"/>
        </w:rPr>
        <w:t>.</w:t>
      </w:r>
      <w:r w:rsidR="006562C7" w:rsidRPr="005635D8">
        <w:rPr>
          <w:bCs/>
          <w:lang w:val="en-GB"/>
        </w:rPr>
        <w:t xml:space="preserve"> This main finding does not strongly support</w:t>
      </w:r>
      <w:r w:rsidRPr="005635D8">
        <w:rPr>
          <w:bCs/>
          <w:lang w:val="en-GB"/>
        </w:rPr>
        <w:t xml:space="preserve"> </w:t>
      </w:r>
      <w:r w:rsidR="006562C7" w:rsidRPr="005635D8">
        <w:rPr>
          <w:bCs/>
          <w:lang w:val="en-GB"/>
        </w:rPr>
        <w:t xml:space="preserve">most previous findings which found or a significant negative effect or a significant positive effect of the adoption of IFRS on the use of earnings </w:t>
      </w:r>
      <w:r w:rsidR="006562C7" w:rsidRPr="00C6680B">
        <w:rPr>
          <w:bCs/>
          <w:lang w:val="en-GB"/>
        </w:rPr>
        <w:t xml:space="preserve">management. </w:t>
      </w:r>
      <w:r w:rsidR="00F24543" w:rsidRPr="00BC052A">
        <w:rPr>
          <w:bCs/>
          <w:lang w:val="en-GB"/>
        </w:rPr>
        <w:t>The most likely reason to explain this finding is that the differences between NL GAAP and IFRS are so small that adopting the latter did not really effect the margins for managers to engage in the use of earnings management.</w:t>
      </w:r>
    </w:p>
    <w:p w:rsidR="0057073D" w:rsidRPr="005635D8" w:rsidRDefault="0057073D" w:rsidP="00A51D87">
      <w:pPr>
        <w:autoSpaceDE w:val="0"/>
        <w:autoSpaceDN w:val="0"/>
        <w:adjustRightInd w:val="0"/>
        <w:spacing w:after="0"/>
        <w:jc w:val="both"/>
        <w:rPr>
          <w:bCs/>
          <w:lang w:val="en-GB"/>
        </w:rPr>
      </w:pPr>
    </w:p>
    <w:p w:rsidR="006562C7" w:rsidRPr="005635D8" w:rsidRDefault="006562C7" w:rsidP="00A51D87">
      <w:pPr>
        <w:autoSpaceDE w:val="0"/>
        <w:autoSpaceDN w:val="0"/>
        <w:adjustRightInd w:val="0"/>
        <w:spacing w:after="0"/>
        <w:jc w:val="both"/>
        <w:rPr>
          <w:bCs/>
          <w:lang w:val="en-GB"/>
        </w:rPr>
      </w:pPr>
    </w:p>
    <w:p w:rsidR="00DB17FE" w:rsidRDefault="00DB17FE">
      <w:pPr>
        <w:rPr>
          <w:bCs/>
          <w:lang w:val="en-GB"/>
        </w:rPr>
      </w:pPr>
      <w:r>
        <w:rPr>
          <w:bCs/>
          <w:lang w:val="en-GB"/>
        </w:rPr>
        <w:br w:type="page"/>
      </w:r>
    </w:p>
    <w:p w:rsidR="006562C7" w:rsidRPr="00FC48BB" w:rsidRDefault="00DB17FE" w:rsidP="00FC48BB">
      <w:pPr>
        <w:pStyle w:val="Heading3"/>
        <w:rPr>
          <w:lang w:val="en-GB"/>
        </w:rPr>
      </w:pPr>
      <w:bookmarkStart w:id="92" w:name="_Toc362267316"/>
      <w:r w:rsidRPr="00FC48BB">
        <w:rPr>
          <w:lang w:val="en-GB"/>
        </w:rPr>
        <w:t>10.3 Limitations</w:t>
      </w:r>
      <w:bookmarkEnd w:id="92"/>
      <w:r w:rsidRPr="00FC48BB">
        <w:rPr>
          <w:lang w:val="en-GB"/>
        </w:rPr>
        <w:t xml:space="preserve"> </w:t>
      </w:r>
    </w:p>
    <w:p w:rsidR="00C6680B" w:rsidRPr="0029500A" w:rsidRDefault="00C6680B" w:rsidP="00C6680B">
      <w:pPr>
        <w:jc w:val="both"/>
        <w:rPr>
          <w:rFonts w:ascii="Calibri" w:hAnsi="Calibri"/>
          <w:lang w:val="en-GB"/>
        </w:rPr>
      </w:pPr>
      <w:r w:rsidRPr="0029500A">
        <w:rPr>
          <w:rFonts w:ascii="Calibri" w:hAnsi="Calibri"/>
          <w:lang w:val="en-GB"/>
        </w:rPr>
        <w:t xml:space="preserve">Some limitations apply to the empirical and </w:t>
      </w:r>
      <w:r w:rsidR="003B0113">
        <w:rPr>
          <w:rFonts w:ascii="Calibri" w:hAnsi="Calibri"/>
          <w:lang w:val="en-GB"/>
        </w:rPr>
        <w:t xml:space="preserve">the </w:t>
      </w:r>
      <w:r w:rsidRPr="0029500A">
        <w:rPr>
          <w:rFonts w:ascii="Calibri" w:hAnsi="Calibri"/>
          <w:lang w:val="en-GB"/>
        </w:rPr>
        <w:t xml:space="preserve">statistical part of this research. With regard to the adopted methodology and the statistical analyses it can be </w:t>
      </w:r>
      <w:r w:rsidR="003B0113">
        <w:rPr>
          <w:rFonts w:ascii="Calibri" w:hAnsi="Calibri"/>
          <w:lang w:val="en-GB"/>
        </w:rPr>
        <w:t xml:space="preserve">signalled </w:t>
      </w:r>
      <w:r w:rsidRPr="0029500A">
        <w:rPr>
          <w:rFonts w:ascii="Calibri" w:hAnsi="Calibri"/>
          <w:lang w:val="en-GB"/>
        </w:rPr>
        <w:t>that the overall explanatory power of the independent v</w:t>
      </w:r>
      <w:r>
        <w:rPr>
          <w:rFonts w:ascii="Calibri" w:hAnsi="Calibri"/>
          <w:lang w:val="en-GB"/>
        </w:rPr>
        <w:t>ariables used in this study was</w:t>
      </w:r>
      <w:r w:rsidRPr="0029500A">
        <w:rPr>
          <w:rFonts w:ascii="Calibri" w:hAnsi="Calibri"/>
          <w:lang w:val="en-GB"/>
        </w:rPr>
        <w:t xml:space="preserve"> low. It is likely that other factors have a much stronger effect on the use of earnings management such as incentives and enforcement </w:t>
      </w:r>
      <w:r w:rsidRPr="0029500A">
        <w:rPr>
          <w:rFonts w:ascii="Calibri" w:hAnsi="Calibri"/>
          <w:i/>
          <w:iCs/>
          <w:lang w:val="en-GB"/>
        </w:rPr>
        <w:t>mechanisms</w:t>
      </w:r>
      <w:r w:rsidRPr="0029500A">
        <w:rPr>
          <w:rFonts w:ascii="Calibri" w:hAnsi="Calibri"/>
          <w:lang w:val="en-GB"/>
        </w:rPr>
        <w:t xml:space="preserve">. However, the current research approach based on estimated accruals cannot detect those factors. </w:t>
      </w:r>
    </w:p>
    <w:p w:rsidR="00C6680B" w:rsidRPr="0029500A" w:rsidRDefault="00C6680B" w:rsidP="00C6680B">
      <w:pPr>
        <w:jc w:val="both"/>
        <w:rPr>
          <w:rFonts w:ascii="Calibri" w:hAnsi="Calibri"/>
          <w:lang w:val="en-GB"/>
        </w:rPr>
      </w:pPr>
      <w:r w:rsidRPr="0029500A">
        <w:rPr>
          <w:rFonts w:ascii="Calibri" w:hAnsi="Calibri"/>
          <w:lang w:val="en-GB"/>
        </w:rPr>
        <w:t xml:space="preserve">Another limitation of this research is that the final sample of 24 companies is a bit small. On the other hand 135 firm year observations were included in the analyses which are not consequently low. In addition sufficient variation in the independent variables could be observed which allows for reliable analyses of the effects of the independent variables on </w:t>
      </w:r>
      <w:r w:rsidR="003B0113">
        <w:rPr>
          <w:rFonts w:ascii="Calibri" w:hAnsi="Calibri"/>
          <w:lang w:val="en-GB"/>
        </w:rPr>
        <w:t xml:space="preserve">the use of </w:t>
      </w:r>
      <w:r w:rsidRPr="0029500A">
        <w:rPr>
          <w:rFonts w:ascii="Calibri" w:hAnsi="Calibri"/>
          <w:lang w:val="en-GB"/>
        </w:rPr>
        <w:t xml:space="preserve">earnings management. More problematic in the whole study field using accruals based models is that it is sometimes unclear whether the studies use the actual observed values of accruals or the values of accruals scaled by lagged total assets. Some articles use the former terminology while they in fact adopt the later values in their result sections. This research showed that large differences exist between the two measures. It is better to use the indicator for accruals that is scaled by lagged total assets as scaling by lagged total assets reduces the strong influence of large companies on the scores for accrual indicators. </w:t>
      </w:r>
    </w:p>
    <w:p w:rsidR="00C6680B" w:rsidRPr="005E38DE" w:rsidRDefault="00C6680B" w:rsidP="00C6680B">
      <w:pPr>
        <w:autoSpaceDE w:val="0"/>
        <w:autoSpaceDN w:val="0"/>
        <w:adjustRightInd w:val="0"/>
        <w:spacing w:after="0"/>
        <w:jc w:val="both"/>
        <w:rPr>
          <w:rFonts w:ascii="Calibri" w:hAnsi="Calibri"/>
          <w:lang w:val="en-GB"/>
        </w:rPr>
      </w:pPr>
      <w:r w:rsidRPr="0029500A">
        <w:rPr>
          <w:rFonts w:ascii="Calibri" w:hAnsi="Calibri"/>
          <w:lang w:val="en-GB"/>
        </w:rPr>
        <w:t>A next limitation might be that not all regression assumptions might be met by this researc</w:t>
      </w:r>
      <w:r>
        <w:rPr>
          <w:rFonts w:ascii="Calibri" w:hAnsi="Calibri"/>
          <w:lang w:val="en-GB"/>
        </w:rPr>
        <w:t>h. As explained in paragraph 9.2</w:t>
      </w:r>
      <w:r w:rsidRPr="0029500A">
        <w:rPr>
          <w:rFonts w:ascii="Calibri" w:hAnsi="Calibri"/>
          <w:lang w:val="en-GB"/>
        </w:rPr>
        <w:t xml:space="preserve"> it is not clear whether all </w:t>
      </w:r>
      <w:r w:rsidR="003B0113">
        <w:rPr>
          <w:rFonts w:ascii="Calibri" w:hAnsi="Calibri"/>
          <w:lang w:val="en-GB"/>
        </w:rPr>
        <w:t xml:space="preserve">the </w:t>
      </w:r>
      <w:r w:rsidRPr="0029500A">
        <w:rPr>
          <w:rFonts w:ascii="Calibri" w:hAnsi="Calibri"/>
          <w:lang w:val="en-GB"/>
        </w:rPr>
        <w:t>observations are really independent from each other. Observed accruals in a certai</w:t>
      </w:r>
      <w:r>
        <w:rPr>
          <w:rFonts w:ascii="Calibri" w:hAnsi="Calibri"/>
          <w:lang w:val="en-GB"/>
        </w:rPr>
        <w:t>n year within one company might</w:t>
      </w:r>
      <w:r w:rsidRPr="0029500A">
        <w:rPr>
          <w:rFonts w:ascii="Calibri" w:hAnsi="Calibri"/>
          <w:lang w:val="en-GB"/>
        </w:rPr>
        <w:t xml:space="preserve"> well be influenced by the accruals of the previous year within this same company. It can be the case that this problem influences the outcomes of the regression analyses more than scholars noticed until now. </w:t>
      </w:r>
    </w:p>
    <w:p w:rsidR="00C6680B" w:rsidRPr="005E38DE" w:rsidRDefault="00C6680B" w:rsidP="00C6680B">
      <w:pPr>
        <w:autoSpaceDE w:val="0"/>
        <w:autoSpaceDN w:val="0"/>
        <w:adjustRightInd w:val="0"/>
        <w:spacing w:after="0"/>
        <w:jc w:val="both"/>
        <w:rPr>
          <w:rFonts w:ascii="Calibri" w:hAnsi="Calibri"/>
          <w:lang w:val="en-GB"/>
        </w:rPr>
      </w:pPr>
    </w:p>
    <w:p w:rsidR="00C6680B" w:rsidRDefault="00C6680B" w:rsidP="00C6680B">
      <w:pPr>
        <w:autoSpaceDE w:val="0"/>
        <w:autoSpaceDN w:val="0"/>
        <w:adjustRightInd w:val="0"/>
        <w:spacing w:after="0"/>
        <w:jc w:val="both"/>
        <w:rPr>
          <w:rFonts w:ascii="AdvPS6F00" w:hAnsi="AdvPS6F00" w:cs="AdvPS6F00"/>
          <w:lang w:val="en-GB"/>
        </w:rPr>
      </w:pPr>
      <w:r w:rsidRPr="0029500A">
        <w:rPr>
          <w:rFonts w:ascii="Calibri" w:hAnsi="Calibri"/>
          <w:lang w:val="en-GB"/>
        </w:rPr>
        <w:t xml:space="preserve">Another limitation of using the formulas from the Modified Jones Model for calculating the discretionary accruals is that calculating the accruals for year </w:t>
      </w:r>
      <w:r w:rsidRPr="0029500A">
        <w:rPr>
          <w:rFonts w:ascii="Calibri" w:hAnsi="Calibri"/>
          <w:i/>
          <w:lang w:val="en-GB"/>
        </w:rPr>
        <w:t>t</w:t>
      </w:r>
      <w:r w:rsidRPr="0029500A">
        <w:rPr>
          <w:rFonts w:ascii="Calibri" w:hAnsi="Calibri"/>
          <w:lang w:val="en-GB"/>
        </w:rPr>
        <w:t xml:space="preserve"> requires that data </w:t>
      </w:r>
      <w:r w:rsidR="003B0113">
        <w:rPr>
          <w:rFonts w:ascii="Calibri" w:hAnsi="Calibri"/>
          <w:lang w:val="en-GB"/>
        </w:rPr>
        <w:t xml:space="preserve">should use </w:t>
      </w:r>
      <w:r w:rsidRPr="0029500A">
        <w:rPr>
          <w:rFonts w:ascii="Calibri" w:hAnsi="Calibri"/>
          <w:lang w:val="en-GB"/>
        </w:rPr>
        <w:t xml:space="preserve">from the year </w:t>
      </w:r>
      <w:r w:rsidRPr="0029500A">
        <w:rPr>
          <w:rFonts w:ascii="Calibri" w:hAnsi="Calibri"/>
          <w:i/>
          <w:lang w:val="en-GB"/>
        </w:rPr>
        <w:t>t</w:t>
      </w:r>
      <w:r w:rsidRPr="0029500A">
        <w:rPr>
          <w:rFonts w:ascii="Calibri" w:hAnsi="Calibri"/>
          <w:lang w:val="en-GB"/>
        </w:rPr>
        <w:t>-1. Calculating the discretionary accruals for 2005 consequently uses data from the year 2004. In other words, the calculation of discretionary accruals that are based on IFRS in 2005 uses data that was calculated based on financial reports using NL GAAP as a standard. This creates a bias in the supposed sharp distinction amongst the period 2002</w:t>
      </w:r>
      <w:r w:rsidR="003B0113">
        <w:rPr>
          <w:rFonts w:ascii="Calibri" w:hAnsi="Calibri"/>
          <w:lang w:val="en-GB"/>
        </w:rPr>
        <w:t xml:space="preserve"> up to and included </w:t>
      </w:r>
      <w:r w:rsidRPr="0029500A">
        <w:rPr>
          <w:rFonts w:ascii="Calibri" w:hAnsi="Calibri"/>
          <w:lang w:val="en-GB"/>
        </w:rPr>
        <w:t>2004 in which NL GAAP was used and the period 2005</w:t>
      </w:r>
      <w:r w:rsidR="003B0113">
        <w:rPr>
          <w:rFonts w:ascii="Calibri" w:hAnsi="Calibri"/>
          <w:lang w:val="en-GB"/>
        </w:rPr>
        <w:t xml:space="preserve"> up to and included</w:t>
      </w:r>
      <w:r w:rsidRPr="0029500A">
        <w:rPr>
          <w:rFonts w:ascii="Calibri" w:hAnsi="Calibri"/>
          <w:lang w:val="en-GB"/>
        </w:rPr>
        <w:t xml:space="preserve">-2007 in which IFRS was used. Due to the study of the annual reports of the companies of 2004, in addition </w:t>
      </w:r>
      <w:r w:rsidR="003B0113">
        <w:rPr>
          <w:rFonts w:ascii="Calibri" w:hAnsi="Calibri"/>
          <w:lang w:val="en-GB"/>
        </w:rPr>
        <w:t xml:space="preserve">it was </w:t>
      </w:r>
      <w:r w:rsidRPr="0029500A">
        <w:rPr>
          <w:rFonts w:ascii="Calibri" w:hAnsi="Calibri"/>
          <w:lang w:val="en-GB"/>
        </w:rPr>
        <w:t xml:space="preserve">noticed by the author that several companies already anticipated in their reports on 2004 on the required introduction of IFRS in 2005. Some companies added a report in IFRS to their reports </w:t>
      </w:r>
      <w:r w:rsidR="003B0113">
        <w:rPr>
          <w:rFonts w:ascii="Calibri" w:hAnsi="Calibri"/>
          <w:lang w:val="en-GB"/>
        </w:rPr>
        <w:t xml:space="preserve">based on </w:t>
      </w:r>
      <w:r w:rsidRPr="0029500A">
        <w:rPr>
          <w:rFonts w:ascii="Calibri" w:hAnsi="Calibri"/>
          <w:lang w:val="en-GB"/>
        </w:rPr>
        <w:t xml:space="preserve">NL GAAP. And it is likely that companies already anticipated on changes in their balance </w:t>
      </w:r>
      <w:r w:rsidR="003B0113">
        <w:rPr>
          <w:rFonts w:ascii="Calibri" w:hAnsi="Calibri"/>
          <w:lang w:val="en-GB"/>
        </w:rPr>
        <w:t xml:space="preserve">because </w:t>
      </w:r>
      <w:r w:rsidRPr="0029500A">
        <w:rPr>
          <w:rFonts w:ascii="Calibri" w:hAnsi="Calibri"/>
          <w:lang w:val="en-GB"/>
        </w:rPr>
        <w:t xml:space="preserve">of the introduction of IFRS. It is consequently questionable whether a sharp distinction between the two periods is possible in the way performed </w:t>
      </w:r>
      <w:r w:rsidR="00761970">
        <w:rPr>
          <w:rFonts w:ascii="Calibri" w:hAnsi="Calibri"/>
          <w:lang w:val="en-GB"/>
        </w:rPr>
        <w:t xml:space="preserve">in </w:t>
      </w:r>
      <w:r w:rsidRPr="0029500A">
        <w:rPr>
          <w:rFonts w:ascii="Calibri" w:hAnsi="Calibri"/>
          <w:lang w:val="en-GB"/>
        </w:rPr>
        <w:t>this research.</w:t>
      </w:r>
    </w:p>
    <w:p w:rsidR="0057073D" w:rsidRPr="005635D8" w:rsidRDefault="0057073D" w:rsidP="00177CBE">
      <w:pPr>
        <w:autoSpaceDE w:val="0"/>
        <w:autoSpaceDN w:val="0"/>
        <w:adjustRightInd w:val="0"/>
        <w:spacing w:after="0" w:line="400" w:lineRule="atLeast"/>
        <w:jc w:val="both"/>
        <w:rPr>
          <w:rFonts w:cs="Times New Roman"/>
          <w:sz w:val="24"/>
          <w:szCs w:val="24"/>
          <w:lang w:val="en-GB"/>
        </w:rPr>
      </w:pPr>
    </w:p>
    <w:p w:rsidR="00BC052A" w:rsidRDefault="00BC052A" w:rsidP="00C6680B">
      <w:pPr>
        <w:pStyle w:val="Heading3"/>
        <w:rPr>
          <w:rFonts w:ascii="AdvPS6F00" w:hAnsi="AdvPS6F00" w:cs="AdvPS6F00"/>
          <w:b w:val="0"/>
          <w:bCs w:val="0"/>
          <w:sz w:val="22"/>
          <w:szCs w:val="22"/>
          <w:lang w:val="en-GB"/>
        </w:rPr>
      </w:pPr>
    </w:p>
    <w:p w:rsidR="00BC052A" w:rsidRDefault="00BC052A" w:rsidP="00C6680B">
      <w:pPr>
        <w:pStyle w:val="Heading3"/>
        <w:rPr>
          <w:rFonts w:ascii="AdvPS6F00" w:hAnsi="AdvPS6F00" w:cs="AdvPS6F00"/>
          <w:b w:val="0"/>
          <w:bCs w:val="0"/>
          <w:sz w:val="22"/>
          <w:szCs w:val="22"/>
          <w:lang w:val="en-GB"/>
        </w:rPr>
      </w:pPr>
    </w:p>
    <w:p w:rsidR="00C6680B" w:rsidRDefault="00C6680B" w:rsidP="00C6680B">
      <w:pPr>
        <w:pStyle w:val="Heading3"/>
        <w:rPr>
          <w:lang w:val="en-GB"/>
        </w:rPr>
      </w:pPr>
      <w:bookmarkStart w:id="93" w:name="_Toc362267317"/>
      <w:r>
        <w:rPr>
          <w:lang w:val="en-GB"/>
        </w:rPr>
        <w:t xml:space="preserve">10.4 </w:t>
      </w:r>
      <w:r w:rsidRPr="00FC48BB">
        <w:rPr>
          <w:lang w:val="en-GB"/>
        </w:rPr>
        <w:t>Recommendations for further research</w:t>
      </w:r>
      <w:bookmarkEnd w:id="93"/>
      <w:r w:rsidRPr="00FC48BB">
        <w:rPr>
          <w:lang w:val="en-GB"/>
        </w:rPr>
        <w:t xml:space="preserve"> </w:t>
      </w:r>
    </w:p>
    <w:p w:rsidR="00C9580B" w:rsidRPr="00BC052A" w:rsidRDefault="00F24543" w:rsidP="00BC052A">
      <w:pPr>
        <w:rPr>
          <w:rFonts w:ascii="Calibri" w:hAnsi="Calibri"/>
          <w:b/>
          <w:bCs/>
          <w:lang w:val="en-GB"/>
        </w:rPr>
      </w:pPr>
      <w:r w:rsidRPr="00BC052A">
        <w:rPr>
          <w:rFonts w:ascii="Calibri" w:hAnsi="Calibri"/>
          <w:lang w:val="en-GB"/>
        </w:rPr>
        <w:t xml:space="preserve">Several recommendations for further research follow from the limitations </w:t>
      </w:r>
      <w:r w:rsidR="00761970">
        <w:rPr>
          <w:rFonts w:ascii="Calibri" w:hAnsi="Calibri"/>
          <w:lang w:val="en-GB"/>
        </w:rPr>
        <w:t xml:space="preserve">presented </w:t>
      </w:r>
      <w:r w:rsidRPr="00BC052A">
        <w:rPr>
          <w:rFonts w:ascii="Calibri" w:hAnsi="Calibri"/>
          <w:lang w:val="en-GB"/>
        </w:rPr>
        <w:t xml:space="preserve">in the previous paragraph. </w:t>
      </w:r>
    </w:p>
    <w:p w:rsidR="00C9580B" w:rsidRPr="00BC052A" w:rsidRDefault="00F24543" w:rsidP="00BC052A">
      <w:pPr>
        <w:pStyle w:val="ListParagraph"/>
        <w:numPr>
          <w:ilvl w:val="0"/>
          <w:numId w:val="16"/>
        </w:numPr>
        <w:rPr>
          <w:rFonts w:ascii="Calibri" w:hAnsi="Calibri"/>
          <w:b/>
          <w:bCs/>
          <w:sz w:val="22"/>
          <w:szCs w:val="22"/>
          <w:lang w:val="en-GB"/>
        </w:rPr>
      </w:pPr>
      <w:r w:rsidRPr="00BC052A">
        <w:rPr>
          <w:rFonts w:ascii="Calibri" w:hAnsi="Calibri"/>
          <w:sz w:val="22"/>
          <w:szCs w:val="22"/>
          <w:lang w:val="en-GB"/>
        </w:rPr>
        <w:t xml:space="preserve">As the effects of the introduction of IFRS, size and industry are likely to be small when only including the variables studied in this thesis it might be worthwhile to start focusing on other factors in order to explain </w:t>
      </w:r>
      <w:r w:rsidR="00761970">
        <w:rPr>
          <w:rFonts w:ascii="Calibri" w:hAnsi="Calibri"/>
          <w:sz w:val="22"/>
          <w:szCs w:val="22"/>
          <w:lang w:val="en-GB"/>
        </w:rPr>
        <w:t xml:space="preserve">better the use of </w:t>
      </w:r>
      <w:r w:rsidRPr="00BC052A">
        <w:rPr>
          <w:rFonts w:ascii="Calibri" w:hAnsi="Calibri"/>
          <w:sz w:val="22"/>
          <w:szCs w:val="22"/>
          <w:lang w:val="en-GB"/>
        </w:rPr>
        <w:t xml:space="preserve">earnings management. Some authors </w:t>
      </w:r>
      <w:r w:rsidR="00761970">
        <w:rPr>
          <w:rFonts w:ascii="Calibri" w:hAnsi="Calibri"/>
          <w:sz w:val="22"/>
          <w:szCs w:val="22"/>
          <w:lang w:val="en-GB"/>
        </w:rPr>
        <w:t xml:space="preserve">signalled </w:t>
      </w:r>
      <w:r w:rsidRPr="00BC052A">
        <w:rPr>
          <w:rFonts w:ascii="Calibri" w:hAnsi="Calibri"/>
          <w:sz w:val="22"/>
          <w:szCs w:val="22"/>
          <w:lang w:val="en-GB"/>
        </w:rPr>
        <w:t xml:space="preserve">the role of enforcement mechanisms. Including this concept in the analysis might for example be considered. </w:t>
      </w:r>
    </w:p>
    <w:p w:rsidR="00C9580B" w:rsidRPr="00BC052A" w:rsidRDefault="00F24543" w:rsidP="00BC052A">
      <w:pPr>
        <w:pStyle w:val="ListParagraph"/>
        <w:numPr>
          <w:ilvl w:val="0"/>
          <w:numId w:val="16"/>
        </w:numPr>
        <w:rPr>
          <w:rFonts w:ascii="Calibri" w:eastAsia="PMingLiU" w:hAnsi="Calibri"/>
          <w:sz w:val="22"/>
          <w:szCs w:val="22"/>
          <w:lang w:val="en-GB"/>
        </w:rPr>
      </w:pPr>
      <w:r w:rsidRPr="00BC052A">
        <w:rPr>
          <w:rFonts w:ascii="Calibri" w:eastAsia="PMingLiU" w:hAnsi="Calibri"/>
          <w:sz w:val="22"/>
          <w:szCs w:val="22"/>
          <w:lang w:val="en-GB"/>
        </w:rPr>
        <w:t xml:space="preserve">This research showed that large differences exist between the use of an indicator for discretionary accruals that is scaled by lagged total assets and an indicator that is not scaled. It is better to use the indicator for accruals that is scaled by lagged total assets as scaling by lagged total assets reduces the strong influence of large companies on the scores for accrual indicators. </w:t>
      </w:r>
      <w:r w:rsidR="00761970">
        <w:rPr>
          <w:rFonts w:ascii="Calibri" w:eastAsia="PMingLiU" w:hAnsi="Calibri"/>
          <w:sz w:val="22"/>
          <w:szCs w:val="22"/>
          <w:lang w:val="en-GB"/>
        </w:rPr>
        <w:t xml:space="preserve">In addition </w:t>
      </w:r>
      <w:r w:rsidRPr="00BC052A">
        <w:rPr>
          <w:rFonts w:ascii="Calibri" w:eastAsia="PMingLiU" w:hAnsi="Calibri"/>
          <w:sz w:val="22"/>
          <w:szCs w:val="22"/>
          <w:lang w:val="en-GB"/>
        </w:rPr>
        <w:t xml:space="preserve">misunderstanding which indicator is actually used sometime </w:t>
      </w:r>
      <w:r w:rsidR="00761970" w:rsidRPr="00F24543">
        <w:rPr>
          <w:rFonts w:ascii="Calibri" w:eastAsia="PMingLiU" w:hAnsi="Calibri"/>
          <w:sz w:val="22"/>
          <w:szCs w:val="22"/>
          <w:lang w:val="en-GB"/>
        </w:rPr>
        <w:t>exists</w:t>
      </w:r>
      <w:r w:rsidRPr="00BC052A">
        <w:rPr>
          <w:rFonts w:ascii="Calibri" w:eastAsia="PMingLiU" w:hAnsi="Calibri"/>
          <w:sz w:val="22"/>
          <w:szCs w:val="22"/>
          <w:lang w:val="en-GB"/>
        </w:rPr>
        <w:t xml:space="preserve">. Future research should be </w:t>
      </w:r>
      <w:r w:rsidR="00CB5F64" w:rsidRPr="00BC052A">
        <w:rPr>
          <w:rFonts w:ascii="Calibri" w:eastAsia="PMingLiU" w:hAnsi="Calibri"/>
          <w:sz w:val="22"/>
          <w:szCs w:val="22"/>
          <w:lang w:val="en-GB"/>
        </w:rPr>
        <w:t>clearer</w:t>
      </w:r>
      <w:r w:rsidRPr="00BC052A">
        <w:rPr>
          <w:rFonts w:ascii="Calibri" w:eastAsia="PMingLiU" w:hAnsi="Calibri"/>
          <w:sz w:val="22"/>
          <w:szCs w:val="22"/>
          <w:lang w:val="en-GB"/>
        </w:rPr>
        <w:t xml:space="preserve"> about this and can be recommended to use the indicator for discretionary accruals that is scaled by lagged total assets.</w:t>
      </w:r>
    </w:p>
    <w:p w:rsidR="00C9580B" w:rsidRPr="00BC052A" w:rsidRDefault="00F24543" w:rsidP="00BC052A">
      <w:pPr>
        <w:pStyle w:val="ListParagraph"/>
        <w:numPr>
          <w:ilvl w:val="0"/>
          <w:numId w:val="16"/>
        </w:numPr>
        <w:rPr>
          <w:rFonts w:ascii="Calibri" w:hAnsi="Calibri"/>
          <w:sz w:val="22"/>
          <w:szCs w:val="22"/>
          <w:lang w:val="en-GB"/>
        </w:rPr>
      </w:pPr>
      <w:r w:rsidRPr="00BC052A">
        <w:rPr>
          <w:rFonts w:ascii="Calibri" w:hAnsi="Calibri"/>
          <w:sz w:val="22"/>
          <w:szCs w:val="22"/>
          <w:lang w:val="en-GB"/>
        </w:rPr>
        <w:t xml:space="preserve">The regression assumption that all observations are independent from each other might not be met by the models used in order to estimate </w:t>
      </w:r>
      <w:r w:rsidR="00761970">
        <w:rPr>
          <w:rFonts w:ascii="Calibri" w:hAnsi="Calibri"/>
          <w:sz w:val="22"/>
          <w:szCs w:val="22"/>
          <w:lang w:val="en-GB"/>
        </w:rPr>
        <w:t xml:space="preserve">the </w:t>
      </w:r>
      <w:r w:rsidRPr="00BC052A">
        <w:rPr>
          <w:rFonts w:ascii="Calibri" w:hAnsi="Calibri"/>
          <w:sz w:val="22"/>
          <w:szCs w:val="22"/>
          <w:lang w:val="en-GB"/>
        </w:rPr>
        <w:t xml:space="preserve">discretionary accruals. </w:t>
      </w:r>
      <w:r w:rsidR="00761970">
        <w:rPr>
          <w:rFonts w:ascii="Calibri" w:hAnsi="Calibri"/>
          <w:sz w:val="22"/>
          <w:szCs w:val="22"/>
          <w:lang w:val="en-GB"/>
        </w:rPr>
        <w:t>I</w:t>
      </w:r>
      <w:r w:rsidR="00761970" w:rsidRPr="00BC052A">
        <w:rPr>
          <w:rFonts w:ascii="Calibri" w:hAnsi="Calibri"/>
          <w:sz w:val="22"/>
          <w:szCs w:val="22"/>
          <w:lang w:val="en-GB"/>
        </w:rPr>
        <w:t xml:space="preserve"> order to </w:t>
      </w:r>
      <w:r w:rsidR="00761970">
        <w:rPr>
          <w:rFonts w:ascii="Calibri" w:hAnsi="Calibri"/>
          <w:sz w:val="22"/>
          <w:szCs w:val="22"/>
          <w:lang w:val="en-GB"/>
        </w:rPr>
        <w:t xml:space="preserve">ensure the </w:t>
      </w:r>
      <w:r w:rsidR="00761970" w:rsidRPr="00BC052A">
        <w:rPr>
          <w:rFonts w:ascii="Calibri" w:hAnsi="Calibri"/>
          <w:sz w:val="22"/>
          <w:szCs w:val="22"/>
          <w:lang w:val="en-GB"/>
        </w:rPr>
        <w:t>analysis is not biased by this problem</w:t>
      </w:r>
      <w:r w:rsidR="00761970">
        <w:rPr>
          <w:rFonts w:ascii="Calibri" w:hAnsi="Calibri"/>
          <w:sz w:val="22"/>
          <w:szCs w:val="22"/>
          <w:lang w:val="en-GB"/>
        </w:rPr>
        <w:t xml:space="preserve"> f</w:t>
      </w:r>
      <w:r w:rsidRPr="00BC052A">
        <w:rPr>
          <w:rFonts w:ascii="Calibri" w:hAnsi="Calibri"/>
          <w:sz w:val="22"/>
          <w:szCs w:val="22"/>
          <w:lang w:val="en-GB"/>
        </w:rPr>
        <w:t>urther research should consult some statistical experts on this issue</w:t>
      </w:r>
      <w:r w:rsidR="00761970">
        <w:rPr>
          <w:rFonts w:ascii="Calibri" w:hAnsi="Calibri"/>
          <w:sz w:val="22"/>
          <w:szCs w:val="22"/>
          <w:lang w:val="en-GB"/>
        </w:rPr>
        <w:t>.</w:t>
      </w:r>
      <w:r w:rsidRPr="00BC052A">
        <w:rPr>
          <w:rFonts w:ascii="Calibri" w:hAnsi="Calibri"/>
          <w:sz w:val="22"/>
          <w:szCs w:val="22"/>
          <w:lang w:val="en-GB"/>
        </w:rPr>
        <w:t xml:space="preserve"> </w:t>
      </w:r>
    </w:p>
    <w:p w:rsidR="00C9580B" w:rsidRPr="00BC052A" w:rsidRDefault="00761970" w:rsidP="00BC052A">
      <w:pPr>
        <w:pStyle w:val="ListParagraph"/>
        <w:numPr>
          <w:ilvl w:val="0"/>
          <w:numId w:val="16"/>
        </w:numPr>
        <w:rPr>
          <w:rFonts w:ascii="Calibri" w:hAnsi="Calibri" w:cs="AdvPS6F00"/>
          <w:sz w:val="22"/>
          <w:szCs w:val="22"/>
          <w:lang w:val="en-GB"/>
        </w:rPr>
      </w:pPr>
      <w:r>
        <w:rPr>
          <w:rFonts w:ascii="Calibri" w:hAnsi="Calibri"/>
          <w:sz w:val="22"/>
          <w:szCs w:val="22"/>
          <w:lang w:val="en-GB"/>
        </w:rPr>
        <w:t xml:space="preserve">Because </w:t>
      </w:r>
      <w:r w:rsidR="00F24543" w:rsidRPr="00BC052A">
        <w:rPr>
          <w:rFonts w:ascii="Calibri" w:hAnsi="Calibri"/>
          <w:sz w:val="22"/>
          <w:szCs w:val="22"/>
          <w:lang w:val="en-GB"/>
        </w:rPr>
        <w:t>of the possible bias in the sharp distinction between the two periods in the data that are compared with each other it can be suggested to future research to  leave the years 2004 and 2005 out of the test and consider them as transition years. Testing the difference between 2002</w:t>
      </w:r>
      <w:r>
        <w:rPr>
          <w:rFonts w:ascii="Calibri" w:hAnsi="Calibri"/>
          <w:sz w:val="22"/>
          <w:szCs w:val="22"/>
          <w:lang w:val="en-GB"/>
        </w:rPr>
        <w:t xml:space="preserve"> up and included </w:t>
      </w:r>
      <w:r w:rsidR="00F24543" w:rsidRPr="00BC052A">
        <w:rPr>
          <w:rFonts w:ascii="Calibri" w:hAnsi="Calibri"/>
          <w:sz w:val="22"/>
          <w:szCs w:val="22"/>
          <w:lang w:val="en-GB"/>
        </w:rPr>
        <w:t>2003 and 2006</w:t>
      </w:r>
      <w:r>
        <w:rPr>
          <w:rFonts w:ascii="Calibri" w:hAnsi="Calibri"/>
          <w:sz w:val="22"/>
          <w:szCs w:val="22"/>
          <w:lang w:val="en-GB"/>
        </w:rPr>
        <w:t xml:space="preserve"> up an included </w:t>
      </w:r>
      <w:r w:rsidR="00F24543" w:rsidRPr="00BC052A">
        <w:rPr>
          <w:rFonts w:ascii="Calibri" w:hAnsi="Calibri"/>
          <w:sz w:val="22"/>
          <w:szCs w:val="22"/>
          <w:lang w:val="en-GB"/>
        </w:rPr>
        <w:t xml:space="preserve">2007 might </w:t>
      </w:r>
      <w:r>
        <w:rPr>
          <w:rFonts w:ascii="Calibri" w:hAnsi="Calibri"/>
          <w:sz w:val="22"/>
          <w:szCs w:val="22"/>
          <w:lang w:val="en-GB"/>
        </w:rPr>
        <w:t xml:space="preserve">realize </w:t>
      </w:r>
      <w:r w:rsidR="00F24543" w:rsidRPr="00BC052A">
        <w:rPr>
          <w:rFonts w:ascii="Calibri" w:hAnsi="Calibri"/>
          <w:sz w:val="22"/>
          <w:szCs w:val="22"/>
          <w:lang w:val="en-GB"/>
        </w:rPr>
        <w:t xml:space="preserve">a more reliable indication whether any differences in the levels of </w:t>
      </w:r>
      <w:r>
        <w:rPr>
          <w:rFonts w:ascii="Calibri" w:hAnsi="Calibri"/>
          <w:sz w:val="22"/>
          <w:szCs w:val="22"/>
          <w:lang w:val="en-GB"/>
        </w:rPr>
        <w:t xml:space="preserve">the use of </w:t>
      </w:r>
      <w:r w:rsidR="00F24543" w:rsidRPr="00BC052A">
        <w:rPr>
          <w:rFonts w:ascii="Calibri" w:hAnsi="Calibri"/>
          <w:sz w:val="22"/>
          <w:szCs w:val="22"/>
          <w:lang w:val="en-GB"/>
        </w:rPr>
        <w:t xml:space="preserve">earnings management </w:t>
      </w:r>
      <w:r>
        <w:rPr>
          <w:rFonts w:ascii="Calibri" w:hAnsi="Calibri"/>
          <w:sz w:val="22"/>
          <w:szCs w:val="22"/>
          <w:lang w:val="en-GB"/>
        </w:rPr>
        <w:t xml:space="preserve">based on </w:t>
      </w:r>
      <w:r w:rsidR="00F24543" w:rsidRPr="00BC052A">
        <w:rPr>
          <w:rFonts w:ascii="Calibri" w:hAnsi="Calibri"/>
          <w:sz w:val="22"/>
          <w:szCs w:val="22"/>
          <w:lang w:val="en-GB"/>
        </w:rPr>
        <w:t>NL GAAP and IFRS can be observed.</w:t>
      </w:r>
    </w:p>
    <w:p w:rsidR="00C9580B" w:rsidRDefault="00E11A9D" w:rsidP="00BC052A">
      <w:pPr>
        <w:rPr>
          <w:rFonts w:eastAsiaTheme="majorEastAsia" w:cstheme="minorHAnsi"/>
          <w:sz w:val="28"/>
          <w:szCs w:val="28"/>
          <w:lang w:val="en-GB"/>
        </w:rPr>
      </w:pPr>
      <w:r w:rsidRPr="005635D8">
        <w:rPr>
          <w:lang w:val="en-GB"/>
        </w:rPr>
        <w:br w:type="page"/>
      </w:r>
    </w:p>
    <w:p w:rsidR="00DC6642" w:rsidRPr="005635D8" w:rsidRDefault="00DC6642" w:rsidP="00DC6642">
      <w:pPr>
        <w:pStyle w:val="Heading1"/>
      </w:pPr>
      <w:bookmarkStart w:id="94" w:name="_Toc362267318"/>
      <w:r w:rsidRPr="005635D8">
        <w:t>References:</w:t>
      </w:r>
      <w:bookmarkEnd w:id="94"/>
    </w:p>
    <w:p w:rsidR="00DC6642" w:rsidRPr="005635D8" w:rsidRDefault="00DC6642" w:rsidP="00DC6642">
      <w:pPr>
        <w:autoSpaceDE w:val="0"/>
        <w:autoSpaceDN w:val="0"/>
        <w:adjustRightInd w:val="0"/>
        <w:spacing w:after="0" w:line="240" w:lineRule="auto"/>
        <w:rPr>
          <w:rFonts w:ascii="Times New Roman" w:hAnsi="Times New Roman" w:cs="Times New Roman"/>
          <w:sz w:val="20"/>
          <w:szCs w:val="20"/>
          <w:lang w:val="en-GB"/>
        </w:rPr>
      </w:pPr>
    </w:p>
    <w:p w:rsidR="00863CE1" w:rsidRPr="005635D8" w:rsidRDefault="00863CE1" w:rsidP="00863CE1">
      <w:pPr>
        <w:autoSpaceDE w:val="0"/>
        <w:autoSpaceDN w:val="0"/>
        <w:adjustRightInd w:val="0"/>
        <w:spacing w:after="0" w:line="240" w:lineRule="auto"/>
        <w:rPr>
          <w:rFonts w:cs="Times New Roman"/>
          <w:lang w:val="en-GB"/>
        </w:rPr>
      </w:pPr>
      <w:r w:rsidRPr="005635D8">
        <w:rPr>
          <w:rFonts w:cs="Times New Roman"/>
          <w:lang w:val="en-GB"/>
        </w:rPr>
        <w:t xml:space="preserve">Babbie, E. (2007) </w:t>
      </w:r>
      <w:r w:rsidRPr="005635D8">
        <w:rPr>
          <w:rFonts w:cs="Times New Roman"/>
          <w:i/>
          <w:iCs/>
          <w:lang w:val="en-GB"/>
        </w:rPr>
        <w:t>The Basics of Social Research,</w:t>
      </w:r>
      <w:r w:rsidRPr="005635D8">
        <w:rPr>
          <w:rFonts w:cs="Times New Roman"/>
          <w:lang w:val="en-GB"/>
        </w:rPr>
        <w:t xml:space="preserve"> Wadsworth publishers</w:t>
      </w:r>
    </w:p>
    <w:p w:rsidR="00863CE1" w:rsidRPr="005635D8" w:rsidRDefault="00863CE1" w:rsidP="00DC6642">
      <w:pPr>
        <w:autoSpaceDE w:val="0"/>
        <w:autoSpaceDN w:val="0"/>
        <w:adjustRightInd w:val="0"/>
        <w:spacing w:after="0" w:line="240" w:lineRule="auto"/>
        <w:rPr>
          <w:rFonts w:cs="Times New Roman"/>
          <w:lang w:val="en-GB"/>
        </w:rPr>
      </w:pPr>
    </w:p>
    <w:p w:rsidR="00BC1CE6" w:rsidRPr="005635D8" w:rsidRDefault="00DC6642" w:rsidP="00DC099B">
      <w:pPr>
        <w:autoSpaceDE w:val="0"/>
        <w:autoSpaceDN w:val="0"/>
        <w:adjustRightInd w:val="0"/>
        <w:spacing w:after="0" w:line="240" w:lineRule="auto"/>
        <w:ind w:left="284" w:hanging="284"/>
        <w:rPr>
          <w:rFonts w:cs="Times New Roman"/>
          <w:lang w:val="en-GB"/>
        </w:rPr>
      </w:pPr>
      <w:r w:rsidRPr="005635D8">
        <w:rPr>
          <w:rFonts w:cs="Times New Roman"/>
          <w:lang w:val="en-GB"/>
        </w:rPr>
        <w:t>Barth, M. E., Landsman, W.R. and Lang, M.H. (2008) International accounting standards and</w:t>
      </w:r>
      <w:r w:rsidR="009B2F53" w:rsidRPr="005635D8">
        <w:rPr>
          <w:rFonts w:cs="Times New Roman"/>
          <w:lang w:val="en-GB"/>
        </w:rPr>
        <w:t xml:space="preserve"> </w:t>
      </w:r>
      <w:r w:rsidRPr="005635D8">
        <w:rPr>
          <w:rFonts w:cs="Times New Roman"/>
          <w:lang w:val="en-GB"/>
        </w:rPr>
        <w:t xml:space="preserve">accounting quality, </w:t>
      </w:r>
      <w:r w:rsidRPr="005635D8">
        <w:rPr>
          <w:rFonts w:cs="Times New Roman"/>
          <w:i/>
          <w:iCs/>
          <w:lang w:val="en-GB"/>
        </w:rPr>
        <w:t>Journal of Accounting Research</w:t>
      </w:r>
      <w:r w:rsidRPr="005635D8">
        <w:rPr>
          <w:rFonts w:cs="Times New Roman"/>
          <w:lang w:val="en-GB"/>
        </w:rPr>
        <w:t>, Vol. 46, No. 3, pp. 467-498.</w:t>
      </w:r>
    </w:p>
    <w:p w:rsidR="00DC6642" w:rsidRPr="005635D8" w:rsidRDefault="00DC6642" w:rsidP="00DC6642">
      <w:pPr>
        <w:autoSpaceDE w:val="0"/>
        <w:autoSpaceDN w:val="0"/>
        <w:adjustRightInd w:val="0"/>
        <w:spacing w:after="0" w:line="240" w:lineRule="auto"/>
        <w:rPr>
          <w:rFonts w:cs="Times New Roman"/>
          <w:lang w:val="en-GB"/>
        </w:rPr>
      </w:pPr>
    </w:p>
    <w:p w:rsidR="00BC1CE6" w:rsidRPr="005635D8" w:rsidRDefault="00DC6642" w:rsidP="00DC099B">
      <w:pPr>
        <w:autoSpaceDE w:val="0"/>
        <w:autoSpaceDN w:val="0"/>
        <w:adjustRightInd w:val="0"/>
        <w:spacing w:after="0" w:line="240" w:lineRule="auto"/>
        <w:ind w:left="284" w:hanging="284"/>
        <w:rPr>
          <w:lang w:val="en-GB"/>
        </w:rPr>
      </w:pPr>
      <w:r w:rsidRPr="005635D8">
        <w:rPr>
          <w:rFonts w:cs="Times New Roman"/>
          <w:lang w:val="en-GB"/>
        </w:rPr>
        <w:t xml:space="preserve">Barth, M. E., Landsman, W.R., Lang, M.H., and Williams, C.D. (2006) </w:t>
      </w:r>
      <w:r w:rsidRPr="005635D8">
        <w:rPr>
          <w:rFonts w:cs="Times New Roman"/>
          <w:i/>
          <w:iCs/>
          <w:lang w:val="en-GB"/>
        </w:rPr>
        <w:t>Accounting quality:</w:t>
      </w:r>
      <w:r w:rsidR="009B2F53" w:rsidRPr="005635D8" w:rsidDel="009B2F53">
        <w:rPr>
          <w:rFonts w:cs="Times New Roman"/>
          <w:i/>
          <w:iCs/>
          <w:lang w:val="en-GB"/>
        </w:rPr>
        <w:t xml:space="preserve"> </w:t>
      </w:r>
      <w:r w:rsidR="001F4CF3" w:rsidRPr="005635D8">
        <w:rPr>
          <w:i/>
          <w:iCs/>
          <w:lang w:val="en-GB"/>
        </w:rPr>
        <w:t>International accounting standards and US GAAP</w:t>
      </w:r>
      <w:r w:rsidR="001F4CF3" w:rsidRPr="005635D8">
        <w:rPr>
          <w:lang w:val="en-GB"/>
        </w:rPr>
        <w:t>, SSRN.</w:t>
      </w:r>
    </w:p>
    <w:p w:rsidR="00DC6642" w:rsidRPr="005635D8" w:rsidRDefault="00DC6642" w:rsidP="00DC6642">
      <w:pPr>
        <w:pStyle w:val="NoSpacing"/>
        <w:rPr>
          <w:lang w:val="en-GB"/>
        </w:rPr>
      </w:pPr>
    </w:p>
    <w:p w:rsidR="00DC099B" w:rsidRPr="005635D8" w:rsidRDefault="00DC099B" w:rsidP="00DC099B">
      <w:pPr>
        <w:autoSpaceDE w:val="0"/>
        <w:autoSpaceDN w:val="0"/>
        <w:adjustRightInd w:val="0"/>
        <w:spacing w:after="0" w:line="240" w:lineRule="auto"/>
        <w:ind w:left="284" w:hanging="284"/>
        <w:rPr>
          <w:lang w:val="en-GB"/>
        </w:rPr>
      </w:pPr>
      <w:r w:rsidRPr="005635D8">
        <w:rPr>
          <w:lang w:val="en-GB"/>
        </w:rPr>
        <w:t>Ball, R. and Shivakumar, L. (2004) The Role of Accruals in Asymmetrically Timely Gain and Loss Recognition,</w:t>
      </w:r>
      <w:r w:rsidR="00A5758B" w:rsidRPr="005635D8">
        <w:rPr>
          <w:lang w:val="en-GB"/>
        </w:rPr>
        <w:t xml:space="preserve"> conference paper, available at</w:t>
      </w:r>
      <w:r w:rsidRPr="005635D8">
        <w:rPr>
          <w:lang w:val="en-GB"/>
        </w:rPr>
        <w:t xml:space="preserve"> </w:t>
      </w:r>
      <w:hyperlink r:id="rId148" w:history="1">
        <w:r w:rsidRPr="005635D8">
          <w:rPr>
            <w:rStyle w:val="Hyperlink"/>
            <w:lang w:val="en-GB"/>
          </w:rPr>
          <w:t>http://faculty.chicagobooth.edu/ray.ball/pdf</w:t>
        </w:r>
      </w:hyperlink>
    </w:p>
    <w:p w:rsidR="00DC099B" w:rsidRPr="005635D8" w:rsidRDefault="00DC099B" w:rsidP="00DC099B">
      <w:pPr>
        <w:autoSpaceDE w:val="0"/>
        <w:autoSpaceDN w:val="0"/>
        <w:adjustRightInd w:val="0"/>
        <w:spacing w:after="0" w:line="240" w:lineRule="auto"/>
        <w:rPr>
          <w:rFonts w:ascii="Times New Roman" w:hAnsi="Times New Roman" w:cs="Times New Roman"/>
          <w:b/>
          <w:bCs/>
          <w:i/>
          <w:iCs/>
          <w:sz w:val="32"/>
          <w:szCs w:val="32"/>
          <w:lang w:val="en-GB"/>
        </w:rPr>
      </w:pPr>
      <w:r w:rsidRPr="005635D8">
        <w:rPr>
          <w:lang w:val="en-GB"/>
        </w:rPr>
        <w:t xml:space="preserve"> </w:t>
      </w:r>
    </w:p>
    <w:p w:rsidR="00DC6642" w:rsidRPr="005635D8" w:rsidRDefault="00DC6642" w:rsidP="00DC6642">
      <w:pPr>
        <w:pStyle w:val="NoSpacing"/>
        <w:rPr>
          <w:lang w:val="en-GB"/>
        </w:rPr>
      </w:pPr>
      <w:r w:rsidRPr="005635D8">
        <w:rPr>
          <w:lang w:val="en-GB"/>
        </w:rPr>
        <w:t>Ball, R. (2006) International Financial Reporting Standards (IFRS): Pros and Cons for Investors.</w:t>
      </w:r>
    </w:p>
    <w:p w:rsidR="00DC6642" w:rsidRPr="005635D8" w:rsidRDefault="00DC6642" w:rsidP="00DC6642">
      <w:pPr>
        <w:autoSpaceDE w:val="0"/>
        <w:autoSpaceDN w:val="0"/>
        <w:adjustRightInd w:val="0"/>
        <w:spacing w:after="0" w:line="240" w:lineRule="auto"/>
        <w:ind w:firstLine="284"/>
        <w:rPr>
          <w:lang w:val="en-GB"/>
        </w:rPr>
      </w:pPr>
      <w:r w:rsidRPr="005635D8">
        <w:rPr>
          <w:i/>
          <w:iCs/>
          <w:lang w:val="en-GB"/>
        </w:rPr>
        <w:t>Accounting and Business Research</w:t>
      </w:r>
      <w:r w:rsidRPr="005635D8">
        <w:rPr>
          <w:lang w:val="en-GB"/>
        </w:rPr>
        <w:t>, Special Issue: International Accounting Policy Forum: pp. 2-18.</w:t>
      </w:r>
    </w:p>
    <w:p w:rsidR="00DC6642" w:rsidRPr="005635D8" w:rsidRDefault="00DC6642" w:rsidP="00DC6642">
      <w:pPr>
        <w:autoSpaceDE w:val="0"/>
        <w:autoSpaceDN w:val="0"/>
        <w:adjustRightInd w:val="0"/>
        <w:spacing w:after="0" w:line="240" w:lineRule="auto"/>
        <w:rPr>
          <w:rFonts w:cs="TimesNewRoman"/>
          <w:lang w:val="en-GB"/>
        </w:rPr>
      </w:pPr>
    </w:p>
    <w:p w:rsidR="00DC6642" w:rsidRPr="005635D8" w:rsidRDefault="00DC6642" w:rsidP="00DC6642">
      <w:pPr>
        <w:autoSpaceDE w:val="0"/>
        <w:autoSpaceDN w:val="0"/>
        <w:adjustRightInd w:val="0"/>
        <w:spacing w:after="0" w:line="240" w:lineRule="auto"/>
        <w:rPr>
          <w:rFonts w:cs="TimesNewRoman"/>
          <w:lang w:val="en-GB"/>
        </w:rPr>
      </w:pPr>
      <w:r w:rsidRPr="005635D8">
        <w:rPr>
          <w:rFonts w:cs="TimesNewRoman"/>
          <w:lang w:val="en-GB"/>
        </w:rPr>
        <w:t xml:space="preserve">Bartov, E. (1993) The Timing of Asset Sales and Earnings Manipulation, </w:t>
      </w:r>
      <w:r w:rsidRPr="005635D8">
        <w:rPr>
          <w:rFonts w:cs="TimesNewRoman"/>
          <w:i/>
          <w:iCs/>
          <w:lang w:val="en-GB"/>
        </w:rPr>
        <w:t>The Accounting Review</w:t>
      </w:r>
      <w:r w:rsidRPr="005635D8">
        <w:rPr>
          <w:rFonts w:cs="TimesNewRoman"/>
          <w:lang w:val="en-GB"/>
        </w:rPr>
        <w:t xml:space="preserve">, </w:t>
      </w:r>
    </w:p>
    <w:p w:rsidR="00DC6642" w:rsidRPr="005635D8" w:rsidRDefault="00DC6642" w:rsidP="00DC6642">
      <w:pPr>
        <w:autoSpaceDE w:val="0"/>
        <w:autoSpaceDN w:val="0"/>
        <w:adjustRightInd w:val="0"/>
        <w:spacing w:after="0" w:line="240" w:lineRule="auto"/>
        <w:ind w:firstLine="284"/>
        <w:rPr>
          <w:rFonts w:cs="TimesNewRoman"/>
          <w:lang w:val="en-GB"/>
        </w:rPr>
      </w:pPr>
      <w:r w:rsidRPr="005635D8">
        <w:rPr>
          <w:rFonts w:cs="TimesNewRoman"/>
          <w:lang w:val="en-GB"/>
        </w:rPr>
        <w:t>Vol. 68, No. 4, pp. 840-855.</w:t>
      </w:r>
    </w:p>
    <w:p w:rsidR="00DC6642" w:rsidRPr="005635D8" w:rsidRDefault="00DC6642" w:rsidP="00DC6642">
      <w:pPr>
        <w:autoSpaceDE w:val="0"/>
        <w:autoSpaceDN w:val="0"/>
        <w:adjustRightInd w:val="0"/>
        <w:spacing w:after="0" w:line="240" w:lineRule="auto"/>
        <w:ind w:left="284" w:hanging="284"/>
        <w:rPr>
          <w:rFonts w:cs="TimesNewRoman"/>
          <w:lang w:val="en-GB"/>
        </w:rPr>
      </w:pPr>
    </w:p>
    <w:p w:rsidR="00DC099B" w:rsidRPr="005635D8" w:rsidRDefault="00DC6642" w:rsidP="00DC099B">
      <w:pPr>
        <w:autoSpaceDE w:val="0"/>
        <w:autoSpaceDN w:val="0"/>
        <w:adjustRightInd w:val="0"/>
        <w:spacing w:after="0" w:line="240" w:lineRule="auto"/>
        <w:ind w:left="284" w:hanging="284"/>
        <w:rPr>
          <w:lang w:val="en-GB"/>
        </w:rPr>
      </w:pPr>
      <w:r w:rsidRPr="005635D8">
        <w:rPr>
          <w:rFonts w:cs="TimesNewRoman"/>
          <w:lang w:val="en-GB"/>
        </w:rPr>
        <w:t xml:space="preserve">Bartov, E., Gul, F.A. and Tsui, J. (2000) Discretionary-Accruals Models and Audit Qualifications, working paper; Available at </w:t>
      </w:r>
      <w:hyperlink r:id="rId149" w:history="1">
        <w:r w:rsidRPr="005635D8">
          <w:rPr>
            <w:rStyle w:val="Hyperlink"/>
            <w:lang w:val="en-GB"/>
          </w:rPr>
          <w:t>http://papers.ssrn.com/sol3/papers.cfm?abstract_id=214996</w:t>
        </w:r>
      </w:hyperlink>
    </w:p>
    <w:p w:rsidR="00DC6642" w:rsidRPr="005635D8" w:rsidRDefault="00DC6642" w:rsidP="00DC6642">
      <w:pPr>
        <w:autoSpaceDE w:val="0"/>
        <w:autoSpaceDN w:val="0"/>
        <w:adjustRightInd w:val="0"/>
        <w:spacing w:after="0" w:line="240" w:lineRule="auto"/>
        <w:rPr>
          <w:rFonts w:cs="TimesNewRoman"/>
          <w:lang w:val="en-GB"/>
        </w:rPr>
      </w:pPr>
    </w:p>
    <w:p w:rsidR="00DC6642" w:rsidRPr="005635D8" w:rsidRDefault="00DC6642" w:rsidP="00DC6642">
      <w:pPr>
        <w:autoSpaceDE w:val="0"/>
        <w:autoSpaceDN w:val="0"/>
        <w:adjustRightInd w:val="0"/>
        <w:spacing w:after="0" w:line="240" w:lineRule="auto"/>
        <w:ind w:left="284" w:hanging="284"/>
        <w:rPr>
          <w:rFonts w:cs="TimesNewRoman"/>
          <w:lang w:val="en-GB"/>
        </w:rPr>
      </w:pPr>
      <w:r w:rsidRPr="005635D8">
        <w:rPr>
          <w:rFonts w:cs="TimesNewRoman"/>
          <w:lang w:val="en-GB"/>
        </w:rPr>
        <w:t xml:space="preserve">Belkaoui, A. and Karpik, P.G. (1989) Determinants of the Corporate Decision to Disclose Social Information, </w:t>
      </w:r>
      <w:r w:rsidRPr="005635D8">
        <w:rPr>
          <w:rFonts w:cs="TimesNewRoman,Italic"/>
          <w:i/>
          <w:iCs/>
          <w:lang w:val="en-GB"/>
        </w:rPr>
        <w:t>Accounting, Auditing &amp; Accountability Journal</w:t>
      </w:r>
      <w:r w:rsidRPr="005635D8">
        <w:rPr>
          <w:rFonts w:cs="TimesNewRoman"/>
          <w:lang w:val="en-GB"/>
        </w:rPr>
        <w:t>, Vol. 2, No. 1, pp.36-51.</w:t>
      </w:r>
      <w:r w:rsidRPr="005635D8">
        <w:rPr>
          <w:rFonts w:cs="TimesNewRoman"/>
          <w:lang w:val="en-GB" w:eastAsia="nl-NL"/>
        </w:rPr>
        <w:t xml:space="preserve"> </w:t>
      </w:r>
    </w:p>
    <w:p w:rsidR="00DC6642" w:rsidRPr="005635D8" w:rsidRDefault="00DC6642" w:rsidP="00DC6642">
      <w:pPr>
        <w:autoSpaceDE w:val="0"/>
        <w:autoSpaceDN w:val="0"/>
        <w:adjustRightInd w:val="0"/>
        <w:spacing w:after="0" w:line="240" w:lineRule="auto"/>
        <w:rPr>
          <w:lang w:val="en-GB"/>
        </w:rPr>
      </w:pPr>
    </w:p>
    <w:p w:rsidR="00DC6642" w:rsidRPr="005635D8" w:rsidRDefault="00DC6642" w:rsidP="00DC6642">
      <w:pPr>
        <w:autoSpaceDE w:val="0"/>
        <w:autoSpaceDN w:val="0"/>
        <w:adjustRightInd w:val="0"/>
        <w:spacing w:after="0" w:line="240" w:lineRule="auto"/>
        <w:ind w:left="284" w:hanging="284"/>
        <w:rPr>
          <w:lang w:val="en-GB"/>
        </w:rPr>
      </w:pPr>
      <w:r w:rsidRPr="005635D8">
        <w:rPr>
          <w:lang w:val="en-GB"/>
        </w:rPr>
        <w:t xml:space="preserve">Bergstresser, D. and Philippon, T. (2006) CEO incentives and Earnings Management, </w:t>
      </w:r>
      <w:r w:rsidRPr="005635D8">
        <w:rPr>
          <w:i/>
          <w:iCs/>
          <w:lang w:val="en-GB"/>
        </w:rPr>
        <w:t>Journal of Financial Economics</w:t>
      </w:r>
      <w:r w:rsidRPr="005635D8">
        <w:rPr>
          <w:lang w:val="en-GB"/>
        </w:rPr>
        <w:t>, Vol. 80, pp. 511–529.</w:t>
      </w:r>
    </w:p>
    <w:p w:rsidR="00DC6642" w:rsidRPr="005635D8" w:rsidRDefault="00DC6642" w:rsidP="00DC6642">
      <w:pPr>
        <w:autoSpaceDE w:val="0"/>
        <w:autoSpaceDN w:val="0"/>
        <w:adjustRightInd w:val="0"/>
        <w:spacing w:after="0" w:line="240" w:lineRule="auto"/>
        <w:rPr>
          <w:lang w:val="en-GB"/>
        </w:rPr>
      </w:pPr>
    </w:p>
    <w:p w:rsidR="00DC6642" w:rsidRPr="005635D8" w:rsidRDefault="00DC6642" w:rsidP="00DC6642">
      <w:pPr>
        <w:autoSpaceDE w:val="0"/>
        <w:autoSpaceDN w:val="0"/>
        <w:adjustRightInd w:val="0"/>
        <w:spacing w:after="0" w:line="240" w:lineRule="auto"/>
        <w:rPr>
          <w:lang w:val="en-GB"/>
        </w:rPr>
      </w:pPr>
      <w:r w:rsidRPr="005635D8">
        <w:rPr>
          <w:rFonts w:cs="Times New Roman"/>
          <w:lang w:val="en-GB"/>
        </w:rPr>
        <w:t xml:space="preserve">Bernstein, L  (1993) </w:t>
      </w:r>
      <w:r w:rsidRPr="005635D8">
        <w:rPr>
          <w:rFonts w:cs="Times New Roman"/>
          <w:i/>
          <w:iCs/>
          <w:lang w:val="en-GB"/>
        </w:rPr>
        <w:t xml:space="preserve">Financial Statement Analysis, </w:t>
      </w:r>
      <w:r w:rsidRPr="005635D8">
        <w:rPr>
          <w:rFonts w:cs="Times New Roman"/>
          <w:lang w:val="en-GB"/>
        </w:rPr>
        <w:t>5th ed. Homewood, IL: Irwin.</w:t>
      </w:r>
    </w:p>
    <w:p w:rsidR="00DC6642" w:rsidRPr="005635D8" w:rsidRDefault="00DC6642" w:rsidP="00DC6642">
      <w:pPr>
        <w:autoSpaceDE w:val="0"/>
        <w:autoSpaceDN w:val="0"/>
        <w:adjustRightInd w:val="0"/>
        <w:spacing w:after="0" w:line="240" w:lineRule="auto"/>
        <w:rPr>
          <w:lang w:val="en-GB"/>
        </w:rPr>
      </w:pPr>
    </w:p>
    <w:p w:rsidR="00DC6642" w:rsidRPr="005635D8" w:rsidRDefault="00DC6642" w:rsidP="00DC6642">
      <w:pPr>
        <w:autoSpaceDE w:val="0"/>
        <w:autoSpaceDN w:val="0"/>
        <w:adjustRightInd w:val="0"/>
        <w:spacing w:after="0" w:line="240" w:lineRule="auto"/>
        <w:ind w:left="284" w:hanging="284"/>
        <w:rPr>
          <w:lang w:val="en-GB"/>
        </w:rPr>
      </w:pPr>
      <w:r w:rsidRPr="005635D8">
        <w:rPr>
          <w:lang w:val="en-GB"/>
        </w:rPr>
        <w:t xml:space="preserve">Böcking, H. J., Gros, M., Wallek, C. and Worret, D. (2012) Earnings Management and Enforcement of Accounting Standards – Evidence from Germany, available at </w:t>
      </w:r>
      <w:hyperlink r:id="rId150" w:history="1">
        <w:r w:rsidRPr="005635D8">
          <w:rPr>
            <w:rStyle w:val="Hyperlink"/>
            <w:lang w:val="en-GB"/>
          </w:rPr>
          <w:t>http://ssrn.com/abstract=1755122</w:t>
        </w:r>
      </w:hyperlink>
    </w:p>
    <w:p w:rsidR="00DC6642" w:rsidRPr="005635D8" w:rsidRDefault="00DC6642" w:rsidP="00DC6642">
      <w:pPr>
        <w:autoSpaceDE w:val="0"/>
        <w:autoSpaceDN w:val="0"/>
        <w:adjustRightInd w:val="0"/>
        <w:spacing w:after="0" w:line="240" w:lineRule="auto"/>
        <w:rPr>
          <w:lang w:val="en-GB"/>
        </w:rPr>
      </w:pPr>
    </w:p>
    <w:p w:rsidR="00DC6642" w:rsidRPr="005635D8" w:rsidRDefault="00DC6642" w:rsidP="00DC6642">
      <w:pPr>
        <w:autoSpaceDE w:val="0"/>
        <w:autoSpaceDN w:val="0"/>
        <w:adjustRightInd w:val="0"/>
        <w:spacing w:after="0" w:line="240" w:lineRule="auto"/>
        <w:ind w:left="284" w:hanging="284"/>
        <w:rPr>
          <w:rFonts w:cs="TimesNewRoman"/>
          <w:lang w:val="en-GB"/>
        </w:rPr>
      </w:pPr>
      <w:r w:rsidRPr="005635D8">
        <w:rPr>
          <w:lang w:val="en-GB"/>
        </w:rPr>
        <w:t xml:space="preserve">Burgstrahler, D., Hail. L., Leuz, C. (2006) The Importance of Reporting Incentives: Earnings Management in European Private and Public Firms, </w:t>
      </w:r>
      <w:r w:rsidRPr="005635D8">
        <w:rPr>
          <w:i/>
          <w:iCs/>
          <w:lang w:val="en-GB"/>
        </w:rPr>
        <w:t>The Accounting Review</w:t>
      </w:r>
      <w:r w:rsidRPr="005635D8">
        <w:rPr>
          <w:lang w:val="en-GB"/>
        </w:rPr>
        <w:t>, Vol.  81, No. 5, pp. 983-1016.</w:t>
      </w:r>
    </w:p>
    <w:p w:rsidR="00DC6642" w:rsidRPr="005635D8" w:rsidRDefault="00DC6642" w:rsidP="00DC6642">
      <w:pPr>
        <w:autoSpaceDE w:val="0"/>
        <w:autoSpaceDN w:val="0"/>
        <w:adjustRightInd w:val="0"/>
        <w:spacing w:after="0" w:line="240" w:lineRule="auto"/>
        <w:rPr>
          <w:rFonts w:cs="TimesNewRoman"/>
          <w:lang w:val="en-GB"/>
        </w:rPr>
      </w:pPr>
    </w:p>
    <w:p w:rsidR="00DC6642" w:rsidRPr="005635D8" w:rsidRDefault="00DC6642" w:rsidP="00DC6642">
      <w:pPr>
        <w:autoSpaceDE w:val="0"/>
        <w:autoSpaceDN w:val="0"/>
        <w:adjustRightInd w:val="0"/>
        <w:spacing w:after="0" w:line="240" w:lineRule="auto"/>
        <w:ind w:left="284" w:hanging="284"/>
        <w:rPr>
          <w:lang w:val="en-GB"/>
        </w:rPr>
      </w:pPr>
      <w:r w:rsidRPr="005635D8">
        <w:rPr>
          <w:rFonts w:cs="TimesNewRoman"/>
          <w:lang w:val="en-GB"/>
        </w:rPr>
        <w:t xml:space="preserve">Cai, L., Rahman, A. and Courtenay, S. (2008) The Effect of IFRS and its Enforcement on Earnings Management: An International Comparison, available at </w:t>
      </w:r>
      <w:hyperlink r:id="rId151" w:history="1">
        <w:r w:rsidRPr="005635D8">
          <w:rPr>
            <w:rStyle w:val="Hyperlink"/>
            <w:lang w:val="en-GB"/>
          </w:rPr>
          <w:t>http://ssrn.com/abstract=1473571</w:t>
        </w:r>
      </w:hyperlink>
    </w:p>
    <w:p w:rsidR="00DC6642" w:rsidRPr="005635D8" w:rsidRDefault="00DC6642" w:rsidP="00DC6642">
      <w:pPr>
        <w:autoSpaceDE w:val="0"/>
        <w:autoSpaceDN w:val="0"/>
        <w:adjustRightInd w:val="0"/>
        <w:spacing w:after="0" w:line="240" w:lineRule="auto"/>
        <w:rPr>
          <w:rFonts w:cs="TimesNewRoman"/>
          <w:lang w:val="en-GB"/>
        </w:rPr>
      </w:pPr>
    </w:p>
    <w:p w:rsidR="00DC6642" w:rsidRPr="005635D8" w:rsidRDefault="00DC6642" w:rsidP="00DC6642">
      <w:pPr>
        <w:autoSpaceDE w:val="0"/>
        <w:autoSpaceDN w:val="0"/>
        <w:adjustRightInd w:val="0"/>
        <w:spacing w:after="0" w:line="240" w:lineRule="auto"/>
        <w:ind w:left="284" w:hanging="284"/>
        <w:rPr>
          <w:rFonts w:cs="TimesNewRoman"/>
          <w:lang w:val="en-GB"/>
        </w:rPr>
      </w:pPr>
      <w:r w:rsidRPr="005635D8">
        <w:rPr>
          <w:rFonts w:cs="TimesNewRoman"/>
          <w:lang w:val="en-GB"/>
        </w:rPr>
        <w:t xml:space="preserve">Christensen, H.B., Lee, E. and Walker, M. (2008) Incentives or standards: What determines accounting quality changes around IFRS adoption? Conference Paper version 06/03/2008, </w:t>
      </w:r>
      <w:hyperlink r:id="rId152" w:history="1">
        <w:r w:rsidRPr="005635D8">
          <w:rPr>
            <w:rStyle w:val="Hyperlink"/>
            <w:rFonts w:cs="TimesNewRoman"/>
            <w:lang w:val="en-GB"/>
          </w:rPr>
          <w:t>https://research.mbs.ac.uk/investment-risk/Portals/0/docs/ChristensenLeeWalker2008-IncentivesStandards.pdf</w:t>
        </w:r>
      </w:hyperlink>
    </w:p>
    <w:p w:rsidR="00DC6642" w:rsidRPr="005635D8" w:rsidRDefault="00DC6642" w:rsidP="00DC6642">
      <w:pPr>
        <w:autoSpaceDE w:val="0"/>
        <w:autoSpaceDN w:val="0"/>
        <w:adjustRightInd w:val="0"/>
        <w:spacing w:after="0" w:line="240" w:lineRule="auto"/>
        <w:rPr>
          <w:rFonts w:cs="TimesNewRoman"/>
          <w:lang w:val="en-GB"/>
        </w:rPr>
      </w:pPr>
    </w:p>
    <w:p w:rsidR="00DC6642" w:rsidRPr="005635D8" w:rsidRDefault="00DC6642" w:rsidP="00DC6642">
      <w:pPr>
        <w:autoSpaceDE w:val="0"/>
        <w:autoSpaceDN w:val="0"/>
        <w:adjustRightInd w:val="0"/>
        <w:spacing w:after="0" w:line="240" w:lineRule="auto"/>
        <w:ind w:left="284" w:hanging="284"/>
        <w:rPr>
          <w:rFonts w:cs="TimesNewRoman"/>
          <w:lang w:val="en-GB"/>
        </w:rPr>
      </w:pPr>
      <w:r w:rsidRPr="005635D8">
        <w:rPr>
          <w:rFonts w:cs="TimesNewRoman"/>
          <w:lang w:val="en-GB"/>
        </w:rPr>
        <w:t xml:space="preserve">Christensen, H.B., Lee, E. and Walker, M. (2009) Do IFRS Reconciliations Convey Information? The Effect of Debt Contracting, </w:t>
      </w:r>
      <w:r w:rsidRPr="005635D8">
        <w:rPr>
          <w:rFonts w:cs="TimesNewRoman"/>
          <w:i/>
          <w:iCs/>
          <w:lang w:val="en-GB"/>
        </w:rPr>
        <w:t>Journal of Accounting Research,</w:t>
      </w:r>
      <w:r w:rsidRPr="005635D8">
        <w:rPr>
          <w:rFonts w:cs="TimesNewRoman"/>
          <w:lang w:val="en-GB"/>
        </w:rPr>
        <w:t xml:space="preserve"> Vol. 47, No. 5, pp. 1167-1199.</w:t>
      </w:r>
    </w:p>
    <w:p w:rsidR="00DC6642" w:rsidRPr="005635D8" w:rsidRDefault="00DC6642" w:rsidP="00DC6642">
      <w:pPr>
        <w:autoSpaceDE w:val="0"/>
        <w:autoSpaceDN w:val="0"/>
        <w:adjustRightInd w:val="0"/>
        <w:spacing w:after="0" w:line="240" w:lineRule="auto"/>
        <w:rPr>
          <w:rFonts w:cs="TimesNewRoman"/>
          <w:lang w:val="en-GB"/>
        </w:rPr>
      </w:pPr>
    </w:p>
    <w:p w:rsidR="00DC6642" w:rsidRPr="005635D8" w:rsidRDefault="00DC6642" w:rsidP="00DC6642">
      <w:pPr>
        <w:autoSpaceDE w:val="0"/>
        <w:autoSpaceDN w:val="0"/>
        <w:adjustRightInd w:val="0"/>
        <w:spacing w:after="0" w:line="240" w:lineRule="auto"/>
        <w:ind w:left="284" w:hanging="284"/>
        <w:rPr>
          <w:rFonts w:cs="TimesNewRoman"/>
          <w:lang w:val="en-GB"/>
        </w:rPr>
      </w:pPr>
      <w:r w:rsidRPr="005635D8">
        <w:rPr>
          <w:rFonts w:cs="TimesNewRoman"/>
          <w:lang w:val="en-GB"/>
        </w:rPr>
        <w:t xml:space="preserve">Daske, H., Hail, L., Leuz, C. and Verdi, R. (2008) Mandatory IFRS Reporting around the World: Early Evidence on the Economic Consequences,  </w:t>
      </w:r>
      <w:r w:rsidRPr="005635D8">
        <w:rPr>
          <w:rFonts w:cs="TimesNewRoman"/>
          <w:i/>
          <w:iCs/>
          <w:lang w:val="en-GB"/>
        </w:rPr>
        <w:t>Journal of Accounting Research,</w:t>
      </w:r>
      <w:r w:rsidRPr="005635D8">
        <w:rPr>
          <w:rFonts w:cs="TimesNewRoman"/>
          <w:lang w:val="en-GB"/>
        </w:rPr>
        <w:t xml:space="preserve"> Vol. 46 No. 5 pp. 1085-1142.</w:t>
      </w:r>
    </w:p>
    <w:p w:rsidR="00DC6642" w:rsidRPr="005635D8" w:rsidRDefault="00DC6642" w:rsidP="00DC6642">
      <w:pPr>
        <w:autoSpaceDE w:val="0"/>
        <w:autoSpaceDN w:val="0"/>
        <w:adjustRightInd w:val="0"/>
        <w:spacing w:after="0" w:line="240" w:lineRule="auto"/>
        <w:ind w:left="284" w:hanging="284"/>
        <w:rPr>
          <w:rFonts w:cs="NewBaskerville-Roman"/>
          <w:lang w:val="en-GB"/>
        </w:rPr>
      </w:pPr>
    </w:p>
    <w:p w:rsidR="00DC6642" w:rsidRPr="005635D8" w:rsidRDefault="00DC6642" w:rsidP="00DC6642">
      <w:pPr>
        <w:autoSpaceDE w:val="0"/>
        <w:autoSpaceDN w:val="0"/>
        <w:adjustRightInd w:val="0"/>
        <w:spacing w:after="0" w:line="240" w:lineRule="auto"/>
        <w:ind w:left="284" w:hanging="284"/>
        <w:rPr>
          <w:lang w:val="en-GB"/>
        </w:rPr>
      </w:pPr>
      <w:r w:rsidRPr="005635D8">
        <w:rPr>
          <w:lang w:val="en-GB"/>
        </w:rPr>
        <w:t xml:space="preserve">DeAngelo, L. (1986) Accounting numbers as market valuation substitutes: a study of management buyouts of public stockholders, </w:t>
      </w:r>
      <w:r w:rsidRPr="005635D8">
        <w:rPr>
          <w:i/>
          <w:iCs/>
          <w:lang w:val="en-GB"/>
        </w:rPr>
        <w:t>The Accounting Review</w:t>
      </w:r>
      <w:r w:rsidRPr="005635D8">
        <w:rPr>
          <w:lang w:val="en-GB"/>
        </w:rPr>
        <w:t>, Vol. 61, pp. 400–420.</w:t>
      </w:r>
    </w:p>
    <w:p w:rsidR="00DC6642" w:rsidRPr="005635D8" w:rsidRDefault="00DC6642" w:rsidP="00DC6642">
      <w:pPr>
        <w:autoSpaceDE w:val="0"/>
        <w:autoSpaceDN w:val="0"/>
        <w:adjustRightInd w:val="0"/>
        <w:spacing w:after="0" w:line="240" w:lineRule="auto"/>
        <w:rPr>
          <w:lang w:val="en-GB"/>
        </w:rPr>
      </w:pPr>
    </w:p>
    <w:p w:rsidR="00DC6642" w:rsidRPr="005635D8" w:rsidRDefault="00DC6642" w:rsidP="00DC6642">
      <w:pPr>
        <w:spacing w:after="0" w:line="360" w:lineRule="auto"/>
        <w:jc w:val="both"/>
        <w:rPr>
          <w:lang w:val="en-GB"/>
        </w:rPr>
      </w:pPr>
    </w:p>
    <w:p w:rsidR="00DC6642" w:rsidRPr="005635D8" w:rsidRDefault="00DC6642" w:rsidP="00DC6642">
      <w:pPr>
        <w:pStyle w:val="NoSpacing"/>
        <w:ind w:left="284" w:hanging="284"/>
        <w:rPr>
          <w:lang w:val="en-GB"/>
        </w:rPr>
      </w:pPr>
      <w:r w:rsidRPr="005635D8">
        <w:rPr>
          <w:lang w:val="en-GB"/>
        </w:rPr>
        <w:t xml:space="preserve">Dechow, P.M. and Skinner, D.J. (2000) Earnings Management: Reconciling the Views of Accounting Academics, Practitioners, and Regulators, </w:t>
      </w:r>
      <w:r w:rsidRPr="005635D8">
        <w:rPr>
          <w:i/>
          <w:iCs/>
          <w:lang w:val="en-GB"/>
        </w:rPr>
        <w:t>Accounting Horizons</w:t>
      </w:r>
      <w:r w:rsidRPr="005635D8">
        <w:rPr>
          <w:lang w:val="en-GB"/>
        </w:rPr>
        <w:t>, Vol. 14, pp. 235-250.</w:t>
      </w:r>
    </w:p>
    <w:p w:rsidR="00DC6642" w:rsidRPr="005635D8" w:rsidRDefault="00DC6642" w:rsidP="00DC6642">
      <w:pPr>
        <w:pStyle w:val="NoSpacing"/>
        <w:ind w:left="284" w:hanging="284"/>
        <w:rPr>
          <w:lang w:val="en-GB"/>
        </w:rPr>
      </w:pPr>
    </w:p>
    <w:p w:rsidR="00DC6642" w:rsidRPr="005635D8" w:rsidRDefault="00DC6642" w:rsidP="00DC6642">
      <w:pPr>
        <w:pStyle w:val="NoSpacing"/>
        <w:ind w:left="284" w:hanging="284"/>
        <w:rPr>
          <w:i/>
          <w:iCs/>
          <w:lang w:val="en-GB"/>
        </w:rPr>
      </w:pPr>
      <w:r w:rsidRPr="005635D8">
        <w:rPr>
          <w:lang w:val="en-GB"/>
        </w:rPr>
        <w:t xml:space="preserve">Dechow, P.M., R. Sloan A.P. and Sweeney, P. (1995) Detecting Earnings Management, </w:t>
      </w:r>
      <w:r w:rsidRPr="005635D8">
        <w:rPr>
          <w:i/>
          <w:iCs/>
          <w:lang w:val="en-GB"/>
        </w:rPr>
        <w:t>The accounting review</w:t>
      </w:r>
      <w:r w:rsidRPr="005635D8">
        <w:rPr>
          <w:lang w:val="en-GB"/>
        </w:rPr>
        <w:t>, Vol. 70, No 2, pp. 193-225.</w:t>
      </w:r>
    </w:p>
    <w:p w:rsidR="00DC6642" w:rsidRPr="005635D8" w:rsidRDefault="00DC6642" w:rsidP="00DC6642">
      <w:pPr>
        <w:pStyle w:val="NoSpacing"/>
        <w:ind w:left="284" w:hanging="284"/>
        <w:rPr>
          <w:lang w:val="en-GB"/>
        </w:rPr>
      </w:pPr>
    </w:p>
    <w:p w:rsidR="00DC6642" w:rsidRPr="005635D8" w:rsidRDefault="00DC6642" w:rsidP="00DC6642">
      <w:pPr>
        <w:pStyle w:val="NoSpacing"/>
        <w:ind w:left="284" w:hanging="284"/>
        <w:rPr>
          <w:lang w:val="en-GB"/>
        </w:rPr>
      </w:pPr>
      <w:r w:rsidRPr="005635D8">
        <w:rPr>
          <w:lang w:val="en-GB"/>
        </w:rPr>
        <w:t xml:space="preserve">Dechow, P. and Dichev, I. (2002) The quality of accruals and earnings: The role of accrual estimation errors, </w:t>
      </w:r>
      <w:r w:rsidRPr="005635D8">
        <w:rPr>
          <w:i/>
          <w:iCs/>
          <w:lang w:val="en-GB"/>
        </w:rPr>
        <w:t>The Accounting Review,</w:t>
      </w:r>
      <w:r w:rsidRPr="005635D8">
        <w:rPr>
          <w:lang w:val="en-GB"/>
        </w:rPr>
        <w:t xml:space="preserve"> Vol. 77 (Supplement), pp. 35-59.</w:t>
      </w:r>
    </w:p>
    <w:p w:rsidR="00DC6642" w:rsidRPr="005635D8" w:rsidRDefault="00DC6642" w:rsidP="00DC6642">
      <w:pPr>
        <w:pStyle w:val="NoSpacing"/>
        <w:rPr>
          <w:rFonts w:cs="TimesNewRoman"/>
          <w:lang w:val="en-GB" w:eastAsia="nl-NL"/>
        </w:rPr>
      </w:pPr>
    </w:p>
    <w:p w:rsidR="00DC6642" w:rsidRPr="005635D8" w:rsidRDefault="00DC6642" w:rsidP="00DC6642">
      <w:pPr>
        <w:pStyle w:val="NoSpacing"/>
        <w:rPr>
          <w:lang w:val="en-GB"/>
        </w:rPr>
      </w:pPr>
      <w:r w:rsidRPr="005635D8">
        <w:rPr>
          <w:rFonts w:cs="TimesNewRoman"/>
          <w:lang w:val="en-GB" w:eastAsia="nl-NL"/>
        </w:rPr>
        <w:t xml:space="preserve">Deegan, C. and Unerman, J. (2006) </w:t>
      </w:r>
      <w:r w:rsidRPr="005635D8">
        <w:rPr>
          <w:rFonts w:cs="TimesNewRoman,Italic"/>
          <w:i/>
          <w:iCs/>
          <w:lang w:val="en-GB" w:eastAsia="nl-NL"/>
        </w:rPr>
        <w:t>Financial Accounting Theory</w:t>
      </w:r>
      <w:r w:rsidRPr="005635D8">
        <w:rPr>
          <w:rFonts w:cs="TimesNewRoman"/>
          <w:lang w:val="en-GB" w:eastAsia="nl-NL"/>
        </w:rPr>
        <w:t>, McGraw-Hill</w:t>
      </w:r>
    </w:p>
    <w:p w:rsidR="00DC6642" w:rsidRPr="005635D8" w:rsidRDefault="00DC6642" w:rsidP="00DC6642">
      <w:pPr>
        <w:pStyle w:val="NoSpacing"/>
        <w:rPr>
          <w:rFonts w:cs="TimesNewRoman"/>
          <w:lang w:val="en-GB"/>
        </w:rPr>
      </w:pPr>
    </w:p>
    <w:p w:rsidR="00DC6642" w:rsidRPr="005635D8" w:rsidRDefault="00DC6642" w:rsidP="00DC6642">
      <w:pPr>
        <w:pStyle w:val="NoSpacing"/>
        <w:ind w:left="284" w:hanging="284"/>
        <w:rPr>
          <w:rFonts w:cs="TimesNewRoman"/>
          <w:lang w:val="en-GB"/>
        </w:rPr>
      </w:pPr>
      <w:r w:rsidRPr="005635D8">
        <w:rPr>
          <w:rFonts w:cs="TimesNewRoman"/>
          <w:lang w:val="en-GB"/>
        </w:rPr>
        <w:t xml:space="preserve">Donaldson, L. and Davies, J.H. (1991) Stewardship Theory or Agency Theory: CEO Governance and Shareholder Returns, </w:t>
      </w:r>
      <w:r w:rsidRPr="005635D8">
        <w:rPr>
          <w:rFonts w:cs="Times New Roman"/>
          <w:i/>
          <w:iCs/>
          <w:lang w:val="en-GB"/>
        </w:rPr>
        <w:t>Australian Journal of Management</w:t>
      </w:r>
      <w:r w:rsidRPr="005635D8">
        <w:rPr>
          <w:rFonts w:cs="Times New Roman"/>
          <w:lang w:val="en-GB"/>
        </w:rPr>
        <w:t>, Vol. 16. No. 1, pp. 49-64.</w:t>
      </w:r>
    </w:p>
    <w:p w:rsidR="00DC6642" w:rsidRPr="005635D8" w:rsidRDefault="00DC6642" w:rsidP="00DC6642">
      <w:pPr>
        <w:pStyle w:val="NoSpacing"/>
        <w:ind w:left="284" w:hanging="284"/>
        <w:rPr>
          <w:rFonts w:cs="TimesNewRoman"/>
          <w:lang w:val="en-GB"/>
        </w:rPr>
      </w:pPr>
    </w:p>
    <w:p w:rsidR="00DC6642" w:rsidRPr="005635D8" w:rsidRDefault="00DC6642" w:rsidP="00DC6642">
      <w:pPr>
        <w:pStyle w:val="NoSpacing"/>
        <w:ind w:left="284" w:hanging="284"/>
        <w:rPr>
          <w:rFonts w:cs="Times New Roman"/>
          <w:i/>
          <w:iCs/>
          <w:lang w:val="en-GB"/>
        </w:rPr>
      </w:pPr>
      <w:r w:rsidRPr="005635D8">
        <w:rPr>
          <w:rFonts w:cs="Times New Roman"/>
          <w:lang w:val="en-GB"/>
        </w:rPr>
        <w:t xml:space="preserve">Eisenhardt, K.M., 1989, Agency theory: an assessment and review, </w:t>
      </w:r>
      <w:r w:rsidRPr="005635D8">
        <w:rPr>
          <w:rFonts w:cs="Times New Roman"/>
          <w:i/>
          <w:iCs/>
          <w:lang w:val="en-GB"/>
        </w:rPr>
        <w:t>Academy of Management Review</w:t>
      </w:r>
      <w:r w:rsidRPr="005635D8">
        <w:rPr>
          <w:rFonts w:cs="Times New Roman"/>
          <w:lang w:val="en-GB"/>
        </w:rPr>
        <w:t>, Vol. 14, No. 1, pp. 57–74.</w:t>
      </w:r>
    </w:p>
    <w:p w:rsidR="00DC6642" w:rsidRPr="005635D8" w:rsidRDefault="00DC6642" w:rsidP="00DC6642">
      <w:pPr>
        <w:pStyle w:val="NoSpacing"/>
        <w:ind w:left="284" w:hanging="284"/>
        <w:rPr>
          <w:rFonts w:cs="TimesNewRoman"/>
          <w:lang w:val="en-GB"/>
        </w:rPr>
      </w:pPr>
    </w:p>
    <w:p w:rsidR="00DC6642" w:rsidRPr="005635D8" w:rsidRDefault="00DC6642" w:rsidP="00DC6642">
      <w:pPr>
        <w:pStyle w:val="NoSpacing"/>
        <w:ind w:left="284" w:hanging="284"/>
        <w:rPr>
          <w:rStyle w:val="reference-text"/>
          <w:rFonts w:cs="Times New Roman"/>
          <w:lang w:val="en-GB"/>
        </w:rPr>
      </w:pPr>
      <w:r w:rsidRPr="005635D8">
        <w:rPr>
          <w:rFonts w:cs="Times New Roman"/>
          <w:lang w:val="en-GB"/>
        </w:rPr>
        <w:t xml:space="preserve">Etzioni, A. (1975) </w:t>
      </w:r>
      <w:r w:rsidRPr="005635D8">
        <w:rPr>
          <w:rFonts w:cs="Times New Roman"/>
          <w:i/>
          <w:iCs/>
          <w:lang w:val="en-GB"/>
        </w:rPr>
        <w:t xml:space="preserve">A Comparative Analysis of Complex Organizations </w:t>
      </w:r>
      <w:r w:rsidRPr="005635D8">
        <w:rPr>
          <w:rFonts w:cs="Times New Roman"/>
          <w:lang w:val="en-GB"/>
        </w:rPr>
        <w:t>(New York: The Free Press) Revised and Enlarged Edition.</w:t>
      </w:r>
    </w:p>
    <w:p w:rsidR="00DC6642" w:rsidRPr="005635D8" w:rsidRDefault="00DC6642" w:rsidP="00DC6642">
      <w:pPr>
        <w:pStyle w:val="NoSpacing"/>
        <w:ind w:left="284" w:hanging="284"/>
        <w:rPr>
          <w:rFonts w:cs="AdvGulliv-R"/>
          <w:lang w:val="en-GB"/>
        </w:rPr>
      </w:pPr>
    </w:p>
    <w:p w:rsidR="00DC6642" w:rsidRPr="005635D8" w:rsidRDefault="00DC6642" w:rsidP="00DC6642">
      <w:pPr>
        <w:pStyle w:val="NoSpacing"/>
        <w:ind w:left="284" w:hanging="284"/>
        <w:rPr>
          <w:rFonts w:cs="AdvGulliv-R"/>
          <w:lang w:val="en-GB"/>
        </w:rPr>
      </w:pPr>
      <w:r w:rsidRPr="005635D8">
        <w:rPr>
          <w:rFonts w:cs="AdvGulliv-R"/>
          <w:lang w:val="en-GB"/>
        </w:rPr>
        <w:t xml:space="preserve">Ewert, R. and Wagenhofer, A. (2005) Economic effects of tightening accounting standards to restrict earnings management, </w:t>
      </w:r>
      <w:r w:rsidRPr="005635D8">
        <w:rPr>
          <w:rFonts w:cs="AdvGulliv-R"/>
          <w:i/>
          <w:iCs/>
          <w:lang w:val="en-GB"/>
        </w:rPr>
        <w:t xml:space="preserve">The Accounting Review, </w:t>
      </w:r>
      <w:r w:rsidRPr="005635D8">
        <w:rPr>
          <w:rFonts w:cs="AdvGulliv-R"/>
          <w:lang w:val="en-GB"/>
        </w:rPr>
        <w:t>Vol. 80, pp. 1101–1124.</w:t>
      </w:r>
    </w:p>
    <w:p w:rsidR="00DC6642" w:rsidRPr="005635D8" w:rsidRDefault="00DC6642" w:rsidP="00DC6642">
      <w:pPr>
        <w:pStyle w:val="NoSpacing"/>
        <w:ind w:left="284" w:hanging="284"/>
        <w:rPr>
          <w:rFonts w:cs="TimesNewRoman"/>
          <w:lang w:val="en-GB"/>
        </w:rPr>
      </w:pPr>
    </w:p>
    <w:p w:rsidR="00DC6642" w:rsidRPr="005635D8" w:rsidRDefault="00DC6642" w:rsidP="00DC6642">
      <w:pPr>
        <w:pStyle w:val="NoSpacing"/>
        <w:ind w:left="284" w:hanging="284"/>
        <w:rPr>
          <w:lang w:val="en-GB"/>
        </w:rPr>
      </w:pPr>
      <w:r w:rsidRPr="005635D8">
        <w:rPr>
          <w:lang w:val="en-GB"/>
        </w:rPr>
        <w:t xml:space="preserve">Francis, J., LaFond, R., Olsson, P. and  Schipper, K.  (2005) The market pricing of accruals quality, </w:t>
      </w:r>
      <w:r w:rsidRPr="005635D8">
        <w:rPr>
          <w:i/>
          <w:lang w:val="en-GB"/>
        </w:rPr>
        <w:t xml:space="preserve">Journal of Accounting and Economics, </w:t>
      </w:r>
      <w:r w:rsidRPr="005635D8">
        <w:rPr>
          <w:lang w:val="en-GB"/>
        </w:rPr>
        <w:t>Vol. 39, pp. 295-327.</w:t>
      </w:r>
    </w:p>
    <w:p w:rsidR="00DC6642" w:rsidRPr="005635D8" w:rsidRDefault="00DC6642" w:rsidP="00DC6642">
      <w:pPr>
        <w:pStyle w:val="NoSpacing"/>
        <w:ind w:left="284" w:hanging="284"/>
        <w:rPr>
          <w:lang w:val="en-GB"/>
        </w:rPr>
      </w:pPr>
    </w:p>
    <w:p w:rsidR="00DC6642" w:rsidRPr="005635D8" w:rsidRDefault="00DC6642" w:rsidP="00DC6642">
      <w:pPr>
        <w:pStyle w:val="NoSpacing"/>
        <w:ind w:left="284" w:hanging="284"/>
        <w:rPr>
          <w:rFonts w:cs="TimesNewRoman"/>
          <w:lang w:val="en-GB"/>
        </w:rPr>
      </w:pPr>
      <w:r w:rsidRPr="005635D8">
        <w:rPr>
          <w:lang w:val="en-GB"/>
        </w:rPr>
        <w:t xml:space="preserve">Gassen, J., Sellhorn, T. (2006) Applying IFRS in Germany – Determinants and Consequences, </w:t>
      </w:r>
      <w:r w:rsidRPr="005635D8">
        <w:rPr>
          <w:i/>
          <w:iCs/>
          <w:lang w:val="en-GB"/>
        </w:rPr>
        <w:t>Betriebswirtschaftliche Forschung und Praxis</w:t>
      </w:r>
      <w:r w:rsidRPr="005635D8">
        <w:rPr>
          <w:lang w:val="en-GB"/>
        </w:rPr>
        <w:t>, Vol. 58, No. 4, pp. 365-386.</w:t>
      </w:r>
    </w:p>
    <w:p w:rsidR="00DC6642" w:rsidRPr="005635D8" w:rsidRDefault="00DC6642" w:rsidP="00DC6642">
      <w:pPr>
        <w:pStyle w:val="NoSpacing"/>
        <w:ind w:left="284" w:hanging="284"/>
        <w:rPr>
          <w:rFonts w:cs="TimesNewRoman"/>
          <w:lang w:val="en-GB"/>
        </w:rPr>
      </w:pPr>
    </w:p>
    <w:p w:rsidR="00DC6642" w:rsidRPr="005635D8" w:rsidRDefault="00DC6642" w:rsidP="00DC6642">
      <w:pPr>
        <w:pStyle w:val="NoSpacing"/>
        <w:ind w:left="284" w:hanging="284"/>
        <w:rPr>
          <w:rFonts w:cs="TimesNewRoman"/>
          <w:lang w:val="en-GB"/>
        </w:rPr>
      </w:pPr>
      <w:r w:rsidRPr="005635D8">
        <w:rPr>
          <w:rFonts w:cs="TimesNewRoman"/>
          <w:lang w:val="en-GB"/>
        </w:rPr>
        <w:t xml:space="preserve">Graham, J.R., C.R. Harvey and Rajgopal, S. (2005) The economic implications of corporate financial reporting, </w:t>
      </w:r>
      <w:r w:rsidRPr="005635D8">
        <w:rPr>
          <w:rFonts w:cs="TimesNewRoman"/>
          <w:i/>
          <w:lang w:val="en-GB"/>
        </w:rPr>
        <w:t>Journal of Accounting and Economics</w:t>
      </w:r>
      <w:r w:rsidRPr="005635D8">
        <w:rPr>
          <w:rFonts w:cs="TimesNewRoman"/>
          <w:lang w:val="en-GB"/>
        </w:rPr>
        <w:t>, Vol. 40, Issues 1-3, pp.3-73.</w:t>
      </w:r>
    </w:p>
    <w:p w:rsidR="00DC6642" w:rsidRPr="005635D8" w:rsidRDefault="00DC6642" w:rsidP="00DC6642">
      <w:pPr>
        <w:pStyle w:val="NoSpacing"/>
        <w:ind w:left="284" w:hanging="284"/>
        <w:rPr>
          <w:rFonts w:cs="TimesNewRoman"/>
          <w:lang w:val="en-GB"/>
        </w:rPr>
      </w:pPr>
    </w:p>
    <w:p w:rsidR="00DC6642" w:rsidRPr="005635D8" w:rsidRDefault="00DC6642" w:rsidP="00DC6642">
      <w:pPr>
        <w:pStyle w:val="NoSpacing"/>
        <w:ind w:left="284" w:hanging="284"/>
        <w:rPr>
          <w:rFonts w:cs="TrebuchetMS"/>
          <w:lang w:val="en-GB"/>
        </w:rPr>
      </w:pPr>
      <w:r w:rsidRPr="005635D8">
        <w:rPr>
          <w:rFonts w:cs="TrebuchetMS"/>
          <w:lang w:val="en-GB"/>
        </w:rPr>
        <w:t xml:space="preserve">Goncharov, I. and  Zimmermann, J. (2006) Do accounting standards influence the level of earnings management? Evidence from Germany, </w:t>
      </w:r>
      <w:r w:rsidRPr="005635D8">
        <w:rPr>
          <w:rFonts w:cs="TrebuchetMS,Italic"/>
          <w:i/>
          <w:iCs/>
          <w:lang w:val="en-GB"/>
        </w:rPr>
        <w:t>Working Paper</w:t>
      </w:r>
      <w:r w:rsidRPr="005635D8">
        <w:rPr>
          <w:rFonts w:cs="TrebuchetMS"/>
          <w:lang w:val="en-GB"/>
        </w:rPr>
        <w:t>, University Bremen.</w:t>
      </w:r>
    </w:p>
    <w:p w:rsidR="00DC6642" w:rsidRPr="005635D8" w:rsidRDefault="00DC6642" w:rsidP="00DC6642">
      <w:pPr>
        <w:pStyle w:val="NoSpacing"/>
        <w:ind w:left="284" w:hanging="284"/>
        <w:rPr>
          <w:rFonts w:cs="TimesNewRoman"/>
          <w:lang w:val="en-GB"/>
        </w:rPr>
      </w:pPr>
    </w:p>
    <w:p w:rsidR="00DC6642" w:rsidRPr="005635D8" w:rsidRDefault="00DC6642" w:rsidP="00DC6642">
      <w:pPr>
        <w:pStyle w:val="NoSpacing"/>
        <w:ind w:left="284" w:hanging="284"/>
        <w:rPr>
          <w:rFonts w:cs="TimesNewRoman"/>
          <w:lang w:val="en-GB"/>
        </w:rPr>
      </w:pPr>
      <w:r w:rsidRPr="005635D8">
        <w:rPr>
          <w:rFonts w:cs="TimesNewRoman"/>
          <w:lang w:val="en-GB"/>
        </w:rPr>
        <w:t>Gray.</w:t>
      </w:r>
      <w:r w:rsidR="00C33B55" w:rsidRPr="005635D8">
        <w:rPr>
          <w:rFonts w:cs="TimesNewRoman"/>
          <w:lang w:val="en-GB"/>
        </w:rPr>
        <w:t xml:space="preserve"> </w:t>
      </w:r>
      <w:r w:rsidRPr="005635D8">
        <w:rPr>
          <w:rFonts w:cs="TimesNewRoman"/>
          <w:lang w:val="en-GB"/>
        </w:rPr>
        <w:t>R., Kouhy.</w:t>
      </w:r>
      <w:r w:rsidR="00C33B55" w:rsidRPr="005635D8">
        <w:rPr>
          <w:rFonts w:cs="TimesNewRoman"/>
          <w:lang w:val="en-GB"/>
        </w:rPr>
        <w:t xml:space="preserve"> </w:t>
      </w:r>
      <w:r w:rsidRPr="005635D8">
        <w:rPr>
          <w:rFonts w:cs="TimesNewRoman"/>
          <w:lang w:val="en-GB"/>
        </w:rPr>
        <w:t>R. and Lavers.</w:t>
      </w:r>
      <w:r w:rsidR="00C33B55" w:rsidRPr="005635D8">
        <w:rPr>
          <w:rFonts w:cs="TimesNewRoman"/>
          <w:lang w:val="en-GB"/>
        </w:rPr>
        <w:t xml:space="preserve"> </w:t>
      </w:r>
      <w:r w:rsidRPr="005635D8">
        <w:rPr>
          <w:rFonts w:cs="TimesNewRoman"/>
          <w:lang w:val="en-GB"/>
        </w:rPr>
        <w:t xml:space="preserve">S., (1995) Corporate Social and Environmental Reporting: A Review of the Literature and a Longitudinal Study of UK Disclosure, </w:t>
      </w:r>
      <w:r w:rsidRPr="005635D8">
        <w:rPr>
          <w:rFonts w:cs="TimesNewRoman,Italic"/>
          <w:i/>
          <w:iCs/>
          <w:lang w:val="en-GB"/>
        </w:rPr>
        <w:t>Accounting, Auditing and Accountability</w:t>
      </w:r>
      <w:r w:rsidRPr="005635D8">
        <w:rPr>
          <w:rFonts w:cs="TimesNewRoman"/>
          <w:lang w:val="en-GB"/>
        </w:rPr>
        <w:t>, Vol. 8, No 2, pp.47-77.</w:t>
      </w:r>
    </w:p>
    <w:p w:rsidR="00DC6642" w:rsidRPr="005635D8" w:rsidRDefault="00DC6642" w:rsidP="00DC6642">
      <w:pPr>
        <w:pStyle w:val="NoSpacing"/>
        <w:ind w:left="284" w:hanging="284"/>
        <w:rPr>
          <w:rStyle w:val="reference-text"/>
          <w:rFonts w:eastAsiaTheme="minorHAnsi"/>
          <w:lang w:val="en-GB"/>
        </w:rPr>
      </w:pPr>
    </w:p>
    <w:p w:rsidR="00DC6642" w:rsidRPr="005635D8" w:rsidRDefault="00DC6642" w:rsidP="00DC6642">
      <w:pPr>
        <w:pStyle w:val="NoSpacing"/>
        <w:ind w:left="284" w:hanging="284"/>
        <w:rPr>
          <w:rStyle w:val="reference-text"/>
          <w:rFonts w:eastAsiaTheme="minorHAnsi"/>
          <w:lang w:val="en-GB"/>
        </w:rPr>
      </w:pPr>
      <w:r w:rsidRPr="005635D8">
        <w:rPr>
          <w:rStyle w:val="reference-text"/>
          <w:rFonts w:eastAsiaTheme="minorHAnsi"/>
          <w:lang w:val="en-GB"/>
        </w:rPr>
        <w:t xml:space="preserve">Guay, W.R., Kothari, S.P. and Watts, R.L. (1996) A Market-Based Evaluation of Discretionary Accrual Models, </w:t>
      </w:r>
      <w:r w:rsidRPr="005635D8">
        <w:rPr>
          <w:rStyle w:val="reference-text"/>
          <w:rFonts w:eastAsiaTheme="minorHAnsi"/>
          <w:i/>
          <w:lang w:val="en-GB"/>
        </w:rPr>
        <w:t>Journal of Accounting Research</w:t>
      </w:r>
      <w:r w:rsidRPr="005635D8">
        <w:rPr>
          <w:rStyle w:val="reference-text"/>
          <w:rFonts w:eastAsiaTheme="minorHAnsi"/>
          <w:lang w:val="en-GB"/>
        </w:rPr>
        <w:t xml:space="preserve">, Vol. 34, pp. 83-106 </w:t>
      </w:r>
    </w:p>
    <w:p w:rsidR="00DC6642" w:rsidRPr="005635D8" w:rsidRDefault="00DC6642" w:rsidP="00DC6642">
      <w:pPr>
        <w:pStyle w:val="NoSpacing"/>
        <w:ind w:left="284" w:hanging="284"/>
        <w:rPr>
          <w:rStyle w:val="reference-text"/>
          <w:rFonts w:eastAsiaTheme="minorHAnsi"/>
          <w:lang w:val="en-GB"/>
        </w:rPr>
      </w:pPr>
    </w:p>
    <w:p w:rsidR="00DC6642" w:rsidRPr="005635D8" w:rsidRDefault="00DC6642" w:rsidP="00DC6642">
      <w:pPr>
        <w:pStyle w:val="NoSpacing"/>
        <w:ind w:left="284" w:hanging="284"/>
        <w:rPr>
          <w:rFonts w:eastAsiaTheme="minorHAnsi"/>
          <w:lang w:val="en-GB"/>
        </w:rPr>
      </w:pPr>
      <w:r w:rsidRPr="005635D8">
        <w:rPr>
          <w:rFonts w:cs="Times New Roman"/>
          <w:lang w:val="en-GB"/>
        </w:rPr>
        <w:t xml:space="preserve">Haller, J. and Kepler, A. (2002), “Financial Accounting development in the European Union: past events and future prospects”, </w:t>
      </w:r>
      <w:r w:rsidRPr="005635D8">
        <w:rPr>
          <w:rFonts w:cs="Times New Roman"/>
          <w:i/>
          <w:lang w:val="en-GB"/>
        </w:rPr>
        <w:t xml:space="preserve">The European Accounting Review, </w:t>
      </w:r>
      <w:r w:rsidRPr="005635D8">
        <w:rPr>
          <w:rFonts w:cs="Times New Roman"/>
          <w:lang w:val="en-GB"/>
        </w:rPr>
        <w:t>vol. 11, 153-190</w:t>
      </w:r>
    </w:p>
    <w:p w:rsidR="00DC6642" w:rsidRPr="005635D8" w:rsidRDefault="00DC6642" w:rsidP="00DC6642">
      <w:pPr>
        <w:pStyle w:val="NoSpacing"/>
        <w:ind w:left="284" w:hanging="284"/>
        <w:rPr>
          <w:rFonts w:eastAsiaTheme="minorHAnsi"/>
          <w:lang w:val="en-GB"/>
        </w:rPr>
      </w:pPr>
    </w:p>
    <w:p w:rsidR="00DC6642" w:rsidRPr="00BC052A" w:rsidRDefault="00F24543" w:rsidP="00C33B55">
      <w:pPr>
        <w:pStyle w:val="NoSpacing"/>
        <w:ind w:left="284" w:hanging="284"/>
        <w:rPr>
          <w:rFonts w:eastAsiaTheme="minorHAnsi"/>
          <w:lang w:val="nl-NL"/>
        </w:rPr>
      </w:pPr>
      <w:r w:rsidRPr="00BC052A">
        <w:rPr>
          <w:rFonts w:eastAsiaTheme="minorHAnsi"/>
          <w:lang w:val="nl-NL"/>
        </w:rPr>
        <w:t xml:space="preserve">Heemskerk, M. and van der Tas, L. (2006) Veranderingen in resultaatsturing als gevolg van invoering van IFRS, </w:t>
      </w:r>
      <w:r w:rsidRPr="00BC052A">
        <w:rPr>
          <w:rFonts w:eastAsiaTheme="minorHAnsi"/>
          <w:i/>
          <w:iCs/>
          <w:lang w:val="nl-NL"/>
        </w:rPr>
        <w:t>Maandblad voor Accountancy en Bedrijfseconomie</w:t>
      </w:r>
      <w:r w:rsidRPr="00BC052A">
        <w:rPr>
          <w:rFonts w:eastAsiaTheme="minorHAnsi"/>
          <w:lang w:val="nl-NL"/>
        </w:rPr>
        <w:t>, pp. 571-579.</w:t>
      </w:r>
    </w:p>
    <w:p w:rsidR="00DC6642" w:rsidRPr="00BC052A" w:rsidRDefault="00DC6642" w:rsidP="00DC6642">
      <w:pPr>
        <w:pStyle w:val="NoSpacing"/>
        <w:ind w:left="284" w:hanging="284"/>
        <w:rPr>
          <w:rStyle w:val="reference-text"/>
          <w:lang w:val="nl-NL"/>
        </w:rPr>
      </w:pPr>
    </w:p>
    <w:p w:rsidR="00DC6642" w:rsidRPr="00BC052A" w:rsidRDefault="00F24543" w:rsidP="00DC6642">
      <w:pPr>
        <w:pStyle w:val="NoSpacing"/>
        <w:ind w:left="284" w:hanging="284"/>
        <w:rPr>
          <w:rStyle w:val="reference-text"/>
          <w:lang w:val="nl-NL"/>
        </w:rPr>
      </w:pPr>
      <w:r w:rsidRPr="00BC052A">
        <w:rPr>
          <w:rStyle w:val="reference-text"/>
          <w:lang w:val="nl-NL"/>
        </w:rPr>
        <w:t xml:space="preserve">Heemskerk, E. (2009) Bestuurlijke elite, toon morel leiderschap, </w:t>
      </w:r>
      <w:r w:rsidRPr="00BC052A">
        <w:rPr>
          <w:rStyle w:val="reference-text"/>
          <w:i/>
          <w:iCs/>
          <w:lang w:val="nl-NL"/>
        </w:rPr>
        <w:t>Goed Bestuur,</w:t>
      </w:r>
      <w:r w:rsidRPr="00BC052A">
        <w:rPr>
          <w:rStyle w:val="reference-text"/>
          <w:lang w:val="nl-NL"/>
        </w:rPr>
        <w:t xml:space="preserve"> Vol. 2, pp. 64-70</w:t>
      </w:r>
    </w:p>
    <w:p w:rsidR="00DC6642" w:rsidRPr="00BC052A" w:rsidRDefault="00DC6642" w:rsidP="00DC6642">
      <w:pPr>
        <w:pStyle w:val="NoSpacing"/>
        <w:ind w:left="284" w:hanging="284"/>
        <w:rPr>
          <w:rStyle w:val="reference-text"/>
          <w:lang w:val="nl-NL"/>
        </w:rPr>
      </w:pPr>
    </w:p>
    <w:p w:rsidR="00DC6642" w:rsidRPr="005635D8" w:rsidRDefault="00DC6642" w:rsidP="00DC6642">
      <w:pPr>
        <w:pStyle w:val="NoSpacing"/>
        <w:ind w:left="284" w:hanging="284"/>
        <w:rPr>
          <w:rStyle w:val="reference-text"/>
          <w:lang w:val="en-GB"/>
        </w:rPr>
      </w:pPr>
      <w:r w:rsidRPr="005635D8">
        <w:rPr>
          <w:rStyle w:val="reference-text"/>
          <w:lang w:val="en-GB"/>
        </w:rPr>
        <w:t xml:space="preserve">Healy, P.M. (1985) The effect of bonus schemes on accounting decisions, </w:t>
      </w:r>
      <w:r w:rsidRPr="005635D8">
        <w:rPr>
          <w:rStyle w:val="reference-text"/>
          <w:i/>
          <w:iCs/>
          <w:lang w:val="en-GB"/>
        </w:rPr>
        <w:t>Journal of Accounting and</w:t>
      </w:r>
      <w:r w:rsidR="00C33B55" w:rsidRPr="005635D8">
        <w:rPr>
          <w:rStyle w:val="reference-text"/>
          <w:i/>
          <w:iCs/>
          <w:lang w:val="en-GB"/>
        </w:rPr>
        <w:t xml:space="preserve"> </w:t>
      </w:r>
      <w:r w:rsidRPr="005635D8">
        <w:rPr>
          <w:rStyle w:val="reference-text"/>
          <w:i/>
          <w:iCs/>
          <w:lang w:val="en-GB"/>
        </w:rPr>
        <w:t xml:space="preserve">Economics, </w:t>
      </w:r>
      <w:r w:rsidRPr="005635D8">
        <w:rPr>
          <w:rStyle w:val="reference-text"/>
          <w:lang w:val="en-GB"/>
        </w:rPr>
        <w:t>April, pp. 85-107</w:t>
      </w:r>
    </w:p>
    <w:p w:rsidR="00DC6642" w:rsidRPr="005635D8" w:rsidRDefault="00DC6642" w:rsidP="00DC6642">
      <w:pPr>
        <w:pStyle w:val="NoSpacing"/>
        <w:ind w:left="284" w:hanging="284"/>
        <w:rPr>
          <w:rStyle w:val="reference-text"/>
          <w:lang w:val="en-GB"/>
        </w:rPr>
      </w:pPr>
    </w:p>
    <w:p w:rsidR="00DC6642" w:rsidRPr="005635D8" w:rsidRDefault="00DC6642" w:rsidP="00DC6642">
      <w:pPr>
        <w:ind w:left="284" w:hanging="284"/>
        <w:rPr>
          <w:rStyle w:val="reference-text"/>
          <w:i/>
          <w:iCs/>
          <w:lang w:val="en-GB"/>
        </w:rPr>
      </w:pPr>
      <w:r w:rsidRPr="005635D8">
        <w:rPr>
          <w:lang w:val="en-GB"/>
        </w:rPr>
        <w:t xml:space="preserve">Healy, P., and Wahlen, J. (1999) A review of earnings management literature and its implications for standard setting,  </w:t>
      </w:r>
      <w:r w:rsidRPr="005635D8">
        <w:rPr>
          <w:i/>
          <w:iCs/>
          <w:lang w:val="en-GB"/>
        </w:rPr>
        <w:t>Accounting Horizons</w:t>
      </w:r>
      <w:r w:rsidRPr="005635D8">
        <w:rPr>
          <w:lang w:val="en-GB"/>
        </w:rPr>
        <w:t>,  Vol. 13, No 4, pp. 365-383.</w:t>
      </w:r>
    </w:p>
    <w:p w:rsidR="00DC6642" w:rsidRPr="005635D8" w:rsidRDefault="00DC6642" w:rsidP="00DC6642">
      <w:pPr>
        <w:autoSpaceDE w:val="0"/>
        <w:autoSpaceDN w:val="0"/>
        <w:adjustRightInd w:val="0"/>
        <w:spacing w:after="0" w:line="240" w:lineRule="auto"/>
        <w:ind w:left="284" w:hanging="284"/>
        <w:rPr>
          <w:rFonts w:cs="Times New Roman"/>
          <w:lang w:val="en-GB"/>
        </w:rPr>
      </w:pPr>
      <w:r w:rsidRPr="005635D8">
        <w:rPr>
          <w:rFonts w:cs="Times New Roman"/>
          <w:lang w:val="en-GB"/>
        </w:rPr>
        <w:t xml:space="preserve">Heath, J. (2009) The uses and abuses of agency theory, </w:t>
      </w:r>
      <w:r w:rsidRPr="005635D8">
        <w:rPr>
          <w:rFonts w:cs="Times New Roman"/>
          <w:i/>
          <w:iCs/>
          <w:lang w:val="en-GB"/>
        </w:rPr>
        <w:t>Business Ethics Quarterly</w:t>
      </w:r>
      <w:r w:rsidRPr="005635D8">
        <w:rPr>
          <w:rFonts w:cs="Times New Roman"/>
          <w:lang w:val="en-GB"/>
        </w:rPr>
        <w:t xml:space="preserve">, </w:t>
      </w:r>
      <w:r w:rsidRPr="005635D8">
        <w:rPr>
          <w:rFonts w:cs="Tahoma"/>
          <w:color w:val="333333"/>
          <w:lang w:val="en-GB"/>
        </w:rPr>
        <w:t>Vol. 19, No. 4, pp. 497-528.</w:t>
      </w:r>
    </w:p>
    <w:p w:rsidR="00DC6642" w:rsidRPr="005635D8" w:rsidRDefault="00DC6642" w:rsidP="00DC6642">
      <w:pPr>
        <w:autoSpaceDE w:val="0"/>
        <w:autoSpaceDN w:val="0"/>
        <w:adjustRightInd w:val="0"/>
        <w:spacing w:after="0" w:line="240" w:lineRule="auto"/>
        <w:ind w:left="284" w:hanging="284"/>
        <w:rPr>
          <w:rFonts w:cs="Times New Roman"/>
          <w:lang w:val="en-GB"/>
        </w:rPr>
      </w:pPr>
    </w:p>
    <w:p w:rsidR="00DC6642" w:rsidRPr="005635D8" w:rsidRDefault="00DC6642" w:rsidP="00DC6642">
      <w:pPr>
        <w:autoSpaceDE w:val="0"/>
        <w:autoSpaceDN w:val="0"/>
        <w:adjustRightInd w:val="0"/>
        <w:spacing w:after="0" w:line="240" w:lineRule="auto"/>
        <w:ind w:left="284" w:hanging="284"/>
        <w:rPr>
          <w:rFonts w:cs="Times New Roman"/>
          <w:lang w:val="en-GB"/>
        </w:rPr>
      </w:pPr>
      <w:r w:rsidRPr="005635D8">
        <w:rPr>
          <w:lang w:val="en-GB"/>
        </w:rPr>
        <w:t xml:space="preserve">Hope, O.K. (2003) Disclosure Practices, Enforcement of Accounting Standards, and Analysts’ Forecast Accuracy: An International Study,  </w:t>
      </w:r>
      <w:r w:rsidRPr="005635D8">
        <w:rPr>
          <w:i/>
          <w:iCs/>
          <w:lang w:val="en-GB"/>
        </w:rPr>
        <w:t>Journal of Accounting Research</w:t>
      </w:r>
      <w:r w:rsidRPr="005635D8">
        <w:rPr>
          <w:lang w:val="en-GB"/>
        </w:rPr>
        <w:t>, Vol. 41, No. 2, pp. 235-272.</w:t>
      </w:r>
    </w:p>
    <w:p w:rsidR="00DC6642" w:rsidRPr="005635D8" w:rsidRDefault="00DC6642" w:rsidP="00DC6642">
      <w:pPr>
        <w:autoSpaceDE w:val="0"/>
        <w:autoSpaceDN w:val="0"/>
        <w:adjustRightInd w:val="0"/>
        <w:spacing w:after="0" w:line="240" w:lineRule="auto"/>
        <w:ind w:left="284" w:hanging="284"/>
        <w:rPr>
          <w:rFonts w:cs="Times New Roman"/>
          <w:lang w:val="en-GB"/>
        </w:rPr>
      </w:pPr>
    </w:p>
    <w:p w:rsidR="00DC6642" w:rsidRPr="005635D8" w:rsidRDefault="00DC6642" w:rsidP="00DC6642">
      <w:pPr>
        <w:autoSpaceDE w:val="0"/>
        <w:autoSpaceDN w:val="0"/>
        <w:adjustRightInd w:val="0"/>
        <w:spacing w:after="0" w:line="240" w:lineRule="auto"/>
        <w:ind w:left="284" w:hanging="284"/>
        <w:rPr>
          <w:rFonts w:cs="Times New Roman"/>
          <w:lang w:val="en-GB"/>
        </w:rPr>
      </w:pPr>
      <w:r w:rsidRPr="005635D8">
        <w:rPr>
          <w:rFonts w:cs="Times New Roman"/>
          <w:lang w:val="en-GB"/>
        </w:rPr>
        <w:t xml:space="preserve">Hung, M. and Subramanyam, K.R. (2007) Financial statement effects of adopting international accounting standards : the case of Germany, </w:t>
      </w:r>
      <w:r w:rsidRPr="005635D8">
        <w:rPr>
          <w:rFonts w:cs="Times New Roman"/>
          <w:i/>
          <w:iCs/>
          <w:lang w:val="en-GB"/>
        </w:rPr>
        <w:t xml:space="preserve">Review of Accounting Studies, </w:t>
      </w:r>
      <w:r w:rsidRPr="005635D8">
        <w:rPr>
          <w:rFonts w:cs="Times New Roman"/>
          <w:lang w:val="en-GB"/>
        </w:rPr>
        <w:t>Vol. 12, pp. 623-657</w:t>
      </w:r>
    </w:p>
    <w:p w:rsidR="00DC6642" w:rsidRPr="005635D8" w:rsidRDefault="00DC6642" w:rsidP="00DC6642">
      <w:pPr>
        <w:autoSpaceDE w:val="0"/>
        <w:autoSpaceDN w:val="0"/>
        <w:adjustRightInd w:val="0"/>
        <w:spacing w:after="0" w:line="240" w:lineRule="auto"/>
        <w:ind w:left="284" w:hanging="284"/>
        <w:rPr>
          <w:rFonts w:cs="Times New Roman"/>
          <w:lang w:val="en-GB"/>
        </w:rPr>
      </w:pPr>
    </w:p>
    <w:p w:rsidR="00DC6642" w:rsidRPr="005635D8" w:rsidRDefault="00DC6642" w:rsidP="00DC6642">
      <w:pPr>
        <w:autoSpaceDE w:val="0"/>
        <w:autoSpaceDN w:val="0"/>
        <w:adjustRightInd w:val="0"/>
        <w:spacing w:after="0" w:line="240" w:lineRule="auto"/>
        <w:ind w:left="284" w:hanging="284"/>
        <w:rPr>
          <w:rFonts w:cs="Times New Roman"/>
          <w:lang w:val="en-GB"/>
        </w:rPr>
      </w:pPr>
      <w:r w:rsidRPr="005635D8">
        <w:rPr>
          <w:rFonts w:cs="Times New Roman"/>
          <w:lang w:val="en-GB"/>
        </w:rPr>
        <w:t xml:space="preserve">Jackson, S. and Pitman, J. (2001) Auditors and earnings management, </w:t>
      </w:r>
      <w:r w:rsidRPr="005635D8">
        <w:rPr>
          <w:rFonts w:cs="Times New Roman"/>
          <w:i/>
          <w:iCs/>
          <w:lang w:val="en-GB"/>
        </w:rPr>
        <w:t>The CPA Journal</w:t>
      </w:r>
      <w:r w:rsidRPr="005635D8">
        <w:rPr>
          <w:rFonts w:cs="Times New Roman"/>
          <w:lang w:val="en-GB"/>
        </w:rPr>
        <w:t>, Vol. 71, No. 7, pp. 39-44.</w:t>
      </w:r>
    </w:p>
    <w:p w:rsidR="00DC6642" w:rsidRPr="005635D8" w:rsidRDefault="00DC6642" w:rsidP="00DC6642">
      <w:pPr>
        <w:autoSpaceDE w:val="0"/>
        <w:autoSpaceDN w:val="0"/>
        <w:adjustRightInd w:val="0"/>
        <w:spacing w:after="0" w:line="240" w:lineRule="auto"/>
        <w:ind w:left="284" w:hanging="284"/>
        <w:rPr>
          <w:rFonts w:cs="Times New Roman"/>
          <w:lang w:val="en-GB"/>
        </w:rPr>
      </w:pPr>
    </w:p>
    <w:p w:rsidR="00DC6642" w:rsidRPr="005635D8" w:rsidRDefault="00DC6642" w:rsidP="00DC6642">
      <w:pPr>
        <w:autoSpaceDE w:val="0"/>
        <w:autoSpaceDN w:val="0"/>
        <w:adjustRightInd w:val="0"/>
        <w:spacing w:after="0" w:line="240" w:lineRule="auto"/>
        <w:ind w:left="284" w:hanging="284"/>
        <w:rPr>
          <w:rFonts w:cs="Times New Roman"/>
          <w:lang w:val="en-GB"/>
        </w:rPr>
      </w:pPr>
      <w:r w:rsidRPr="005635D8">
        <w:rPr>
          <w:rFonts w:cs="Times New Roman"/>
          <w:lang w:val="en-GB"/>
        </w:rPr>
        <w:t xml:space="preserve">Jeanjean, T. and Stolowy, H. (2008) Do accounting standards matter? An exploratory analysis of earnings management before and after IFRS adoption, </w:t>
      </w:r>
      <w:r w:rsidRPr="005635D8">
        <w:rPr>
          <w:rFonts w:cs="Times New Roman"/>
          <w:i/>
          <w:iCs/>
          <w:lang w:val="en-GB"/>
        </w:rPr>
        <w:t>Journal of Accounting in Public Policy,</w:t>
      </w:r>
      <w:r w:rsidRPr="005635D8">
        <w:rPr>
          <w:rFonts w:cs="Times New Roman"/>
          <w:lang w:val="en-GB"/>
        </w:rPr>
        <w:t xml:space="preserve"> Vol. 27, pp. 480–494</w:t>
      </w:r>
    </w:p>
    <w:p w:rsidR="00DC6642" w:rsidRPr="005635D8" w:rsidRDefault="00DC6642" w:rsidP="00DC6642">
      <w:pPr>
        <w:autoSpaceDE w:val="0"/>
        <w:autoSpaceDN w:val="0"/>
        <w:adjustRightInd w:val="0"/>
        <w:spacing w:after="0" w:line="240" w:lineRule="auto"/>
        <w:ind w:left="284" w:hanging="284"/>
        <w:rPr>
          <w:rFonts w:cs="Times New Roman"/>
          <w:lang w:val="en-GB"/>
        </w:rPr>
      </w:pPr>
    </w:p>
    <w:p w:rsidR="00DC6642" w:rsidRPr="005635D8" w:rsidRDefault="00DC6642" w:rsidP="00DC6642">
      <w:pPr>
        <w:autoSpaceDE w:val="0"/>
        <w:autoSpaceDN w:val="0"/>
        <w:adjustRightInd w:val="0"/>
        <w:spacing w:after="0" w:line="240" w:lineRule="auto"/>
        <w:ind w:left="284" w:hanging="284"/>
        <w:rPr>
          <w:rFonts w:cs="Times New Roman"/>
          <w:lang w:val="en-GB"/>
        </w:rPr>
      </w:pPr>
      <w:r w:rsidRPr="005635D8">
        <w:rPr>
          <w:rFonts w:cs="Times New Roman"/>
          <w:lang w:val="en-GB"/>
        </w:rPr>
        <w:t xml:space="preserve">Jensen, M.C. and Meckling, W.H. (1976) Theory of the firm: managerial behavior, agency costs, and ownership structure,  </w:t>
      </w:r>
      <w:r w:rsidRPr="005635D8">
        <w:rPr>
          <w:rFonts w:cs="Times New Roman"/>
          <w:i/>
          <w:iCs/>
          <w:lang w:val="en-GB"/>
        </w:rPr>
        <w:t>Journal of Financial Economics</w:t>
      </w:r>
      <w:r w:rsidRPr="005635D8">
        <w:rPr>
          <w:rFonts w:cs="Times New Roman"/>
          <w:lang w:val="en-GB"/>
        </w:rPr>
        <w:t>, Vol. 3, pp. 305–360.</w:t>
      </w:r>
    </w:p>
    <w:p w:rsidR="00DC6642" w:rsidRPr="005635D8" w:rsidRDefault="00DC6642" w:rsidP="00DC6642">
      <w:pPr>
        <w:autoSpaceDE w:val="0"/>
        <w:autoSpaceDN w:val="0"/>
        <w:adjustRightInd w:val="0"/>
        <w:spacing w:after="0" w:line="240" w:lineRule="auto"/>
        <w:ind w:left="284" w:hanging="284"/>
        <w:rPr>
          <w:rFonts w:cs="Times New Roman"/>
          <w:lang w:val="en-GB"/>
        </w:rPr>
      </w:pPr>
    </w:p>
    <w:p w:rsidR="00DC6642" w:rsidRPr="005635D8" w:rsidRDefault="00DC6642" w:rsidP="00DC6642">
      <w:pPr>
        <w:autoSpaceDE w:val="0"/>
        <w:autoSpaceDN w:val="0"/>
        <w:adjustRightInd w:val="0"/>
        <w:spacing w:after="0" w:line="240" w:lineRule="auto"/>
        <w:ind w:left="284" w:hanging="284"/>
        <w:rPr>
          <w:rStyle w:val="reference-text"/>
          <w:rFonts w:cs="Times New Roman"/>
          <w:lang w:val="en-GB"/>
        </w:rPr>
      </w:pPr>
      <w:r w:rsidRPr="005635D8">
        <w:rPr>
          <w:rFonts w:cs="Times New Roman"/>
          <w:lang w:val="en-GB"/>
        </w:rPr>
        <w:t xml:space="preserve">Jensen, M. and Meckling, W. (1979) Rights and production functions: an application to Labor managed firms, </w:t>
      </w:r>
      <w:r w:rsidRPr="005635D8">
        <w:rPr>
          <w:rFonts w:cs="Times New Roman"/>
          <w:i/>
          <w:iCs/>
          <w:lang w:val="en-GB"/>
        </w:rPr>
        <w:t>Journal of Business</w:t>
      </w:r>
      <w:r w:rsidRPr="005635D8">
        <w:rPr>
          <w:rFonts w:cs="Times New Roman"/>
          <w:lang w:val="en-GB"/>
        </w:rPr>
        <w:t>, Vol. 52, pp. 469–506.</w:t>
      </w:r>
    </w:p>
    <w:p w:rsidR="00DC6642" w:rsidRPr="005635D8" w:rsidRDefault="00DC6642" w:rsidP="00DC6642">
      <w:pPr>
        <w:autoSpaceDE w:val="0"/>
        <w:autoSpaceDN w:val="0"/>
        <w:adjustRightInd w:val="0"/>
        <w:spacing w:after="0" w:line="240" w:lineRule="auto"/>
        <w:ind w:left="284" w:hanging="284"/>
        <w:rPr>
          <w:rFonts w:cs="Times New Roman"/>
          <w:color w:val="000000"/>
          <w:lang w:val="en-GB"/>
        </w:rPr>
      </w:pPr>
    </w:p>
    <w:p w:rsidR="00DC6642" w:rsidRPr="005635D8" w:rsidRDefault="00DC6642" w:rsidP="00DC6642">
      <w:pPr>
        <w:pStyle w:val="NoSpacing"/>
        <w:ind w:left="284" w:hanging="284"/>
        <w:rPr>
          <w:lang w:val="en-GB"/>
        </w:rPr>
      </w:pPr>
      <w:r w:rsidRPr="005635D8">
        <w:rPr>
          <w:lang w:val="en-GB"/>
        </w:rPr>
        <w:t xml:space="preserve">Jones, J. J. (1991). Earnings Management During Import Relief Investigations, </w:t>
      </w:r>
      <w:r w:rsidRPr="005635D8">
        <w:rPr>
          <w:i/>
          <w:iCs/>
          <w:lang w:val="en-GB"/>
        </w:rPr>
        <w:t xml:space="preserve">Journal of Accounting Research, </w:t>
      </w:r>
      <w:r w:rsidRPr="005635D8">
        <w:rPr>
          <w:iCs/>
          <w:lang w:val="en-GB"/>
        </w:rPr>
        <w:t xml:space="preserve">Vol. </w:t>
      </w:r>
      <w:r w:rsidRPr="005635D8">
        <w:rPr>
          <w:lang w:val="en-GB"/>
        </w:rPr>
        <w:t xml:space="preserve">29, No. 2, pp. 193-228. </w:t>
      </w:r>
    </w:p>
    <w:p w:rsidR="00DC6642" w:rsidRPr="005635D8" w:rsidRDefault="00DC6642" w:rsidP="00DC6642">
      <w:pPr>
        <w:pStyle w:val="NoSpacing"/>
        <w:ind w:left="284" w:hanging="284"/>
        <w:rPr>
          <w:lang w:val="en-GB"/>
        </w:rPr>
      </w:pPr>
    </w:p>
    <w:p w:rsidR="00DC6642" w:rsidRPr="005635D8" w:rsidRDefault="00DC6642" w:rsidP="00DC6642">
      <w:pPr>
        <w:pStyle w:val="NoSpacing"/>
        <w:ind w:left="284" w:hanging="284"/>
        <w:rPr>
          <w:rStyle w:val="reference-text"/>
          <w:lang w:val="en-GB"/>
        </w:rPr>
      </w:pPr>
      <w:r w:rsidRPr="005635D8">
        <w:rPr>
          <w:lang w:val="en-GB"/>
        </w:rPr>
        <w:t>Jones, K. L., Krishnan, G. V. and Melendrez, K. D. (2008) Do Models of Discretionary Accruals Detect Actual Cases of Fraudulent and Restated Ea</w:t>
      </w:r>
      <w:r w:rsidR="00C33B55" w:rsidRPr="005635D8">
        <w:rPr>
          <w:lang w:val="en-GB"/>
        </w:rPr>
        <w:t>rn</w:t>
      </w:r>
      <w:r w:rsidRPr="005635D8">
        <w:rPr>
          <w:lang w:val="en-GB"/>
        </w:rPr>
        <w:t xml:space="preserve">ings? An Empirical Analysis, </w:t>
      </w:r>
      <w:r w:rsidRPr="005635D8">
        <w:rPr>
          <w:i/>
          <w:iCs/>
          <w:lang w:val="en-GB"/>
        </w:rPr>
        <w:t>Con-temporary Accounting Research</w:t>
      </w:r>
      <w:r w:rsidRPr="005635D8">
        <w:rPr>
          <w:lang w:val="en-GB"/>
        </w:rPr>
        <w:t>, Vol. 25, No. 2, pp. 499-531.</w:t>
      </w:r>
    </w:p>
    <w:p w:rsidR="00DC6642" w:rsidRPr="005635D8" w:rsidRDefault="00DC6642" w:rsidP="00DC6642">
      <w:pPr>
        <w:pStyle w:val="NoSpacing"/>
        <w:ind w:left="284" w:hanging="284"/>
        <w:rPr>
          <w:rStyle w:val="reference-text"/>
          <w:lang w:val="en-GB"/>
        </w:rPr>
      </w:pPr>
    </w:p>
    <w:p w:rsidR="00DC6642" w:rsidRPr="005635D8" w:rsidRDefault="00DC6642" w:rsidP="00DC6642">
      <w:pPr>
        <w:pStyle w:val="NoSpacing"/>
        <w:ind w:left="284" w:hanging="284"/>
        <w:rPr>
          <w:rStyle w:val="reference-text"/>
          <w:lang w:val="en-GB"/>
        </w:rPr>
      </w:pPr>
      <w:r w:rsidRPr="005635D8">
        <w:rPr>
          <w:rStyle w:val="reference-text"/>
          <w:lang w:val="en-GB"/>
        </w:rPr>
        <w:t xml:space="preserve">Kaplan, R.S. (1985) Comments on Paul Healy: Evidence on the effects of Bonus schemes on accounting procedures and accrual decisions, </w:t>
      </w:r>
      <w:r w:rsidRPr="005635D8">
        <w:rPr>
          <w:rStyle w:val="reference-text"/>
          <w:i/>
          <w:iCs/>
          <w:lang w:val="en-GB"/>
        </w:rPr>
        <w:t>Journal of Accounting and Economies,</w:t>
      </w:r>
      <w:r w:rsidRPr="005635D8">
        <w:rPr>
          <w:rStyle w:val="reference-text"/>
          <w:lang w:val="en-GB"/>
        </w:rPr>
        <w:t xml:space="preserve"> Vol. 7, pp. 109-113.</w:t>
      </w:r>
    </w:p>
    <w:p w:rsidR="00DC6642" w:rsidRPr="005635D8" w:rsidRDefault="00DC6642" w:rsidP="00DC6642">
      <w:pPr>
        <w:pStyle w:val="NoSpacing"/>
        <w:ind w:left="284" w:hanging="284"/>
        <w:rPr>
          <w:rStyle w:val="reference-text"/>
          <w:lang w:val="en-GB"/>
        </w:rPr>
      </w:pPr>
    </w:p>
    <w:p w:rsidR="00DC6642" w:rsidRPr="005635D8" w:rsidRDefault="00DC6642" w:rsidP="00DC6642">
      <w:pPr>
        <w:autoSpaceDE w:val="0"/>
        <w:autoSpaceDN w:val="0"/>
        <w:adjustRightInd w:val="0"/>
        <w:spacing w:after="0" w:line="240" w:lineRule="auto"/>
        <w:ind w:left="284" w:hanging="284"/>
        <w:rPr>
          <w:rStyle w:val="reference-text"/>
          <w:rFonts w:eastAsiaTheme="minorEastAsia"/>
          <w:lang w:val="en-GB" w:eastAsia="ja-JP"/>
        </w:rPr>
      </w:pPr>
      <w:r w:rsidRPr="005635D8">
        <w:rPr>
          <w:rStyle w:val="reference-text"/>
          <w:rFonts w:eastAsiaTheme="minorEastAsia"/>
          <w:lang w:val="en-GB" w:eastAsia="ja-JP"/>
        </w:rPr>
        <w:t>Kasznik,</w:t>
      </w:r>
      <w:r w:rsidR="00C33B55" w:rsidRPr="005635D8">
        <w:rPr>
          <w:rStyle w:val="reference-text"/>
          <w:rFonts w:eastAsiaTheme="minorEastAsia"/>
          <w:lang w:val="en-GB" w:eastAsia="ja-JP"/>
        </w:rPr>
        <w:t xml:space="preserve"> </w:t>
      </w:r>
      <w:r w:rsidRPr="005635D8">
        <w:rPr>
          <w:rStyle w:val="reference-text"/>
          <w:rFonts w:eastAsiaTheme="minorEastAsia"/>
          <w:lang w:val="en-GB" w:eastAsia="ja-JP"/>
        </w:rPr>
        <w:t xml:space="preserve">R. (1999) On the association between voluntary disclosure and earnings management, </w:t>
      </w:r>
      <w:r w:rsidRPr="005635D8">
        <w:rPr>
          <w:rStyle w:val="reference-text"/>
          <w:rFonts w:eastAsiaTheme="minorEastAsia"/>
          <w:i/>
          <w:iCs/>
          <w:lang w:val="en-GB" w:eastAsia="ja-JP"/>
        </w:rPr>
        <w:t xml:space="preserve">Journal of </w:t>
      </w:r>
      <w:r w:rsidRPr="005635D8">
        <w:rPr>
          <w:rStyle w:val="reference-text"/>
          <w:i/>
          <w:iCs/>
          <w:lang w:val="en-GB"/>
        </w:rPr>
        <w:t>Accounting Research</w:t>
      </w:r>
      <w:r w:rsidRPr="005635D8">
        <w:rPr>
          <w:rStyle w:val="reference-text"/>
          <w:lang w:val="en-GB"/>
        </w:rPr>
        <w:t>, Vol. 37, pp. 18-38.</w:t>
      </w:r>
    </w:p>
    <w:p w:rsidR="00DC6642" w:rsidRPr="005635D8" w:rsidRDefault="00DC6642" w:rsidP="00DC6642">
      <w:pPr>
        <w:pStyle w:val="NoSpacing"/>
        <w:ind w:left="284" w:hanging="284"/>
        <w:rPr>
          <w:rStyle w:val="reference-text"/>
          <w:lang w:val="en-GB"/>
        </w:rPr>
      </w:pPr>
    </w:p>
    <w:p w:rsidR="008A0FE0" w:rsidRPr="005635D8" w:rsidRDefault="00EF4D05" w:rsidP="008A0FE0">
      <w:pPr>
        <w:pStyle w:val="NormalWeb"/>
        <w:spacing w:before="0" w:beforeAutospacing="0" w:after="0" w:afterAutospacing="0"/>
        <w:rPr>
          <w:rStyle w:val="reference-text"/>
          <w:rFonts w:asciiTheme="minorHAnsi" w:eastAsiaTheme="minorEastAsia" w:hAnsiTheme="minorHAnsi" w:cstheme="minorBidi"/>
          <w:sz w:val="22"/>
          <w:szCs w:val="22"/>
          <w:lang w:val="en-GB" w:eastAsia="ja-JP"/>
        </w:rPr>
      </w:pPr>
      <w:r w:rsidRPr="005635D8">
        <w:rPr>
          <w:rStyle w:val="reference-text"/>
          <w:rFonts w:asciiTheme="minorHAnsi" w:eastAsiaTheme="minorEastAsia" w:hAnsiTheme="minorHAnsi" w:cstheme="minorBidi"/>
          <w:sz w:val="22"/>
          <w:szCs w:val="22"/>
          <w:lang w:val="en-GB" w:eastAsia="ja-JP"/>
        </w:rPr>
        <w:t>Kimmel, P.D. , W</w:t>
      </w:r>
      <w:r w:rsidR="008A0FE0" w:rsidRPr="005635D8">
        <w:rPr>
          <w:rStyle w:val="reference-text"/>
          <w:rFonts w:asciiTheme="minorHAnsi" w:eastAsiaTheme="minorEastAsia" w:hAnsiTheme="minorHAnsi" w:cstheme="minorBidi"/>
          <w:sz w:val="22"/>
          <w:szCs w:val="22"/>
          <w:lang w:val="en-GB" w:eastAsia="ja-JP"/>
        </w:rPr>
        <w:t xml:space="preserve">eygandt, J.J. and Kieso, D (2013) </w:t>
      </w:r>
      <w:r w:rsidR="008A0FE0" w:rsidRPr="005635D8">
        <w:rPr>
          <w:rStyle w:val="reference-text"/>
          <w:rFonts w:asciiTheme="minorHAnsi" w:eastAsiaTheme="minorEastAsia" w:hAnsiTheme="minorHAnsi" w:cstheme="minorBidi"/>
          <w:i/>
          <w:iCs/>
          <w:sz w:val="22"/>
          <w:szCs w:val="22"/>
          <w:lang w:val="en-GB" w:eastAsia="ja-JP"/>
        </w:rPr>
        <w:t>Financial accounting 7th edition</w:t>
      </w:r>
      <w:r w:rsidR="008A0FE0" w:rsidRPr="005635D8">
        <w:rPr>
          <w:rStyle w:val="reference-text"/>
          <w:rFonts w:asciiTheme="minorHAnsi" w:eastAsiaTheme="minorEastAsia" w:hAnsiTheme="minorHAnsi" w:cstheme="minorBidi"/>
          <w:sz w:val="22"/>
          <w:szCs w:val="22"/>
          <w:lang w:val="en-GB" w:eastAsia="ja-JP"/>
        </w:rPr>
        <w:t>, John Wiley &amp; Sons</w:t>
      </w:r>
    </w:p>
    <w:p w:rsidR="008A0FE0" w:rsidRPr="005635D8" w:rsidRDefault="008A0FE0" w:rsidP="00DC6642">
      <w:pPr>
        <w:pStyle w:val="NoSpacing"/>
        <w:ind w:left="284" w:hanging="284"/>
        <w:rPr>
          <w:rStyle w:val="reference-text"/>
          <w:lang w:val="en-GB"/>
        </w:rPr>
      </w:pPr>
    </w:p>
    <w:p w:rsidR="00DC6642" w:rsidRPr="005635D8" w:rsidRDefault="00DC6642" w:rsidP="008A0FE0">
      <w:pPr>
        <w:pStyle w:val="NoSpacing"/>
        <w:rPr>
          <w:rStyle w:val="reference-text"/>
          <w:lang w:val="en-GB"/>
        </w:rPr>
      </w:pPr>
      <w:r w:rsidRPr="005635D8">
        <w:rPr>
          <w:rStyle w:val="reference-text"/>
          <w:lang w:val="en-GB"/>
        </w:rPr>
        <w:t xml:space="preserve">Kluvers, R. and Tippett, J. (2011) </w:t>
      </w:r>
      <w:r w:rsidRPr="005635D8">
        <w:rPr>
          <w:lang w:val="en-GB"/>
        </w:rPr>
        <w:t xml:space="preserve">An exploration of stewardship theory in a Not-for-Profit organization, </w:t>
      </w:r>
      <w:r w:rsidRPr="005635D8">
        <w:rPr>
          <w:i/>
          <w:iCs/>
          <w:lang w:val="en-GB"/>
        </w:rPr>
        <w:t>Accounting Forum</w:t>
      </w:r>
      <w:r w:rsidRPr="005635D8">
        <w:rPr>
          <w:lang w:val="en-GB"/>
        </w:rPr>
        <w:t xml:space="preserve">, Vol. 35, pp. 275-284. </w:t>
      </w:r>
    </w:p>
    <w:p w:rsidR="00DC6642" w:rsidRPr="005635D8" w:rsidRDefault="00DC6642" w:rsidP="00DC6642">
      <w:pPr>
        <w:pStyle w:val="NoSpacing"/>
        <w:ind w:left="284" w:hanging="284"/>
        <w:rPr>
          <w:lang w:val="en-GB"/>
        </w:rPr>
      </w:pPr>
    </w:p>
    <w:p w:rsidR="00DC6642" w:rsidRPr="005635D8" w:rsidRDefault="00DC6642" w:rsidP="00DC6642">
      <w:pPr>
        <w:autoSpaceDE w:val="0"/>
        <w:autoSpaceDN w:val="0"/>
        <w:adjustRightInd w:val="0"/>
        <w:spacing w:after="0" w:line="240" w:lineRule="auto"/>
        <w:ind w:left="284" w:hanging="284"/>
        <w:rPr>
          <w:rFonts w:eastAsiaTheme="minorEastAsia"/>
          <w:lang w:val="en-GB" w:eastAsia="ja-JP"/>
        </w:rPr>
      </w:pPr>
      <w:r w:rsidRPr="005635D8">
        <w:rPr>
          <w:rFonts w:eastAsiaTheme="minorEastAsia"/>
          <w:lang w:val="en-GB" w:eastAsia="ja-JP"/>
        </w:rPr>
        <w:t xml:space="preserve">Kothari, S. P., Leone, A. and Wasley, C.E. (2005) Performance matched discretionary </w:t>
      </w:r>
      <w:r w:rsidRPr="005635D8">
        <w:rPr>
          <w:lang w:val="en-GB"/>
        </w:rPr>
        <w:t xml:space="preserve">accrual measures, </w:t>
      </w:r>
      <w:r w:rsidRPr="005635D8">
        <w:rPr>
          <w:i/>
          <w:iCs/>
          <w:lang w:val="en-GB"/>
        </w:rPr>
        <w:t>Journal of Accounting and Economics</w:t>
      </w:r>
      <w:r w:rsidRPr="005635D8">
        <w:rPr>
          <w:lang w:val="en-GB"/>
        </w:rPr>
        <w:t>, Vol. 39,  No. 1, pp. 163-197.</w:t>
      </w:r>
    </w:p>
    <w:p w:rsidR="00DC6642" w:rsidRPr="005635D8" w:rsidRDefault="00DC6642" w:rsidP="00DC6642">
      <w:pPr>
        <w:pStyle w:val="NoSpacing"/>
        <w:ind w:left="284" w:hanging="284"/>
        <w:rPr>
          <w:rFonts w:eastAsia="PMingLiU"/>
          <w:lang w:val="en-GB" w:eastAsia="zh-TW"/>
        </w:rPr>
      </w:pPr>
    </w:p>
    <w:p w:rsidR="00DC6642" w:rsidRPr="005635D8" w:rsidRDefault="00DC6642" w:rsidP="00DC6642">
      <w:pPr>
        <w:pStyle w:val="NoSpacing"/>
        <w:ind w:left="284" w:hanging="284"/>
        <w:rPr>
          <w:rFonts w:eastAsia="PMingLiU"/>
          <w:lang w:val="en-GB" w:eastAsia="zh-TW"/>
        </w:rPr>
      </w:pPr>
      <w:r w:rsidRPr="005635D8">
        <w:rPr>
          <w:rFonts w:cs="Times New Roman"/>
          <w:lang w:val="en-GB"/>
        </w:rPr>
        <w:t xml:space="preserve">La Porta, R., Lopez-de-Silanes, F., Schleifer, A. and Vishny, R.W. (1999), Investor Protection and Corporate Governance, </w:t>
      </w:r>
      <w:r w:rsidRPr="005635D8">
        <w:rPr>
          <w:rFonts w:cs="Times New Roman"/>
          <w:i/>
          <w:lang w:val="en-GB"/>
        </w:rPr>
        <w:t xml:space="preserve">Journal of Financial Economics, </w:t>
      </w:r>
      <w:r w:rsidRPr="005635D8">
        <w:rPr>
          <w:rFonts w:cs="Times New Roman"/>
          <w:lang w:val="en-GB"/>
        </w:rPr>
        <w:t>vol. 58,</w:t>
      </w:r>
      <w:r w:rsidRPr="005635D8">
        <w:rPr>
          <w:rFonts w:eastAsia="PMingLiU" w:cs="Times New Roman"/>
          <w:lang w:val="en-GB" w:eastAsia="zh-TW"/>
        </w:rPr>
        <w:t xml:space="preserve"> pp.</w:t>
      </w:r>
      <w:r w:rsidRPr="005635D8">
        <w:rPr>
          <w:rFonts w:cs="Times New Roman"/>
          <w:lang w:val="en-GB"/>
        </w:rPr>
        <w:t xml:space="preserve"> 3-27.</w:t>
      </w:r>
    </w:p>
    <w:p w:rsidR="00DC6642" w:rsidRPr="005635D8" w:rsidRDefault="00DC6642" w:rsidP="00DC6642">
      <w:pPr>
        <w:pStyle w:val="NoSpacing"/>
        <w:ind w:left="284" w:hanging="284"/>
        <w:rPr>
          <w:rFonts w:eastAsia="PMingLiU"/>
          <w:lang w:val="en-GB" w:eastAsia="zh-TW"/>
        </w:rPr>
      </w:pPr>
    </w:p>
    <w:p w:rsidR="00DC6642" w:rsidRPr="005635D8" w:rsidRDefault="00DC6642" w:rsidP="00DC6642">
      <w:pPr>
        <w:pStyle w:val="NoSpacing"/>
        <w:ind w:left="284" w:hanging="284"/>
        <w:rPr>
          <w:lang w:val="en-GB"/>
        </w:rPr>
      </w:pPr>
      <w:r w:rsidRPr="005635D8">
        <w:rPr>
          <w:lang w:val="en-GB"/>
        </w:rPr>
        <w:t xml:space="preserve">Leuz, C. Nanda, D. and Wysocki, P.D. (2003) Earnings management and investor protection: an international comparison, </w:t>
      </w:r>
      <w:r w:rsidRPr="005635D8">
        <w:rPr>
          <w:i/>
          <w:iCs/>
          <w:lang w:val="en-GB"/>
        </w:rPr>
        <w:t xml:space="preserve">Journal of Financial Economics, </w:t>
      </w:r>
      <w:r w:rsidRPr="005635D8">
        <w:rPr>
          <w:lang w:val="en-GB"/>
        </w:rPr>
        <w:t>Vol. 69, pp. 505-527.</w:t>
      </w:r>
    </w:p>
    <w:p w:rsidR="00DC6642" w:rsidRPr="005635D8" w:rsidRDefault="00DC6642" w:rsidP="00DC6642">
      <w:pPr>
        <w:pStyle w:val="NoSpacing"/>
        <w:ind w:left="284" w:hanging="284"/>
        <w:rPr>
          <w:lang w:val="en-GB"/>
        </w:rPr>
      </w:pPr>
    </w:p>
    <w:p w:rsidR="00DC6642" w:rsidRPr="005635D8" w:rsidRDefault="00DC6642" w:rsidP="00DC6642">
      <w:pPr>
        <w:pStyle w:val="NoSpacing"/>
        <w:ind w:left="284" w:hanging="284"/>
        <w:rPr>
          <w:rStyle w:val="reference-text"/>
          <w:i/>
          <w:iCs/>
          <w:lang w:val="en-GB"/>
        </w:rPr>
      </w:pPr>
      <w:r w:rsidRPr="005635D8">
        <w:rPr>
          <w:lang w:val="en-GB"/>
        </w:rPr>
        <w:t xml:space="preserve">Leuz, C., and Wüstemann, J. (2004) The Role of Accounting in the German Financial System, in </w:t>
      </w:r>
      <w:r w:rsidRPr="005635D8">
        <w:rPr>
          <w:i/>
          <w:iCs/>
          <w:lang w:val="en-GB"/>
        </w:rPr>
        <w:t>The German Financial System</w:t>
      </w:r>
      <w:r w:rsidRPr="005635D8">
        <w:rPr>
          <w:lang w:val="en-GB"/>
        </w:rPr>
        <w:t>, J. Krahnen, and R. Schmidt (eds.), Oxford University Press, Oxford,</w:t>
      </w:r>
      <w:r w:rsidRPr="005635D8">
        <w:rPr>
          <w:i/>
          <w:iCs/>
          <w:lang w:val="en-GB"/>
        </w:rPr>
        <w:t xml:space="preserve"> </w:t>
      </w:r>
      <w:r w:rsidRPr="005635D8">
        <w:rPr>
          <w:lang w:val="en-GB"/>
        </w:rPr>
        <w:t>pp. 450–481.</w:t>
      </w:r>
    </w:p>
    <w:p w:rsidR="00DC6642" w:rsidRPr="005635D8" w:rsidRDefault="00DC6642" w:rsidP="00DC6642">
      <w:pPr>
        <w:pStyle w:val="NoSpacing"/>
        <w:ind w:left="284" w:hanging="284"/>
        <w:rPr>
          <w:rStyle w:val="reference-text"/>
          <w:lang w:val="en-GB"/>
        </w:rPr>
      </w:pPr>
    </w:p>
    <w:p w:rsidR="00DC6642" w:rsidRPr="005635D8" w:rsidRDefault="00DC6642" w:rsidP="00DC6642">
      <w:pPr>
        <w:pStyle w:val="NoSpacing"/>
        <w:ind w:left="284" w:hanging="284"/>
        <w:rPr>
          <w:rStyle w:val="reference-text"/>
          <w:lang w:val="en-GB"/>
        </w:rPr>
      </w:pPr>
      <w:r w:rsidRPr="005635D8">
        <w:rPr>
          <w:rStyle w:val="reference-text"/>
          <w:lang w:val="en-GB"/>
        </w:rPr>
        <w:t xml:space="preserve">Lippens, M. (2010) The Mandatory Introduction of IFRS as a Single Accounting Standard in the European Union and the Effect on Earnings Management, available on </w:t>
      </w:r>
      <w:hyperlink r:id="rId153" w:history="1">
        <w:r w:rsidRPr="005635D8">
          <w:rPr>
            <w:rStyle w:val="Hyperlink"/>
            <w:lang w:val="en-GB"/>
          </w:rPr>
          <w:t>http://repub.eur.nl/res/pub/20021/91-113_lippens.pdf</w:t>
        </w:r>
      </w:hyperlink>
    </w:p>
    <w:p w:rsidR="00DC6642" w:rsidRPr="005635D8" w:rsidRDefault="00DC6642" w:rsidP="00DC6642">
      <w:pPr>
        <w:pStyle w:val="NoSpacing"/>
        <w:ind w:left="284" w:hanging="284"/>
        <w:rPr>
          <w:rStyle w:val="reference-text"/>
          <w:lang w:val="en-GB"/>
        </w:rPr>
      </w:pPr>
    </w:p>
    <w:p w:rsidR="00DC6642" w:rsidRPr="005635D8" w:rsidRDefault="00DC6642" w:rsidP="00DC6642">
      <w:pPr>
        <w:pStyle w:val="NoSpacing"/>
        <w:ind w:left="284" w:hanging="284"/>
        <w:rPr>
          <w:lang w:val="en-GB"/>
        </w:rPr>
      </w:pPr>
      <w:r w:rsidRPr="005635D8">
        <w:rPr>
          <w:rStyle w:val="reference-text"/>
          <w:lang w:val="en-GB"/>
        </w:rPr>
        <w:t xml:space="preserve">Lo and Fisher (2013) </w:t>
      </w:r>
      <w:r w:rsidRPr="005635D8">
        <w:rPr>
          <w:rStyle w:val="reference-text"/>
          <w:i/>
          <w:iCs/>
          <w:lang w:val="en-GB"/>
        </w:rPr>
        <w:t>Intermediate Accounting, 2nd edition</w:t>
      </w:r>
      <w:r w:rsidRPr="005635D8">
        <w:rPr>
          <w:rStyle w:val="reference-text"/>
          <w:lang w:val="en-GB"/>
        </w:rPr>
        <w:t xml:space="preserve">, </w:t>
      </w:r>
      <w:r w:rsidRPr="005635D8">
        <w:rPr>
          <w:lang w:val="en-GB"/>
        </w:rPr>
        <w:t>Pearson</w:t>
      </w:r>
      <w:r w:rsidRPr="005635D8">
        <w:rPr>
          <w:rStyle w:val="reference-text"/>
          <w:lang w:val="en-GB"/>
        </w:rPr>
        <w:t xml:space="preserve">; Toronto </w:t>
      </w:r>
    </w:p>
    <w:p w:rsidR="00DC6642" w:rsidRPr="005635D8" w:rsidRDefault="00DC6642" w:rsidP="00DC6642">
      <w:pPr>
        <w:pStyle w:val="NoSpacing"/>
        <w:ind w:left="284" w:hanging="284"/>
        <w:rPr>
          <w:lang w:val="en-GB"/>
        </w:rPr>
      </w:pPr>
    </w:p>
    <w:p w:rsidR="00DC6642" w:rsidRPr="005635D8" w:rsidRDefault="00DC6642" w:rsidP="00DC6642">
      <w:pPr>
        <w:pStyle w:val="NoSpacing"/>
        <w:ind w:left="284" w:hanging="284"/>
        <w:rPr>
          <w:rStyle w:val="reference-text"/>
          <w:lang w:val="en-GB"/>
        </w:rPr>
      </w:pPr>
      <w:r w:rsidRPr="005635D8">
        <w:rPr>
          <w:rStyle w:val="reference-text"/>
          <w:lang w:val="en-GB"/>
        </w:rPr>
        <w:t xml:space="preserve">Matis, D., Vladu, A.B., Cristea, L. and Sucala, L. (2010) Jones, Dechow and Kasznik Models Significance in the Romanian Economic Environment, </w:t>
      </w:r>
      <w:r w:rsidRPr="005635D8">
        <w:rPr>
          <w:rStyle w:val="reference-text"/>
          <w:i/>
          <w:iCs/>
          <w:lang w:val="en-GB"/>
        </w:rPr>
        <w:t xml:space="preserve">Annales </w:t>
      </w:r>
      <w:r w:rsidRPr="005635D8">
        <w:rPr>
          <w:rStyle w:val="reference-text"/>
          <w:i/>
          <w:lang w:val="en-GB"/>
        </w:rPr>
        <w:t>Universitatis Apulensis Series Oeconomica</w:t>
      </w:r>
      <w:r w:rsidRPr="005635D8">
        <w:rPr>
          <w:rStyle w:val="reference-text"/>
          <w:lang w:val="en-GB"/>
        </w:rPr>
        <w:t>, Vol. 1, Nr. 12, pp. 253-266.</w:t>
      </w:r>
    </w:p>
    <w:p w:rsidR="00DC6642" w:rsidRPr="005635D8" w:rsidRDefault="00DC6642" w:rsidP="00DC6642">
      <w:pPr>
        <w:pStyle w:val="NoSpacing"/>
        <w:ind w:left="284" w:hanging="284"/>
        <w:rPr>
          <w:lang w:val="en-GB"/>
        </w:rPr>
      </w:pPr>
    </w:p>
    <w:p w:rsidR="00DC6642" w:rsidRPr="005635D8" w:rsidRDefault="00DC6642" w:rsidP="00DC6642">
      <w:pPr>
        <w:pStyle w:val="NoSpacing"/>
        <w:ind w:left="284" w:hanging="284"/>
        <w:rPr>
          <w:lang w:val="en-GB"/>
        </w:rPr>
      </w:pPr>
      <w:r w:rsidRPr="005635D8">
        <w:rPr>
          <w:lang w:val="en-GB"/>
        </w:rPr>
        <w:t xml:space="preserve">McNichols, M.F. (2000) Research design issues in earnings management studies, </w:t>
      </w:r>
      <w:r w:rsidRPr="005635D8">
        <w:rPr>
          <w:i/>
          <w:lang w:val="en-GB"/>
        </w:rPr>
        <w:t xml:space="preserve">Journal of Accounting and Public Policy, </w:t>
      </w:r>
      <w:r w:rsidRPr="005635D8">
        <w:rPr>
          <w:lang w:val="en-GB"/>
        </w:rPr>
        <w:t>Vol</w:t>
      </w:r>
      <w:r w:rsidR="00C33B55" w:rsidRPr="005635D8">
        <w:rPr>
          <w:lang w:val="en-GB"/>
        </w:rPr>
        <w:t>.</w:t>
      </w:r>
      <w:r w:rsidRPr="005635D8">
        <w:rPr>
          <w:lang w:val="en-GB"/>
        </w:rPr>
        <w:t xml:space="preserve"> 19, pp. 313-345.</w:t>
      </w:r>
    </w:p>
    <w:p w:rsidR="00DC6642" w:rsidRPr="005635D8" w:rsidRDefault="00DC6642" w:rsidP="00DC6642">
      <w:pPr>
        <w:pStyle w:val="NoSpacing"/>
        <w:ind w:left="284" w:hanging="284"/>
        <w:rPr>
          <w:lang w:val="en-GB"/>
        </w:rPr>
      </w:pPr>
    </w:p>
    <w:p w:rsidR="00DC6642" w:rsidRPr="005635D8" w:rsidRDefault="00DC6642" w:rsidP="00DC6642">
      <w:pPr>
        <w:pStyle w:val="NoSpacing"/>
        <w:ind w:left="284" w:hanging="284"/>
        <w:rPr>
          <w:lang w:val="en-GB"/>
        </w:rPr>
      </w:pPr>
      <w:r w:rsidRPr="005635D8">
        <w:rPr>
          <w:lang w:val="en-GB"/>
        </w:rPr>
        <w:t xml:space="preserve">Mohanram, P. (2003) How to Manage Earnings Management, </w:t>
      </w:r>
      <w:r w:rsidRPr="005635D8">
        <w:rPr>
          <w:i/>
          <w:lang w:val="en-GB"/>
        </w:rPr>
        <w:t>Accounting World</w:t>
      </w:r>
      <w:r w:rsidRPr="005635D8">
        <w:rPr>
          <w:lang w:val="en-GB"/>
        </w:rPr>
        <w:t>, pp. 13-19.</w:t>
      </w:r>
    </w:p>
    <w:p w:rsidR="00DC6642" w:rsidRPr="005635D8" w:rsidRDefault="00DC6642" w:rsidP="00DC6642">
      <w:pPr>
        <w:pStyle w:val="NoSpacing"/>
        <w:rPr>
          <w:lang w:val="en-GB"/>
        </w:rPr>
      </w:pPr>
    </w:p>
    <w:p w:rsidR="00DC6642" w:rsidRPr="005635D8" w:rsidRDefault="00DC6642" w:rsidP="00DC6642">
      <w:pPr>
        <w:pStyle w:val="NoSpacing"/>
        <w:ind w:left="284" w:hanging="284"/>
        <w:rPr>
          <w:lang w:val="en-GB"/>
        </w:rPr>
      </w:pPr>
      <w:r w:rsidRPr="005635D8">
        <w:rPr>
          <w:lang w:val="en-GB"/>
        </w:rPr>
        <w:t xml:space="preserve">Norusis, M. J. (2008) </w:t>
      </w:r>
      <w:r w:rsidRPr="005635D8">
        <w:rPr>
          <w:i/>
          <w:lang w:val="en-GB"/>
        </w:rPr>
        <w:t>SPSS</w:t>
      </w:r>
      <w:r w:rsidRPr="005635D8">
        <w:rPr>
          <w:lang w:val="en-GB"/>
        </w:rPr>
        <w:t xml:space="preserve"> </w:t>
      </w:r>
      <w:r w:rsidRPr="005635D8">
        <w:rPr>
          <w:i/>
          <w:lang w:val="en-GB"/>
        </w:rPr>
        <w:t>Statistics 17.0 Statistical Procedures Companion</w:t>
      </w:r>
      <w:r w:rsidRPr="005635D8">
        <w:rPr>
          <w:lang w:val="en-GB"/>
        </w:rPr>
        <w:t>, Upper Saddle River; NJ</w:t>
      </w:r>
    </w:p>
    <w:p w:rsidR="00DC6642" w:rsidRPr="005635D8" w:rsidRDefault="00DC6642" w:rsidP="00DC6642">
      <w:pPr>
        <w:pStyle w:val="NoSpacing"/>
        <w:ind w:left="284" w:hanging="284"/>
        <w:rPr>
          <w:lang w:val="en-GB"/>
        </w:rPr>
      </w:pPr>
    </w:p>
    <w:p w:rsidR="00DC6642" w:rsidRPr="005635D8" w:rsidRDefault="00DC6642" w:rsidP="00DC6642">
      <w:pPr>
        <w:pStyle w:val="NoSpacing"/>
        <w:ind w:left="284" w:hanging="284"/>
        <w:rPr>
          <w:rFonts w:cs="TimesNewRoman"/>
          <w:lang w:val="en-GB"/>
        </w:rPr>
      </w:pPr>
      <w:r w:rsidRPr="005635D8">
        <w:rPr>
          <w:lang w:val="en-GB"/>
        </w:rPr>
        <w:t>Paananen, M. and Lin, H. (2008) The Development of Accounting Quality of IAS and IFRS Over Time: The Case of Germany. Working Paper. Available at SSRN: http://ssrn.com/abstract=1066604 (Accessed 06/2013).</w:t>
      </w:r>
    </w:p>
    <w:p w:rsidR="00DC6642" w:rsidRPr="005635D8" w:rsidRDefault="00DC6642" w:rsidP="00DC6642">
      <w:pPr>
        <w:pStyle w:val="NoSpacing"/>
        <w:ind w:left="284" w:hanging="284"/>
        <w:rPr>
          <w:rFonts w:cs="TimesNewRoman"/>
          <w:lang w:val="en-GB"/>
        </w:rPr>
      </w:pPr>
    </w:p>
    <w:p w:rsidR="00DC6642" w:rsidRPr="005635D8" w:rsidRDefault="00DC6642" w:rsidP="00DC6642">
      <w:pPr>
        <w:pStyle w:val="NoSpacing"/>
        <w:ind w:left="284" w:hanging="284"/>
        <w:rPr>
          <w:rFonts w:cs="TimesNewRoman"/>
          <w:lang w:val="en-GB"/>
        </w:rPr>
      </w:pPr>
      <w:r w:rsidRPr="005635D8">
        <w:rPr>
          <w:rFonts w:cs="TimesNewRoman"/>
          <w:lang w:val="en-GB"/>
        </w:rPr>
        <w:t xml:space="preserve">Philips, J., Pincus, M. and Rego, S.O. (2003) Earnings management: New evidence based on deferred tax expense,  </w:t>
      </w:r>
      <w:r w:rsidRPr="005635D8">
        <w:rPr>
          <w:rFonts w:cs="TimesNewRoman"/>
          <w:i/>
          <w:iCs/>
          <w:lang w:val="en-GB"/>
        </w:rPr>
        <w:t>The accounting review,</w:t>
      </w:r>
      <w:r w:rsidRPr="005635D8">
        <w:rPr>
          <w:rFonts w:cs="TimesNewRoman"/>
          <w:lang w:val="en-GB"/>
        </w:rPr>
        <w:t xml:space="preserve"> Vol. 79, No. 2, pp. 491-521</w:t>
      </w:r>
    </w:p>
    <w:p w:rsidR="00DC6642" w:rsidRPr="005635D8" w:rsidRDefault="00DC6642" w:rsidP="00DC6642">
      <w:pPr>
        <w:pStyle w:val="NoSpacing"/>
        <w:ind w:left="284" w:hanging="284"/>
        <w:rPr>
          <w:rFonts w:cs="TimesNewRoman"/>
          <w:lang w:val="en-GB"/>
        </w:rPr>
      </w:pPr>
    </w:p>
    <w:p w:rsidR="00DC6642" w:rsidRPr="005635D8" w:rsidRDefault="00DC6642" w:rsidP="00DC6642">
      <w:pPr>
        <w:pStyle w:val="NoSpacing"/>
        <w:ind w:left="284" w:hanging="284"/>
        <w:rPr>
          <w:rFonts w:cs="TimesNewRoman"/>
          <w:lang w:val="en-GB"/>
        </w:rPr>
      </w:pPr>
      <w:r w:rsidRPr="005635D8">
        <w:rPr>
          <w:rFonts w:cs="TimesNewRoman"/>
          <w:lang w:val="en-GB"/>
        </w:rPr>
        <w:t>Praag, van</w:t>
      </w:r>
      <w:r w:rsidR="00C33B55" w:rsidRPr="005635D8">
        <w:rPr>
          <w:rFonts w:cs="TimesNewRoman"/>
          <w:lang w:val="en-GB"/>
        </w:rPr>
        <w:t>,</w:t>
      </w:r>
      <w:r w:rsidRPr="005635D8">
        <w:rPr>
          <w:rFonts w:cs="TimesNewRoman"/>
          <w:lang w:val="en-GB"/>
        </w:rPr>
        <w:t xml:space="preserve"> B. (2001) Earnings Management: Empirical Evidence on value relevance and Income smoothing, dissertation,</w:t>
      </w:r>
      <w:r w:rsidRPr="005635D8">
        <w:rPr>
          <w:lang w:val="en-GB"/>
        </w:rPr>
        <w:t xml:space="preserve"> </w:t>
      </w:r>
      <w:hyperlink r:id="rId154" w:history="1">
        <w:r w:rsidRPr="005635D8">
          <w:rPr>
            <w:rStyle w:val="Hyperlink"/>
            <w:lang w:val="en-GB"/>
          </w:rPr>
          <w:t>http://dare.uva.nl/document/58930</w:t>
        </w:r>
      </w:hyperlink>
    </w:p>
    <w:p w:rsidR="00DC6642" w:rsidRPr="005635D8" w:rsidRDefault="00DC6642" w:rsidP="00DC6642">
      <w:pPr>
        <w:pStyle w:val="NoSpacing"/>
        <w:ind w:left="284" w:hanging="284"/>
        <w:rPr>
          <w:rFonts w:cs="TimesNewRoman"/>
          <w:lang w:val="en-GB"/>
        </w:rPr>
      </w:pPr>
    </w:p>
    <w:p w:rsidR="00DC6642" w:rsidRPr="005635D8" w:rsidRDefault="00DC6642" w:rsidP="00DC6642">
      <w:pPr>
        <w:pStyle w:val="NoSpacing"/>
        <w:ind w:left="284" w:hanging="284"/>
        <w:rPr>
          <w:lang w:val="en-GB"/>
        </w:rPr>
      </w:pPr>
      <w:r w:rsidRPr="005635D8">
        <w:rPr>
          <w:lang w:val="en-GB"/>
        </w:rPr>
        <w:t xml:space="preserve">Schipper, K. (1989) Commentary on earnings management, </w:t>
      </w:r>
      <w:r w:rsidRPr="005635D8">
        <w:rPr>
          <w:i/>
          <w:lang w:val="en-GB"/>
        </w:rPr>
        <w:t>Accounting Horizons</w:t>
      </w:r>
      <w:r w:rsidRPr="005635D8">
        <w:rPr>
          <w:lang w:val="en-GB"/>
        </w:rPr>
        <w:t>, Vol. 3, No. 4, pp. 91-102.</w:t>
      </w:r>
    </w:p>
    <w:p w:rsidR="00DC6642" w:rsidRPr="005635D8" w:rsidRDefault="00DC6642" w:rsidP="00DC6642">
      <w:pPr>
        <w:pStyle w:val="NoSpacing"/>
        <w:ind w:left="284" w:hanging="284"/>
        <w:rPr>
          <w:rFonts w:cs="TimesNewRoman"/>
          <w:lang w:val="en-GB"/>
        </w:rPr>
      </w:pPr>
    </w:p>
    <w:p w:rsidR="00DC6642" w:rsidRPr="005635D8" w:rsidRDefault="00DC6642" w:rsidP="00DC6642">
      <w:pPr>
        <w:pStyle w:val="NoSpacing"/>
        <w:ind w:left="284" w:hanging="284"/>
        <w:rPr>
          <w:rFonts w:cs="TimesNewRoman"/>
          <w:lang w:val="en-GB"/>
        </w:rPr>
      </w:pPr>
      <w:r w:rsidRPr="005635D8">
        <w:rPr>
          <w:rFonts w:cs="TimesNewRoman"/>
          <w:lang w:val="en-GB"/>
        </w:rPr>
        <w:t xml:space="preserve">Sloan, R.G. (1996) Do Stock Prices Fully Reflect Information in Accruals and Cash Flows About Future Earnings? </w:t>
      </w:r>
      <w:r w:rsidRPr="005635D8">
        <w:rPr>
          <w:rFonts w:cs="TimesNewRoman"/>
          <w:i/>
          <w:iCs/>
          <w:lang w:val="en-GB"/>
        </w:rPr>
        <w:t>T</w:t>
      </w:r>
      <w:r w:rsidRPr="005635D8">
        <w:rPr>
          <w:rFonts w:eastAsia="PMingLiU" w:cs="TimesNewRoman"/>
          <w:i/>
          <w:iCs/>
          <w:lang w:val="en-GB" w:eastAsia="zh-TW"/>
        </w:rPr>
        <w:t>he Accounting Review</w:t>
      </w:r>
      <w:r w:rsidRPr="005635D8">
        <w:rPr>
          <w:rFonts w:cs="TimesNewRoman"/>
          <w:i/>
          <w:iCs/>
          <w:lang w:val="en-GB"/>
        </w:rPr>
        <w:t xml:space="preserve">, </w:t>
      </w:r>
      <w:r w:rsidRPr="005635D8">
        <w:rPr>
          <w:rFonts w:cs="TimesNewRoman"/>
          <w:lang w:val="en-GB"/>
        </w:rPr>
        <w:t xml:space="preserve"> Vol. 71, No. 3, pp. 289-315.</w:t>
      </w:r>
    </w:p>
    <w:p w:rsidR="00DC6642" w:rsidRPr="005635D8" w:rsidRDefault="00DC6642" w:rsidP="00DC6642">
      <w:pPr>
        <w:pStyle w:val="NoSpacing"/>
        <w:ind w:left="284" w:hanging="284"/>
        <w:rPr>
          <w:rFonts w:cs="TimesNewRoman"/>
          <w:lang w:val="en-GB"/>
        </w:rPr>
      </w:pPr>
    </w:p>
    <w:p w:rsidR="00DC6642" w:rsidRPr="005635D8" w:rsidRDefault="00DC6642" w:rsidP="00DC6642">
      <w:pPr>
        <w:pStyle w:val="NoSpacing"/>
        <w:ind w:left="284" w:hanging="284"/>
        <w:rPr>
          <w:rFonts w:eastAsia="PMingLiU" w:cs="TimesNewRoman"/>
          <w:lang w:val="en-GB" w:eastAsia="zh-TW"/>
        </w:rPr>
      </w:pPr>
      <w:r w:rsidRPr="005635D8">
        <w:rPr>
          <w:rFonts w:cs="Times New Roman"/>
          <w:lang w:val="en-GB"/>
        </w:rPr>
        <w:t xml:space="preserve">Soderstrom, N.S. and Sun, K.J. (2007) IFRS Adoption and accounting quality: a review, </w:t>
      </w:r>
      <w:r w:rsidRPr="005635D8">
        <w:rPr>
          <w:rFonts w:cs="Times New Roman"/>
          <w:i/>
          <w:lang w:val="en-GB"/>
        </w:rPr>
        <w:t>European Accounting Review,</w:t>
      </w:r>
      <w:r w:rsidRPr="005635D8">
        <w:rPr>
          <w:rFonts w:cs="Times New Roman"/>
          <w:lang w:val="en-GB"/>
        </w:rPr>
        <w:t xml:space="preserve"> vol. 16, no. 4, 675-702.</w:t>
      </w:r>
    </w:p>
    <w:p w:rsidR="00DC6642" w:rsidRPr="005635D8" w:rsidRDefault="00DC6642" w:rsidP="00DC6642">
      <w:pPr>
        <w:pStyle w:val="NoSpacing"/>
        <w:ind w:left="284" w:hanging="284"/>
        <w:rPr>
          <w:rFonts w:eastAsia="PMingLiU" w:cs="TimesNewRoman"/>
          <w:lang w:val="en-GB" w:eastAsia="zh-TW"/>
        </w:rPr>
      </w:pPr>
    </w:p>
    <w:p w:rsidR="00DC6642" w:rsidRPr="005635D8" w:rsidRDefault="00DC6642" w:rsidP="00DC6642">
      <w:pPr>
        <w:pStyle w:val="NoSpacing"/>
        <w:ind w:left="284" w:hanging="284"/>
        <w:rPr>
          <w:lang w:val="en-GB"/>
        </w:rPr>
      </w:pPr>
      <w:r w:rsidRPr="005635D8">
        <w:rPr>
          <w:rFonts w:cs="TimesNewRoman"/>
          <w:lang w:val="en-GB"/>
        </w:rPr>
        <w:t xml:space="preserve">Sterling, R.R. (1990) Positive Accounting: An assessment,  </w:t>
      </w:r>
      <w:r w:rsidRPr="005635D8">
        <w:rPr>
          <w:rFonts w:cs="TimesNewRoman,Italic"/>
          <w:i/>
          <w:iCs/>
          <w:lang w:val="en-GB"/>
        </w:rPr>
        <w:t>Abacus</w:t>
      </w:r>
      <w:r w:rsidRPr="005635D8">
        <w:rPr>
          <w:rFonts w:cs="TimesNewRoman"/>
          <w:lang w:val="en-GB"/>
        </w:rPr>
        <w:t>, Vol. 26, No. 2, pp. 97-135.</w:t>
      </w:r>
    </w:p>
    <w:p w:rsidR="00DC6642" w:rsidRPr="005635D8" w:rsidRDefault="00DC6642" w:rsidP="00DC6642">
      <w:pPr>
        <w:pStyle w:val="NoSpacing"/>
        <w:ind w:left="284" w:hanging="284"/>
        <w:rPr>
          <w:lang w:val="en-GB"/>
        </w:rPr>
      </w:pPr>
    </w:p>
    <w:p w:rsidR="00DC6642" w:rsidRPr="005635D8" w:rsidRDefault="00DC6642" w:rsidP="00DC6642">
      <w:pPr>
        <w:pStyle w:val="NoSpacing"/>
        <w:ind w:left="284" w:hanging="284"/>
        <w:rPr>
          <w:lang w:val="en-GB"/>
        </w:rPr>
      </w:pPr>
      <w:r w:rsidRPr="005635D8">
        <w:rPr>
          <w:lang w:val="en-GB"/>
        </w:rPr>
        <w:t xml:space="preserve">Stein, J.C. (1989) Efficient Capital Markets, Inefficient Firms: A Model of Myopic Corporate Behavior, </w:t>
      </w:r>
      <w:r w:rsidRPr="005635D8">
        <w:rPr>
          <w:i/>
          <w:iCs/>
          <w:lang w:val="en-GB"/>
        </w:rPr>
        <w:t>The Quarterly Journal of Economics,</w:t>
      </w:r>
      <w:r w:rsidRPr="005635D8">
        <w:rPr>
          <w:lang w:val="en-GB"/>
        </w:rPr>
        <w:t xml:space="preserve"> Vol. 104, No. 4, pp. 655-669.</w:t>
      </w:r>
    </w:p>
    <w:p w:rsidR="00DC6642" w:rsidRPr="005635D8" w:rsidRDefault="00DC6642" w:rsidP="00DC6642">
      <w:pPr>
        <w:pStyle w:val="NoSpacing"/>
        <w:ind w:left="284" w:hanging="284"/>
        <w:rPr>
          <w:lang w:val="en-GB"/>
        </w:rPr>
      </w:pPr>
    </w:p>
    <w:p w:rsidR="00DC6642" w:rsidRPr="005635D8" w:rsidRDefault="00DC6642" w:rsidP="00DC6642">
      <w:pPr>
        <w:pStyle w:val="NoSpacing"/>
        <w:ind w:left="284" w:hanging="284"/>
        <w:rPr>
          <w:lang w:val="en-GB"/>
        </w:rPr>
      </w:pPr>
      <w:r w:rsidRPr="005635D8">
        <w:rPr>
          <w:lang w:val="en-GB"/>
        </w:rPr>
        <w:t xml:space="preserve">Tendeloo Van, B. and Vanstraelen, B. (2005) Earnings management under German GAAP versus IFRS, </w:t>
      </w:r>
      <w:r w:rsidRPr="005635D8">
        <w:rPr>
          <w:i/>
          <w:iCs/>
          <w:lang w:val="en-GB"/>
        </w:rPr>
        <w:t>European Accounting Review</w:t>
      </w:r>
      <w:r w:rsidRPr="005635D8">
        <w:rPr>
          <w:lang w:val="en-GB"/>
        </w:rPr>
        <w:t>, Vol. 14, No. 1, pp. 155-180.</w:t>
      </w:r>
    </w:p>
    <w:p w:rsidR="00DC6642" w:rsidRPr="005635D8" w:rsidRDefault="00DC6642" w:rsidP="00DC6642">
      <w:pPr>
        <w:pStyle w:val="NoSpacing"/>
        <w:ind w:left="284" w:hanging="284"/>
        <w:rPr>
          <w:rFonts w:cs="TimesNewRoman"/>
          <w:lang w:val="en-GB"/>
        </w:rPr>
      </w:pPr>
    </w:p>
    <w:p w:rsidR="00DC6642" w:rsidRPr="005635D8" w:rsidRDefault="00DC6642" w:rsidP="00DC6642">
      <w:pPr>
        <w:pStyle w:val="NoSpacing"/>
        <w:ind w:left="284" w:hanging="284"/>
        <w:rPr>
          <w:rFonts w:cs="TimesNewRoman"/>
          <w:lang w:val="en-GB"/>
        </w:rPr>
      </w:pPr>
      <w:r w:rsidRPr="005635D8">
        <w:rPr>
          <w:rFonts w:cs="TimesNewRoman"/>
          <w:lang w:val="en-GB"/>
        </w:rPr>
        <w:t xml:space="preserve">Teoh, S.H., Welch, I. and Wong, T.J. (1998) Earnings management and the Long-Run Market Performance of Initial Public Offerings, </w:t>
      </w:r>
      <w:r w:rsidRPr="005635D8">
        <w:rPr>
          <w:rFonts w:cs="TimesNewRoman"/>
          <w:i/>
          <w:iCs/>
          <w:lang w:val="en-GB"/>
        </w:rPr>
        <w:t>The Journal of Finance,</w:t>
      </w:r>
      <w:r w:rsidRPr="005635D8">
        <w:rPr>
          <w:rFonts w:cs="TimesNewRoman"/>
          <w:lang w:val="en-GB"/>
        </w:rPr>
        <w:t xml:space="preserve"> Vol. LIII, No. 6, pp. `1935-1974.  </w:t>
      </w:r>
    </w:p>
    <w:p w:rsidR="00DC6642" w:rsidRPr="005635D8" w:rsidRDefault="00DC6642" w:rsidP="00DC6642">
      <w:pPr>
        <w:pStyle w:val="NoSpacing"/>
        <w:ind w:left="284" w:hanging="284"/>
        <w:rPr>
          <w:rFonts w:cs="TimesNewRoman"/>
          <w:lang w:val="en-GB"/>
        </w:rPr>
      </w:pPr>
    </w:p>
    <w:p w:rsidR="00DC6642" w:rsidRPr="005635D8" w:rsidRDefault="00DC6642" w:rsidP="00A5758B">
      <w:pPr>
        <w:ind w:left="284" w:hanging="284"/>
        <w:rPr>
          <w:lang w:val="en-GB"/>
        </w:rPr>
      </w:pPr>
      <w:r w:rsidRPr="005635D8">
        <w:rPr>
          <w:lang w:val="en-GB"/>
        </w:rPr>
        <w:t xml:space="preserve">Vander Bauwhede, H., Willekens, M. and Gaeremynck, A. (2003) Audit quality, public ownership and firms’ discretionary accruals management, </w:t>
      </w:r>
      <w:r w:rsidRPr="005635D8">
        <w:rPr>
          <w:i/>
          <w:iCs/>
          <w:lang w:val="en-GB"/>
        </w:rPr>
        <w:t>International Journal of Accounting,</w:t>
      </w:r>
      <w:r w:rsidRPr="005635D8">
        <w:rPr>
          <w:lang w:val="en-GB"/>
        </w:rPr>
        <w:t xml:space="preserve"> Vol. 38, No. 1, pp. 1-22. </w:t>
      </w:r>
    </w:p>
    <w:p w:rsidR="00863CE1" w:rsidRPr="00BC052A" w:rsidRDefault="00F24543" w:rsidP="00863CE1">
      <w:pPr>
        <w:pStyle w:val="NoSpacing"/>
        <w:rPr>
          <w:rFonts w:cs="TimesNewRoman"/>
          <w:lang w:val="nl-NL"/>
        </w:rPr>
      </w:pPr>
      <w:r w:rsidRPr="00BC052A">
        <w:rPr>
          <w:rFonts w:cs="TimesNewRoman"/>
          <w:lang w:val="nl-NL"/>
        </w:rPr>
        <w:t xml:space="preserve">Verschuren and Doorewaard (2007), </w:t>
      </w:r>
      <w:r w:rsidRPr="00BC052A">
        <w:rPr>
          <w:rFonts w:cs="TimesNewRoman"/>
          <w:i/>
          <w:lang w:val="nl-NL"/>
        </w:rPr>
        <w:t>Het ontwerpen van een onderzoek</w:t>
      </w:r>
      <w:r w:rsidRPr="00BC052A">
        <w:rPr>
          <w:rFonts w:cs="TimesNewRoman"/>
          <w:lang w:val="nl-NL"/>
        </w:rPr>
        <w:t>, 4</w:t>
      </w:r>
      <w:r w:rsidRPr="00BC052A">
        <w:rPr>
          <w:rFonts w:cs="TimesNewRoman"/>
          <w:vertAlign w:val="superscript"/>
          <w:lang w:val="nl-NL"/>
        </w:rPr>
        <w:t>e</w:t>
      </w:r>
      <w:r w:rsidRPr="00BC052A">
        <w:rPr>
          <w:rFonts w:cs="TimesNewRoman"/>
          <w:lang w:val="nl-NL"/>
        </w:rPr>
        <w:t xml:space="preserve"> druk, Den Haag Lemma</w:t>
      </w:r>
    </w:p>
    <w:p w:rsidR="00863CE1" w:rsidRPr="00BC052A" w:rsidRDefault="00863CE1" w:rsidP="00863CE1">
      <w:pPr>
        <w:spacing w:line="240" w:lineRule="auto"/>
        <w:rPr>
          <w:rFonts w:cs="Times New Roman"/>
        </w:rPr>
      </w:pPr>
    </w:p>
    <w:p w:rsidR="00DC6642" w:rsidRPr="005635D8" w:rsidRDefault="00F24543" w:rsidP="00863CE1">
      <w:pPr>
        <w:spacing w:line="240" w:lineRule="auto"/>
        <w:rPr>
          <w:lang w:val="en-GB"/>
        </w:rPr>
      </w:pPr>
      <w:r w:rsidRPr="00BC052A">
        <w:rPr>
          <w:rFonts w:cs="Times New Roman"/>
        </w:rPr>
        <w:t xml:space="preserve">Vocht, A. de (2009). </w:t>
      </w:r>
      <w:r w:rsidRPr="00BC052A">
        <w:rPr>
          <w:rFonts w:cs="Times New Roman"/>
          <w:i/>
        </w:rPr>
        <w:t xml:space="preserve">Basishandboek SPSS 17. </w:t>
      </w:r>
      <w:r w:rsidR="00DC6642" w:rsidRPr="005635D8">
        <w:rPr>
          <w:rFonts w:cs="Times New Roman"/>
          <w:i/>
          <w:lang w:val="en-GB"/>
        </w:rPr>
        <w:t xml:space="preserve">SPSS Statistics, </w:t>
      </w:r>
      <w:r w:rsidR="00DC6642" w:rsidRPr="005635D8">
        <w:rPr>
          <w:rFonts w:cs="Times New Roman"/>
          <w:lang w:val="en-GB"/>
        </w:rPr>
        <w:t>Utrecht: Bijleveld Press.</w:t>
      </w:r>
    </w:p>
    <w:p w:rsidR="00DC6642" w:rsidRPr="005635D8" w:rsidRDefault="00DC6642" w:rsidP="00A5758B">
      <w:pPr>
        <w:ind w:left="284" w:hanging="284"/>
        <w:rPr>
          <w:lang w:val="en-GB"/>
        </w:rPr>
      </w:pPr>
      <w:r w:rsidRPr="005635D8">
        <w:rPr>
          <w:lang w:val="en-GB"/>
        </w:rPr>
        <w:t xml:space="preserve">Watts. R.L. and Zimmerman. J.L. (1978) Towards a Positive Theory of the Determination of Accounting Standards, </w:t>
      </w:r>
      <w:r w:rsidRPr="005635D8">
        <w:rPr>
          <w:rFonts w:cs="TimesNewRoman,Italic"/>
          <w:i/>
          <w:iCs/>
          <w:lang w:val="en-GB"/>
        </w:rPr>
        <w:t>The Accounting Review</w:t>
      </w:r>
      <w:r w:rsidRPr="005635D8">
        <w:rPr>
          <w:lang w:val="en-GB"/>
        </w:rPr>
        <w:t>, Vol. 53, No 1, pp. 112-134.</w:t>
      </w:r>
    </w:p>
    <w:p w:rsidR="00DC6642" w:rsidRPr="005635D8" w:rsidRDefault="00DC6642" w:rsidP="00DC6642">
      <w:pPr>
        <w:pStyle w:val="NoSpacing"/>
        <w:ind w:left="284" w:hanging="284"/>
        <w:rPr>
          <w:lang w:val="en-GB"/>
        </w:rPr>
      </w:pPr>
    </w:p>
    <w:p w:rsidR="00DC6642" w:rsidRPr="005635D8" w:rsidRDefault="00DC6642" w:rsidP="00DC6642">
      <w:pPr>
        <w:pStyle w:val="NoSpacing"/>
        <w:ind w:left="284" w:hanging="284"/>
        <w:rPr>
          <w:lang w:val="en-GB"/>
        </w:rPr>
      </w:pPr>
      <w:r w:rsidRPr="005635D8">
        <w:rPr>
          <w:lang w:val="en-GB"/>
        </w:rPr>
        <w:t xml:space="preserve">Watts, R.L. and Zimmerman. J.L., (1986) </w:t>
      </w:r>
      <w:r w:rsidRPr="005635D8">
        <w:rPr>
          <w:i/>
          <w:iCs/>
          <w:lang w:val="en-GB"/>
        </w:rPr>
        <w:t>Positive Accounting Theory</w:t>
      </w:r>
      <w:r w:rsidRPr="005635D8">
        <w:rPr>
          <w:lang w:val="en-GB"/>
        </w:rPr>
        <w:t>, Prentice-Hall, London</w:t>
      </w:r>
      <w:r w:rsidRPr="005635D8">
        <w:rPr>
          <w:rFonts w:cs="TimesNewRoman"/>
          <w:lang w:val="en-GB"/>
        </w:rPr>
        <w:t>.</w:t>
      </w:r>
    </w:p>
    <w:p w:rsidR="00DC6642" w:rsidRPr="005635D8" w:rsidRDefault="00DC6642" w:rsidP="00DC6642">
      <w:pPr>
        <w:pStyle w:val="NoSpacing"/>
        <w:ind w:left="284" w:hanging="284"/>
        <w:rPr>
          <w:lang w:val="en-GB"/>
        </w:rPr>
      </w:pPr>
    </w:p>
    <w:p w:rsidR="00DC6642" w:rsidRPr="005635D8" w:rsidRDefault="00DC6642" w:rsidP="00DC6642">
      <w:pPr>
        <w:pStyle w:val="NoSpacing"/>
        <w:ind w:left="284" w:hanging="284"/>
        <w:rPr>
          <w:lang w:val="en-GB"/>
        </w:rPr>
      </w:pPr>
      <w:r w:rsidRPr="005635D8">
        <w:rPr>
          <w:lang w:val="en-GB"/>
        </w:rPr>
        <w:t xml:space="preserve">Watts, R.L. and Zimmerman, J.L. (1990) Positive accounting theory: a ten-year perspective, </w:t>
      </w:r>
      <w:r w:rsidRPr="005635D8">
        <w:rPr>
          <w:i/>
          <w:iCs/>
          <w:lang w:val="en-GB"/>
        </w:rPr>
        <w:t>The Accounting Review,</w:t>
      </w:r>
      <w:r w:rsidRPr="005635D8">
        <w:rPr>
          <w:lang w:val="en-GB"/>
        </w:rPr>
        <w:t xml:space="preserve"> Vol. 65, No. 1, pp</w:t>
      </w:r>
      <w:r w:rsidR="00C33B55" w:rsidRPr="005635D8">
        <w:rPr>
          <w:lang w:val="en-GB"/>
        </w:rPr>
        <w:t>.</w:t>
      </w:r>
      <w:r w:rsidRPr="005635D8">
        <w:rPr>
          <w:lang w:val="en-GB"/>
        </w:rPr>
        <w:t xml:space="preserve"> 131 – 156.</w:t>
      </w:r>
    </w:p>
    <w:p w:rsidR="00DC6642" w:rsidRPr="005635D8" w:rsidRDefault="00DC6642" w:rsidP="00DC6642">
      <w:pPr>
        <w:pStyle w:val="NoSpacing"/>
        <w:ind w:left="284" w:hanging="284"/>
        <w:rPr>
          <w:lang w:val="en-GB"/>
        </w:rPr>
      </w:pPr>
    </w:p>
    <w:p w:rsidR="00DC6642" w:rsidRPr="005635D8" w:rsidRDefault="00DC6642" w:rsidP="00DC6642">
      <w:pPr>
        <w:pStyle w:val="NoSpacing"/>
        <w:ind w:left="284" w:hanging="284"/>
        <w:rPr>
          <w:lang w:val="en-GB"/>
        </w:rPr>
      </w:pPr>
      <w:r w:rsidRPr="005635D8">
        <w:rPr>
          <w:lang w:val="en-GB"/>
        </w:rPr>
        <w:t xml:space="preserve">Yilmaz, C., Elitas, C. and Erkan, M. (2009) From accounting scandals to global crisis, </w:t>
      </w:r>
      <w:r w:rsidRPr="005635D8">
        <w:rPr>
          <w:i/>
          <w:iCs/>
          <w:lang w:val="en-GB"/>
        </w:rPr>
        <w:t xml:space="preserve">The journal of Faculty of economics and Administrative Sciences, </w:t>
      </w:r>
      <w:r w:rsidRPr="005635D8">
        <w:rPr>
          <w:lang w:val="en-GB"/>
        </w:rPr>
        <w:t>Vol. 14, No. 2 pp. 141-156.</w:t>
      </w:r>
    </w:p>
    <w:p w:rsidR="00DC6642" w:rsidRPr="005635D8" w:rsidRDefault="00DC6642" w:rsidP="00DC6642">
      <w:pPr>
        <w:ind w:left="284" w:hanging="284"/>
        <w:rPr>
          <w:lang w:val="en-GB"/>
        </w:rPr>
      </w:pPr>
    </w:p>
    <w:p w:rsidR="00DC6642" w:rsidRPr="005635D8" w:rsidRDefault="00DC6642" w:rsidP="00DC6642">
      <w:pPr>
        <w:rPr>
          <w:lang w:val="en-GB"/>
        </w:rPr>
      </w:pPr>
      <w:r w:rsidRPr="005635D8">
        <w:rPr>
          <w:lang w:val="en-GB"/>
        </w:rPr>
        <w:t>INTERNET:</w:t>
      </w:r>
    </w:p>
    <w:p w:rsidR="00DC6642" w:rsidRPr="005635D8" w:rsidRDefault="00DC6642" w:rsidP="00DC6642">
      <w:pPr>
        <w:rPr>
          <w:lang w:val="en-GB"/>
        </w:rPr>
      </w:pPr>
      <w:r w:rsidRPr="005635D8">
        <w:rPr>
          <w:lang w:val="en-GB"/>
        </w:rPr>
        <w:t xml:space="preserve">Forbes (2013) The corporate scandal sheet, </w:t>
      </w:r>
      <w:hyperlink r:id="rId155" w:history="1">
        <w:r w:rsidRPr="005635D8">
          <w:rPr>
            <w:rStyle w:val="Hyperlink"/>
            <w:lang w:val="en-GB"/>
          </w:rPr>
          <w:t>http://www.forbes.com</w:t>
        </w:r>
      </w:hyperlink>
    </w:p>
    <w:p w:rsidR="00DC6642" w:rsidRPr="005635D8" w:rsidRDefault="00DC6642" w:rsidP="00DC6642">
      <w:pPr>
        <w:rPr>
          <w:lang w:val="en-GB"/>
        </w:rPr>
      </w:pPr>
      <w:r w:rsidRPr="005635D8">
        <w:rPr>
          <w:lang w:val="en-GB"/>
        </w:rPr>
        <w:t>PWC- Price Waterhouse Coopers (2007)</w:t>
      </w:r>
      <w:r w:rsidR="00C33B55" w:rsidRPr="005635D8">
        <w:rPr>
          <w:lang w:val="en-GB"/>
        </w:rPr>
        <w:t xml:space="preserve"> </w:t>
      </w:r>
      <w:r w:rsidRPr="005635D8">
        <w:rPr>
          <w:lang w:val="en-GB"/>
        </w:rPr>
        <w:t xml:space="preserve">Similarities and differences: a comparison of IFRS and Dutch GAAP, PDF </w:t>
      </w:r>
    </w:p>
    <w:p w:rsidR="00DC6642" w:rsidRPr="005635D8" w:rsidRDefault="00DC6642" w:rsidP="00DC6642">
      <w:pPr>
        <w:rPr>
          <w:lang w:val="en-GB"/>
        </w:rPr>
      </w:pPr>
      <w:r w:rsidRPr="005635D8">
        <w:rPr>
          <w:lang w:val="en-GB"/>
        </w:rPr>
        <w:t xml:space="preserve">BDO (2013) International Financial Reporting Standards, </w:t>
      </w:r>
      <w:hyperlink r:id="rId156" w:history="1">
        <w:r w:rsidRPr="005635D8">
          <w:rPr>
            <w:rStyle w:val="Hyperlink"/>
            <w:lang w:val="en-GB"/>
          </w:rPr>
          <w:t>http://www.bdo.nl/en/services/audit-accounting/ifrs/pages/default.aspx</w:t>
        </w:r>
      </w:hyperlink>
      <w:r w:rsidRPr="005635D8">
        <w:rPr>
          <w:lang w:val="en-GB"/>
        </w:rPr>
        <w:t xml:space="preserve"> (accessed 23-6-2013)</w:t>
      </w:r>
    </w:p>
    <w:p w:rsidR="00DC6642" w:rsidRPr="005635D8" w:rsidRDefault="00DC6642" w:rsidP="00DC6642">
      <w:pPr>
        <w:rPr>
          <w:lang w:val="en-GB"/>
        </w:rPr>
      </w:pPr>
    </w:p>
    <w:p w:rsidR="00DC6642" w:rsidRPr="005635D8" w:rsidRDefault="00DC6642" w:rsidP="00DC6642">
      <w:pPr>
        <w:rPr>
          <w:lang w:val="en-GB"/>
        </w:rPr>
      </w:pPr>
      <w:r w:rsidRPr="005635D8">
        <w:rPr>
          <w:lang w:val="en-GB"/>
        </w:rPr>
        <w:br w:type="page"/>
      </w:r>
    </w:p>
    <w:p w:rsidR="00436836" w:rsidRPr="005635D8" w:rsidRDefault="00436836">
      <w:pPr>
        <w:rPr>
          <w:b/>
          <w:lang w:val="en-GB"/>
        </w:rPr>
        <w:sectPr w:rsidR="00436836" w:rsidRPr="005635D8" w:rsidSect="00986C15">
          <w:footerReference w:type="default" r:id="rId157"/>
          <w:type w:val="continuous"/>
          <w:pgSz w:w="11906" w:h="16838" w:code="9"/>
          <w:pgMar w:top="1418" w:right="1418" w:bottom="1418" w:left="1418" w:header="709" w:footer="709" w:gutter="0"/>
          <w:paperSrc w:first="9134"/>
          <w:cols w:space="708"/>
          <w:docGrid w:linePitch="360"/>
        </w:sectPr>
      </w:pPr>
    </w:p>
    <w:p w:rsidR="00436836" w:rsidRPr="005635D8" w:rsidRDefault="00436836" w:rsidP="001E4C5D">
      <w:pPr>
        <w:pStyle w:val="Heading3"/>
        <w:rPr>
          <w:lang w:val="en-GB"/>
        </w:rPr>
      </w:pPr>
      <w:bookmarkStart w:id="95" w:name="_Toc362267319"/>
      <w:r w:rsidRPr="005635D8">
        <w:rPr>
          <w:lang w:val="en-GB"/>
        </w:rPr>
        <w:t>Appendix 1 - Literature review of prior research</w:t>
      </w:r>
      <w:bookmarkEnd w:id="95"/>
    </w:p>
    <w:tbl>
      <w:tblPr>
        <w:tblStyle w:val="TableGrid"/>
        <w:tblW w:w="0" w:type="auto"/>
        <w:tblLook w:val="04A0"/>
      </w:tblPr>
      <w:tblGrid>
        <w:gridCol w:w="1951"/>
        <w:gridCol w:w="3260"/>
        <w:gridCol w:w="2977"/>
        <w:gridCol w:w="2835"/>
        <w:gridCol w:w="3119"/>
      </w:tblGrid>
      <w:tr w:rsidR="00436836" w:rsidRPr="005635D8" w:rsidTr="007F15F1">
        <w:tc>
          <w:tcPr>
            <w:tcW w:w="1951" w:type="dxa"/>
          </w:tcPr>
          <w:p w:rsidR="00436836" w:rsidRPr="005635D8" w:rsidRDefault="001F4CF3" w:rsidP="007F15F1">
            <w:pPr>
              <w:pStyle w:val="Default"/>
              <w:rPr>
                <w:sz w:val="20"/>
                <w:szCs w:val="20"/>
                <w:lang w:val="en-GB"/>
              </w:rPr>
            </w:pPr>
            <w:r w:rsidRPr="005635D8">
              <w:rPr>
                <w:sz w:val="20"/>
                <w:szCs w:val="20"/>
                <w:lang w:val="en-GB"/>
              </w:rPr>
              <w:t xml:space="preserve">Authors </w:t>
            </w:r>
          </w:p>
        </w:tc>
        <w:tc>
          <w:tcPr>
            <w:tcW w:w="3260" w:type="dxa"/>
          </w:tcPr>
          <w:p w:rsidR="00436836" w:rsidRPr="005635D8" w:rsidRDefault="001F4CF3" w:rsidP="007F15F1">
            <w:pPr>
              <w:pStyle w:val="Default"/>
              <w:rPr>
                <w:sz w:val="20"/>
                <w:szCs w:val="20"/>
                <w:lang w:val="en-GB"/>
              </w:rPr>
            </w:pPr>
            <w:r w:rsidRPr="005635D8">
              <w:rPr>
                <w:sz w:val="20"/>
                <w:szCs w:val="20"/>
                <w:lang w:val="en-GB"/>
              </w:rPr>
              <w:t xml:space="preserve">Object of study </w:t>
            </w:r>
          </w:p>
        </w:tc>
        <w:tc>
          <w:tcPr>
            <w:tcW w:w="2977" w:type="dxa"/>
          </w:tcPr>
          <w:p w:rsidR="00436836" w:rsidRPr="005635D8" w:rsidRDefault="001F4CF3" w:rsidP="007F15F1">
            <w:pPr>
              <w:pStyle w:val="Default"/>
              <w:rPr>
                <w:sz w:val="20"/>
                <w:szCs w:val="20"/>
                <w:lang w:val="en-GB"/>
              </w:rPr>
            </w:pPr>
            <w:r w:rsidRPr="005635D8">
              <w:rPr>
                <w:sz w:val="20"/>
                <w:szCs w:val="20"/>
                <w:lang w:val="en-GB"/>
              </w:rPr>
              <w:t xml:space="preserve">Sample </w:t>
            </w:r>
          </w:p>
        </w:tc>
        <w:tc>
          <w:tcPr>
            <w:tcW w:w="2835" w:type="dxa"/>
          </w:tcPr>
          <w:p w:rsidR="00436836" w:rsidRPr="005635D8" w:rsidRDefault="001F4CF3" w:rsidP="007F15F1">
            <w:pPr>
              <w:pStyle w:val="Default"/>
              <w:rPr>
                <w:sz w:val="20"/>
                <w:szCs w:val="20"/>
                <w:lang w:val="en-GB"/>
              </w:rPr>
            </w:pPr>
            <w:r w:rsidRPr="005635D8">
              <w:rPr>
                <w:sz w:val="20"/>
                <w:szCs w:val="20"/>
                <w:lang w:val="en-GB"/>
              </w:rPr>
              <w:t xml:space="preserve">Methodology </w:t>
            </w:r>
          </w:p>
        </w:tc>
        <w:tc>
          <w:tcPr>
            <w:tcW w:w="3119" w:type="dxa"/>
          </w:tcPr>
          <w:p w:rsidR="00436836" w:rsidRPr="005635D8" w:rsidRDefault="001F4CF3" w:rsidP="007F15F1">
            <w:pPr>
              <w:pStyle w:val="Default"/>
              <w:rPr>
                <w:sz w:val="20"/>
                <w:szCs w:val="20"/>
                <w:lang w:val="en-GB"/>
              </w:rPr>
            </w:pPr>
            <w:r w:rsidRPr="005635D8">
              <w:rPr>
                <w:sz w:val="20"/>
                <w:szCs w:val="20"/>
                <w:lang w:val="en-GB"/>
              </w:rPr>
              <w:t xml:space="preserve">Outcome </w:t>
            </w:r>
          </w:p>
        </w:tc>
      </w:tr>
      <w:tr w:rsidR="00436836" w:rsidRPr="00227B46" w:rsidTr="007F15F1">
        <w:tc>
          <w:tcPr>
            <w:tcW w:w="1951" w:type="dxa"/>
          </w:tcPr>
          <w:p w:rsidR="00436836" w:rsidRPr="005635D8" w:rsidRDefault="00436836" w:rsidP="007F15F1">
            <w:pPr>
              <w:rPr>
                <w:sz w:val="20"/>
                <w:szCs w:val="20"/>
                <w:lang w:val="en-GB"/>
              </w:rPr>
            </w:pPr>
            <w:r w:rsidRPr="005635D8">
              <w:rPr>
                <w:rFonts w:ascii="Calibri" w:eastAsiaTheme="majorEastAsia" w:hAnsi="Calibri" w:cstheme="majorBidi"/>
                <w:sz w:val="20"/>
                <w:szCs w:val="20"/>
                <w:lang w:val="en-GB"/>
              </w:rPr>
              <w:t>Barth, Landsman and Lang (2006; 2008)</w:t>
            </w:r>
          </w:p>
        </w:tc>
        <w:tc>
          <w:tcPr>
            <w:tcW w:w="3260" w:type="dxa"/>
          </w:tcPr>
          <w:p w:rsidR="00436836" w:rsidRPr="005635D8" w:rsidRDefault="00436836" w:rsidP="00C33B55">
            <w:pPr>
              <w:rPr>
                <w:sz w:val="20"/>
                <w:szCs w:val="20"/>
                <w:lang w:val="en-GB"/>
              </w:rPr>
            </w:pPr>
            <w:r w:rsidRPr="005635D8">
              <w:rPr>
                <w:sz w:val="20"/>
                <w:szCs w:val="20"/>
                <w:lang w:val="en-GB"/>
              </w:rPr>
              <w:t>Study of the effect of voluntary adoption of IFRS (or its predecessor IAS) on earnings smoothing and managing towards positive earnings.</w:t>
            </w:r>
          </w:p>
        </w:tc>
        <w:tc>
          <w:tcPr>
            <w:tcW w:w="2977" w:type="dxa"/>
          </w:tcPr>
          <w:p w:rsidR="00436836" w:rsidRPr="005635D8" w:rsidRDefault="00436836" w:rsidP="007F15F1">
            <w:pPr>
              <w:rPr>
                <w:sz w:val="20"/>
                <w:szCs w:val="20"/>
                <w:lang w:val="en-GB"/>
              </w:rPr>
            </w:pPr>
            <w:r w:rsidRPr="005635D8">
              <w:rPr>
                <w:sz w:val="20"/>
                <w:szCs w:val="20"/>
                <w:lang w:val="en-GB"/>
              </w:rPr>
              <w:t>An international sample of firms from 21 countries from 1994 up to 2003. The sample comprises 1,896 ﬁrm-year observations for 327 ﬁrms.</w:t>
            </w:r>
          </w:p>
        </w:tc>
        <w:tc>
          <w:tcPr>
            <w:tcW w:w="2835" w:type="dxa"/>
          </w:tcPr>
          <w:p w:rsidR="00436836" w:rsidRPr="005635D8" w:rsidRDefault="00436836" w:rsidP="007F15F1">
            <w:pPr>
              <w:rPr>
                <w:sz w:val="20"/>
                <w:szCs w:val="20"/>
                <w:lang w:val="en-GB"/>
              </w:rPr>
            </w:pPr>
            <w:r w:rsidRPr="005635D8">
              <w:rPr>
                <w:sz w:val="20"/>
                <w:szCs w:val="20"/>
                <w:lang w:val="en-GB"/>
              </w:rPr>
              <w:t>Regression model estimating the effects of independent variables and control variables on change in net income of the firms.</w:t>
            </w:r>
          </w:p>
        </w:tc>
        <w:tc>
          <w:tcPr>
            <w:tcW w:w="3119" w:type="dxa"/>
          </w:tcPr>
          <w:p w:rsidR="00436836" w:rsidRPr="005635D8" w:rsidRDefault="00436836" w:rsidP="007F15F1">
            <w:pPr>
              <w:rPr>
                <w:sz w:val="20"/>
                <w:szCs w:val="20"/>
                <w:lang w:val="en-GB"/>
              </w:rPr>
            </w:pPr>
            <w:r w:rsidRPr="005635D8">
              <w:rPr>
                <w:rFonts w:ascii="Calibri" w:eastAsiaTheme="majorEastAsia" w:hAnsi="Calibri" w:cstheme="majorBidi"/>
                <w:sz w:val="20"/>
                <w:szCs w:val="20"/>
                <w:lang w:val="en-GB"/>
              </w:rPr>
              <w:t>Applying IFRS generally provide higher quality in accounting, i.e. less earnings management, more timely loss recognition and more value relevance of accounting amounts than a matched sample of non-U.S.-firms that do not apply IFRS</w:t>
            </w:r>
          </w:p>
        </w:tc>
      </w:tr>
      <w:tr w:rsidR="00436836" w:rsidRPr="00227B46" w:rsidTr="007F15F1">
        <w:tc>
          <w:tcPr>
            <w:tcW w:w="1951" w:type="dxa"/>
          </w:tcPr>
          <w:p w:rsidR="00436836" w:rsidRPr="005635D8" w:rsidRDefault="00436836" w:rsidP="007F15F1">
            <w:pPr>
              <w:rPr>
                <w:sz w:val="20"/>
                <w:szCs w:val="20"/>
                <w:lang w:val="en-GB"/>
              </w:rPr>
            </w:pPr>
            <w:r w:rsidRPr="005635D8">
              <w:rPr>
                <w:rFonts w:ascii="Calibri" w:eastAsiaTheme="majorEastAsia" w:hAnsi="Calibri" w:cstheme="majorBidi"/>
                <w:sz w:val="20"/>
                <w:szCs w:val="20"/>
                <w:lang w:val="en-GB"/>
              </w:rPr>
              <w:t>Gassen and Sellhorn (2006)</w:t>
            </w:r>
          </w:p>
        </w:tc>
        <w:tc>
          <w:tcPr>
            <w:tcW w:w="3260" w:type="dxa"/>
          </w:tcPr>
          <w:p w:rsidR="00436836" w:rsidRPr="005635D8" w:rsidRDefault="00436836" w:rsidP="007F15F1">
            <w:pPr>
              <w:rPr>
                <w:sz w:val="20"/>
                <w:szCs w:val="20"/>
                <w:lang w:val="en-GB"/>
              </w:rPr>
            </w:pPr>
            <w:r w:rsidRPr="005635D8">
              <w:rPr>
                <w:rFonts w:ascii="Calibri" w:eastAsiaTheme="majorEastAsia" w:hAnsi="Calibri" w:cstheme="majorBidi"/>
                <w:sz w:val="20"/>
                <w:szCs w:val="20"/>
                <w:lang w:val="en-GB"/>
              </w:rPr>
              <w:t>The first object of the study is to determine what the determinants were of voluntary IFRS adoption by publicly traded German firms during the period 1998-2004. The second object is to investigate the effects of introducing IFRS on the quality of reporting earnings.</w:t>
            </w:r>
          </w:p>
        </w:tc>
        <w:tc>
          <w:tcPr>
            <w:tcW w:w="2977" w:type="dxa"/>
          </w:tcPr>
          <w:p w:rsidR="00436836" w:rsidRPr="005635D8" w:rsidRDefault="00436836" w:rsidP="007F15F1">
            <w:pPr>
              <w:rPr>
                <w:sz w:val="20"/>
                <w:szCs w:val="20"/>
                <w:lang w:val="en-GB"/>
              </w:rPr>
            </w:pPr>
            <w:r w:rsidRPr="005635D8">
              <w:rPr>
                <w:rFonts w:ascii="Calibri" w:eastAsiaTheme="majorEastAsia" w:hAnsi="Calibri" w:cstheme="majorBidi"/>
                <w:sz w:val="20"/>
                <w:szCs w:val="20"/>
                <w:lang w:val="en-GB"/>
              </w:rPr>
              <w:t>The final sample consist of 1176 firm year observations of firms reporting under German GAAP and 630 firm year observations of firms that voluntarily adopted IFRS during the period 1998-2004.</w:t>
            </w:r>
          </w:p>
        </w:tc>
        <w:tc>
          <w:tcPr>
            <w:tcW w:w="2835" w:type="dxa"/>
          </w:tcPr>
          <w:p w:rsidR="00436836" w:rsidRPr="005635D8" w:rsidRDefault="00436836" w:rsidP="007F15F1">
            <w:pPr>
              <w:autoSpaceDE w:val="0"/>
              <w:autoSpaceDN w:val="0"/>
              <w:adjustRightInd w:val="0"/>
              <w:rPr>
                <w:rFonts w:ascii="Times New Roman" w:hAnsi="Times New Roman" w:cs="Times New Roman"/>
                <w:i/>
                <w:iCs/>
                <w:sz w:val="20"/>
                <w:szCs w:val="20"/>
                <w:lang w:val="en-GB"/>
              </w:rPr>
            </w:pPr>
            <w:r w:rsidRPr="005635D8">
              <w:rPr>
                <w:rFonts w:ascii="Times New Roman" w:hAnsi="Times New Roman" w:cs="Times New Roman"/>
                <w:sz w:val="20"/>
                <w:szCs w:val="20"/>
                <w:lang w:val="en-GB"/>
              </w:rPr>
              <w:t xml:space="preserve">Propensity-score matching procedure and the </w:t>
            </w:r>
            <w:r w:rsidRPr="005635D8">
              <w:rPr>
                <w:rFonts w:ascii="Times New Roman" w:hAnsi="Times New Roman" w:cs="Times New Roman"/>
                <w:i/>
                <w:iCs/>
                <w:sz w:val="20"/>
                <w:szCs w:val="20"/>
                <w:lang w:val="en-GB"/>
              </w:rPr>
              <w:t xml:space="preserve">Dechow/Dichev </w:t>
            </w:r>
            <w:r w:rsidRPr="005635D8">
              <w:rPr>
                <w:rFonts w:ascii="Times New Roman" w:hAnsi="Times New Roman" w:cs="Times New Roman"/>
                <w:sz w:val="20"/>
                <w:szCs w:val="20"/>
                <w:lang w:val="en-GB"/>
              </w:rPr>
              <w:t xml:space="preserve">(2002) measure of accrual quality. </w:t>
            </w:r>
          </w:p>
        </w:tc>
        <w:tc>
          <w:tcPr>
            <w:tcW w:w="3119" w:type="dxa"/>
          </w:tcPr>
          <w:p w:rsidR="00436836" w:rsidRPr="005635D8" w:rsidRDefault="00436836" w:rsidP="007F15F1">
            <w:pPr>
              <w:rPr>
                <w:sz w:val="20"/>
                <w:szCs w:val="20"/>
                <w:lang w:val="en-GB"/>
              </w:rPr>
            </w:pPr>
            <w:r w:rsidRPr="005635D8">
              <w:rPr>
                <w:rFonts w:ascii="Calibri" w:eastAsiaTheme="majorEastAsia" w:hAnsi="Calibri" w:cstheme="majorBidi"/>
                <w:sz w:val="20"/>
                <w:szCs w:val="20"/>
                <w:lang w:val="en-GB"/>
              </w:rPr>
              <w:t>IFRS firms have more persistent, less predictable and more conditionally conservative earnings than firms reporting under German GAAP.</w:t>
            </w:r>
            <w:r w:rsidRPr="005635D8">
              <w:rPr>
                <w:rFonts w:ascii="Calibri" w:eastAsiaTheme="majorEastAsia" w:hAnsi="Calibri" w:cstheme="majorBidi"/>
                <w:sz w:val="24"/>
                <w:szCs w:val="24"/>
                <w:lang w:val="en-GB"/>
              </w:rPr>
              <w:t xml:space="preserve"> </w:t>
            </w:r>
          </w:p>
        </w:tc>
      </w:tr>
      <w:tr w:rsidR="00436836" w:rsidRPr="00227B46" w:rsidTr="007F15F1">
        <w:tc>
          <w:tcPr>
            <w:tcW w:w="1951" w:type="dxa"/>
          </w:tcPr>
          <w:p w:rsidR="00436836" w:rsidRPr="005635D8" w:rsidRDefault="00436836" w:rsidP="007F15F1">
            <w:pPr>
              <w:rPr>
                <w:sz w:val="20"/>
                <w:szCs w:val="20"/>
                <w:lang w:val="en-GB"/>
              </w:rPr>
            </w:pPr>
            <w:r w:rsidRPr="005635D8">
              <w:rPr>
                <w:rFonts w:ascii="Calibri" w:eastAsiaTheme="majorEastAsia" w:hAnsi="Calibri" w:cstheme="majorBidi"/>
                <w:sz w:val="20"/>
                <w:szCs w:val="20"/>
                <w:lang w:val="en-GB"/>
              </w:rPr>
              <w:t>Cai, Courtenay and Rahman (2008)</w:t>
            </w:r>
          </w:p>
        </w:tc>
        <w:tc>
          <w:tcPr>
            <w:tcW w:w="3260" w:type="dxa"/>
          </w:tcPr>
          <w:p w:rsidR="00436836" w:rsidRPr="005635D8" w:rsidRDefault="00436836" w:rsidP="007F15F1">
            <w:pPr>
              <w:rPr>
                <w:sz w:val="20"/>
                <w:szCs w:val="20"/>
                <w:lang w:val="en-GB"/>
              </w:rPr>
            </w:pPr>
            <w:r w:rsidRPr="005635D8">
              <w:rPr>
                <w:rFonts w:ascii="Calibri" w:eastAsiaTheme="majorEastAsia" w:hAnsi="Calibri" w:cstheme="majorBidi"/>
                <w:sz w:val="20"/>
                <w:szCs w:val="20"/>
                <w:lang w:val="en-GB"/>
              </w:rPr>
              <w:t xml:space="preserve">The object of this study is to study the effects of IFRS adoption and its enforcement on earnings management in financial reporting across 32 countries. Voluntary as well as mandatory adoption is the object of study. </w:t>
            </w:r>
          </w:p>
        </w:tc>
        <w:tc>
          <w:tcPr>
            <w:tcW w:w="2977" w:type="dxa"/>
          </w:tcPr>
          <w:p w:rsidR="00436836" w:rsidRPr="005635D8" w:rsidRDefault="00436836" w:rsidP="007F15F1">
            <w:pPr>
              <w:rPr>
                <w:sz w:val="20"/>
                <w:szCs w:val="20"/>
                <w:lang w:val="en-GB"/>
              </w:rPr>
            </w:pPr>
            <w:r w:rsidRPr="005635D8">
              <w:rPr>
                <w:rFonts w:ascii="Calibri" w:eastAsiaTheme="majorEastAsia" w:hAnsi="Calibri" w:cstheme="majorBidi"/>
                <w:sz w:val="20"/>
                <w:szCs w:val="20"/>
                <w:lang w:val="en-GB"/>
              </w:rPr>
              <w:t>100,000 firm-year observations from 2000 to 2006 across 32 countries</w:t>
            </w:r>
          </w:p>
        </w:tc>
        <w:tc>
          <w:tcPr>
            <w:tcW w:w="2835" w:type="dxa"/>
          </w:tcPr>
          <w:p w:rsidR="00436836" w:rsidRPr="005635D8" w:rsidRDefault="00436836" w:rsidP="007F15F1">
            <w:pPr>
              <w:rPr>
                <w:sz w:val="20"/>
                <w:szCs w:val="20"/>
                <w:lang w:val="en-GB"/>
              </w:rPr>
            </w:pPr>
            <w:r w:rsidRPr="005635D8">
              <w:rPr>
                <w:color w:val="000000"/>
                <w:sz w:val="20"/>
                <w:szCs w:val="20"/>
                <w:lang w:val="en-GB"/>
              </w:rPr>
              <w:t xml:space="preserve">Dechow et al. (1995) method of estimating accounting accruals. Modified measure of enforcement developed by Hope (2003) to capture the country specific levels of enforcement. OLS regression model to detect the effects of the independent variables on the estimated accounting accruals.  </w:t>
            </w:r>
          </w:p>
        </w:tc>
        <w:tc>
          <w:tcPr>
            <w:tcW w:w="3119" w:type="dxa"/>
          </w:tcPr>
          <w:p w:rsidR="00436836" w:rsidRPr="005635D8" w:rsidRDefault="00436836" w:rsidP="007F15F1">
            <w:pPr>
              <w:rPr>
                <w:sz w:val="20"/>
                <w:szCs w:val="20"/>
                <w:lang w:val="en-GB"/>
              </w:rPr>
            </w:pPr>
            <w:r w:rsidRPr="005635D8">
              <w:rPr>
                <w:color w:val="000000"/>
                <w:sz w:val="20"/>
                <w:szCs w:val="20"/>
                <w:lang w:val="en-GB"/>
              </w:rPr>
              <w:t xml:space="preserve">The level of earnings management in IFRS adoption countries has been decreasing in recent years. The results </w:t>
            </w:r>
            <w:r w:rsidR="00323D4C" w:rsidRPr="005635D8">
              <w:rPr>
                <w:color w:val="000000"/>
                <w:sz w:val="20"/>
                <w:szCs w:val="20"/>
                <w:lang w:val="en-GB"/>
              </w:rPr>
              <w:t>in addition</w:t>
            </w:r>
            <w:r w:rsidRPr="005635D8">
              <w:rPr>
                <w:color w:val="000000"/>
                <w:sz w:val="20"/>
                <w:szCs w:val="20"/>
                <w:lang w:val="en-GB"/>
              </w:rPr>
              <w:t xml:space="preserve"> show that countries with stronger enforcement generally have less earnings management.</w:t>
            </w:r>
          </w:p>
        </w:tc>
      </w:tr>
    </w:tbl>
    <w:p w:rsidR="00E11A9D" w:rsidRPr="005635D8" w:rsidRDefault="00E11A9D">
      <w:pPr>
        <w:rPr>
          <w:lang w:val="en-GB"/>
        </w:rPr>
      </w:pPr>
      <w:r w:rsidRPr="005635D8">
        <w:rPr>
          <w:lang w:val="en-GB"/>
        </w:rPr>
        <w:br w:type="page"/>
      </w:r>
    </w:p>
    <w:tbl>
      <w:tblPr>
        <w:tblStyle w:val="TableGrid"/>
        <w:tblW w:w="0" w:type="auto"/>
        <w:tblLook w:val="04A0"/>
      </w:tblPr>
      <w:tblGrid>
        <w:gridCol w:w="1951"/>
        <w:gridCol w:w="3260"/>
        <w:gridCol w:w="2977"/>
        <w:gridCol w:w="2835"/>
        <w:gridCol w:w="3119"/>
      </w:tblGrid>
      <w:tr w:rsidR="00E11A9D" w:rsidRPr="005635D8" w:rsidTr="007F15F1">
        <w:tc>
          <w:tcPr>
            <w:tcW w:w="1951" w:type="dxa"/>
          </w:tcPr>
          <w:p w:rsidR="00E11A9D" w:rsidRPr="005635D8" w:rsidRDefault="00E11A9D" w:rsidP="007F15F1">
            <w:pPr>
              <w:autoSpaceDE w:val="0"/>
              <w:autoSpaceDN w:val="0"/>
              <w:adjustRightInd w:val="0"/>
              <w:rPr>
                <w:rFonts w:ascii="Calibri" w:hAnsi="Calibri"/>
                <w:sz w:val="20"/>
                <w:szCs w:val="20"/>
                <w:lang w:val="en-GB"/>
              </w:rPr>
            </w:pPr>
            <w:r w:rsidRPr="005635D8">
              <w:rPr>
                <w:sz w:val="20"/>
                <w:szCs w:val="20"/>
                <w:lang w:val="en-GB"/>
              </w:rPr>
              <w:t xml:space="preserve">Authors </w:t>
            </w:r>
          </w:p>
        </w:tc>
        <w:tc>
          <w:tcPr>
            <w:tcW w:w="3260" w:type="dxa"/>
          </w:tcPr>
          <w:p w:rsidR="00E11A9D" w:rsidRPr="005635D8" w:rsidRDefault="00E11A9D" w:rsidP="007F15F1">
            <w:pPr>
              <w:rPr>
                <w:rFonts w:ascii="Calibri" w:hAnsi="Calibri"/>
                <w:sz w:val="20"/>
                <w:szCs w:val="20"/>
                <w:lang w:val="en-GB"/>
              </w:rPr>
            </w:pPr>
            <w:r w:rsidRPr="005635D8">
              <w:rPr>
                <w:sz w:val="20"/>
                <w:szCs w:val="20"/>
                <w:lang w:val="en-GB"/>
              </w:rPr>
              <w:t xml:space="preserve">Object of study </w:t>
            </w:r>
          </w:p>
        </w:tc>
        <w:tc>
          <w:tcPr>
            <w:tcW w:w="2977" w:type="dxa"/>
          </w:tcPr>
          <w:p w:rsidR="00E11A9D" w:rsidRPr="005635D8" w:rsidRDefault="00E11A9D" w:rsidP="007F15F1">
            <w:pPr>
              <w:rPr>
                <w:rFonts w:ascii="Calibri" w:hAnsi="Calibri"/>
                <w:sz w:val="20"/>
                <w:szCs w:val="20"/>
                <w:lang w:val="en-GB"/>
              </w:rPr>
            </w:pPr>
            <w:r w:rsidRPr="005635D8">
              <w:rPr>
                <w:sz w:val="20"/>
                <w:szCs w:val="20"/>
                <w:lang w:val="en-GB"/>
              </w:rPr>
              <w:t xml:space="preserve">Sample </w:t>
            </w:r>
          </w:p>
        </w:tc>
        <w:tc>
          <w:tcPr>
            <w:tcW w:w="2835" w:type="dxa"/>
          </w:tcPr>
          <w:p w:rsidR="00E11A9D" w:rsidRPr="005635D8" w:rsidRDefault="00E11A9D" w:rsidP="007F15F1">
            <w:pPr>
              <w:rPr>
                <w:sz w:val="20"/>
                <w:szCs w:val="20"/>
                <w:lang w:val="en-GB"/>
              </w:rPr>
            </w:pPr>
            <w:r w:rsidRPr="005635D8">
              <w:rPr>
                <w:sz w:val="20"/>
                <w:szCs w:val="20"/>
                <w:lang w:val="en-GB"/>
              </w:rPr>
              <w:t xml:space="preserve">Methodology </w:t>
            </w:r>
          </w:p>
        </w:tc>
        <w:tc>
          <w:tcPr>
            <w:tcW w:w="3119" w:type="dxa"/>
          </w:tcPr>
          <w:p w:rsidR="00E11A9D" w:rsidRPr="005635D8" w:rsidRDefault="00E11A9D" w:rsidP="007F15F1">
            <w:pPr>
              <w:rPr>
                <w:rFonts w:ascii="Calibri" w:hAnsi="Calibri"/>
                <w:sz w:val="20"/>
                <w:szCs w:val="20"/>
                <w:lang w:val="en-GB"/>
              </w:rPr>
            </w:pPr>
            <w:r w:rsidRPr="005635D8">
              <w:rPr>
                <w:sz w:val="20"/>
                <w:szCs w:val="20"/>
                <w:lang w:val="en-GB"/>
              </w:rPr>
              <w:t xml:space="preserve">Outcome </w:t>
            </w:r>
          </w:p>
        </w:tc>
      </w:tr>
      <w:tr w:rsidR="00E11A9D" w:rsidRPr="00227B46" w:rsidTr="007F15F1">
        <w:tc>
          <w:tcPr>
            <w:tcW w:w="1951" w:type="dxa"/>
          </w:tcPr>
          <w:p w:rsidR="00E11A9D" w:rsidRPr="005635D8" w:rsidRDefault="00E11A9D" w:rsidP="007F15F1">
            <w:pPr>
              <w:autoSpaceDE w:val="0"/>
              <w:autoSpaceDN w:val="0"/>
              <w:adjustRightInd w:val="0"/>
              <w:rPr>
                <w:rFonts w:ascii="Calibri" w:hAnsi="Calibri"/>
                <w:sz w:val="20"/>
                <w:szCs w:val="20"/>
                <w:lang w:val="en-GB"/>
              </w:rPr>
            </w:pPr>
            <w:r w:rsidRPr="005635D8">
              <w:rPr>
                <w:rFonts w:ascii="Calibri" w:hAnsi="Calibri"/>
                <w:sz w:val="20"/>
                <w:szCs w:val="20"/>
                <w:lang w:val="en-GB"/>
              </w:rPr>
              <w:t xml:space="preserve">Christensen, Lee and Walker (2009)  </w:t>
            </w:r>
          </w:p>
          <w:p w:rsidR="00E11A9D" w:rsidRPr="005635D8" w:rsidRDefault="00E11A9D" w:rsidP="007F15F1">
            <w:pPr>
              <w:rPr>
                <w:lang w:val="en-GB"/>
              </w:rPr>
            </w:pPr>
          </w:p>
        </w:tc>
        <w:tc>
          <w:tcPr>
            <w:tcW w:w="3260" w:type="dxa"/>
          </w:tcPr>
          <w:p w:rsidR="00E11A9D" w:rsidRPr="005635D8" w:rsidRDefault="00E11A9D" w:rsidP="007F15F1">
            <w:pPr>
              <w:rPr>
                <w:sz w:val="20"/>
                <w:szCs w:val="20"/>
                <w:lang w:val="en-GB"/>
              </w:rPr>
            </w:pPr>
            <w:r w:rsidRPr="005635D8">
              <w:rPr>
                <w:rFonts w:ascii="Calibri" w:hAnsi="Calibri"/>
                <w:sz w:val="20"/>
                <w:szCs w:val="20"/>
                <w:lang w:val="en-GB"/>
              </w:rPr>
              <w:t>The object of study in this research is whether the technical changes involved in the transition to IFRS from U.K. GAAP may affect the distribution of wealth between managers and shareholders in the U.K. The primary topic studied is the effect of adopting IFRS on covenant violation.</w:t>
            </w:r>
          </w:p>
        </w:tc>
        <w:tc>
          <w:tcPr>
            <w:tcW w:w="2977" w:type="dxa"/>
          </w:tcPr>
          <w:p w:rsidR="00E11A9D" w:rsidRPr="005635D8" w:rsidRDefault="00E11A9D" w:rsidP="007F15F1">
            <w:pPr>
              <w:rPr>
                <w:sz w:val="20"/>
                <w:szCs w:val="20"/>
                <w:lang w:val="en-GB"/>
              </w:rPr>
            </w:pPr>
            <w:r w:rsidRPr="005635D8">
              <w:rPr>
                <w:rFonts w:ascii="Calibri" w:hAnsi="Calibri"/>
                <w:sz w:val="20"/>
                <w:szCs w:val="20"/>
                <w:lang w:val="en-GB"/>
              </w:rPr>
              <w:t>A sample of 137 British firms observed between January and October 2005 is used.</w:t>
            </w:r>
          </w:p>
        </w:tc>
        <w:tc>
          <w:tcPr>
            <w:tcW w:w="2835" w:type="dxa"/>
          </w:tcPr>
          <w:p w:rsidR="00E11A9D" w:rsidRPr="005635D8" w:rsidRDefault="00E11A9D" w:rsidP="007F15F1">
            <w:pPr>
              <w:rPr>
                <w:sz w:val="20"/>
                <w:szCs w:val="20"/>
                <w:lang w:val="en-GB"/>
              </w:rPr>
            </w:pPr>
            <w:r w:rsidRPr="005635D8">
              <w:rPr>
                <w:sz w:val="20"/>
                <w:szCs w:val="20"/>
                <w:lang w:val="en-GB"/>
              </w:rPr>
              <w:t xml:space="preserve">OLS Regression models and correlation analysis. </w:t>
            </w:r>
          </w:p>
        </w:tc>
        <w:tc>
          <w:tcPr>
            <w:tcW w:w="3119" w:type="dxa"/>
          </w:tcPr>
          <w:p w:rsidR="00E11A9D" w:rsidRPr="005635D8" w:rsidRDefault="00E11A9D" w:rsidP="007F15F1">
            <w:pPr>
              <w:rPr>
                <w:sz w:val="20"/>
                <w:szCs w:val="20"/>
                <w:lang w:val="en-GB"/>
              </w:rPr>
            </w:pPr>
            <w:r w:rsidRPr="005635D8">
              <w:rPr>
                <w:rFonts w:ascii="Calibri" w:hAnsi="Calibri"/>
                <w:sz w:val="20"/>
                <w:szCs w:val="20"/>
                <w:lang w:val="en-GB"/>
              </w:rPr>
              <w:t>The transitions from U.K. GAAP to IFRS alter the likelihood of technical covenant violation. Firms expect higher costs of contract violations. Consequently through contract violations the introduction of IFRS will in addition have an indirect negative effect upon the use of earnings management</w:t>
            </w:r>
          </w:p>
        </w:tc>
      </w:tr>
      <w:tr w:rsidR="00E11A9D" w:rsidRPr="00227B46" w:rsidTr="007F15F1">
        <w:tc>
          <w:tcPr>
            <w:tcW w:w="1951" w:type="dxa"/>
          </w:tcPr>
          <w:p w:rsidR="00E11A9D" w:rsidRPr="005635D8" w:rsidRDefault="00E11A9D" w:rsidP="007F15F1">
            <w:pPr>
              <w:autoSpaceDE w:val="0"/>
              <w:autoSpaceDN w:val="0"/>
              <w:adjustRightInd w:val="0"/>
              <w:rPr>
                <w:rFonts w:ascii="Calibri" w:hAnsi="Calibri"/>
                <w:sz w:val="20"/>
                <w:szCs w:val="20"/>
                <w:lang w:val="en-GB"/>
              </w:rPr>
            </w:pPr>
            <w:r w:rsidRPr="005635D8">
              <w:rPr>
                <w:rFonts w:ascii="Calibri" w:hAnsi="Calibri"/>
                <w:sz w:val="20"/>
                <w:szCs w:val="20"/>
                <w:lang w:val="en-GB"/>
              </w:rPr>
              <w:t xml:space="preserve">Tendeloo and Vanstraelen (2005) </w:t>
            </w:r>
          </w:p>
        </w:tc>
        <w:tc>
          <w:tcPr>
            <w:tcW w:w="3260" w:type="dxa"/>
          </w:tcPr>
          <w:p w:rsidR="00E11A9D" w:rsidRPr="005635D8" w:rsidRDefault="00E11A9D" w:rsidP="007F15F1">
            <w:pPr>
              <w:autoSpaceDE w:val="0"/>
              <w:autoSpaceDN w:val="0"/>
              <w:adjustRightInd w:val="0"/>
              <w:rPr>
                <w:rFonts w:ascii="Calibri" w:hAnsi="Calibri"/>
                <w:sz w:val="20"/>
                <w:szCs w:val="20"/>
                <w:lang w:val="en-GB"/>
              </w:rPr>
            </w:pPr>
            <w:r w:rsidRPr="005635D8">
              <w:rPr>
                <w:rFonts w:ascii="Calibri" w:hAnsi="Calibri"/>
                <w:sz w:val="20"/>
                <w:szCs w:val="20"/>
                <w:lang w:val="en-GB"/>
              </w:rPr>
              <w:t>The object of this study is to investigate whether voluntary adoption of IFRS is associated with lower earnings</w:t>
            </w:r>
          </w:p>
          <w:p w:rsidR="00E11A9D" w:rsidRPr="005635D8" w:rsidRDefault="00E11A9D" w:rsidP="007F15F1">
            <w:pPr>
              <w:rPr>
                <w:rFonts w:ascii="Calibri" w:hAnsi="Calibri"/>
                <w:sz w:val="20"/>
                <w:szCs w:val="20"/>
                <w:lang w:val="en-GB"/>
              </w:rPr>
            </w:pPr>
            <w:r w:rsidRPr="005635D8">
              <w:rPr>
                <w:rFonts w:ascii="Calibri" w:hAnsi="Calibri"/>
                <w:sz w:val="20"/>
                <w:szCs w:val="20"/>
                <w:lang w:val="en-GB"/>
              </w:rPr>
              <w:t>Management among German firms.</w:t>
            </w:r>
          </w:p>
        </w:tc>
        <w:tc>
          <w:tcPr>
            <w:tcW w:w="2977" w:type="dxa"/>
          </w:tcPr>
          <w:p w:rsidR="00E11A9D" w:rsidRPr="005635D8" w:rsidRDefault="00E11A9D" w:rsidP="007F15F1">
            <w:pPr>
              <w:rPr>
                <w:rFonts w:ascii="Calibri" w:hAnsi="Calibri"/>
                <w:sz w:val="20"/>
                <w:szCs w:val="20"/>
                <w:lang w:val="en-GB"/>
              </w:rPr>
            </w:pPr>
            <w:r w:rsidRPr="005635D8">
              <w:rPr>
                <w:rFonts w:ascii="Calibri" w:hAnsi="Calibri"/>
                <w:sz w:val="20"/>
                <w:szCs w:val="20"/>
                <w:lang w:val="en-GB"/>
              </w:rPr>
              <w:t>636 firm-year observations of German firms relating to the period 1999-2001</w:t>
            </w:r>
          </w:p>
        </w:tc>
        <w:tc>
          <w:tcPr>
            <w:tcW w:w="2835" w:type="dxa"/>
          </w:tcPr>
          <w:p w:rsidR="00E11A9D" w:rsidRPr="005635D8" w:rsidRDefault="00E11A9D" w:rsidP="007F15F1">
            <w:pPr>
              <w:rPr>
                <w:sz w:val="20"/>
                <w:szCs w:val="20"/>
                <w:lang w:val="en-GB"/>
              </w:rPr>
            </w:pPr>
            <w:r w:rsidRPr="005635D8">
              <w:rPr>
                <w:sz w:val="20"/>
                <w:szCs w:val="20"/>
                <w:lang w:val="en-GB"/>
              </w:rPr>
              <w:t xml:space="preserve">Cross-sectional Jones Model </w:t>
            </w:r>
            <w:r w:rsidRPr="005635D8">
              <w:rPr>
                <w:rFonts w:ascii="Calibri" w:hAnsi="Calibri"/>
                <w:sz w:val="20"/>
                <w:szCs w:val="20"/>
                <w:lang w:val="en-GB"/>
              </w:rPr>
              <w:t>to estimate discretionary accruals</w:t>
            </w:r>
          </w:p>
        </w:tc>
        <w:tc>
          <w:tcPr>
            <w:tcW w:w="3119" w:type="dxa"/>
          </w:tcPr>
          <w:p w:rsidR="00E11A9D" w:rsidRPr="005635D8" w:rsidRDefault="00E11A9D" w:rsidP="007F15F1">
            <w:pPr>
              <w:rPr>
                <w:rFonts w:ascii="Calibri" w:hAnsi="Calibri"/>
                <w:sz w:val="20"/>
                <w:szCs w:val="20"/>
                <w:lang w:val="en-GB"/>
              </w:rPr>
            </w:pPr>
            <w:r w:rsidRPr="005635D8">
              <w:rPr>
                <w:rFonts w:ascii="Calibri" w:hAnsi="Calibri"/>
                <w:sz w:val="20"/>
                <w:szCs w:val="20"/>
                <w:lang w:val="en-GB"/>
              </w:rPr>
              <w:t>IFRS-adopters do not present different earnings management behavior compared to companies reporting under German GAAP. Voluntary adopters of IFRS in Germany cannot be associated with lower levels of earnings management.</w:t>
            </w:r>
          </w:p>
        </w:tc>
      </w:tr>
      <w:tr w:rsidR="00E11A9D" w:rsidRPr="00227B46" w:rsidTr="007F15F1">
        <w:tc>
          <w:tcPr>
            <w:tcW w:w="1951" w:type="dxa"/>
          </w:tcPr>
          <w:p w:rsidR="00E11A9D" w:rsidRPr="005635D8" w:rsidRDefault="00E11A9D" w:rsidP="007F15F1">
            <w:pPr>
              <w:autoSpaceDE w:val="0"/>
              <w:autoSpaceDN w:val="0"/>
              <w:adjustRightInd w:val="0"/>
              <w:rPr>
                <w:rFonts w:ascii="Calibri" w:hAnsi="Calibri"/>
                <w:sz w:val="20"/>
                <w:szCs w:val="20"/>
                <w:lang w:val="en-GB"/>
              </w:rPr>
            </w:pPr>
            <w:r w:rsidRPr="005635D8">
              <w:rPr>
                <w:rFonts w:ascii="Calibri" w:hAnsi="Calibri"/>
                <w:sz w:val="20"/>
                <w:szCs w:val="20"/>
                <w:lang w:val="en-GB"/>
              </w:rPr>
              <w:t>Christensen, Lee and Walker (2008)</w:t>
            </w:r>
          </w:p>
        </w:tc>
        <w:tc>
          <w:tcPr>
            <w:tcW w:w="3260" w:type="dxa"/>
          </w:tcPr>
          <w:p w:rsidR="00E11A9D" w:rsidRPr="005635D8" w:rsidRDefault="00E11A9D" w:rsidP="007F15F1">
            <w:pPr>
              <w:rPr>
                <w:rFonts w:ascii="Calibri" w:hAnsi="Calibri"/>
                <w:sz w:val="20"/>
                <w:szCs w:val="20"/>
                <w:lang w:val="en-GB"/>
              </w:rPr>
            </w:pPr>
            <w:r w:rsidRPr="005635D8">
              <w:rPr>
                <w:rFonts w:ascii="Calibri" w:hAnsi="Calibri"/>
                <w:sz w:val="20"/>
                <w:szCs w:val="20"/>
                <w:lang w:val="en-GB"/>
              </w:rPr>
              <w:t>To test the effect of the introduction of IFRS on the use of earnings management among German firms who voluntarily or mandatorily adopted IFRS</w:t>
            </w:r>
          </w:p>
        </w:tc>
        <w:tc>
          <w:tcPr>
            <w:tcW w:w="2977" w:type="dxa"/>
          </w:tcPr>
          <w:p w:rsidR="00E11A9D" w:rsidRPr="005635D8" w:rsidRDefault="00E11A9D" w:rsidP="007F15F1">
            <w:pPr>
              <w:autoSpaceDE w:val="0"/>
              <w:autoSpaceDN w:val="0"/>
              <w:adjustRightInd w:val="0"/>
              <w:jc w:val="both"/>
              <w:rPr>
                <w:rFonts w:ascii="Calibri" w:hAnsi="Calibri"/>
                <w:sz w:val="20"/>
                <w:szCs w:val="20"/>
                <w:lang w:val="en-GB"/>
              </w:rPr>
            </w:pPr>
            <w:r w:rsidRPr="005635D8">
              <w:rPr>
                <w:rFonts w:ascii="Calibri" w:hAnsi="Calibri"/>
                <w:sz w:val="20"/>
                <w:szCs w:val="20"/>
                <w:lang w:val="en-GB"/>
              </w:rPr>
              <w:t xml:space="preserve">The final sample consists of 177 firms that did not adopt IFRS until 2005, and 133 firms that adopted IFRS voluntary before 2005. </w:t>
            </w:r>
          </w:p>
          <w:p w:rsidR="00E11A9D" w:rsidRPr="005635D8" w:rsidRDefault="00E11A9D" w:rsidP="007F15F1">
            <w:pPr>
              <w:rPr>
                <w:rFonts w:ascii="Calibri" w:hAnsi="Calibri"/>
                <w:sz w:val="20"/>
                <w:szCs w:val="20"/>
                <w:lang w:val="en-GB"/>
              </w:rPr>
            </w:pPr>
          </w:p>
        </w:tc>
        <w:tc>
          <w:tcPr>
            <w:tcW w:w="2835" w:type="dxa"/>
          </w:tcPr>
          <w:p w:rsidR="00E11A9D" w:rsidRPr="005635D8" w:rsidRDefault="00E11A9D" w:rsidP="007F15F1">
            <w:pPr>
              <w:rPr>
                <w:sz w:val="20"/>
                <w:szCs w:val="20"/>
                <w:lang w:val="en-GB"/>
              </w:rPr>
            </w:pPr>
            <w:r w:rsidRPr="005635D8">
              <w:rPr>
                <w:sz w:val="20"/>
                <w:szCs w:val="20"/>
                <w:lang w:val="en-GB"/>
              </w:rPr>
              <w:t>Regression model (developed by Barth et al. 2008) estimating the effects of independent variables and control variables on change in net income of the firms.</w:t>
            </w:r>
          </w:p>
        </w:tc>
        <w:tc>
          <w:tcPr>
            <w:tcW w:w="3119" w:type="dxa"/>
          </w:tcPr>
          <w:p w:rsidR="00E11A9D" w:rsidRPr="005635D8" w:rsidRDefault="00E11A9D" w:rsidP="007F15F1">
            <w:pPr>
              <w:rPr>
                <w:rFonts w:ascii="Calibri" w:hAnsi="Calibri"/>
                <w:sz w:val="20"/>
                <w:szCs w:val="20"/>
                <w:lang w:val="en-GB"/>
              </w:rPr>
            </w:pPr>
            <w:r w:rsidRPr="005635D8">
              <w:rPr>
                <w:rFonts w:ascii="Calibri" w:hAnsi="Calibri"/>
                <w:sz w:val="20"/>
                <w:szCs w:val="20"/>
                <w:lang w:val="en-GB"/>
              </w:rPr>
              <w:t>Voluntary adoption of IFRS is associated with decreased earnings management and more timely loss recognition. In stark contrast the study finds no evidence of such accounting quality improvements for firms that are mandatorily forced to adopt IFRS.</w:t>
            </w:r>
          </w:p>
        </w:tc>
      </w:tr>
      <w:tr w:rsidR="00E11A9D" w:rsidRPr="00227B46" w:rsidTr="007F15F1">
        <w:tc>
          <w:tcPr>
            <w:tcW w:w="1951" w:type="dxa"/>
          </w:tcPr>
          <w:p w:rsidR="00E11A9D" w:rsidRPr="005635D8" w:rsidRDefault="00E11A9D" w:rsidP="007F15F1">
            <w:pPr>
              <w:autoSpaceDE w:val="0"/>
              <w:autoSpaceDN w:val="0"/>
              <w:adjustRightInd w:val="0"/>
              <w:rPr>
                <w:rFonts w:ascii="Calibri" w:hAnsi="Calibri"/>
                <w:sz w:val="20"/>
                <w:szCs w:val="20"/>
                <w:lang w:val="en-GB"/>
              </w:rPr>
            </w:pPr>
            <w:r w:rsidRPr="005635D8">
              <w:rPr>
                <w:rFonts w:ascii="Calibri" w:hAnsi="Calibri"/>
                <w:sz w:val="20"/>
                <w:szCs w:val="20"/>
                <w:lang w:val="en-GB"/>
              </w:rPr>
              <w:t>Paananen and Lin (2008)</w:t>
            </w:r>
          </w:p>
        </w:tc>
        <w:tc>
          <w:tcPr>
            <w:tcW w:w="3260" w:type="dxa"/>
          </w:tcPr>
          <w:p w:rsidR="00E11A9D" w:rsidRPr="005635D8" w:rsidRDefault="00E11A9D" w:rsidP="007F15F1">
            <w:pPr>
              <w:autoSpaceDE w:val="0"/>
              <w:autoSpaceDN w:val="0"/>
              <w:adjustRightInd w:val="0"/>
              <w:rPr>
                <w:rFonts w:ascii="Calibri" w:hAnsi="Calibri"/>
                <w:sz w:val="20"/>
                <w:szCs w:val="20"/>
                <w:lang w:val="en-GB"/>
              </w:rPr>
            </w:pPr>
            <w:r w:rsidRPr="005635D8">
              <w:rPr>
                <w:rFonts w:ascii="Calibri" w:hAnsi="Calibri"/>
                <w:sz w:val="20"/>
                <w:szCs w:val="20"/>
                <w:lang w:val="en-GB"/>
              </w:rPr>
              <w:t>The main objective of this study is to examine and compare the quality of accounting numbers under IAS during 2000-2002</w:t>
            </w:r>
          </w:p>
          <w:p w:rsidR="00E11A9D" w:rsidRPr="005635D8" w:rsidRDefault="00E11A9D" w:rsidP="007F15F1">
            <w:pPr>
              <w:rPr>
                <w:rFonts w:ascii="Calibri" w:hAnsi="Calibri"/>
                <w:sz w:val="20"/>
                <w:szCs w:val="20"/>
                <w:lang w:val="en-GB"/>
              </w:rPr>
            </w:pPr>
            <w:r w:rsidRPr="005635D8">
              <w:rPr>
                <w:rFonts w:ascii="Calibri" w:hAnsi="Calibri"/>
                <w:sz w:val="20"/>
                <w:szCs w:val="20"/>
                <w:lang w:val="en-GB"/>
              </w:rPr>
              <w:t>with those under IFRS during 2003-2006</w:t>
            </w:r>
          </w:p>
        </w:tc>
        <w:tc>
          <w:tcPr>
            <w:tcW w:w="2977" w:type="dxa"/>
          </w:tcPr>
          <w:p w:rsidR="00E11A9D" w:rsidRPr="005635D8" w:rsidRDefault="00E11A9D" w:rsidP="007F15F1">
            <w:pPr>
              <w:rPr>
                <w:rFonts w:ascii="Calibri" w:hAnsi="Calibri"/>
                <w:sz w:val="20"/>
                <w:szCs w:val="20"/>
                <w:lang w:val="en-GB"/>
              </w:rPr>
            </w:pPr>
            <w:r w:rsidRPr="005635D8">
              <w:rPr>
                <w:rFonts w:ascii="Calibri" w:hAnsi="Calibri"/>
                <w:sz w:val="20"/>
                <w:szCs w:val="20"/>
                <w:lang w:val="en-GB"/>
              </w:rPr>
              <w:t xml:space="preserve">The sample consists of 107 German firms reposting in three different time periods. Firms reporting under IAS (2000-2002); Voluntary reporting under IFRS (2003-2004); mandatory reporting under IFRS (2005-2006). </w:t>
            </w:r>
          </w:p>
        </w:tc>
        <w:tc>
          <w:tcPr>
            <w:tcW w:w="2835" w:type="dxa"/>
          </w:tcPr>
          <w:p w:rsidR="00E11A9D" w:rsidRPr="005635D8" w:rsidRDefault="00E11A9D" w:rsidP="007F15F1">
            <w:pPr>
              <w:rPr>
                <w:sz w:val="20"/>
                <w:szCs w:val="20"/>
                <w:lang w:val="en-GB"/>
              </w:rPr>
            </w:pPr>
            <w:r w:rsidRPr="005635D8">
              <w:rPr>
                <w:rFonts w:ascii="Calibri" w:hAnsi="Calibri"/>
                <w:sz w:val="20"/>
                <w:szCs w:val="20"/>
                <w:lang w:val="en-GB"/>
              </w:rPr>
              <w:t>Variability of the change in net income scaled by total assets method developed by Barth et al. (2008)</w:t>
            </w:r>
          </w:p>
        </w:tc>
        <w:tc>
          <w:tcPr>
            <w:tcW w:w="3119" w:type="dxa"/>
          </w:tcPr>
          <w:p w:rsidR="00E11A9D" w:rsidRPr="005635D8" w:rsidRDefault="00E11A9D" w:rsidP="007F15F1">
            <w:pPr>
              <w:rPr>
                <w:rFonts w:ascii="Calibri" w:hAnsi="Calibri"/>
                <w:sz w:val="20"/>
                <w:szCs w:val="20"/>
                <w:lang w:val="en-GB"/>
              </w:rPr>
            </w:pPr>
            <w:r w:rsidRPr="005635D8">
              <w:rPr>
                <w:rFonts w:ascii="Calibri" w:hAnsi="Calibri" w:cs="Times-Roman"/>
                <w:sz w:val="20"/>
                <w:szCs w:val="20"/>
                <w:lang w:val="en-GB"/>
              </w:rPr>
              <w:t xml:space="preserve">Accounting quality has not improved but worsened over time. The main cause of this development is believed to be driven by changes of the standard of IFRS and not by new adopters. </w:t>
            </w:r>
          </w:p>
        </w:tc>
      </w:tr>
    </w:tbl>
    <w:p w:rsidR="00E11A9D" w:rsidRPr="005635D8" w:rsidRDefault="00E11A9D">
      <w:pPr>
        <w:rPr>
          <w:lang w:val="en-GB"/>
        </w:rPr>
      </w:pPr>
      <w:r w:rsidRPr="005635D8">
        <w:rPr>
          <w:lang w:val="en-GB"/>
        </w:rPr>
        <w:br w:type="page"/>
      </w:r>
    </w:p>
    <w:tbl>
      <w:tblPr>
        <w:tblStyle w:val="TableGrid"/>
        <w:tblW w:w="0" w:type="auto"/>
        <w:tblLook w:val="04A0"/>
      </w:tblPr>
      <w:tblGrid>
        <w:gridCol w:w="1951"/>
        <w:gridCol w:w="3260"/>
        <w:gridCol w:w="2977"/>
        <w:gridCol w:w="2835"/>
        <w:gridCol w:w="3119"/>
      </w:tblGrid>
      <w:tr w:rsidR="00E11A9D" w:rsidRPr="00227B46" w:rsidTr="007F15F1">
        <w:tc>
          <w:tcPr>
            <w:tcW w:w="1951" w:type="dxa"/>
          </w:tcPr>
          <w:p w:rsidR="00E11A9D" w:rsidRPr="005635D8" w:rsidRDefault="00E11A9D" w:rsidP="007F15F1">
            <w:pPr>
              <w:autoSpaceDE w:val="0"/>
              <w:autoSpaceDN w:val="0"/>
              <w:adjustRightInd w:val="0"/>
              <w:rPr>
                <w:rFonts w:ascii="Calibri" w:hAnsi="Calibri"/>
                <w:sz w:val="20"/>
                <w:szCs w:val="20"/>
                <w:lang w:val="en-GB"/>
              </w:rPr>
            </w:pPr>
          </w:p>
        </w:tc>
        <w:tc>
          <w:tcPr>
            <w:tcW w:w="3260" w:type="dxa"/>
          </w:tcPr>
          <w:p w:rsidR="00E11A9D" w:rsidRPr="005635D8" w:rsidRDefault="00E11A9D" w:rsidP="007F15F1">
            <w:pPr>
              <w:rPr>
                <w:rFonts w:ascii="Calibri" w:hAnsi="Calibri" w:cs="Times-Roman"/>
                <w:sz w:val="20"/>
                <w:szCs w:val="20"/>
                <w:lang w:val="en-GB"/>
              </w:rPr>
            </w:pPr>
          </w:p>
        </w:tc>
        <w:tc>
          <w:tcPr>
            <w:tcW w:w="2977" w:type="dxa"/>
          </w:tcPr>
          <w:p w:rsidR="00E11A9D" w:rsidRPr="005635D8" w:rsidRDefault="00E11A9D" w:rsidP="007F15F1">
            <w:pPr>
              <w:rPr>
                <w:rFonts w:ascii="Calibri" w:hAnsi="Calibri" w:cs="Times-Roman"/>
                <w:sz w:val="20"/>
                <w:szCs w:val="20"/>
                <w:lang w:val="en-GB"/>
              </w:rPr>
            </w:pPr>
          </w:p>
        </w:tc>
        <w:tc>
          <w:tcPr>
            <w:tcW w:w="2835" w:type="dxa"/>
          </w:tcPr>
          <w:p w:rsidR="00E11A9D" w:rsidRPr="005635D8" w:rsidRDefault="00E11A9D" w:rsidP="007F15F1">
            <w:pPr>
              <w:rPr>
                <w:sz w:val="20"/>
                <w:szCs w:val="20"/>
                <w:lang w:val="en-GB"/>
              </w:rPr>
            </w:pPr>
          </w:p>
        </w:tc>
        <w:tc>
          <w:tcPr>
            <w:tcW w:w="3119" w:type="dxa"/>
          </w:tcPr>
          <w:p w:rsidR="00E11A9D" w:rsidRPr="005635D8" w:rsidRDefault="00E11A9D" w:rsidP="007F15F1">
            <w:pPr>
              <w:rPr>
                <w:rFonts w:ascii="Calibri" w:hAnsi="Calibri" w:cs="Times-Roman"/>
                <w:sz w:val="20"/>
                <w:szCs w:val="20"/>
                <w:lang w:val="en-GB"/>
              </w:rPr>
            </w:pPr>
          </w:p>
        </w:tc>
      </w:tr>
      <w:tr w:rsidR="00E11A9D" w:rsidRPr="00227B46" w:rsidTr="007F15F1">
        <w:tc>
          <w:tcPr>
            <w:tcW w:w="1951" w:type="dxa"/>
          </w:tcPr>
          <w:p w:rsidR="00E11A9D" w:rsidRPr="005635D8" w:rsidRDefault="00E11A9D" w:rsidP="007F15F1">
            <w:pPr>
              <w:autoSpaceDE w:val="0"/>
              <w:autoSpaceDN w:val="0"/>
              <w:adjustRightInd w:val="0"/>
              <w:rPr>
                <w:rFonts w:ascii="Calibri" w:hAnsi="Calibri"/>
                <w:sz w:val="20"/>
                <w:szCs w:val="20"/>
                <w:lang w:val="en-GB"/>
              </w:rPr>
            </w:pPr>
            <w:r w:rsidRPr="005635D8">
              <w:rPr>
                <w:rFonts w:ascii="Calibri" w:hAnsi="Calibri"/>
                <w:sz w:val="20"/>
                <w:szCs w:val="20"/>
                <w:lang w:val="en-GB"/>
              </w:rPr>
              <w:t>Lippens (2010)</w:t>
            </w:r>
          </w:p>
        </w:tc>
        <w:tc>
          <w:tcPr>
            <w:tcW w:w="3260" w:type="dxa"/>
          </w:tcPr>
          <w:p w:rsidR="00E11A9D" w:rsidRPr="005635D8" w:rsidRDefault="00E11A9D" w:rsidP="007F15F1">
            <w:pPr>
              <w:rPr>
                <w:rFonts w:ascii="Calibri" w:hAnsi="Calibri"/>
                <w:sz w:val="20"/>
                <w:szCs w:val="20"/>
                <w:lang w:val="en-GB"/>
              </w:rPr>
            </w:pPr>
            <w:r w:rsidRPr="005635D8">
              <w:rPr>
                <w:rFonts w:ascii="Calibri" w:hAnsi="Calibri" w:cs="Times-Roman"/>
                <w:sz w:val="20"/>
                <w:szCs w:val="20"/>
                <w:lang w:val="en-GB"/>
              </w:rPr>
              <w:t xml:space="preserve">The main object of this study is to investigate whether the mandatory adoption of IFRS from 1 January 2005 by all listed companies in the European Union led to significantly lower levels of earnings management in six of those EU countries. </w:t>
            </w:r>
          </w:p>
        </w:tc>
        <w:tc>
          <w:tcPr>
            <w:tcW w:w="2977" w:type="dxa"/>
          </w:tcPr>
          <w:p w:rsidR="00E11A9D" w:rsidRPr="005635D8" w:rsidRDefault="00E11A9D" w:rsidP="007F15F1">
            <w:pPr>
              <w:rPr>
                <w:rFonts w:ascii="Calibri" w:hAnsi="Calibri"/>
                <w:sz w:val="20"/>
                <w:szCs w:val="20"/>
                <w:lang w:val="en-GB"/>
              </w:rPr>
            </w:pPr>
            <w:r w:rsidRPr="005635D8">
              <w:rPr>
                <w:rFonts w:ascii="Calibri" w:hAnsi="Calibri" w:cs="Times-Roman"/>
                <w:sz w:val="20"/>
                <w:szCs w:val="20"/>
                <w:lang w:val="en-GB"/>
              </w:rPr>
              <w:t>Based on a sample of listed firms from Belgium, Denmark, Finland, Italy, Sweden and The Netherlands he compares the pre-IFRS period from 2000-2004 with the post-IFRS period extending from 2005 through 2006. A total number of almost 1200 firm year observations are used in the analyses</w:t>
            </w:r>
          </w:p>
        </w:tc>
        <w:tc>
          <w:tcPr>
            <w:tcW w:w="2835" w:type="dxa"/>
          </w:tcPr>
          <w:p w:rsidR="00E11A9D" w:rsidRPr="005635D8" w:rsidRDefault="00E11A9D" w:rsidP="007F15F1">
            <w:pPr>
              <w:rPr>
                <w:sz w:val="20"/>
                <w:szCs w:val="20"/>
                <w:lang w:val="en-GB"/>
              </w:rPr>
            </w:pPr>
            <w:r w:rsidRPr="005635D8">
              <w:rPr>
                <w:sz w:val="20"/>
                <w:szCs w:val="20"/>
                <w:lang w:val="en-GB"/>
              </w:rPr>
              <w:t>Modified Jones Model</w:t>
            </w:r>
          </w:p>
        </w:tc>
        <w:tc>
          <w:tcPr>
            <w:tcW w:w="3119" w:type="dxa"/>
          </w:tcPr>
          <w:p w:rsidR="00E11A9D" w:rsidRPr="005635D8" w:rsidRDefault="00E11A9D" w:rsidP="007F15F1">
            <w:pPr>
              <w:rPr>
                <w:rFonts w:ascii="Calibri" w:hAnsi="Calibri"/>
                <w:sz w:val="20"/>
                <w:szCs w:val="20"/>
                <w:lang w:val="en-GB"/>
              </w:rPr>
            </w:pPr>
            <w:r w:rsidRPr="005635D8">
              <w:rPr>
                <w:rFonts w:ascii="Calibri" w:hAnsi="Calibri" w:cs="Times-Roman"/>
                <w:sz w:val="20"/>
                <w:szCs w:val="20"/>
                <w:lang w:val="en-GB"/>
              </w:rPr>
              <w:t>The results indicate that both accrual-based earnings management as well as real earnings management has strictly increased after the adoption of IFRS. Some additional tests showed that there is a substitution effect between accruals based earnings management and real earnings management despite the growing rate of both types.</w:t>
            </w:r>
          </w:p>
        </w:tc>
      </w:tr>
    </w:tbl>
    <w:p w:rsidR="00436836" w:rsidRPr="005635D8" w:rsidRDefault="00436836" w:rsidP="00436836">
      <w:pPr>
        <w:rPr>
          <w:lang w:val="en-GB"/>
        </w:rPr>
      </w:pPr>
    </w:p>
    <w:p w:rsidR="00515E4A" w:rsidRPr="005635D8" w:rsidRDefault="00515E4A">
      <w:pPr>
        <w:rPr>
          <w:b/>
          <w:lang w:val="en-GB"/>
        </w:rPr>
      </w:pPr>
      <w:r w:rsidRPr="005635D8">
        <w:rPr>
          <w:b/>
          <w:lang w:val="en-GB"/>
        </w:rPr>
        <w:br w:type="page"/>
      </w:r>
    </w:p>
    <w:p w:rsidR="00436836" w:rsidRPr="005635D8" w:rsidRDefault="00436836">
      <w:pPr>
        <w:rPr>
          <w:b/>
          <w:lang w:val="en-GB"/>
        </w:rPr>
        <w:sectPr w:rsidR="00436836" w:rsidRPr="005635D8" w:rsidSect="001B39EF">
          <w:pgSz w:w="16838" w:h="11906" w:orient="landscape"/>
          <w:pgMar w:top="1418" w:right="1418" w:bottom="1418" w:left="1418" w:header="709" w:footer="709" w:gutter="0"/>
          <w:cols w:space="708"/>
          <w:docGrid w:linePitch="360"/>
        </w:sectPr>
      </w:pPr>
    </w:p>
    <w:p w:rsidR="00745BCF" w:rsidRPr="005635D8" w:rsidRDefault="00E97144" w:rsidP="001E4C5D">
      <w:pPr>
        <w:pStyle w:val="Heading3"/>
        <w:rPr>
          <w:lang w:val="en-GB"/>
        </w:rPr>
      </w:pPr>
      <w:bookmarkStart w:id="96" w:name="_Toc362267320"/>
      <w:r w:rsidRPr="005635D8">
        <w:rPr>
          <w:lang w:val="en-GB"/>
        </w:rPr>
        <w:t>Appendix 2: List of 24 companies included in the sample</w:t>
      </w:r>
      <w:bookmarkEnd w:id="96"/>
    </w:p>
    <w:tbl>
      <w:tblPr>
        <w:tblW w:w="81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54"/>
      </w:tblGrid>
      <w:tr w:rsidR="005B5BC8" w:rsidRPr="005635D8" w:rsidTr="005B5BC8">
        <w:tc>
          <w:tcPr>
            <w:tcW w:w="8154" w:type="dxa"/>
            <w:tcBorders>
              <w:top w:val="nil"/>
              <w:left w:val="nil"/>
              <w:bottom w:val="nil"/>
              <w:right w:val="nil"/>
            </w:tcBorders>
            <w:shd w:val="clear" w:color="auto" w:fill="FFFFFF"/>
            <w:vAlign w:val="center"/>
          </w:tcPr>
          <w:p w:rsidR="005B5BC8" w:rsidRPr="005635D8" w:rsidRDefault="005B5BC8" w:rsidP="005B5BC8">
            <w:pPr>
              <w:autoSpaceDE w:val="0"/>
              <w:autoSpaceDN w:val="0"/>
              <w:adjustRightInd w:val="0"/>
              <w:spacing w:after="0" w:line="320" w:lineRule="atLeast"/>
              <w:ind w:left="60" w:right="60"/>
              <w:rPr>
                <w:rFonts w:cs="Arial"/>
                <w:color w:val="000000"/>
                <w:sz w:val="24"/>
                <w:szCs w:val="24"/>
                <w:lang w:val="en-GB"/>
              </w:rPr>
            </w:pPr>
            <w:r w:rsidRPr="005635D8">
              <w:rPr>
                <w:rFonts w:cs="Arial"/>
                <w:color w:val="000000"/>
                <w:sz w:val="24"/>
                <w:szCs w:val="24"/>
                <w:lang w:val="en-GB"/>
              </w:rPr>
              <w:t>Aalberts Industries NV</w:t>
            </w:r>
          </w:p>
        </w:tc>
      </w:tr>
      <w:tr w:rsidR="005B5BC8" w:rsidRPr="005635D8" w:rsidTr="005B5BC8">
        <w:tc>
          <w:tcPr>
            <w:tcW w:w="8154" w:type="dxa"/>
            <w:tcBorders>
              <w:top w:val="nil"/>
              <w:left w:val="nil"/>
              <w:bottom w:val="nil"/>
              <w:right w:val="nil"/>
            </w:tcBorders>
            <w:shd w:val="clear" w:color="auto" w:fill="FFFFFF"/>
            <w:vAlign w:val="center"/>
          </w:tcPr>
          <w:p w:rsidR="005B5BC8" w:rsidRPr="005635D8" w:rsidRDefault="005B5BC8" w:rsidP="005B5BC8">
            <w:pPr>
              <w:autoSpaceDE w:val="0"/>
              <w:autoSpaceDN w:val="0"/>
              <w:adjustRightInd w:val="0"/>
              <w:spacing w:after="0" w:line="320" w:lineRule="atLeast"/>
              <w:ind w:left="60" w:right="60"/>
              <w:rPr>
                <w:rFonts w:cs="Arial"/>
                <w:color w:val="000000"/>
                <w:sz w:val="24"/>
                <w:szCs w:val="24"/>
                <w:lang w:val="en-GB"/>
              </w:rPr>
            </w:pPr>
            <w:r w:rsidRPr="005635D8">
              <w:rPr>
                <w:rFonts w:cs="Arial"/>
                <w:color w:val="000000"/>
                <w:sz w:val="24"/>
                <w:szCs w:val="24"/>
                <w:lang w:val="en-GB"/>
              </w:rPr>
              <w:t>Akzo Nobel NV</w:t>
            </w:r>
          </w:p>
        </w:tc>
      </w:tr>
      <w:tr w:rsidR="005B5BC8" w:rsidRPr="005635D8" w:rsidTr="005B5BC8">
        <w:tc>
          <w:tcPr>
            <w:tcW w:w="8154" w:type="dxa"/>
            <w:tcBorders>
              <w:top w:val="nil"/>
              <w:left w:val="nil"/>
              <w:bottom w:val="nil"/>
              <w:right w:val="nil"/>
            </w:tcBorders>
            <w:shd w:val="clear" w:color="auto" w:fill="FFFFFF"/>
            <w:vAlign w:val="center"/>
          </w:tcPr>
          <w:p w:rsidR="005B5BC8" w:rsidRPr="005635D8" w:rsidRDefault="005B5BC8" w:rsidP="005B5BC8">
            <w:pPr>
              <w:autoSpaceDE w:val="0"/>
              <w:autoSpaceDN w:val="0"/>
              <w:adjustRightInd w:val="0"/>
              <w:spacing w:after="0" w:line="320" w:lineRule="atLeast"/>
              <w:ind w:left="60" w:right="60"/>
              <w:rPr>
                <w:rFonts w:cs="Arial"/>
                <w:color w:val="000000"/>
                <w:sz w:val="24"/>
                <w:szCs w:val="24"/>
                <w:lang w:val="en-GB"/>
              </w:rPr>
            </w:pPr>
            <w:r w:rsidRPr="005635D8">
              <w:rPr>
                <w:rFonts w:cs="Arial"/>
                <w:color w:val="000000"/>
                <w:sz w:val="24"/>
                <w:szCs w:val="24"/>
                <w:lang w:val="en-GB"/>
              </w:rPr>
              <w:t>Arcadis NV</w:t>
            </w:r>
          </w:p>
        </w:tc>
      </w:tr>
      <w:tr w:rsidR="005B5BC8" w:rsidRPr="005635D8" w:rsidTr="005B5BC8">
        <w:tc>
          <w:tcPr>
            <w:tcW w:w="8154" w:type="dxa"/>
            <w:tcBorders>
              <w:top w:val="nil"/>
              <w:left w:val="nil"/>
              <w:bottom w:val="nil"/>
              <w:right w:val="nil"/>
            </w:tcBorders>
            <w:shd w:val="clear" w:color="auto" w:fill="FFFFFF"/>
            <w:vAlign w:val="center"/>
          </w:tcPr>
          <w:p w:rsidR="005B5BC8" w:rsidRPr="005635D8" w:rsidRDefault="005B5BC8" w:rsidP="005B5BC8">
            <w:pPr>
              <w:autoSpaceDE w:val="0"/>
              <w:autoSpaceDN w:val="0"/>
              <w:adjustRightInd w:val="0"/>
              <w:spacing w:after="0" w:line="320" w:lineRule="atLeast"/>
              <w:ind w:left="60" w:right="60"/>
              <w:rPr>
                <w:rFonts w:cs="Arial"/>
                <w:color w:val="000000"/>
                <w:sz w:val="24"/>
                <w:szCs w:val="24"/>
                <w:lang w:val="en-GB"/>
              </w:rPr>
            </w:pPr>
            <w:r w:rsidRPr="005635D8">
              <w:rPr>
                <w:rFonts w:cs="Arial"/>
                <w:color w:val="000000"/>
                <w:sz w:val="24"/>
                <w:szCs w:val="24"/>
                <w:lang w:val="en-GB"/>
              </w:rPr>
              <w:t>Asml Holding NV</w:t>
            </w:r>
          </w:p>
        </w:tc>
      </w:tr>
      <w:tr w:rsidR="005B5BC8" w:rsidRPr="005635D8" w:rsidTr="005B5BC8">
        <w:tc>
          <w:tcPr>
            <w:tcW w:w="8154" w:type="dxa"/>
            <w:tcBorders>
              <w:top w:val="nil"/>
              <w:left w:val="nil"/>
              <w:bottom w:val="nil"/>
              <w:right w:val="nil"/>
            </w:tcBorders>
            <w:shd w:val="clear" w:color="auto" w:fill="FFFFFF"/>
            <w:vAlign w:val="center"/>
          </w:tcPr>
          <w:p w:rsidR="005B5BC8" w:rsidRPr="005635D8" w:rsidRDefault="005B5BC8" w:rsidP="005B5BC8">
            <w:pPr>
              <w:autoSpaceDE w:val="0"/>
              <w:autoSpaceDN w:val="0"/>
              <w:adjustRightInd w:val="0"/>
              <w:spacing w:after="0" w:line="320" w:lineRule="atLeast"/>
              <w:ind w:left="60" w:right="60"/>
              <w:rPr>
                <w:rFonts w:cs="Arial"/>
                <w:color w:val="000000"/>
                <w:sz w:val="24"/>
                <w:szCs w:val="24"/>
                <w:lang w:val="en-GB"/>
              </w:rPr>
            </w:pPr>
            <w:r w:rsidRPr="005635D8">
              <w:rPr>
                <w:rFonts w:cs="Arial"/>
                <w:color w:val="000000"/>
                <w:sz w:val="24"/>
                <w:szCs w:val="24"/>
                <w:lang w:val="en-GB"/>
              </w:rPr>
              <w:t>Brunel International NV</w:t>
            </w:r>
          </w:p>
        </w:tc>
      </w:tr>
      <w:tr w:rsidR="005B5BC8" w:rsidRPr="005635D8" w:rsidTr="005B5BC8">
        <w:tc>
          <w:tcPr>
            <w:tcW w:w="8154" w:type="dxa"/>
            <w:tcBorders>
              <w:top w:val="nil"/>
              <w:left w:val="nil"/>
              <w:bottom w:val="nil"/>
              <w:right w:val="nil"/>
            </w:tcBorders>
            <w:shd w:val="clear" w:color="auto" w:fill="FFFFFF"/>
            <w:vAlign w:val="center"/>
          </w:tcPr>
          <w:p w:rsidR="005B5BC8" w:rsidRPr="005635D8" w:rsidRDefault="005B5BC8" w:rsidP="005B5BC8">
            <w:pPr>
              <w:autoSpaceDE w:val="0"/>
              <w:autoSpaceDN w:val="0"/>
              <w:adjustRightInd w:val="0"/>
              <w:spacing w:after="0" w:line="320" w:lineRule="atLeast"/>
              <w:ind w:left="60" w:right="60"/>
              <w:rPr>
                <w:rFonts w:cs="Arial"/>
                <w:color w:val="000000"/>
                <w:sz w:val="24"/>
                <w:szCs w:val="24"/>
                <w:lang w:val="en-GB"/>
              </w:rPr>
            </w:pPr>
            <w:r w:rsidRPr="005635D8">
              <w:rPr>
                <w:rFonts w:cs="Arial"/>
                <w:color w:val="000000"/>
                <w:sz w:val="24"/>
                <w:szCs w:val="24"/>
                <w:lang w:val="en-GB"/>
              </w:rPr>
              <w:t>CSM NV</w:t>
            </w:r>
          </w:p>
        </w:tc>
      </w:tr>
      <w:tr w:rsidR="005B5BC8" w:rsidRPr="005635D8" w:rsidTr="005B5BC8">
        <w:tc>
          <w:tcPr>
            <w:tcW w:w="8154" w:type="dxa"/>
            <w:tcBorders>
              <w:top w:val="nil"/>
              <w:left w:val="nil"/>
              <w:bottom w:val="nil"/>
              <w:right w:val="nil"/>
            </w:tcBorders>
            <w:shd w:val="clear" w:color="auto" w:fill="FFFFFF"/>
            <w:vAlign w:val="center"/>
          </w:tcPr>
          <w:p w:rsidR="005B5BC8" w:rsidRPr="005635D8" w:rsidRDefault="005B5BC8" w:rsidP="005B5BC8">
            <w:pPr>
              <w:autoSpaceDE w:val="0"/>
              <w:autoSpaceDN w:val="0"/>
              <w:adjustRightInd w:val="0"/>
              <w:spacing w:after="0" w:line="320" w:lineRule="atLeast"/>
              <w:ind w:left="60" w:right="60"/>
              <w:rPr>
                <w:rFonts w:cs="Arial"/>
                <w:color w:val="000000"/>
                <w:sz w:val="24"/>
                <w:szCs w:val="24"/>
                <w:lang w:val="en-GB"/>
              </w:rPr>
            </w:pPr>
            <w:r w:rsidRPr="005635D8">
              <w:rPr>
                <w:rFonts w:cs="Arial"/>
                <w:color w:val="000000"/>
                <w:sz w:val="24"/>
                <w:szCs w:val="24"/>
                <w:lang w:val="en-GB"/>
              </w:rPr>
              <w:t>Heijmans NV</w:t>
            </w:r>
          </w:p>
        </w:tc>
      </w:tr>
      <w:tr w:rsidR="005B5BC8" w:rsidRPr="005635D8" w:rsidTr="005B5BC8">
        <w:tc>
          <w:tcPr>
            <w:tcW w:w="8154" w:type="dxa"/>
            <w:tcBorders>
              <w:top w:val="nil"/>
              <w:left w:val="nil"/>
              <w:bottom w:val="nil"/>
              <w:right w:val="nil"/>
            </w:tcBorders>
            <w:shd w:val="clear" w:color="auto" w:fill="FFFFFF"/>
            <w:vAlign w:val="center"/>
          </w:tcPr>
          <w:p w:rsidR="005B5BC8" w:rsidRPr="005635D8" w:rsidRDefault="005B5BC8" w:rsidP="005B5BC8">
            <w:pPr>
              <w:autoSpaceDE w:val="0"/>
              <w:autoSpaceDN w:val="0"/>
              <w:adjustRightInd w:val="0"/>
              <w:spacing w:after="0" w:line="320" w:lineRule="atLeast"/>
              <w:ind w:left="60" w:right="60"/>
              <w:rPr>
                <w:rFonts w:cs="Arial"/>
                <w:color w:val="000000"/>
                <w:sz w:val="24"/>
                <w:szCs w:val="24"/>
                <w:lang w:val="en-GB"/>
              </w:rPr>
            </w:pPr>
            <w:r w:rsidRPr="005635D8">
              <w:rPr>
                <w:rFonts w:cs="Arial"/>
                <w:color w:val="000000"/>
                <w:sz w:val="24"/>
                <w:szCs w:val="24"/>
                <w:lang w:val="en-GB"/>
              </w:rPr>
              <w:t>Heineken NV</w:t>
            </w:r>
          </w:p>
        </w:tc>
      </w:tr>
      <w:tr w:rsidR="005B5BC8" w:rsidRPr="005635D8" w:rsidTr="005B5BC8">
        <w:tc>
          <w:tcPr>
            <w:tcW w:w="8154" w:type="dxa"/>
            <w:tcBorders>
              <w:top w:val="nil"/>
              <w:left w:val="nil"/>
              <w:bottom w:val="nil"/>
              <w:right w:val="nil"/>
            </w:tcBorders>
            <w:shd w:val="clear" w:color="auto" w:fill="FFFFFF"/>
            <w:vAlign w:val="center"/>
          </w:tcPr>
          <w:p w:rsidR="005B5BC8" w:rsidRPr="005635D8" w:rsidRDefault="005B5BC8" w:rsidP="005B5BC8">
            <w:pPr>
              <w:autoSpaceDE w:val="0"/>
              <w:autoSpaceDN w:val="0"/>
              <w:adjustRightInd w:val="0"/>
              <w:spacing w:after="0" w:line="320" w:lineRule="atLeast"/>
              <w:ind w:left="60" w:right="60"/>
              <w:rPr>
                <w:rFonts w:cs="Arial"/>
                <w:color w:val="000000"/>
                <w:sz w:val="24"/>
                <w:szCs w:val="24"/>
                <w:lang w:val="en-GB"/>
              </w:rPr>
            </w:pPr>
            <w:r w:rsidRPr="005635D8">
              <w:rPr>
                <w:rFonts w:cs="Arial"/>
                <w:color w:val="000000"/>
                <w:sz w:val="24"/>
                <w:szCs w:val="24"/>
                <w:lang w:val="en-GB"/>
              </w:rPr>
              <w:t>Koninklijke Ahold NV</w:t>
            </w:r>
          </w:p>
        </w:tc>
      </w:tr>
      <w:tr w:rsidR="005B5BC8" w:rsidRPr="005635D8" w:rsidTr="005B5BC8">
        <w:tc>
          <w:tcPr>
            <w:tcW w:w="8154" w:type="dxa"/>
            <w:tcBorders>
              <w:top w:val="nil"/>
              <w:left w:val="nil"/>
              <w:bottom w:val="nil"/>
              <w:right w:val="nil"/>
            </w:tcBorders>
            <w:shd w:val="clear" w:color="auto" w:fill="FFFFFF"/>
            <w:vAlign w:val="center"/>
          </w:tcPr>
          <w:p w:rsidR="005B5BC8" w:rsidRPr="005635D8" w:rsidRDefault="005B5BC8" w:rsidP="005B5BC8">
            <w:pPr>
              <w:autoSpaceDE w:val="0"/>
              <w:autoSpaceDN w:val="0"/>
              <w:adjustRightInd w:val="0"/>
              <w:spacing w:after="0" w:line="320" w:lineRule="atLeast"/>
              <w:ind w:left="60" w:right="60"/>
              <w:rPr>
                <w:rFonts w:cs="Arial"/>
                <w:color w:val="000000"/>
                <w:sz w:val="24"/>
                <w:szCs w:val="24"/>
                <w:lang w:val="en-GB"/>
              </w:rPr>
            </w:pPr>
            <w:r w:rsidRPr="005635D8">
              <w:rPr>
                <w:rFonts w:cs="Arial"/>
                <w:color w:val="000000"/>
                <w:sz w:val="24"/>
                <w:szCs w:val="24"/>
                <w:lang w:val="en-GB"/>
              </w:rPr>
              <w:t>Koninklijke BAM Groep NV</w:t>
            </w:r>
          </w:p>
        </w:tc>
      </w:tr>
      <w:tr w:rsidR="005B5BC8" w:rsidRPr="005635D8" w:rsidTr="005B5BC8">
        <w:tc>
          <w:tcPr>
            <w:tcW w:w="8154" w:type="dxa"/>
            <w:tcBorders>
              <w:top w:val="nil"/>
              <w:left w:val="nil"/>
              <w:bottom w:val="nil"/>
              <w:right w:val="nil"/>
            </w:tcBorders>
            <w:shd w:val="clear" w:color="auto" w:fill="FFFFFF"/>
            <w:vAlign w:val="center"/>
          </w:tcPr>
          <w:p w:rsidR="005B5BC8" w:rsidRPr="005635D8" w:rsidRDefault="005B5BC8" w:rsidP="005B5BC8">
            <w:pPr>
              <w:autoSpaceDE w:val="0"/>
              <w:autoSpaceDN w:val="0"/>
              <w:adjustRightInd w:val="0"/>
              <w:spacing w:after="0" w:line="320" w:lineRule="atLeast"/>
              <w:ind w:left="60" w:right="60"/>
              <w:rPr>
                <w:rFonts w:cs="Arial"/>
                <w:color w:val="000000"/>
                <w:sz w:val="24"/>
                <w:szCs w:val="24"/>
                <w:lang w:val="en-GB"/>
              </w:rPr>
            </w:pPr>
            <w:r w:rsidRPr="005635D8">
              <w:rPr>
                <w:rFonts w:cs="Arial"/>
                <w:color w:val="000000"/>
                <w:sz w:val="24"/>
                <w:szCs w:val="24"/>
                <w:lang w:val="en-GB"/>
              </w:rPr>
              <w:t>Koninklijke DSM</w:t>
            </w:r>
          </w:p>
        </w:tc>
      </w:tr>
      <w:tr w:rsidR="005B5BC8" w:rsidRPr="005635D8" w:rsidTr="005B5BC8">
        <w:tc>
          <w:tcPr>
            <w:tcW w:w="8154" w:type="dxa"/>
            <w:tcBorders>
              <w:top w:val="nil"/>
              <w:left w:val="nil"/>
              <w:bottom w:val="nil"/>
              <w:right w:val="nil"/>
            </w:tcBorders>
            <w:shd w:val="clear" w:color="auto" w:fill="FFFFFF"/>
            <w:vAlign w:val="center"/>
          </w:tcPr>
          <w:p w:rsidR="005B5BC8" w:rsidRPr="005635D8" w:rsidRDefault="005B5BC8" w:rsidP="005B5BC8">
            <w:pPr>
              <w:autoSpaceDE w:val="0"/>
              <w:autoSpaceDN w:val="0"/>
              <w:adjustRightInd w:val="0"/>
              <w:spacing w:after="0" w:line="320" w:lineRule="atLeast"/>
              <w:ind w:left="60" w:right="60"/>
              <w:rPr>
                <w:rFonts w:cs="Arial"/>
                <w:color w:val="000000"/>
                <w:sz w:val="24"/>
                <w:szCs w:val="24"/>
                <w:lang w:val="en-GB"/>
              </w:rPr>
            </w:pPr>
            <w:r w:rsidRPr="005635D8">
              <w:rPr>
                <w:rFonts w:cs="Arial"/>
                <w:color w:val="000000"/>
                <w:sz w:val="24"/>
                <w:szCs w:val="24"/>
                <w:lang w:val="en-GB"/>
              </w:rPr>
              <w:t>Koninklijke KPN NV</w:t>
            </w:r>
          </w:p>
        </w:tc>
      </w:tr>
      <w:tr w:rsidR="005B5BC8" w:rsidRPr="005635D8" w:rsidTr="005B5BC8">
        <w:tc>
          <w:tcPr>
            <w:tcW w:w="8154" w:type="dxa"/>
            <w:tcBorders>
              <w:top w:val="nil"/>
              <w:left w:val="nil"/>
              <w:bottom w:val="nil"/>
              <w:right w:val="nil"/>
            </w:tcBorders>
            <w:shd w:val="clear" w:color="auto" w:fill="FFFFFF"/>
            <w:vAlign w:val="center"/>
          </w:tcPr>
          <w:p w:rsidR="005B5BC8" w:rsidRPr="005635D8" w:rsidRDefault="005B5BC8" w:rsidP="005B5BC8">
            <w:pPr>
              <w:autoSpaceDE w:val="0"/>
              <w:autoSpaceDN w:val="0"/>
              <w:adjustRightInd w:val="0"/>
              <w:spacing w:after="0" w:line="320" w:lineRule="atLeast"/>
              <w:ind w:left="60" w:right="60"/>
              <w:rPr>
                <w:rFonts w:cs="Arial"/>
                <w:color w:val="000000"/>
                <w:sz w:val="24"/>
                <w:szCs w:val="24"/>
                <w:lang w:val="en-GB"/>
              </w:rPr>
            </w:pPr>
            <w:r w:rsidRPr="005635D8">
              <w:rPr>
                <w:rFonts w:cs="Arial"/>
                <w:color w:val="000000"/>
                <w:sz w:val="24"/>
                <w:szCs w:val="24"/>
                <w:lang w:val="en-GB"/>
              </w:rPr>
              <w:t>Koninklijke Ten Cate NV</w:t>
            </w:r>
          </w:p>
        </w:tc>
      </w:tr>
      <w:tr w:rsidR="005B5BC8" w:rsidRPr="005635D8" w:rsidTr="005B5BC8">
        <w:tc>
          <w:tcPr>
            <w:tcW w:w="8154" w:type="dxa"/>
            <w:tcBorders>
              <w:top w:val="nil"/>
              <w:left w:val="nil"/>
              <w:bottom w:val="nil"/>
              <w:right w:val="nil"/>
            </w:tcBorders>
            <w:shd w:val="clear" w:color="auto" w:fill="FFFFFF"/>
            <w:vAlign w:val="center"/>
          </w:tcPr>
          <w:p w:rsidR="005B5BC8" w:rsidRPr="005635D8" w:rsidRDefault="005B5BC8" w:rsidP="005B5BC8">
            <w:pPr>
              <w:autoSpaceDE w:val="0"/>
              <w:autoSpaceDN w:val="0"/>
              <w:adjustRightInd w:val="0"/>
              <w:spacing w:after="0" w:line="320" w:lineRule="atLeast"/>
              <w:ind w:left="60" w:right="60"/>
              <w:rPr>
                <w:rFonts w:cs="Arial"/>
                <w:color w:val="000000"/>
                <w:sz w:val="24"/>
                <w:szCs w:val="24"/>
                <w:lang w:val="en-GB"/>
              </w:rPr>
            </w:pPr>
            <w:r w:rsidRPr="005635D8">
              <w:rPr>
                <w:rFonts w:cs="Arial"/>
                <w:color w:val="000000"/>
                <w:sz w:val="24"/>
                <w:szCs w:val="24"/>
                <w:lang w:val="en-GB"/>
              </w:rPr>
              <w:t>Koninklijke Vopak NV</w:t>
            </w:r>
          </w:p>
        </w:tc>
      </w:tr>
      <w:tr w:rsidR="005B5BC8" w:rsidRPr="005635D8" w:rsidTr="005B5BC8">
        <w:tc>
          <w:tcPr>
            <w:tcW w:w="8154" w:type="dxa"/>
            <w:tcBorders>
              <w:top w:val="nil"/>
              <w:left w:val="nil"/>
              <w:bottom w:val="nil"/>
              <w:right w:val="nil"/>
            </w:tcBorders>
            <w:shd w:val="clear" w:color="auto" w:fill="FFFFFF"/>
            <w:vAlign w:val="center"/>
          </w:tcPr>
          <w:p w:rsidR="005B5BC8" w:rsidRPr="005635D8" w:rsidRDefault="005B5BC8" w:rsidP="005B5BC8">
            <w:pPr>
              <w:autoSpaceDE w:val="0"/>
              <w:autoSpaceDN w:val="0"/>
              <w:adjustRightInd w:val="0"/>
              <w:spacing w:after="0" w:line="320" w:lineRule="atLeast"/>
              <w:ind w:left="60" w:right="60"/>
              <w:rPr>
                <w:rFonts w:cs="Arial"/>
                <w:color w:val="000000"/>
                <w:sz w:val="24"/>
                <w:szCs w:val="24"/>
                <w:lang w:val="en-GB"/>
              </w:rPr>
            </w:pPr>
            <w:r w:rsidRPr="005635D8">
              <w:rPr>
                <w:rFonts w:cs="Arial"/>
                <w:color w:val="000000"/>
                <w:sz w:val="24"/>
                <w:szCs w:val="24"/>
                <w:lang w:val="en-GB"/>
              </w:rPr>
              <w:t>Koninklijke Wessanen NV</w:t>
            </w:r>
          </w:p>
        </w:tc>
      </w:tr>
      <w:tr w:rsidR="005B5BC8" w:rsidRPr="005635D8" w:rsidTr="005B5BC8">
        <w:tc>
          <w:tcPr>
            <w:tcW w:w="8154" w:type="dxa"/>
            <w:tcBorders>
              <w:top w:val="nil"/>
              <w:left w:val="nil"/>
              <w:bottom w:val="nil"/>
              <w:right w:val="nil"/>
            </w:tcBorders>
            <w:shd w:val="clear" w:color="auto" w:fill="FFFFFF"/>
            <w:vAlign w:val="center"/>
          </w:tcPr>
          <w:p w:rsidR="005B5BC8" w:rsidRPr="005635D8" w:rsidRDefault="005B5BC8" w:rsidP="005B5BC8">
            <w:pPr>
              <w:autoSpaceDE w:val="0"/>
              <w:autoSpaceDN w:val="0"/>
              <w:adjustRightInd w:val="0"/>
              <w:spacing w:after="0" w:line="320" w:lineRule="atLeast"/>
              <w:ind w:left="60" w:right="60"/>
              <w:rPr>
                <w:rFonts w:cs="Arial"/>
                <w:color w:val="000000"/>
                <w:sz w:val="24"/>
                <w:szCs w:val="24"/>
                <w:lang w:val="en-GB"/>
              </w:rPr>
            </w:pPr>
            <w:r w:rsidRPr="005635D8">
              <w:rPr>
                <w:rFonts w:cs="Arial"/>
                <w:color w:val="000000"/>
                <w:sz w:val="24"/>
                <w:szCs w:val="24"/>
                <w:lang w:val="en-GB"/>
              </w:rPr>
              <w:t>Nutreco NV</w:t>
            </w:r>
          </w:p>
        </w:tc>
      </w:tr>
      <w:tr w:rsidR="005B5BC8" w:rsidRPr="005635D8" w:rsidTr="005B5BC8">
        <w:tc>
          <w:tcPr>
            <w:tcW w:w="8154" w:type="dxa"/>
            <w:tcBorders>
              <w:top w:val="nil"/>
              <w:left w:val="nil"/>
              <w:bottom w:val="nil"/>
              <w:right w:val="nil"/>
            </w:tcBorders>
            <w:shd w:val="clear" w:color="auto" w:fill="FFFFFF"/>
            <w:vAlign w:val="center"/>
          </w:tcPr>
          <w:p w:rsidR="005B5BC8" w:rsidRPr="005635D8" w:rsidRDefault="005B5BC8" w:rsidP="005B5BC8">
            <w:pPr>
              <w:autoSpaceDE w:val="0"/>
              <w:autoSpaceDN w:val="0"/>
              <w:adjustRightInd w:val="0"/>
              <w:spacing w:after="0" w:line="320" w:lineRule="atLeast"/>
              <w:ind w:left="60" w:right="60"/>
              <w:rPr>
                <w:rFonts w:cs="Arial"/>
                <w:color w:val="000000"/>
                <w:sz w:val="24"/>
                <w:szCs w:val="24"/>
                <w:lang w:val="en-GB"/>
              </w:rPr>
            </w:pPr>
            <w:r w:rsidRPr="005635D8">
              <w:rPr>
                <w:rFonts w:cs="Arial"/>
                <w:color w:val="000000"/>
                <w:sz w:val="24"/>
                <w:szCs w:val="24"/>
                <w:lang w:val="en-GB"/>
              </w:rPr>
              <w:t>Randstad Holding NV</w:t>
            </w:r>
          </w:p>
        </w:tc>
      </w:tr>
      <w:tr w:rsidR="005B5BC8" w:rsidRPr="005635D8" w:rsidTr="005B5BC8">
        <w:tc>
          <w:tcPr>
            <w:tcW w:w="8154" w:type="dxa"/>
            <w:tcBorders>
              <w:top w:val="nil"/>
              <w:left w:val="nil"/>
              <w:bottom w:val="nil"/>
              <w:right w:val="nil"/>
            </w:tcBorders>
            <w:shd w:val="clear" w:color="auto" w:fill="FFFFFF"/>
            <w:vAlign w:val="center"/>
          </w:tcPr>
          <w:p w:rsidR="005B5BC8" w:rsidRPr="005635D8" w:rsidRDefault="005B5BC8" w:rsidP="005B5BC8">
            <w:pPr>
              <w:autoSpaceDE w:val="0"/>
              <w:autoSpaceDN w:val="0"/>
              <w:adjustRightInd w:val="0"/>
              <w:spacing w:after="0" w:line="320" w:lineRule="atLeast"/>
              <w:ind w:left="60" w:right="60"/>
              <w:rPr>
                <w:rFonts w:cs="Arial"/>
                <w:color w:val="000000"/>
                <w:sz w:val="24"/>
                <w:szCs w:val="24"/>
                <w:lang w:val="en-GB"/>
              </w:rPr>
            </w:pPr>
            <w:r w:rsidRPr="005635D8">
              <w:rPr>
                <w:rFonts w:cs="Arial"/>
                <w:color w:val="000000"/>
                <w:sz w:val="24"/>
                <w:szCs w:val="24"/>
                <w:lang w:val="en-GB"/>
              </w:rPr>
              <w:t>Royal Boskalis Westminster NV</w:t>
            </w:r>
          </w:p>
        </w:tc>
      </w:tr>
      <w:tr w:rsidR="005B5BC8" w:rsidRPr="005635D8" w:rsidTr="005B5BC8">
        <w:tc>
          <w:tcPr>
            <w:tcW w:w="8154" w:type="dxa"/>
            <w:tcBorders>
              <w:top w:val="nil"/>
              <w:left w:val="nil"/>
              <w:bottom w:val="nil"/>
              <w:right w:val="nil"/>
            </w:tcBorders>
            <w:shd w:val="clear" w:color="auto" w:fill="FFFFFF"/>
            <w:vAlign w:val="center"/>
          </w:tcPr>
          <w:p w:rsidR="005B5BC8" w:rsidRPr="005635D8" w:rsidRDefault="005B5BC8" w:rsidP="005B5BC8">
            <w:pPr>
              <w:autoSpaceDE w:val="0"/>
              <w:autoSpaceDN w:val="0"/>
              <w:adjustRightInd w:val="0"/>
              <w:spacing w:after="0" w:line="320" w:lineRule="atLeast"/>
              <w:ind w:left="60" w:right="60"/>
              <w:rPr>
                <w:rFonts w:cs="Arial"/>
                <w:color w:val="000000"/>
                <w:sz w:val="24"/>
                <w:szCs w:val="24"/>
                <w:lang w:val="en-GB"/>
              </w:rPr>
            </w:pPr>
            <w:r w:rsidRPr="005635D8">
              <w:rPr>
                <w:rFonts w:cs="Arial"/>
                <w:color w:val="000000"/>
                <w:sz w:val="24"/>
                <w:szCs w:val="24"/>
                <w:lang w:val="en-GB"/>
              </w:rPr>
              <w:t>Royal Imtech</w:t>
            </w:r>
          </w:p>
        </w:tc>
      </w:tr>
      <w:tr w:rsidR="005B5BC8" w:rsidRPr="005635D8" w:rsidTr="005B5BC8">
        <w:tc>
          <w:tcPr>
            <w:tcW w:w="8154" w:type="dxa"/>
            <w:tcBorders>
              <w:top w:val="nil"/>
              <w:left w:val="nil"/>
              <w:bottom w:val="nil"/>
              <w:right w:val="nil"/>
            </w:tcBorders>
            <w:shd w:val="clear" w:color="auto" w:fill="FFFFFF"/>
            <w:vAlign w:val="center"/>
          </w:tcPr>
          <w:p w:rsidR="005B5BC8" w:rsidRPr="005635D8" w:rsidRDefault="005B5BC8" w:rsidP="005B5BC8">
            <w:pPr>
              <w:autoSpaceDE w:val="0"/>
              <w:autoSpaceDN w:val="0"/>
              <w:adjustRightInd w:val="0"/>
              <w:spacing w:after="0" w:line="320" w:lineRule="atLeast"/>
              <w:ind w:left="60" w:right="60"/>
              <w:rPr>
                <w:rFonts w:cs="Arial"/>
                <w:color w:val="000000"/>
                <w:sz w:val="24"/>
                <w:szCs w:val="24"/>
                <w:lang w:val="en-GB"/>
              </w:rPr>
            </w:pPr>
            <w:r w:rsidRPr="005635D8">
              <w:rPr>
                <w:rFonts w:cs="Arial"/>
                <w:color w:val="000000"/>
                <w:sz w:val="24"/>
                <w:szCs w:val="24"/>
                <w:lang w:val="en-GB"/>
              </w:rPr>
              <w:t>SBM Offshore NV</w:t>
            </w:r>
          </w:p>
        </w:tc>
      </w:tr>
      <w:tr w:rsidR="005B5BC8" w:rsidRPr="005635D8" w:rsidTr="005B5BC8">
        <w:tc>
          <w:tcPr>
            <w:tcW w:w="8154" w:type="dxa"/>
            <w:tcBorders>
              <w:top w:val="nil"/>
              <w:left w:val="nil"/>
              <w:bottom w:val="nil"/>
              <w:right w:val="nil"/>
            </w:tcBorders>
            <w:shd w:val="clear" w:color="auto" w:fill="FFFFFF"/>
            <w:vAlign w:val="center"/>
          </w:tcPr>
          <w:p w:rsidR="005B5BC8" w:rsidRPr="005635D8" w:rsidRDefault="005B5BC8" w:rsidP="005B5BC8">
            <w:pPr>
              <w:autoSpaceDE w:val="0"/>
              <w:autoSpaceDN w:val="0"/>
              <w:adjustRightInd w:val="0"/>
              <w:spacing w:after="0" w:line="320" w:lineRule="atLeast"/>
              <w:ind w:left="60" w:right="60"/>
              <w:rPr>
                <w:rFonts w:cs="Arial"/>
                <w:color w:val="000000"/>
                <w:sz w:val="24"/>
                <w:szCs w:val="24"/>
                <w:lang w:val="en-GB"/>
              </w:rPr>
            </w:pPr>
            <w:r w:rsidRPr="005635D8">
              <w:rPr>
                <w:rFonts w:cs="Arial"/>
                <w:color w:val="000000"/>
                <w:sz w:val="24"/>
                <w:szCs w:val="24"/>
                <w:lang w:val="en-GB"/>
              </w:rPr>
              <w:t>Unilever NV</w:t>
            </w:r>
          </w:p>
        </w:tc>
      </w:tr>
      <w:tr w:rsidR="005B5BC8" w:rsidRPr="005635D8" w:rsidTr="005B5BC8">
        <w:tc>
          <w:tcPr>
            <w:tcW w:w="8154" w:type="dxa"/>
            <w:tcBorders>
              <w:top w:val="nil"/>
              <w:left w:val="nil"/>
              <w:bottom w:val="nil"/>
              <w:right w:val="nil"/>
            </w:tcBorders>
            <w:shd w:val="clear" w:color="auto" w:fill="FFFFFF"/>
            <w:vAlign w:val="center"/>
          </w:tcPr>
          <w:p w:rsidR="005B5BC8" w:rsidRPr="005635D8" w:rsidRDefault="005B5BC8" w:rsidP="005B5BC8">
            <w:pPr>
              <w:autoSpaceDE w:val="0"/>
              <w:autoSpaceDN w:val="0"/>
              <w:adjustRightInd w:val="0"/>
              <w:spacing w:after="0" w:line="320" w:lineRule="atLeast"/>
              <w:ind w:left="60" w:right="60"/>
              <w:rPr>
                <w:rFonts w:cs="Arial"/>
                <w:color w:val="000000"/>
                <w:sz w:val="24"/>
                <w:szCs w:val="24"/>
                <w:lang w:val="en-GB"/>
              </w:rPr>
            </w:pPr>
            <w:r w:rsidRPr="005635D8">
              <w:rPr>
                <w:rFonts w:cs="Arial"/>
                <w:color w:val="000000"/>
                <w:sz w:val="24"/>
                <w:szCs w:val="24"/>
                <w:lang w:val="en-GB"/>
              </w:rPr>
              <w:t>Unit 4 NV</w:t>
            </w:r>
          </w:p>
        </w:tc>
      </w:tr>
      <w:tr w:rsidR="005B5BC8" w:rsidRPr="005635D8" w:rsidTr="005B5BC8">
        <w:tc>
          <w:tcPr>
            <w:tcW w:w="8154" w:type="dxa"/>
            <w:tcBorders>
              <w:top w:val="nil"/>
              <w:left w:val="nil"/>
              <w:bottom w:val="nil"/>
              <w:right w:val="nil"/>
            </w:tcBorders>
            <w:shd w:val="clear" w:color="auto" w:fill="FFFFFF"/>
            <w:vAlign w:val="center"/>
          </w:tcPr>
          <w:p w:rsidR="005B5BC8" w:rsidRPr="005635D8" w:rsidRDefault="005B5BC8" w:rsidP="005B5BC8">
            <w:pPr>
              <w:autoSpaceDE w:val="0"/>
              <w:autoSpaceDN w:val="0"/>
              <w:adjustRightInd w:val="0"/>
              <w:spacing w:after="0" w:line="320" w:lineRule="atLeast"/>
              <w:ind w:left="60" w:right="60"/>
              <w:rPr>
                <w:rFonts w:cs="Arial"/>
                <w:color w:val="000000"/>
                <w:sz w:val="24"/>
                <w:szCs w:val="24"/>
                <w:lang w:val="en-GB"/>
              </w:rPr>
            </w:pPr>
            <w:r w:rsidRPr="005635D8">
              <w:rPr>
                <w:rFonts w:cs="Arial"/>
                <w:color w:val="000000"/>
                <w:sz w:val="24"/>
                <w:szCs w:val="24"/>
                <w:lang w:val="en-GB"/>
              </w:rPr>
              <w:t>USG People NV</w:t>
            </w:r>
          </w:p>
        </w:tc>
      </w:tr>
      <w:tr w:rsidR="005B5BC8" w:rsidRPr="005635D8" w:rsidTr="005B5BC8">
        <w:tc>
          <w:tcPr>
            <w:tcW w:w="8154" w:type="dxa"/>
            <w:tcBorders>
              <w:top w:val="nil"/>
              <w:left w:val="nil"/>
              <w:bottom w:val="nil"/>
              <w:right w:val="nil"/>
            </w:tcBorders>
            <w:shd w:val="clear" w:color="auto" w:fill="FFFFFF"/>
            <w:vAlign w:val="center"/>
          </w:tcPr>
          <w:p w:rsidR="005B5BC8" w:rsidRPr="005635D8" w:rsidRDefault="005B5BC8" w:rsidP="005B5BC8">
            <w:pPr>
              <w:autoSpaceDE w:val="0"/>
              <w:autoSpaceDN w:val="0"/>
              <w:adjustRightInd w:val="0"/>
              <w:spacing w:after="0" w:line="320" w:lineRule="atLeast"/>
              <w:ind w:left="60" w:right="60"/>
              <w:rPr>
                <w:rFonts w:cs="Arial"/>
                <w:color w:val="000000"/>
                <w:sz w:val="24"/>
                <w:szCs w:val="24"/>
                <w:lang w:val="en-GB"/>
              </w:rPr>
            </w:pPr>
            <w:r w:rsidRPr="005635D8">
              <w:rPr>
                <w:rFonts w:cs="Arial"/>
                <w:color w:val="000000"/>
                <w:sz w:val="24"/>
                <w:szCs w:val="24"/>
                <w:lang w:val="en-GB"/>
              </w:rPr>
              <w:t>Wolters Kluwer NV</w:t>
            </w:r>
          </w:p>
        </w:tc>
      </w:tr>
      <w:tr w:rsidR="005B5BC8" w:rsidRPr="005635D8" w:rsidTr="005B5BC8">
        <w:tc>
          <w:tcPr>
            <w:tcW w:w="8154" w:type="dxa"/>
            <w:tcBorders>
              <w:top w:val="nil"/>
              <w:left w:val="nil"/>
              <w:bottom w:val="nil"/>
              <w:right w:val="nil"/>
            </w:tcBorders>
            <w:shd w:val="clear" w:color="auto" w:fill="FFFFFF"/>
            <w:vAlign w:val="center"/>
          </w:tcPr>
          <w:p w:rsidR="005B5BC8" w:rsidRPr="005635D8" w:rsidRDefault="005B5BC8" w:rsidP="005B5BC8">
            <w:pPr>
              <w:autoSpaceDE w:val="0"/>
              <w:autoSpaceDN w:val="0"/>
              <w:adjustRightInd w:val="0"/>
              <w:spacing w:after="0" w:line="320" w:lineRule="atLeast"/>
              <w:ind w:left="60" w:right="60"/>
              <w:jc w:val="center"/>
              <w:rPr>
                <w:rFonts w:ascii="Arial" w:hAnsi="Arial" w:cs="Arial"/>
                <w:b/>
                <w:bCs/>
                <w:color w:val="000000"/>
                <w:sz w:val="18"/>
                <w:szCs w:val="18"/>
                <w:lang w:val="en-GB"/>
              </w:rPr>
            </w:pPr>
          </w:p>
        </w:tc>
      </w:tr>
      <w:tr w:rsidR="005B5BC8" w:rsidRPr="005635D8" w:rsidTr="005B5BC8">
        <w:tc>
          <w:tcPr>
            <w:tcW w:w="8154" w:type="dxa"/>
            <w:tcBorders>
              <w:top w:val="nil"/>
              <w:left w:val="nil"/>
              <w:bottom w:val="nil"/>
              <w:right w:val="nil"/>
            </w:tcBorders>
            <w:shd w:val="clear" w:color="auto" w:fill="FFFFFF"/>
            <w:vAlign w:val="center"/>
          </w:tcPr>
          <w:p w:rsidR="005B5BC8" w:rsidRPr="005635D8" w:rsidRDefault="005B5BC8" w:rsidP="005B5BC8">
            <w:pPr>
              <w:autoSpaceDE w:val="0"/>
              <w:autoSpaceDN w:val="0"/>
              <w:adjustRightInd w:val="0"/>
              <w:spacing w:after="0" w:line="320" w:lineRule="atLeast"/>
              <w:ind w:left="60" w:right="60"/>
              <w:jc w:val="center"/>
              <w:rPr>
                <w:rFonts w:ascii="Arial" w:hAnsi="Arial" w:cs="Arial"/>
                <w:color w:val="000000"/>
                <w:sz w:val="18"/>
                <w:szCs w:val="18"/>
                <w:lang w:val="en-GB"/>
              </w:rPr>
            </w:pPr>
          </w:p>
        </w:tc>
      </w:tr>
    </w:tbl>
    <w:p w:rsidR="00DA6BD4" w:rsidRPr="005635D8" w:rsidRDefault="00DA6BD4" w:rsidP="00E97144">
      <w:pPr>
        <w:rPr>
          <w:b/>
          <w:bCs/>
          <w:sz w:val="32"/>
          <w:szCs w:val="32"/>
          <w:lang w:val="en-GB"/>
        </w:rPr>
      </w:pPr>
    </w:p>
    <w:p w:rsidR="00DA6BD4" w:rsidRPr="005635D8" w:rsidRDefault="00DA6BD4">
      <w:pPr>
        <w:rPr>
          <w:b/>
          <w:bCs/>
          <w:sz w:val="32"/>
          <w:szCs w:val="32"/>
          <w:lang w:val="en-GB"/>
        </w:rPr>
      </w:pPr>
      <w:r w:rsidRPr="005635D8">
        <w:rPr>
          <w:b/>
          <w:bCs/>
          <w:sz w:val="32"/>
          <w:szCs w:val="32"/>
          <w:lang w:val="en-GB"/>
        </w:rPr>
        <w:br w:type="page"/>
      </w:r>
    </w:p>
    <w:p w:rsidR="00DA6BD4" w:rsidRPr="005635D8" w:rsidRDefault="00DA6BD4" w:rsidP="001E4C5D">
      <w:pPr>
        <w:pStyle w:val="Heading3"/>
        <w:rPr>
          <w:lang w:val="en-GB"/>
        </w:rPr>
      </w:pPr>
      <w:bookmarkStart w:id="97" w:name="_Toc362267321"/>
      <w:r w:rsidRPr="005635D8">
        <w:rPr>
          <w:lang w:val="en-GB"/>
        </w:rPr>
        <w:t>Appendix 3: Boxplots and Q-Q plots</w:t>
      </w:r>
      <w:bookmarkEnd w:id="97"/>
    </w:p>
    <w:p w:rsidR="00DA6BD4" w:rsidRPr="005635D8" w:rsidRDefault="00DA6BD4" w:rsidP="00DA6BD4">
      <w:pPr>
        <w:jc w:val="both"/>
        <w:rPr>
          <w:lang w:val="en-GB"/>
        </w:rPr>
      </w:pPr>
      <w:r w:rsidRPr="005635D8">
        <w:rPr>
          <w:b/>
          <w:bCs/>
          <w:lang w:val="en-GB"/>
        </w:rPr>
        <w:t>Figure 1:</w:t>
      </w:r>
      <w:r w:rsidRPr="005635D8">
        <w:rPr>
          <w:lang w:val="en-GB"/>
        </w:rPr>
        <w:t xml:space="preserve"> Boxplot containing 144 observations  </w:t>
      </w:r>
      <w:r w:rsidRPr="005635D8">
        <w:rPr>
          <w:b/>
          <w:bCs/>
          <w:lang w:val="en-GB"/>
        </w:rPr>
        <w:t>Figure 2:</w:t>
      </w:r>
      <w:r w:rsidRPr="005635D8">
        <w:rPr>
          <w:lang w:val="en-GB"/>
        </w:rPr>
        <w:t xml:space="preserve"> Boxplot containing 135 observations</w:t>
      </w:r>
    </w:p>
    <w:p w:rsidR="00DA6BD4" w:rsidRPr="005635D8" w:rsidRDefault="00DA6BD4" w:rsidP="00DA6BD4">
      <w:pPr>
        <w:autoSpaceDE w:val="0"/>
        <w:autoSpaceDN w:val="0"/>
        <w:adjustRightInd w:val="0"/>
        <w:spacing w:after="0" w:line="400" w:lineRule="atLeast"/>
        <w:rPr>
          <w:lang w:val="en-GB"/>
        </w:rPr>
      </w:pPr>
      <w:r w:rsidRPr="005635D8">
        <w:rPr>
          <w:rFonts w:ascii="Times New Roman" w:hAnsi="Times New Roman" w:cs="Times New Roman"/>
          <w:noProof/>
          <w:sz w:val="24"/>
          <w:szCs w:val="24"/>
          <w:lang w:val="en-US"/>
        </w:rPr>
        <w:drawing>
          <wp:inline distT="0" distB="0" distL="0" distR="0">
            <wp:extent cx="2895600" cy="3467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5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95600" cy="3467100"/>
                    </a:xfrm>
                    <a:prstGeom prst="rect">
                      <a:avLst/>
                    </a:prstGeom>
                    <a:noFill/>
                    <a:ln>
                      <a:noFill/>
                    </a:ln>
                  </pic:spPr>
                </pic:pic>
              </a:graphicData>
            </a:graphic>
          </wp:inline>
        </w:drawing>
      </w:r>
      <w:r w:rsidRPr="005635D8">
        <w:rPr>
          <w:rFonts w:ascii="Times New Roman" w:hAnsi="Times New Roman" w:cs="Times New Roman"/>
          <w:noProof/>
          <w:sz w:val="24"/>
          <w:szCs w:val="24"/>
          <w:lang w:val="en-US"/>
        </w:rPr>
        <w:drawing>
          <wp:inline distT="0" distB="0" distL="0" distR="0">
            <wp:extent cx="2800350" cy="346710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5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01126" cy="3468061"/>
                    </a:xfrm>
                    <a:prstGeom prst="rect">
                      <a:avLst/>
                    </a:prstGeom>
                    <a:noFill/>
                    <a:ln>
                      <a:noFill/>
                    </a:ln>
                  </pic:spPr>
                </pic:pic>
              </a:graphicData>
            </a:graphic>
          </wp:inline>
        </w:drawing>
      </w:r>
    </w:p>
    <w:p w:rsidR="00DA6BD4" w:rsidRPr="005635D8" w:rsidRDefault="00DA6BD4" w:rsidP="00DA6BD4">
      <w:pPr>
        <w:spacing w:after="0" w:line="360" w:lineRule="auto"/>
        <w:rPr>
          <w:rStyle w:val="Emphasis"/>
          <w:rFonts w:ascii="Times New Roman" w:hAnsi="Times New Roman" w:cs="Times New Roman"/>
          <w:i w:val="0"/>
          <w:lang w:val="en-GB"/>
        </w:rPr>
      </w:pPr>
      <w:r w:rsidRPr="005635D8">
        <w:rPr>
          <w:rStyle w:val="Emphasis"/>
          <w:rFonts w:ascii="Times New Roman" w:hAnsi="Times New Roman" w:cs="Times New Roman"/>
          <w:b/>
          <w:bCs/>
          <w:i w:val="0"/>
          <w:lang w:val="en-GB"/>
        </w:rPr>
        <w:t>Figure 3</w:t>
      </w:r>
      <w:r w:rsidRPr="005635D8">
        <w:rPr>
          <w:rStyle w:val="Emphasis"/>
          <w:rFonts w:ascii="Times New Roman" w:hAnsi="Times New Roman" w:cs="Times New Roman"/>
          <w:i w:val="0"/>
          <w:lang w:val="en-GB"/>
        </w:rPr>
        <w:t>: Q-Q Plot with 144 observations</w:t>
      </w:r>
      <w:r w:rsidRPr="005635D8">
        <w:rPr>
          <w:rStyle w:val="Emphasis"/>
          <w:rFonts w:ascii="Times New Roman" w:hAnsi="Times New Roman" w:cs="Times New Roman"/>
          <w:i w:val="0"/>
          <w:lang w:val="en-GB"/>
        </w:rPr>
        <w:tab/>
      </w:r>
      <w:r w:rsidRPr="005635D8">
        <w:rPr>
          <w:rStyle w:val="Emphasis"/>
          <w:rFonts w:ascii="Times New Roman" w:hAnsi="Times New Roman" w:cs="Times New Roman"/>
          <w:i w:val="0"/>
          <w:lang w:val="en-GB"/>
        </w:rPr>
        <w:tab/>
        <w:t xml:space="preserve">      </w:t>
      </w:r>
      <w:r w:rsidRPr="005635D8">
        <w:rPr>
          <w:rStyle w:val="Emphasis"/>
          <w:rFonts w:ascii="Times New Roman" w:hAnsi="Times New Roman" w:cs="Times New Roman"/>
          <w:b/>
          <w:bCs/>
          <w:i w:val="0"/>
          <w:lang w:val="en-GB"/>
        </w:rPr>
        <w:t>Figure 4:</w:t>
      </w:r>
      <w:r w:rsidRPr="005635D8">
        <w:rPr>
          <w:rStyle w:val="Emphasis"/>
          <w:rFonts w:ascii="Times New Roman" w:hAnsi="Times New Roman" w:cs="Times New Roman"/>
          <w:i w:val="0"/>
          <w:lang w:val="en-GB"/>
        </w:rPr>
        <w:t xml:space="preserve"> Q-Q Plot with 135 observations</w:t>
      </w:r>
    </w:p>
    <w:p w:rsidR="00DA6BD4" w:rsidRPr="005635D8" w:rsidRDefault="00DA6BD4" w:rsidP="00DA6BD4">
      <w:pPr>
        <w:autoSpaceDE w:val="0"/>
        <w:autoSpaceDN w:val="0"/>
        <w:adjustRightInd w:val="0"/>
        <w:spacing w:after="0" w:line="240" w:lineRule="auto"/>
        <w:rPr>
          <w:rFonts w:ascii="Times New Roman" w:hAnsi="Times New Roman" w:cs="Times New Roman"/>
          <w:sz w:val="24"/>
          <w:szCs w:val="24"/>
          <w:lang w:val="en-GB"/>
        </w:rPr>
      </w:pPr>
      <w:r w:rsidRPr="005635D8">
        <w:rPr>
          <w:rFonts w:ascii="Times New Roman" w:hAnsi="Times New Roman" w:cs="Times New Roman"/>
          <w:noProof/>
          <w:sz w:val="24"/>
          <w:szCs w:val="24"/>
          <w:lang w:val="en-US"/>
        </w:rPr>
        <w:drawing>
          <wp:inline distT="0" distB="0" distL="0" distR="0">
            <wp:extent cx="2809875" cy="3771900"/>
            <wp:effectExtent l="0" t="0" r="9525"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6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09875" cy="3771900"/>
                    </a:xfrm>
                    <a:prstGeom prst="rect">
                      <a:avLst/>
                    </a:prstGeom>
                    <a:noFill/>
                    <a:ln>
                      <a:noFill/>
                    </a:ln>
                  </pic:spPr>
                </pic:pic>
              </a:graphicData>
            </a:graphic>
          </wp:inline>
        </w:drawing>
      </w:r>
      <w:r w:rsidRPr="005635D8">
        <w:rPr>
          <w:rFonts w:ascii="Times New Roman" w:hAnsi="Times New Roman" w:cs="Times New Roman"/>
          <w:noProof/>
          <w:sz w:val="24"/>
          <w:szCs w:val="24"/>
          <w:lang w:val="en-US"/>
        </w:rPr>
        <w:drawing>
          <wp:inline distT="0" distB="0" distL="0" distR="0">
            <wp:extent cx="2933700" cy="3714402"/>
            <wp:effectExtent l="0" t="0" r="0" b="63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6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33700" cy="3714402"/>
                    </a:xfrm>
                    <a:prstGeom prst="rect">
                      <a:avLst/>
                    </a:prstGeom>
                    <a:noFill/>
                    <a:ln>
                      <a:noFill/>
                    </a:ln>
                  </pic:spPr>
                </pic:pic>
              </a:graphicData>
            </a:graphic>
          </wp:inline>
        </w:drawing>
      </w:r>
    </w:p>
    <w:p w:rsidR="00A07B44" w:rsidRPr="005635D8" w:rsidRDefault="00A07B44">
      <w:pPr>
        <w:rPr>
          <w:rFonts w:ascii="Times New Roman" w:hAnsi="Times New Roman" w:cs="Times New Roman"/>
          <w:sz w:val="24"/>
          <w:szCs w:val="24"/>
          <w:lang w:val="en-GB"/>
        </w:rPr>
      </w:pPr>
      <w:r w:rsidRPr="005635D8">
        <w:rPr>
          <w:rFonts w:ascii="Times New Roman" w:hAnsi="Times New Roman" w:cs="Times New Roman"/>
          <w:sz w:val="24"/>
          <w:szCs w:val="24"/>
          <w:lang w:val="en-GB"/>
        </w:rPr>
        <w:br w:type="page"/>
      </w:r>
    </w:p>
    <w:p w:rsidR="00A07B44" w:rsidRPr="005635D8" w:rsidRDefault="00A07B44" w:rsidP="001E4C5D">
      <w:pPr>
        <w:pStyle w:val="Heading3"/>
        <w:rPr>
          <w:lang w:val="en-GB"/>
        </w:rPr>
      </w:pPr>
      <w:bookmarkStart w:id="98" w:name="_Toc362267322"/>
      <w:r w:rsidRPr="005635D8">
        <w:rPr>
          <w:lang w:val="en-GB"/>
        </w:rPr>
        <w:t>Appendix 4: data sample</w:t>
      </w:r>
      <w:bookmarkEnd w:id="98"/>
      <w:r w:rsidRPr="005635D8">
        <w:rPr>
          <w:lang w:val="en-GB"/>
        </w:rPr>
        <w:t xml:space="preserve"> </w:t>
      </w:r>
    </w:p>
    <w:p w:rsidR="00DA6BD4" w:rsidRPr="005635D8" w:rsidRDefault="00A07B44" w:rsidP="00A07B44">
      <w:pPr>
        <w:jc w:val="both"/>
        <w:rPr>
          <w:lang w:val="en-GB"/>
        </w:rPr>
      </w:pPr>
      <w:r w:rsidRPr="005635D8">
        <w:rPr>
          <w:lang w:val="en-GB"/>
        </w:rPr>
        <w:t>The data used for this research is attached on a cd-rom.</w:t>
      </w:r>
    </w:p>
    <w:p w:rsidR="005B5BC8" w:rsidRPr="005635D8" w:rsidRDefault="005B5BC8" w:rsidP="00E97144">
      <w:pPr>
        <w:rPr>
          <w:b/>
          <w:bCs/>
          <w:sz w:val="32"/>
          <w:szCs w:val="32"/>
          <w:lang w:val="en-GB"/>
        </w:rPr>
      </w:pPr>
    </w:p>
    <w:sectPr w:rsidR="005B5BC8" w:rsidRPr="005635D8" w:rsidSect="001B39EF">
      <w:type w:val="continuous"/>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CAC" w:rsidRDefault="00523CAC" w:rsidP="00B42489">
      <w:pPr>
        <w:spacing w:after="0" w:line="240" w:lineRule="auto"/>
      </w:pPr>
      <w:r>
        <w:separator/>
      </w:r>
    </w:p>
  </w:endnote>
  <w:endnote w:type="continuationSeparator" w:id="0">
    <w:p w:rsidR="00523CAC" w:rsidRDefault="00523CAC" w:rsidP="00B424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EYInterstate Light">
    <w:altName w:val="Arial Narrow"/>
    <w:panose1 w:val="00000000000000000000"/>
    <w:charset w:val="00"/>
    <w:family w:val="auto"/>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AdvPS6F00">
    <w:panose1 w:val="00000000000000000000"/>
    <w:charset w:val="00"/>
    <w:family w:val="roman"/>
    <w:notTrueType/>
    <w:pitch w:val="default"/>
    <w:sig w:usb0="00000003" w:usb1="00000000" w:usb2="00000000" w:usb3="00000000" w:csb0="00000001" w:csb1="00000000"/>
  </w:font>
  <w:font w:name="TrebuchetMS">
    <w:panose1 w:val="00000000000000000000"/>
    <w:charset w:val="00"/>
    <w:family w:val="swiss"/>
    <w:notTrueType/>
    <w:pitch w:val="default"/>
    <w:sig w:usb0="00000003" w:usb1="00000000" w:usb2="00000000" w:usb3="00000000" w:csb0="00000001" w:csb1="00000000"/>
  </w:font>
  <w:font w:name="TimesNewRomanPSMT">
    <w:altName w:val="Arial Unicode MS"/>
    <w:panose1 w:val="00000000000000000000"/>
    <w:charset w:val="80"/>
    <w:family w:val="auto"/>
    <w:notTrueType/>
    <w:pitch w:val="default"/>
    <w:sig w:usb0="00000000" w:usb1="08070000" w:usb2="00000010" w:usb3="00000000" w:csb0="00020000" w:csb1="00000000"/>
  </w:font>
  <w:font w:name="Times-Roman">
    <w:panose1 w:val="00000000000000000000"/>
    <w:charset w:val="00"/>
    <w:family w:val="roman"/>
    <w:notTrueType/>
    <w:pitch w:val="default"/>
    <w:sig w:usb0="00000003" w:usb1="00000000" w:usb2="00000000" w:usb3="00000000" w:csb0="00000001" w:csb1="00000000"/>
  </w:font>
  <w:font w:name="MinionPro-Regular">
    <w:panose1 w:val="00000000000000000000"/>
    <w:charset w:val="00"/>
    <w:family w:val="roman"/>
    <w:notTrueType/>
    <w:pitch w:val="default"/>
    <w:sig w:usb0="00000003" w:usb1="00000000" w:usb2="00000000" w:usb3="00000000" w:csb0="00000001" w:csb1="00000000"/>
  </w:font>
  <w:font w:name="TimesNewRoman,Italic">
    <w:altName w:val="MS Mincho"/>
    <w:panose1 w:val="00000000000000000000"/>
    <w:charset w:val="00"/>
    <w:family w:val="roman"/>
    <w:notTrueType/>
    <w:pitch w:val="default"/>
    <w:sig w:usb0="00000003" w:usb1="00000000" w:usb2="00000000" w:usb3="00000000" w:csb0="00000001" w:csb1="00000000"/>
  </w:font>
  <w:font w:name="NewBaskerville-Roman">
    <w:panose1 w:val="00000000000000000000"/>
    <w:charset w:val="00"/>
    <w:family w:val="roman"/>
    <w:notTrueType/>
    <w:pitch w:val="default"/>
    <w:sig w:usb0="00000003" w:usb1="00000000" w:usb2="00000000" w:usb3="00000000" w:csb0="00000001" w:csb1="00000000"/>
  </w:font>
  <w:font w:name="AdvGulliv-R">
    <w:panose1 w:val="00000000000000000000"/>
    <w:charset w:val="00"/>
    <w:family w:val="auto"/>
    <w:notTrueType/>
    <w:pitch w:val="default"/>
    <w:sig w:usb0="00000003" w:usb1="00000000" w:usb2="00000000" w:usb3="00000000" w:csb0="00000001" w:csb1="00000000"/>
  </w:font>
  <w:font w:name="TrebuchetMS,Italic">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8955996"/>
      <w:docPartObj>
        <w:docPartGallery w:val="Page Numbers (Bottom of Page)"/>
        <w:docPartUnique/>
      </w:docPartObj>
    </w:sdtPr>
    <w:sdtEndPr>
      <w:rPr>
        <w:color w:val="808080" w:themeColor="background1" w:themeShade="80"/>
        <w:spacing w:val="60"/>
      </w:rPr>
    </w:sdtEndPr>
    <w:sdtContent>
      <w:p w:rsidR="00BC052A" w:rsidRPr="001B39EF" w:rsidRDefault="004A2AB3">
        <w:pPr>
          <w:pStyle w:val="Footer"/>
          <w:pBdr>
            <w:top w:val="single" w:sz="4" w:space="1" w:color="D9D9D9" w:themeColor="background1" w:themeShade="D9"/>
          </w:pBdr>
          <w:jc w:val="right"/>
          <w:rPr>
            <w:lang w:val="en-GB"/>
          </w:rPr>
        </w:pPr>
        <w:r>
          <w:fldChar w:fldCharType="begin"/>
        </w:r>
        <w:r w:rsidR="00BC052A" w:rsidRPr="00BB1EE0">
          <w:rPr>
            <w:lang w:val="en-GB"/>
          </w:rPr>
          <w:instrText xml:space="preserve"> PAGE   \* MERGEFORMAT </w:instrText>
        </w:r>
        <w:r>
          <w:fldChar w:fldCharType="separate"/>
        </w:r>
        <w:r w:rsidR="00247E29">
          <w:rPr>
            <w:noProof/>
            <w:lang w:val="en-GB"/>
          </w:rPr>
          <w:t>1</w:t>
        </w:r>
        <w:r>
          <w:rPr>
            <w:noProof/>
          </w:rPr>
          <w:fldChar w:fldCharType="end"/>
        </w:r>
        <w:r w:rsidR="00BC052A" w:rsidRPr="001B39EF">
          <w:rPr>
            <w:lang w:val="en-GB"/>
          </w:rPr>
          <w:t xml:space="preserve"> | </w:t>
        </w:r>
        <w:r w:rsidR="00BC052A" w:rsidRPr="001B39EF">
          <w:rPr>
            <w:color w:val="808080" w:themeColor="background1" w:themeShade="80"/>
            <w:spacing w:val="60"/>
            <w:lang w:val="en-GB"/>
          </w:rPr>
          <w:t>Page</w:t>
        </w:r>
      </w:p>
    </w:sdtContent>
  </w:sdt>
  <w:p w:rsidR="00BC052A" w:rsidRPr="001B39EF" w:rsidRDefault="00BC052A" w:rsidP="0053273C">
    <w:pPr>
      <w:pStyle w:val="Footer"/>
      <w:rPr>
        <w:lang w:val="en-GB"/>
      </w:rPr>
    </w:pPr>
    <w:r w:rsidRPr="001B39EF">
      <w:rPr>
        <w:sz w:val="20"/>
        <w:szCs w:val="20"/>
        <w:lang w:val="en-GB"/>
      </w:rPr>
      <w:t>Master thesis accounting, auditing and control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CAC" w:rsidRDefault="00523CAC" w:rsidP="00B42489">
      <w:pPr>
        <w:spacing w:after="0" w:line="240" w:lineRule="auto"/>
      </w:pPr>
      <w:r>
        <w:separator/>
      </w:r>
    </w:p>
  </w:footnote>
  <w:footnote w:type="continuationSeparator" w:id="0">
    <w:p w:rsidR="00523CAC" w:rsidRDefault="00523CAC" w:rsidP="00B424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B2BAFBC4"/>
    <w:lvl w:ilvl="0">
      <w:start w:val="1"/>
      <w:numFmt w:val="decimal"/>
      <w:lvlText w:val="%1"/>
      <w:lvlJc w:val="left"/>
      <w:pPr>
        <w:tabs>
          <w:tab w:val="num" w:pos="862"/>
        </w:tabs>
        <w:ind w:left="862" w:hanging="720"/>
      </w:pPr>
      <w:rPr>
        <w:rFonts w:ascii="EYInterstate Light" w:hAnsi="EYInterstate Light" w:cs="Times New Roman" w:hint="default"/>
        <w:b/>
        <w:i w:val="0"/>
        <w:sz w:val="28"/>
      </w:rPr>
    </w:lvl>
    <w:lvl w:ilvl="1">
      <w:start w:val="1"/>
      <w:numFmt w:val="decimal"/>
      <w:lvlText w:val="%1.%2"/>
      <w:lvlJc w:val="left"/>
      <w:pPr>
        <w:tabs>
          <w:tab w:val="num" w:pos="720"/>
        </w:tabs>
        <w:ind w:left="720" w:hanging="720"/>
      </w:pPr>
      <w:rPr>
        <w:rFonts w:ascii="EYInterstate Light" w:hAnsi="EYInterstate Light" w:cs="Times New Roman" w:hint="default"/>
        <w:b/>
        <w:i w:val="0"/>
        <w:sz w:val="26"/>
      </w:rPr>
    </w:lvl>
    <w:lvl w:ilvl="2">
      <w:start w:val="1"/>
      <w:numFmt w:val="decimal"/>
      <w:lvlText w:val="%1.%2.%3"/>
      <w:lvlJc w:val="left"/>
      <w:pPr>
        <w:tabs>
          <w:tab w:val="num" w:pos="720"/>
        </w:tabs>
        <w:ind w:left="720" w:hanging="720"/>
      </w:pPr>
      <w:rPr>
        <w:rFonts w:ascii="EYInterstate Light" w:hAnsi="EYInterstate Light" w:cs="Times New Roman" w:hint="default"/>
        <w:b/>
        <w:i w:val="0"/>
        <w:sz w:val="24"/>
      </w:rPr>
    </w:lvl>
    <w:lvl w:ilvl="3">
      <w:start w:val="1"/>
      <w:numFmt w:val="decimal"/>
      <w:suff w:val="nothing"/>
      <w:lvlText w:val="%1.%2.%3.%4"/>
      <w:lvlJc w:val="left"/>
      <w:pPr>
        <w:tabs>
          <w:tab w:val="num" w:pos="720"/>
        </w:tabs>
        <w:ind w:left="720" w:hanging="720"/>
      </w:pPr>
      <w:rPr>
        <w:rFonts w:ascii="EYInterstate Light" w:hAnsi="EYInterstate Light" w:cs="Times New Roman" w:hint="default"/>
        <w:b/>
        <w:i w:val="0"/>
        <w:sz w:val="22"/>
      </w:rPr>
    </w:lvl>
    <w:lvl w:ilvl="4">
      <w:start w:val="1"/>
      <w:numFmt w:val="decimal"/>
      <w:lvlText w:val="(%5)"/>
      <w:lvlJc w:val="left"/>
      <w:pPr>
        <w:tabs>
          <w:tab w:val="num" w:pos="0"/>
        </w:tabs>
        <w:ind w:left="3576" w:hanging="708"/>
      </w:pPr>
      <w:rPr>
        <w:rFonts w:cs="Times New Roman" w:hint="default"/>
      </w:rPr>
    </w:lvl>
    <w:lvl w:ilvl="5">
      <w:start w:val="1"/>
      <w:numFmt w:val="lowerLetter"/>
      <w:lvlText w:val="(%6)"/>
      <w:lvlJc w:val="left"/>
      <w:pPr>
        <w:tabs>
          <w:tab w:val="num" w:pos="0"/>
        </w:tabs>
        <w:ind w:left="4284" w:hanging="708"/>
      </w:pPr>
      <w:rPr>
        <w:rFonts w:cs="Times New Roman" w:hint="default"/>
      </w:rPr>
    </w:lvl>
    <w:lvl w:ilvl="6">
      <w:start w:val="1"/>
      <w:numFmt w:val="lowerRoman"/>
      <w:lvlText w:val="(%7)"/>
      <w:lvlJc w:val="left"/>
      <w:pPr>
        <w:tabs>
          <w:tab w:val="num" w:pos="0"/>
        </w:tabs>
        <w:ind w:left="4992" w:hanging="708"/>
      </w:pPr>
      <w:rPr>
        <w:rFonts w:cs="Times New Roman" w:hint="default"/>
      </w:rPr>
    </w:lvl>
    <w:lvl w:ilvl="7">
      <w:start w:val="1"/>
      <w:numFmt w:val="lowerLetter"/>
      <w:lvlText w:val="(%8)"/>
      <w:lvlJc w:val="left"/>
      <w:pPr>
        <w:tabs>
          <w:tab w:val="num" w:pos="0"/>
        </w:tabs>
        <w:ind w:left="5700" w:hanging="708"/>
      </w:pPr>
      <w:rPr>
        <w:rFonts w:cs="Times New Roman" w:hint="default"/>
      </w:rPr>
    </w:lvl>
    <w:lvl w:ilvl="8">
      <w:start w:val="1"/>
      <w:numFmt w:val="lowerRoman"/>
      <w:lvlText w:val="(%9)"/>
      <w:lvlJc w:val="left"/>
      <w:pPr>
        <w:tabs>
          <w:tab w:val="num" w:pos="0"/>
        </w:tabs>
        <w:ind w:left="6408" w:hanging="708"/>
      </w:pPr>
      <w:rPr>
        <w:rFonts w:cs="Times New Roman" w:hint="default"/>
      </w:rPr>
    </w:lvl>
  </w:abstractNum>
  <w:abstractNum w:abstractNumId="1">
    <w:nsid w:val="096F0AB5"/>
    <w:multiLevelType w:val="multilevel"/>
    <w:tmpl w:val="62EC925A"/>
    <w:lvl w:ilvl="0">
      <w:start w:val="1"/>
      <w:numFmt w:val="decimal"/>
      <w:lvlText w:val="%1"/>
      <w:lvlJc w:val="left"/>
      <w:pPr>
        <w:ind w:left="432" w:hanging="432"/>
      </w:pPr>
      <w:rPr>
        <w:rFonts w:hint="default"/>
      </w:rPr>
    </w:lvl>
    <w:lvl w:ilvl="1">
      <w:start w:val="1"/>
      <w:numFmt w:val="decimal"/>
      <w:lvlText w:val="%1.%2"/>
      <w:lvlJc w:val="left"/>
      <w:pPr>
        <w:ind w:left="576" w:hanging="576"/>
      </w:pPr>
      <w:rPr>
        <w:rFonts w:asciiTheme="minorHAnsi" w:hAnsiTheme="minorHAnsi" w:hint="default"/>
        <w:b w:val="0"/>
        <w:sz w:val="36"/>
        <w:szCs w:val="36"/>
      </w:rPr>
    </w:lvl>
    <w:lvl w:ilvl="2">
      <w:start w:val="1"/>
      <w:numFmt w:val="decimal"/>
      <w:lvlText w:val="%1.%2.%3"/>
      <w:lvlJc w:val="left"/>
      <w:pPr>
        <w:ind w:left="720" w:hanging="720"/>
      </w:pPr>
      <w:rPr>
        <w:rFonts w:asciiTheme="minorHAnsi" w:hAnsiTheme="minorHAnsi" w:hint="default"/>
        <w:sz w:val="30"/>
        <w:szCs w:val="30"/>
      </w:rPr>
    </w:lvl>
    <w:lvl w:ilvl="3">
      <w:start w:val="6"/>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nsid w:val="1DEC16E8"/>
    <w:multiLevelType w:val="hybridMultilevel"/>
    <w:tmpl w:val="FFC4A99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1FA1259F"/>
    <w:multiLevelType w:val="hybridMultilevel"/>
    <w:tmpl w:val="EC04F76A"/>
    <w:lvl w:ilvl="0" w:tplc="0413001B">
      <w:start w:val="1"/>
      <w:numFmt w:val="lowerRoman"/>
      <w:lvlText w:val="%1."/>
      <w:lvlJc w:val="right"/>
      <w:pPr>
        <w:ind w:left="644" w:hanging="360"/>
      </w:p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4">
    <w:nsid w:val="2021480F"/>
    <w:multiLevelType w:val="hybridMultilevel"/>
    <w:tmpl w:val="601A46A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252556F"/>
    <w:multiLevelType w:val="hybridMultilevel"/>
    <w:tmpl w:val="B352D69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26E7264D"/>
    <w:multiLevelType w:val="hybridMultilevel"/>
    <w:tmpl w:val="35B49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7197AA0"/>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8">
    <w:nsid w:val="38DD3D1D"/>
    <w:multiLevelType w:val="multilevel"/>
    <w:tmpl w:val="6F7E91B4"/>
    <w:lvl w:ilvl="0">
      <w:start w:val="1"/>
      <w:numFmt w:val="decimal"/>
      <w:lvlText w:val="%1"/>
      <w:lvlJc w:val="left"/>
      <w:pPr>
        <w:ind w:left="432" w:hanging="432"/>
      </w:pPr>
      <w:rPr>
        <w:rFonts w:hint="default"/>
      </w:rPr>
    </w:lvl>
    <w:lvl w:ilvl="1">
      <w:start w:val="1"/>
      <w:numFmt w:val="decimal"/>
      <w:lvlText w:val="%1.%2"/>
      <w:lvlJc w:val="left"/>
      <w:pPr>
        <w:ind w:left="71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3AD30217"/>
    <w:multiLevelType w:val="hybridMultilevel"/>
    <w:tmpl w:val="9EB4F3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42A7452D"/>
    <w:multiLevelType w:val="hybridMultilevel"/>
    <w:tmpl w:val="29308D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4C076417"/>
    <w:multiLevelType w:val="hybridMultilevel"/>
    <w:tmpl w:val="3B0E0E46"/>
    <w:lvl w:ilvl="0" w:tplc="FC0E292E">
      <w:start w:val="9"/>
      <w:numFmt w:val="bullet"/>
      <w:lvlText w:val="-"/>
      <w:lvlJc w:val="left"/>
      <w:pPr>
        <w:ind w:left="720" w:hanging="360"/>
      </w:pPr>
      <w:rPr>
        <w:rFonts w:ascii="Calibri" w:eastAsia="PMingLiU"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5B3667FD"/>
    <w:multiLevelType w:val="hybridMultilevel"/>
    <w:tmpl w:val="22A464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6B8B7F7D"/>
    <w:multiLevelType w:val="multilevel"/>
    <w:tmpl w:val="4008E324"/>
    <w:lvl w:ilvl="0">
      <w:start w:val="3"/>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D3F58C9"/>
    <w:multiLevelType w:val="hybridMultilevel"/>
    <w:tmpl w:val="7B56FE4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6F8A4D25"/>
    <w:multiLevelType w:val="hybridMultilevel"/>
    <w:tmpl w:val="4340424A"/>
    <w:lvl w:ilvl="0" w:tplc="7E2AB7A2">
      <w:numFmt w:val="bullet"/>
      <w:lvlText w:val="-"/>
      <w:lvlJc w:val="left"/>
      <w:pPr>
        <w:ind w:left="360" w:hanging="360"/>
      </w:pPr>
      <w:rPr>
        <w:rFonts w:ascii="EYInterstate Light" w:eastAsia="Times New Roman" w:hAnsi="EYInterstate Light"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7"/>
  </w:num>
  <w:num w:numId="3">
    <w:abstractNumId w:val="8"/>
  </w:num>
  <w:num w:numId="4">
    <w:abstractNumId w:val="3"/>
  </w:num>
  <w:num w:numId="5">
    <w:abstractNumId w:val="2"/>
  </w:num>
  <w:num w:numId="6">
    <w:abstractNumId w:val="15"/>
  </w:num>
  <w:num w:numId="7">
    <w:abstractNumId w:val="0"/>
  </w:num>
  <w:num w:numId="8">
    <w:abstractNumId w:val="12"/>
  </w:num>
  <w:num w:numId="9">
    <w:abstractNumId w:val="14"/>
  </w:num>
  <w:num w:numId="10">
    <w:abstractNumId w:val="4"/>
  </w:num>
  <w:num w:numId="11">
    <w:abstractNumId w:val="5"/>
  </w:num>
  <w:num w:numId="12">
    <w:abstractNumId w:val="13"/>
  </w:num>
  <w:num w:numId="13">
    <w:abstractNumId w:val="9"/>
  </w:num>
  <w:num w:numId="14">
    <w:abstractNumId w:val="11"/>
  </w:num>
  <w:num w:numId="15">
    <w:abstractNumId w:val="10"/>
  </w:num>
  <w:num w:numId="16">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4"/>
  <w:hyphenationZone w:val="425"/>
  <w:characterSpacingControl w:val="doNotCompress"/>
  <w:hdrShapeDefaults>
    <o:shapedefaults v:ext="edit" spidmax="4097"/>
  </w:hdrShapeDefaults>
  <w:footnotePr>
    <w:footnote w:id="-1"/>
    <w:footnote w:id="0"/>
  </w:footnotePr>
  <w:endnotePr>
    <w:endnote w:id="-1"/>
    <w:endnote w:id="0"/>
  </w:endnotePr>
  <w:compat>
    <w:useFELayout/>
  </w:compat>
  <w:rsids>
    <w:rsidRoot w:val="009D34FE"/>
    <w:rsid w:val="0000069E"/>
    <w:rsid w:val="00004656"/>
    <w:rsid w:val="000046BF"/>
    <w:rsid w:val="00004C82"/>
    <w:rsid w:val="00004FAD"/>
    <w:rsid w:val="00005E1E"/>
    <w:rsid w:val="000065C9"/>
    <w:rsid w:val="00010AA6"/>
    <w:rsid w:val="00011262"/>
    <w:rsid w:val="00011C4A"/>
    <w:rsid w:val="00012087"/>
    <w:rsid w:val="00013EBE"/>
    <w:rsid w:val="00016C0D"/>
    <w:rsid w:val="00016DCD"/>
    <w:rsid w:val="000171B4"/>
    <w:rsid w:val="00017706"/>
    <w:rsid w:val="00017857"/>
    <w:rsid w:val="000200E1"/>
    <w:rsid w:val="000223BA"/>
    <w:rsid w:val="0002254B"/>
    <w:rsid w:val="000235D6"/>
    <w:rsid w:val="00026034"/>
    <w:rsid w:val="000275A6"/>
    <w:rsid w:val="00027E7E"/>
    <w:rsid w:val="00030951"/>
    <w:rsid w:val="00033379"/>
    <w:rsid w:val="00033709"/>
    <w:rsid w:val="00034350"/>
    <w:rsid w:val="000344AB"/>
    <w:rsid w:val="00034B56"/>
    <w:rsid w:val="00034D61"/>
    <w:rsid w:val="00034FAC"/>
    <w:rsid w:val="0003608E"/>
    <w:rsid w:val="000373E8"/>
    <w:rsid w:val="000402FA"/>
    <w:rsid w:val="000403E6"/>
    <w:rsid w:val="000405C3"/>
    <w:rsid w:val="00040CB5"/>
    <w:rsid w:val="00042AE8"/>
    <w:rsid w:val="00043759"/>
    <w:rsid w:val="00043824"/>
    <w:rsid w:val="000442F7"/>
    <w:rsid w:val="0004473B"/>
    <w:rsid w:val="00045DAC"/>
    <w:rsid w:val="00045E0A"/>
    <w:rsid w:val="00047963"/>
    <w:rsid w:val="000507A0"/>
    <w:rsid w:val="00050ACE"/>
    <w:rsid w:val="00050F6D"/>
    <w:rsid w:val="000525BE"/>
    <w:rsid w:val="00052675"/>
    <w:rsid w:val="000538D0"/>
    <w:rsid w:val="000546F7"/>
    <w:rsid w:val="00054888"/>
    <w:rsid w:val="00055FD9"/>
    <w:rsid w:val="00061050"/>
    <w:rsid w:val="00061A64"/>
    <w:rsid w:val="00061C06"/>
    <w:rsid w:val="000642FD"/>
    <w:rsid w:val="00065526"/>
    <w:rsid w:val="000656AF"/>
    <w:rsid w:val="00067BA4"/>
    <w:rsid w:val="00071212"/>
    <w:rsid w:val="00071236"/>
    <w:rsid w:val="00071A6D"/>
    <w:rsid w:val="0007295F"/>
    <w:rsid w:val="00072CDA"/>
    <w:rsid w:val="000741CE"/>
    <w:rsid w:val="00075753"/>
    <w:rsid w:val="00076FAB"/>
    <w:rsid w:val="00077876"/>
    <w:rsid w:val="00077BF8"/>
    <w:rsid w:val="0008062B"/>
    <w:rsid w:val="00080D81"/>
    <w:rsid w:val="00080E4D"/>
    <w:rsid w:val="00082BF1"/>
    <w:rsid w:val="00083671"/>
    <w:rsid w:val="00084663"/>
    <w:rsid w:val="00084690"/>
    <w:rsid w:val="00085800"/>
    <w:rsid w:val="00085E59"/>
    <w:rsid w:val="00086D0C"/>
    <w:rsid w:val="00087021"/>
    <w:rsid w:val="00087548"/>
    <w:rsid w:val="0009145E"/>
    <w:rsid w:val="000916BB"/>
    <w:rsid w:val="00092107"/>
    <w:rsid w:val="00092335"/>
    <w:rsid w:val="00096EE3"/>
    <w:rsid w:val="0009798A"/>
    <w:rsid w:val="000979A2"/>
    <w:rsid w:val="00097C83"/>
    <w:rsid w:val="000A0C89"/>
    <w:rsid w:val="000A2B7D"/>
    <w:rsid w:val="000A2F64"/>
    <w:rsid w:val="000A3164"/>
    <w:rsid w:val="000A4585"/>
    <w:rsid w:val="000A4AA3"/>
    <w:rsid w:val="000A4CC3"/>
    <w:rsid w:val="000A5074"/>
    <w:rsid w:val="000A5650"/>
    <w:rsid w:val="000A7667"/>
    <w:rsid w:val="000A7FB7"/>
    <w:rsid w:val="000B0020"/>
    <w:rsid w:val="000B15E2"/>
    <w:rsid w:val="000B3E96"/>
    <w:rsid w:val="000B5605"/>
    <w:rsid w:val="000B567D"/>
    <w:rsid w:val="000B71C0"/>
    <w:rsid w:val="000C004D"/>
    <w:rsid w:val="000C1061"/>
    <w:rsid w:val="000C148C"/>
    <w:rsid w:val="000C182B"/>
    <w:rsid w:val="000C1B75"/>
    <w:rsid w:val="000C2F64"/>
    <w:rsid w:val="000C7178"/>
    <w:rsid w:val="000D03D7"/>
    <w:rsid w:val="000D1215"/>
    <w:rsid w:val="000D19B3"/>
    <w:rsid w:val="000D440A"/>
    <w:rsid w:val="000D484F"/>
    <w:rsid w:val="000D4CE0"/>
    <w:rsid w:val="000D636E"/>
    <w:rsid w:val="000D7160"/>
    <w:rsid w:val="000D794A"/>
    <w:rsid w:val="000E064B"/>
    <w:rsid w:val="000E110D"/>
    <w:rsid w:val="000E1A21"/>
    <w:rsid w:val="000E2AC1"/>
    <w:rsid w:val="000E471B"/>
    <w:rsid w:val="000E67DD"/>
    <w:rsid w:val="000E7506"/>
    <w:rsid w:val="000E7D87"/>
    <w:rsid w:val="000F064C"/>
    <w:rsid w:val="000F18B0"/>
    <w:rsid w:val="000F27C5"/>
    <w:rsid w:val="000F29DC"/>
    <w:rsid w:val="000F3C89"/>
    <w:rsid w:val="000F53E9"/>
    <w:rsid w:val="000F6078"/>
    <w:rsid w:val="000F7562"/>
    <w:rsid w:val="000F79E3"/>
    <w:rsid w:val="001008CA"/>
    <w:rsid w:val="00100CB1"/>
    <w:rsid w:val="001025B4"/>
    <w:rsid w:val="001044ED"/>
    <w:rsid w:val="00104857"/>
    <w:rsid w:val="00104B91"/>
    <w:rsid w:val="00106857"/>
    <w:rsid w:val="00107CA0"/>
    <w:rsid w:val="00111E79"/>
    <w:rsid w:val="00113B8B"/>
    <w:rsid w:val="00115D45"/>
    <w:rsid w:val="00117725"/>
    <w:rsid w:val="0011790A"/>
    <w:rsid w:val="00120277"/>
    <w:rsid w:val="0012048B"/>
    <w:rsid w:val="00121EB4"/>
    <w:rsid w:val="00123377"/>
    <w:rsid w:val="00123802"/>
    <w:rsid w:val="0012477A"/>
    <w:rsid w:val="00124842"/>
    <w:rsid w:val="00124B2D"/>
    <w:rsid w:val="00124FB1"/>
    <w:rsid w:val="001255C7"/>
    <w:rsid w:val="00125C40"/>
    <w:rsid w:val="00126744"/>
    <w:rsid w:val="00126F25"/>
    <w:rsid w:val="0013020D"/>
    <w:rsid w:val="00130BAD"/>
    <w:rsid w:val="00131080"/>
    <w:rsid w:val="001325A5"/>
    <w:rsid w:val="0013264E"/>
    <w:rsid w:val="00132F2C"/>
    <w:rsid w:val="001330F2"/>
    <w:rsid w:val="001339AE"/>
    <w:rsid w:val="00135BA3"/>
    <w:rsid w:val="0013672C"/>
    <w:rsid w:val="00140A52"/>
    <w:rsid w:val="00140C10"/>
    <w:rsid w:val="00142952"/>
    <w:rsid w:val="0014593D"/>
    <w:rsid w:val="00145CE7"/>
    <w:rsid w:val="001471B4"/>
    <w:rsid w:val="001506F0"/>
    <w:rsid w:val="001507FB"/>
    <w:rsid w:val="00153210"/>
    <w:rsid w:val="001532B3"/>
    <w:rsid w:val="00154AF9"/>
    <w:rsid w:val="00154B53"/>
    <w:rsid w:val="00154E71"/>
    <w:rsid w:val="001552F6"/>
    <w:rsid w:val="00156F4A"/>
    <w:rsid w:val="001577A4"/>
    <w:rsid w:val="00160397"/>
    <w:rsid w:val="001603C8"/>
    <w:rsid w:val="001608A3"/>
    <w:rsid w:val="00161B06"/>
    <w:rsid w:val="00161D5D"/>
    <w:rsid w:val="00161FC6"/>
    <w:rsid w:val="001622A9"/>
    <w:rsid w:val="00162908"/>
    <w:rsid w:val="00164028"/>
    <w:rsid w:val="001640AB"/>
    <w:rsid w:val="00164F1D"/>
    <w:rsid w:val="00164FDC"/>
    <w:rsid w:val="00165397"/>
    <w:rsid w:val="00165A90"/>
    <w:rsid w:val="00166299"/>
    <w:rsid w:val="00166423"/>
    <w:rsid w:val="00170D93"/>
    <w:rsid w:val="00171288"/>
    <w:rsid w:val="00174526"/>
    <w:rsid w:val="001769D8"/>
    <w:rsid w:val="00177662"/>
    <w:rsid w:val="00177CBE"/>
    <w:rsid w:val="001807C8"/>
    <w:rsid w:val="00181F85"/>
    <w:rsid w:val="00182CC2"/>
    <w:rsid w:val="00183953"/>
    <w:rsid w:val="00183E8B"/>
    <w:rsid w:val="00183F62"/>
    <w:rsid w:val="0018796A"/>
    <w:rsid w:val="001904EE"/>
    <w:rsid w:val="00191984"/>
    <w:rsid w:val="00191BA6"/>
    <w:rsid w:val="00192DA2"/>
    <w:rsid w:val="0019354B"/>
    <w:rsid w:val="0019479F"/>
    <w:rsid w:val="00194D2A"/>
    <w:rsid w:val="00195B1D"/>
    <w:rsid w:val="00196B85"/>
    <w:rsid w:val="00196FA6"/>
    <w:rsid w:val="001A02BA"/>
    <w:rsid w:val="001A1B0C"/>
    <w:rsid w:val="001A231E"/>
    <w:rsid w:val="001A39B8"/>
    <w:rsid w:val="001A3C41"/>
    <w:rsid w:val="001A53BE"/>
    <w:rsid w:val="001A7665"/>
    <w:rsid w:val="001B02D6"/>
    <w:rsid w:val="001B13F7"/>
    <w:rsid w:val="001B1732"/>
    <w:rsid w:val="001B2A7E"/>
    <w:rsid w:val="001B39EF"/>
    <w:rsid w:val="001B3C24"/>
    <w:rsid w:val="001B7126"/>
    <w:rsid w:val="001B7175"/>
    <w:rsid w:val="001B7650"/>
    <w:rsid w:val="001C0DC5"/>
    <w:rsid w:val="001C23BA"/>
    <w:rsid w:val="001C3DD4"/>
    <w:rsid w:val="001C4045"/>
    <w:rsid w:val="001C4F75"/>
    <w:rsid w:val="001C5142"/>
    <w:rsid w:val="001C6B72"/>
    <w:rsid w:val="001C715D"/>
    <w:rsid w:val="001C78EB"/>
    <w:rsid w:val="001D022A"/>
    <w:rsid w:val="001D1117"/>
    <w:rsid w:val="001D1FB8"/>
    <w:rsid w:val="001D26B8"/>
    <w:rsid w:val="001D272C"/>
    <w:rsid w:val="001D3292"/>
    <w:rsid w:val="001D3783"/>
    <w:rsid w:val="001D43CB"/>
    <w:rsid w:val="001D513A"/>
    <w:rsid w:val="001D6343"/>
    <w:rsid w:val="001D6CC1"/>
    <w:rsid w:val="001D757E"/>
    <w:rsid w:val="001E022B"/>
    <w:rsid w:val="001E0FA8"/>
    <w:rsid w:val="001E1341"/>
    <w:rsid w:val="001E2151"/>
    <w:rsid w:val="001E3E73"/>
    <w:rsid w:val="001E4336"/>
    <w:rsid w:val="001E4C5D"/>
    <w:rsid w:val="001E7C9A"/>
    <w:rsid w:val="001F19D1"/>
    <w:rsid w:val="001F1EB1"/>
    <w:rsid w:val="001F1F9B"/>
    <w:rsid w:val="001F32A0"/>
    <w:rsid w:val="001F41C4"/>
    <w:rsid w:val="001F46C7"/>
    <w:rsid w:val="001F4942"/>
    <w:rsid w:val="001F4CF3"/>
    <w:rsid w:val="001F59D9"/>
    <w:rsid w:val="001F5AAE"/>
    <w:rsid w:val="001F5FE8"/>
    <w:rsid w:val="001F7EA6"/>
    <w:rsid w:val="002043BD"/>
    <w:rsid w:val="00204C1F"/>
    <w:rsid w:val="002054A2"/>
    <w:rsid w:val="00207473"/>
    <w:rsid w:val="00207526"/>
    <w:rsid w:val="00210D6E"/>
    <w:rsid w:val="0021123C"/>
    <w:rsid w:val="0021124E"/>
    <w:rsid w:val="002123D0"/>
    <w:rsid w:val="00212684"/>
    <w:rsid w:val="00212E53"/>
    <w:rsid w:val="0021389A"/>
    <w:rsid w:val="00215935"/>
    <w:rsid w:val="002170E5"/>
    <w:rsid w:val="0022026F"/>
    <w:rsid w:val="00221D18"/>
    <w:rsid w:val="0022228F"/>
    <w:rsid w:val="00222F24"/>
    <w:rsid w:val="0022332D"/>
    <w:rsid w:val="002238B5"/>
    <w:rsid w:val="00223E4E"/>
    <w:rsid w:val="00224676"/>
    <w:rsid w:val="00225252"/>
    <w:rsid w:val="00225471"/>
    <w:rsid w:val="0022688C"/>
    <w:rsid w:val="00226936"/>
    <w:rsid w:val="00226F36"/>
    <w:rsid w:val="00227618"/>
    <w:rsid w:val="00227B46"/>
    <w:rsid w:val="0023032C"/>
    <w:rsid w:val="002308FE"/>
    <w:rsid w:val="00230B58"/>
    <w:rsid w:val="00230D42"/>
    <w:rsid w:val="0023116D"/>
    <w:rsid w:val="002323BA"/>
    <w:rsid w:val="0023458B"/>
    <w:rsid w:val="0023480F"/>
    <w:rsid w:val="00235950"/>
    <w:rsid w:val="00236369"/>
    <w:rsid w:val="002370D8"/>
    <w:rsid w:val="002414C6"/>
    <w:rsid w:val="0024187E"/>
    <w:rsid w:val="00242BC6"/>
    <w:rsid w:val="0024320F"/>
    <w:rsid w:val="002436B5"/>
    <w:rsid w:val="0024622F"/>
    <w:rsid w:val="0024667B"/>
    <w:rsid w:val="00247E29"/>
    <w:rsid w:val="00251940"/>
    <w:rsid w:val="00251EB8"/>
    <w:rsid w:val="0025366E"/>
    <w:rsid w:val="00254145"/>
    <w:rsid w:val="002550A6"/>
    <w:rsid w:val="002567F2"/>
    <w:rsid w:val="002568D3"/>
    <w:rsid w:val="00256C6E"/>
    <w:rsid w:val="0026206F"/>
    <w:rsid w:val="002626DC"/>
    <w:rsid w:val="00266179"/>
    <w:rsid w:val="00267213"/>
    <w:rsid w:val="002673A2"/>
    <w:rsid w:val="00267763"/>
    <w:rsid w:val="00271728"/>
    <w:rsid w:val="00271DF3"/>
    <w:rsid w:val="00272131"/>
    <w:rsid w:val="0027288F"/>
    <w:rsid w:val="00272EE2"/>
    <w:rsid w:val="00274E6F"/>
    <w:rsid w:val="002750FF"/>
    <w:rsid w:val="002763B8"/>
    <w:rsid w:val="00276980"/>
    <w:rsid w:val="0028051B"/>
    <w:rsid w:val="002813ED"/>
    <w:rsid w:val="00282697"/>
    <w:rsid w:val="002828CF"/>
    <w:rsid w:val="00283444"/>
    <w:rsid w:val="00283B1F"/>
    <w:rsid w:val="002847E1"/>
    <w:rsid w:val="00286A6E"/>
    <w:rsid w:val="00290BDF"/>
    <w:rsid w:val="002918C9"/>
    <w:rsid w:val="0029758D"/>
    <w:rsid w:val="002979F3"/>
    <w:rsid w:val="002A233B"/>
    <w:rsid w:val="002A37B3"/>
    <w:rsid w:val="002A4598"/>
    <w:rsid w:val="002A4745"/>
    <w:rsid w:val="002A4D63"/>
    <w:rsid w:val="002A7DD4"/>
    <w:rsid w:val="002B0F7A"/>
    <w:rsid w:val="002B0FA1"/>
    <w:rsid w:val="002B16C1"/>
    <w:rsid w:val="002B22B3"/>
    <w:rsid w:val="002B2357"/>
    <w:rsid w:val="002B243B"/>
    <w:rsid w:val="002B279E"/>
    <w:rsid w:val="002B4AEB"/>
    <w:rsid w:val="002C10B9"/>
    <w:rsid w:val="002C1606"/>
    <w:rsid w:val="002C187B"/>
    <w:rsid w:val="002C2282"/>
    <w:rsid w:val="002C48BC"/>
    <w:rsid w:val="002C6C28"/>
    <w:rsid w:val="002C6E5A"/>
    <w:rsid w:val="002C7C71"/>
    <w:rsid w:val="002D05B2"/>
    <w:rsid w:val="002D336A"/>
    <w:rsid w:val="002D3377"/>
    <w:rsid w:val="002D43E5"/>
    <w:rsid w:val="002D5DC4"/>
    <w:rsid w:val="002D6DFD"/>
    <w:rsid w:val="002D6FFD"/>
    <w:rsid w:val="002E00A6"/>
    <w:rsid w:val="002E0BE6"/>
    <w:rsid w:val="002E1716"/>
    <w:rsid w:val="002E247D"/>
    <w:rsid w:val="002E2C1E"/>
    <w:rsid w:val="002E2FAB"/>
    <w:rsid w:val="002E3E5D"/>
    <w:rsid w:val="002E4C7D"/>
    <w:rsid w:val="002E4C88"/>
    <w:rsid w:val="002E4D6A"/>
    <w:rsid w:val="002E50C9"/>
    <w:rsid w:val="002E5323"/>
    <w:rsid w:val="002E7603"/>
    <w:rsid w:val="002E7ECC"/>
    <w:rsid w:val="002F0972"/>
    <w:rsid w:val="002F1AE8"/>
    <w:rsid w:val="002F3A30"/>
    <w:rsid w:val="002F3E05"/>
    <w:rsid w:val="002F409F"/>
    <w:rsid w:val="002F5161"/>
    <w:rsid w:val="002F7BA7"/>
    <w:rsid w:val="002F7CF3"/>
    <w:rsid w:val="00300625"/>
    <w:rsid w:val="003034F4"/>
    <w:rsid w:val="00305405"/>
    <w:rsid w:val="00305478"/>
    <w:rsid w:val="00305CD7"/>
    <w:rsid w:val="00307611"/>
    <w:rsid w:val="00307963"/>
    <w:rsid w:val="00307A8B"/>
    <w:rsid w:val="003103A9"/>
    <w:rsid w:val="0031063A"/>
    <w:rsid w:val="003112A7"/>
    <w:rsid w:val="00312C4D"/>
    <w:rsid w:val="00313B40"/>
    <w:rsid w:val="00314B10"/>
    <w:rsid w:val="003160EF"/>
    <w:rsid w:val="00316292"/>
    <w:rsid w:val="00316C0B"/>
    <w:rsid w:val="003173B3"/>
    <w:rsid w:val="00321121"/>
    <w:rsid w:val="00321C17"/>
    <w:rsid w:val="0032212A"/>
    <w:rsid w:val="00323D4C"/>
    <w:rsid w:val="00323E7B"/>
    <w:rsid w:val="00323F5F"/>
    <w:rsid w:val="00324027"/>
    <w:rsid w:val="0032716F"/>
    <w:rsid w:val="00327669"/>
    <w:rsid w:val="00333A79"/>
    <w:rsid w:val="00335E7A"/>
    <w:rsid w:val="00336072"/>
    <w:rsid w:val="0033694E"/>
    <w:rsid w:val="00337707"/>
    <w:rsid w:val="00342819"/>
    <w:rsid w:val="003435CA"/>
    <w:rsid w:val="00343933"/>
    <w:rsid w:val="00343FC9"/>
    <w:rsid w:val="003444D8"/>
    <w:rsid w:val="00344867"/>
    <w:rsid w:val="0034600E"/>
    <w:rsid w:val="0034720C"/>
    <w:rsid w:val="00347C2B"/>
    <w:rsid w:val="00350715"/>
    <w:rsid w:val="0035072E"/>
    <w:rsid w:val="003507A6"/>
    <w:rsid w:val="0035159C"/>
    <w:rsid w:val="00351864"/>
    <w:rsid w:val="00352E51"/>
    <w:rsid w:val="00352E65"/>
    <w:rsid w:val="003530CA"/>
    <w:rsid w:val="003537F1"/>
    <w:rsid w:val="0035418B"/>
    <w:rsid w:val="003543F7"/>
    <w:rsid w:val="00356809"/>
    <w:rsid w:val="00356A5F"/>
    <w:rsid w:val="00357B1A"/>
    <w:rsid w:val="00361EE9"/>
    <w:rsid w:val="00362618"/>
    <w:rsid w:val="0036280B"/>
    <w:rsid w:val="00363C5D"/>
    <w:rsid w:val="0036430A"/>
    <w:rsid w:val="00364E55"/>
    <w:rsid w:val="003665B3"/>
    <w:rsid w:val="00366C65"/>
    <w:rsid w:val="00367A96"/>
    <w:rsid w:val="0037209F"/>
    <w:rsid w:val="0037284B"/>
    <w:rsid w:val="00373D03"/>
    <w:rsid w:val="00374548"/>
    <w:rsid w:val="00374602"/>
    <w:rsid w:val="00374E1F"/>
    <w:rsid w:val="0037562D"/>
    <w:rsid w:val="00376993"/>
    <w:rsid w:val="00376CE8"/>
    <w:rsid w:val="00376F46"/>
    <w:rsid w:val="00377E61"/>
    <w:rsid w:val="00380DD7"/>
    <w:rsid w:val="00381776"/>
    <w:rsid w:val="00381915"/>
    <w:rsid w:val="00381DA3"/>
    <w:rsid w:val="003827CC"/>
    <w:rsid w:val="00382C16"/>
    <w:rsid w:val="003838FF"/>
    <w:rsid w:val="003848E0"/>
    <w:rsid w:val="00384929"/>
    <w:rsid w:val="00386219"/>
    <w:rsid w:val="00386A2F"/>
    <w:rsid w:val="00386D33"/>
    <w:rsid w:val="00390827"/>
    <w:rsid w:val="00390BFA"/>
    <w:rsid w:val="003916B6"/>
    <w:rsid w:val="00395D47"/>
    <w:rsid w:val="00396DEF"/>
    <w:rsid w:val="003978EE"/>
    <w:rsid w:val="00397AA5"/>
    <w:rsid w:val="003A2019"/>
    <w:rsid w:val="003A30EF"/>
    <w:rsid w:val="003A44BB"/>
    <w:rsid w:val="003A45C8"/>
    <w:rsid w:val="003A4ED4"/>
    <w:rsid w:val="003A50BA"/>
    <w:rsid w:val="003A7979"/>
    <w:rsid w:val="003B0113"/>
    <w:rsid w:val="003B0F59"/>
    <w:rsid w:val="003B1EE1"/>
    <w:rsid w:val="003B219E"/>
    <w:rsid w:val="003B2E1D"/>
    <w:rsid w:val="003B4430"/>
    <w:rsid w:val="003B5E47"/>
    <w:rsid w:val="003B60D2"/>
    <w:rsid w:val="003B65FC"/>
    <w:rsid w:val="003C0657"/>
    <w:rsid w:val="003C1525"/>
    <w:rsid w:val="003C62CB"/>
    <w:rsid w:val="003C68CF"/>
    <w:rsid w:val="003C6DCB"/>
    <w:rsid w:val="003C75BB"/>
    <w:rsid w:val="003D0453"/>
    <w:rsid w:val="003D047C"/>
    <w:rsid w:val="003D5410"/>
    <w:rsid w:val="003D665B"/>
    <w:rsid w:val="003D66B8"/>
    <w:rsid w:val="003D6CD6"/>
    <w:rsid w:val="003D764E"/>
    <w:rsid w:val="003E1157"/>
    <w:rsid w:val="003E2912"/>
    <w:rsid w:val="003E503C"/>
    <w:rsid w:val="003E5F19"/>
    <w:rsid w:val="003E752C"/>
    <w:rsid w:val="003F0C1B"/>
    <w:rsid w:val="003F14B9"/>
    <w:rsid w:val="003F150C"/>
    <w:rsid w:val="003F16DD"/>
    <w:rsid w:val="003F3D80"/>
    <w:rsid w:val="003F3E20"/>
    <w:rsid w:val="003F48B5"/>
    <w:rsid w:val="003F5339"/>
    <w:rsid w:val="003F5531"/>
    <w:rsid w:val="003F60E2"/>
    <w:rsid w:val="003F6137"/>
    <w:rsid w:val="003F7D5B"/>
    <w:rsid w:val="00400452"/>
    <w:rsid w:val="00402F0D"/>
    <w:rsid w:val="00403488"/>
    <w:rsid w:val="004036B9"/>
    <w:rsid w:val="00403CF1"/>
    <w:rsid w:val="00403FB9"/>
    <w:rsid w:val="00405739"/>
    <w:rsid w:val="00405B3F"/>
    <w:rsid w:val="00405BB7"/>
    <w:rsid w:val="00406837"/>
    <w:rsid w:val="00406AF1"/>
    <w:rsid w:val="00406D18"/>
    <w:rsid w:val="004071A8"/>
    <w:rsid w:val="00407E03"/>
    <w:rsid w:val="00410D9F"/>
    <w:rsid w:val="00411EAA"/>
    <w:rsid w:val="00412F01"/>
    <w:rsid w:val="004140E9"/>
    <w:rsid w:val="00416C78"/>
    <w:rsid w:val="00417CF9"/>
    <w:rsid w:val="0042317B"/>
    <w:rsid w:val="00425A64"/>
    <w:rsid w:val="00425FFB"/>
    <w:rsid w:val="00426E29"/>
    <w:rsid w:val="00427CF1"/>
    <w:rsid w:val="00431159"/>
    <w:rsid w:val="0043169A"/>
    <w:rsid w:val="00431C8B"/>
    <w:rsid w:val="00433AEF"/>
    <w:rsid w:val="004342FF"/>
    <w:rsid w:val="004343CA"/>
    <w:rsid w:val="00434B64"/>
    <w:rsid w:val="004353EE"/>
    <w:rsid w:val="00435D8F"/>
    <w:rsid w:val="00435EF4"/>
    <w:rsid w:val="004365FC"/>
    <w:rsid w:val="00436836"/>
    <w:rsid w:val="0043732C"/>
    <w:rsid w:val="00437B7F"/>
    <w:rsid w:val="0044135B"/>
    <w:rsid w:val="00441FC9"/>
    <w:rsid w:val="0044275C"/>
    <w:rsid w:val="004434EB"/>
    <w:rsid w:val="00443698"/>
    <w:rsid w:val="004438F2"/>
    <w:rsid w:val="00446681"/>
    <w:rsid w:val="00447BB1"/>
    <w:rsid w:val="0045013D"/>
    <w:rsid w:val="00451500"/>
    <w:rsid w:val="004516E8"/>
    <w:rsid w:val="00451D4F"/>
    <w:rsid w:val="00452B8B"/>
    <w:rsid w:val="00453615"/>
    <w:rsid w:val="00453993"/>
    <w:rsid w:val="00453EEF"/>
    <w:rsid w:val="00454576"/>
    <w:rsid w:val="00454BC0"/>
    <w:rsid w:val="00454CC8"/>
    <w:rsid w:val="004566F7"/>
    <w:rsid w:val="00457024"/>
    <w:rsid w:val="004573B9"/>
    <w:rsid w:val="00457BA5"/>
    <w:rsid w:val="004609FE"/>
    <w:rsid w:val="00460A11"/>
    <w:rsid w:val="00461A5E"/>
    <w:rsid w:val="00462CFA"/>
    <w:rsid w:val="00462DCD"/>
    <w:rsid w:val="00463D14"/>
    <w:rsid w:val="00463D69"/>
    <w:rsid w:val="0046491D"/>
    <w:rsid w:val="00464F8A"/>
    <w:rsid w:val="004653A6"/>
    <w:rsid w:val="00465D8A"/>
    <w:rsid w:val="0046610F"/>
    <w:rsid w:val="00466201"/>
    <w:rsid w:val="00470177"/>
    <w:rsid w:val="00470E97"/>
    <w:rsid w:val="00472359"/>
    <w:rsid w:val="0047246D"/>
    <w:rsid w:val="0047268D"/>
    <w:rsid w:val="0047340F"/>
    <w:rsid w:val="00473EB3"/>
    <w:rsid w:val="004740D6"/>
    <w:rsid w:val="00474595"/>
    <w:rsid w:val="00474CA4"/>
    <w:rsid w:val="00480ECC"/>
    <w:rsid w:val="0048159C"/>
    <w:rsid w:val="004827D7"/>
    <w:rsid w:val="00482D15"/>
    <w:rsid w:val="00482F89"/>
    <w:rsid w:val="00483222"/>
    <w:rsid w:val="004838B8"/>
    <w:rsid w:val="00483A29"/>
    <w:rsid w:val="00483E48"/>
    <w:rsid w:val="00485190"/>
    <w:rsid w:val="004855D9"/>
    <w:rsid w:val="00485B53"/>
    <w:rsid w:val="00486346"/>
    <w:rsid w:val="00486AC8"/>
    <w:rsid w:val="004875AB"/>
    <w:rsid w:val="00487D06"/>
    <w:rsid w:val="00490216"/>
    <w:rsid w:val="00491377"/>
    <w:rsid w:val="00491738"/>
    <w:rsid w:val="00491E49"/>
    <w:rsid w:val="00493689"/>
    <w:rsid w:val="004939B6"/>
    <w:rsid w:val="00493A8E"/>
    <w:rsid w:val="00494BEF"/>
    <w:rsid w:val="0049537A"/>
    <w:rsid w:val="00495552"/>
    <w:rsid w:val="0049557A"/>
    <w:rsid w:val="00495F68"/>
    <w:rsid w:val="0049615C"/>
    <w:rsid w:val="004A2AB3"/>
    <w:rsid w:val="004A4D7E"/>
    <w:rsid w:val="004A5C7C"/>
    <w:rsid w:val="004A7273"/>
    <w:rsid w:val="004A7D4E"/>
    <w:rsid w:val="004B0E64"/>
    <w:rsid w:val="004B10D7"/>
    <w:rsid w:val="004B17BD"/>
    <w:rsid w:val="004B4C63"/>
    <w:rsid w:val="004B6B27"/>
    <w:rsid w:val="004B7AB3"/>
    <w:rsid w:val="004C039F"/>
    <w:rsid w:val="004C11F7"/>
    <w:rsid w:val="004C141F"/>
    <w:rsid w:val="004C18CD"/>
    <w:rsid w:val="004C1B29"/>
    <w:rsid w:val="004C26C7"/>
    <w:rsid w:val="004C39D2"/>
    <w:rsid w:val="004C3E23"/>
    <w:rsid w:val="004C52B4"/>
    <w:rsid w:val="004C53FF"/>
    <w:rsid w:val="004C5742"/>
    <w:rsid w:val="004C5E3D"/>
    <w:rsid w:val="004C66BC"/>
    <w:rsid w:val="004C6EA0"/>
    <w:rsid w:val="004C709A"/>
    <w:rsid w:val="004C7FBC"/>
    <w:rsid w:val="004D1FF0"/>
    <w:rsid w:val="004D22E2"/>
    <w:rsid w:val="004D488A"/>
    <w:rsid w:val="004D599C"/>
    <w:rsid w:val="004D684E"/>
    <w:rsid w:val="004D6F2E"/>
    <w:rsid w:val="004E0855"/>
    <w:rsid w:val="004E199C"/>
    <w:rsid w:val="004E19CB"/>
    <w:rsid w:val="004E2DEA"/>
    <w:rsid w:val="004E4FFD"/>
    <w:rsid w:val="004E591C"/>
    <w:rsid w:val="004E678B"/>
    <w:rsid w:val="004E67A3"/>
    <w:rsid w:val="004E6A51"/>
    <w:rsid w:val="004E7E88"/>
    <w:rsid w:val="004F0139"/>
    <w:rsid w:val="004F1226"/>
    <w:rsid w:val="004F415B"/>
    <w:rsid w:val="004F4517"/>
    <w:rsid w:val="004F533E"/>
    <w:rsid w:val="004F6653"/>
    <w:rsid w:val="004F6A15"/>
    <w:rsid w:val="004F7474"/>
    <w:rsid w:val="005006DE"/>
    <w:rsid w:val="00500844"/>
    <w:rsid w:val="005018E6"/>
    <w:rsid w:val="00501E93"/>
    <w:rsid w:val="005054D7"/>
    <w:rsid w:val="00505627"/>
    <w:rsid w:val="00505F27"/>
    <w:rsid w:val="00506E0C"/>
    <w:rsid w:val="0051013A"/>
    <w:rsid w:val="0051112E"/>
    <w:rsid w:val="005149F1"/>
    <w:rsid w:val="0051502D"/>
    <w:rsid w:val="00515BB1"/>
    <w:rsid w:val="00515E4A"/>
    <w:rsid w:val="005161C5"/>
    <w:rsid w:val="00521786"/>
    <w:rsid w:val="00521E9D"/>
    <w:rsid w:val="00521FB4"/>
    <w:rsid w:val="00523CAC"/>
    <w:rsid w:val="00525664"/>
    <w:rsid w:val="00527193"/>
    <w:rsid w:val="00527290"/>
    <w:rsid w:val="00531989"/>
    <w:rsid w:val="00532143"/>
    <w:rsid w:val="0053273C"/>
    <w:rsid w:val="00535A17"/>
    <w:rsid w:val="00535EFF"/>
    <w:rsid w:val="005379B2"/>
    <w:rsid w:val="00537B8C"/>
    <w:rsid w:val="00540452"/>
    <w:rsid w:val="00541A31"/>
    <w:rsid w:val="00542DCB"/>
    <w:rsid w:val="00543961"/>
    <w:rsid w:val="00543D54"/>
    <w:rsid w:val="005450C2"/>
    <w:rsid w:val="005455D6"/>
    <w:rsid w:val="005456EE"/>
    <w:rsid w:val="00545858"/>
    <w:rsid w:val="00546ACE"/>
    <w:rsid w:val="005507B0"/>
    <w:rsid w:val="00550BF4"/>
    <w:rsid w:val="00551684"/>
    <w:rsid w:val="0055173C"/>
    <w:rsid w:val="00552269"/>
    <w:rsid w:val="00553756"/>
    <w:rsid w:val="005540CD"/>
    <w:rsid w:val="00554DA4"/>
    <w:rsid w:val="00555AC7"/>
    <w:rsid w:val="00560FF9"/>
    <w:rsid w:val="00561757"/>
    <w:rsid w:val="00562350"/>
    <w:rsid w:val="00562D4B"/>
    <w:rsid w:val="00562F90"/>
    <w:rsid w:val="005635D8"/>
    <w:rsid w:val="00564626"/>
    <w:rsid w:val="00565AC6"/>
    <w:rsid w:val="00565C8F"/>
    <w:rsid w:val="00565D51"/>
    <w:rsid w:val="0057073D"/>
    <w:rsid w:val="0057202E"/>
    <w:rsid w:val="005760F6"/>
    <w:rsid w:val="00576ADA"/>
    <w:rsid w:val="00576CC7"/>
    <w:rsid w:val="00577524"/>
    <w:rsid w:val="00577B43"/>
    <w:rsid w:val="005805C5"/>
    <w:rsid w:val="00581353"/>
    <w:rsid w:val="00581584"/>
    <w:rsid w:val="0058239C"/>
    <w:rsid w:val="005832DF"/>
    <w:rsid w:val="00583445"/>
    <w:rsid w:val="00584320"/>
    <w:rsid w:val="0058504C"/>
    <w:rsid w:val="00585894"/>
    <w:rsid w:val="00585E82"/>
    <w:rsid w:val="005866BE"/>
    <w:rsid w:val="005876B6"/>
    <w:rsid w:val="00587E10"/>
    <w:rsid w:val="005904C7"/>
    <w:rsid w:val="00590BC6"/>
    <w:rsid w:val="005911DA"/>
    <w:rsid w:val="00591CFC"/>
    <w:rsid w:val="00591E55"/>
    <w:rsid w:val="005921BE"/>
    <w:rsid w:val="00592AA6"/>
    <w:rsid w:val="00592D37"/>
    <w:rsid w:val="005958AC"/>
    <w:rsid w:val="005963BD"/>
    <w:rsid w:val="00597F4A"/>
    <w:rsid w:val="00597FF9"/>
    <w:rsid w:val="005A180B"/>
    <w:rsid w:val="005A1A4D"/>
    <w:rsid w:val="005A1A61"/>
    <w:rsid w:val="005A1E11"/>
    <w:rsid w:val="005A3CE8"/>
    <w:rsid w:val="005A472F"/>
    <w:rsid w:val="005A5441"/>
    <w:rsid w:val="005A5964"/>
    <w:rsid w:val="005A65C5"/>
    <w:rsid w:val="005A6CEE"/>
    <w:rsid w:val="005B0CD9"/>
    <w:rsid w:val="005B11AC"/>
    <w:rsid w:val="005B1964"/>
    <w:rsid w:val="005B28D9"/>
    <w:rsid w:val="005B364F"/>
    <w:rsid w:val="005B5AF7"/>
    <w:rsid w:val="005B5BC8"/>
    <w:rsid w:val="005B72D7"/>
    <w:rsid w:val="005C0562"/>
    <w:rsid w:val="005C2AB0"/>
    <w:rsid w:val="005C2E99"/>
    <w:rsid w:val="005C30E1"/>
    <w:rsid w:val="005C3672"/>
    <w:rsid w:val="005C3E22"/>
    <w:rsid w:val="005C47F7"/>
    <w:rsid w:val="005C4AF8"/>
    <w:rsid w:val="005C4D3D"/>
    <w:rsid w:val="005C61AC"/>
    <w:rsid w:val="005C7029"/>
    <w:rsid w:val="005D0267"/>
    <w:rsid w:val="005D10D6"/>
    <w:rsid w:val="005D202E"/>
    <w:rsid w:val="005D348D"/>
    <w:rsid w:val="005D35F5"/>
    <w:rsid w:val="005D4163"/>
    <w:rsid w:val="005D7DC5"/>
    <w:rsid w:val="005D7DD1"/>
    <w:rsid w:val="005E008E"/>
    <w:rsid w:val="005E0D99"/>
    <w:rsid w:val="005E13D6"/>
    <w:rsid w:val="005E1BF8"/>
    <w:rsid w:val="005E2072"/>
    <w:rsid w:val="005E2EE0"/>
    <w:rsid w:val="005E2F60"/>
    <w:rsid w:val="005E43B9"/>
    <w:rsid w:val="005E479F"/>
    <w:rsid w:val="005E592C"/>
    <w:rsid w:val="005E7A3E"/>
    <w:rsid w:val="005E7BC4"/>
    <w:rsid w:val="005F17F3"/>
    <w:rsid w:val="005F1F10"/>
    <w:rsid w:val="005F29C0"/>
    <w:rsid w:val="005F2C84"/>
    <w:rsid w:val="005F330D"/>
    <w:rsid w:val="005F3776"/>
    <w:rsid w:val="005F439F"/>
    <w:rsid w:val="005F47BF"/>
    <w:rsid w:val="005F4C1B"/>
    <w:rsid w:val="005F51B5"/>
    <w:rsid w:val="005F5A3F"/>
    <w:rsid w:val="005F71E5"/>
    <w:rsid w:val="00601BDD"/>
    <w:rsid w:val="006036E8"/>
    <w:rsid w:val="0060524D"/>
    <w:rsid w:val="006055B9"/>
    <w:rsid w:val="0060562C"/>
    <w:rsid w:val="006062A7"/>
    <w:rsid w:val="006068C2"/>
    <w:rsid w:val="006079DD"/>
    <w:rsid w:val="00607B59"/>
    <w:rsid w:val="00610038"/>
    <w:rsid w:val="0061003B"/>
    <w:rsid w:val="006106AE"/>
    <w:rsid w:val="0061339B"/>
    <w:rsid w:val="00613E37"/>
    <w:rsid w:val="00613E3F"/>
    <w:rsid w:val="006144D5"/>
    <w:rsid w:val="0061672B"/>
    <w:rsid w:val="00617A4A"/>
    <w:rsid w:val="00621153"/>
    <w:rsid w:val="00621659"/>
    <w:rsid w:val="00621ABD"/>
    <w:rsid w:val="00621EC9"/>
    <w:rsid w:val="00623BDC"/>
    <w:rsid w:val="00624858"/>
    <w:rsid w:val="00624F40"/>
    <w:rsid w:val="00624F80"/>
    <w:rsid w:val="006266BA"/>
    <w:rsid w:val="00626794"/>
    <w:rsid w:val="00627568"/>
    <w:rsid w:val="00627A48"/>
    <w:rsid w:val="00630296"/>
    <w:rsid w:val="006311C2"/>
    <w:rsid w:val="00632021"/>
    <w:rsid w:val="00632BEA"/>
    <w:rsid w:val="00633F8A"/>
    <w:rsid w:val="00634A5E"/>
    <w:rsid w:val="006357C2"/>
    <w:rsid w:val="00635F53"/>
    <w:rsid w:val="00636B7F"/>
    <w:rsid w:val="00637006"/>
    <w:rsid w:val="0063700C"/>
    <w:rsid w:val="0063755E"/>
    <w:rsid w:val="0063781C"/>
    <w:rsid w:val="00637B06"/>
    <w:rsid w:val="00640208"/>
    <w:rsid w:val="00640822"/>
    <w:rsid w:val="00640F0E"/>
    <w:rsid w:val="00641596"/>
    <w:rsid w:val="00641FA9"/>
    <w:rsid w:val="00642DF6"/>
    <w:rsid w:val="00643B82"/>
    <w:rsid w:val="00645A91"/>
    <w:rsid w:val="00646C6F"/>
    <w:rsid w:val="0064779B"/>
    <w:rsid w:val="00647935"/>
    <w:rsid w:val="00647EEC"/>
    <w:rsid w:val="006507AB"/>
    <w:rsid w:val="006508A3"/>
    <w:rsid w:val="00652606"/>
    <w:rsid w:val="00652960"/>
    <w:rsid w:val="006532DA"/>
    <w:rsid w:val="0065389A"/>
    <w:rsid w:val="00655CE7"/>
    <w:rsid w:val="00655E12"/>
    <w:rsid w:val="006562C7"/>
    <w:rsid w:val="00660C62"/>
    <w:rsid w:val="00660F3B"/>
    <w:rsid w:val="006615AE"/>
    <w:rsid w:val="00663731"/>
    <w:rsid w:val="00663DAE"/>
    <w:rsid w:val="00663DC1"/>
    <w:rsid w:val="00664125"/>
    <w:rsid w:val="00666D05"/>
    <w:rsid w:val="0066784D"/>
    <w:rsid w:val="00670351"/>
    <w:rsid w:val="00670772"/>
    <w:rsid w:val="006708AD"/>
    <w:rsid w:val="00671486"/>
    <w:rsid w:val="006727EC"/>
    <w:rsid w:val="00672C6E"/>
    <w:rsid w:val="0067360D"/>
    <w:rsid w:val="00673D30"/>
    <w:rsid w:val="00673F89"/>
    <w:rsid w:val="006746F7"/>
    <w:rsid w:val="00674993"/>
    <w:rsid w:val="006758A2"/>
    <w:rsid w:val="00676798"/>
    <w:rsid w:val="006768F8"/>
    <w:rsid w:val="00676BF3"/>
    <w:rsid w:val="0067726A"/>
    <w:rsid w:val="0067729F"/>
    <w:rsid w:val="0068000E"/>
    <w:rsid w:val="00682222"/>
    <w:rsid w:val="006824C6"/>
    <w:rsid w:val="006827D9"/>
    <w:rsid w:val="006830E4"/>
    <w:rsid w:val="00683740"/>
    <w:rsid w:val="006853E3"/>
    <w:rsid w:val="00686BB7"/>
    <w:rsid w:val="00687967"/>
    <w:rsid w:val="006908D4"/>
    <w:rsid w:val="00691EC2"/>
    <w:rsid w:val="0069214F"/>
    <w:rsid w:val="00692208"/>
    <w:rsid w:val="00692D08"/>
    <w:rsid w:val="006949D6"/>
    <w:rsid w:val="006957A5"/>
    <w:rsid w:val="006958AF"/>
    <w:rsid w:val="006962B4"/>
    <w:rsid w:val="0069776B"/>
    <w:rsid w:val="006A146E"/>
    <w:rsid w:val="006A3991"/>
    <w:rsid w:val="006A459A"/>
    <w:rsid w:val="006A47C6"/>
    <w:rsid w:val="006A4D6B"/>
    <w:rsid w:val="006A4EFB"/>
    <w:rsid w:val="006A594E"/>
    <w:rsid w:val="006A5C4E"/>
    <w:rsid w:val="006A6CA5"/>
    <w:rsid w:val="006B001E"/>
    <w:rsid w:val="006B15D4"/>
    <w:rsid w:val="006B231C"/>
    <w:rsid w:val="006B3151"/>
    <w:rsid w:val="006B340F"/>
    <w:rsid w:val="006B3715"/>
    <w:rsid w:val="006B5B4F"/>
    <w:rsid w:val="006B78FB"/>
    <w:rsid w:val="006C01AA"/>
    <w:rsid w:val="006C0798"/>
    <w:rsid w:val="006C0FD4"/>
    <w:rsid w:val="006C200F"/>
    <w:rsid w:val="006C444E"/>
    <w:rsid w:val="006C5AF9"/>
    <w:rsid w:val="006C64FE"/>
    <w:rsid w:val="006C785E"/>
    <w:rsid w:val="006D04EC"/>
    <w:rsid w:val="006D074D"/>
    <w:rsid w:val="006D11B0"/>
    <w:rsid w:val="006D212D"/>
    <w:rsid w:val="006D2268"/>
    <w:rsid w:val="006D48B2"/>
    <w:rsid w:val="006D4C47"/>
    <w:rsid w:val="006D6168"/>
    <w:rsid w:val="006D70EA"/>
    <w:rsid w:val="006E0878"/>
    <w:rsid w:val="006E0BB3"/>
    <w:rsid w:val="006E247C"/>
    <w:rsid w:val="006E2C50"/>
    <w:rsid w:val="006E40E3"/>
    <w:rsid w:val="006E4194"/>
    <w:rsid w:val="006E4B1F"/>
    <w:rsid w:val="006E52BD"/>
    <w:rsid w:val="006E6BCB"/>
    <w:rsid w:val="006E7355"/>
    <w:rsid w:val="006E746E"/>
    <w:rsid w:val="006E758C"/>
    <w:rsid w:val="006F2016"/>
    <w:rsid w:val="006F273C"/>
    <w:rsid w:val="006F2C6F"/>
    <w:rsid w:val="006F2D4D"/>
    <w:rsid w:val="006F3394"/>
    <w:rsid w:val="006F4114"/>
    <w:rsid w:val="006F6313"/>
    <w:rsid w:val="006F66E0"/>
    <w:rsid w:val="006F706E"/>
    <w:rsid w:val="006F725C"/>
    <w:rsid w:val="006F743B"/>
    <w:rsid w:val="00702DB2"/>
    <w:rsid w:val="00703703"/>
    <w:rsid w:val="007055D9"/>
    <w:rsid w:val="007073A1"/>
    <w:rsid w:val="00707E8F"/>
    <w:rsid w:val="0071029A"/>
    <w:rsid w:val="00712369"/>
    <w:rsid w:val="00712A98"/>
    <w:rsid w:val="0071301B"/>
    <w:rsid w:val="0071558D"/>
    <w:rsid w:val="00715F0D"/>
    <w:rsid w:val="00717253"/>
    <w:rsid w:val="00717747"/>
    <w:rsid w:val="007179C5"/>
    <w:rsid w:val="00720FF3"/>
    <w:rsid w:val="00723494"/>
    <w:rsid w:val="007234D2"/>
    <w:rsid w:val="0072405D"/>
    <w:rsid w:val="00724DBF"/>
    <w:rsid w:val="007265EF"/>
    <w:rsid w:val="00726E07"/>
    <w:rsid w:val="007273AD"/>
    <w:rsid w:val="007273F5"/>
    <w:rsid w:val="00727C2C"/>
    <w:rsid w:val="00727F56"/>
    <w:rsid w:val="00731855"/>
    <w:rsid w:val="00731CF0"/>
    <w:rsid w:val="0073224D"/>
    <w:rsid w:val="00732498"/>
    <w:rsid w:val="0073397C"/>
    <w:rsid w:val="00733F76"/>
    <w:rsid w:val="007358BE"/>
    <w:rsid w:val="0073694A"/>
    <w:rsid w:val="00737933"/>
    <w:rsid w:val="00740780"/>
    <w:rsid w:val="00742E15"/>
    <w:rsid w:val="0074501A"/>
    <w:rsid w:val="00745BCF"/>
    <w:rsid w:val="007477FF"/>
    <w:rsid w:val="00747E81"/>
    <w:rsid w:val="0075256C"/>
    <w:rsid w:val="0075409A"/>
    <w:rsid w:val="00754A6B"/>
    <w:rsid w:val="00755B8F"/>
    <w:rsid w:val="007564C9"/>
    <w:rsid w:val="00756B02"/>
    <w:rsid w:val="00756BA6"/>
    <w:rsid w:val="007575B0"/>
    <w:rsid w:val="00757BB6"/>
    <w:rsid w:val="00760092"/>
    <w:rsid w:val="0076142F"/>
    <w:rsid w:val="00761970"/>
    <w:rsid w:val="00761A2A"/>
    <w:rsid w:val="00762C7E"/>
    <w:rsid w:val="00762D20"/>
    <w:rsid w:val="00763D44"/>
    <w:rsid w:val="007647C3"/>
    <w:rsid w:val="00764854"/>
    <w:rsid w:val="007663FC"/>
    <w:rsid w:val="00766811"/>
    <w:rsid w:val="00767B4C"/>
    <w:rsid w:val="00767B61"/>
    <w:rsid w:val="00770365"/>
    <w:rsid w:val="00770A3B"/>
    <w:rsid w:val="007741D5"/>
    <w:rsid w:val="00776FE4"/>
    <w:rsid w:val="00777240"/>
    <w:rsid w:val="007772CE"/>
    <w:rsid w:val="007775E1"/>
    <w:rsid w:val="00781A47"/>
    <w:rsid w:val="0078249D"/>
    <w:rsid w:val="0078293A"/>
    <w:rsid w:val="00784E34"/>
    <w:rsid w:val="00785C66"/>
    <w:rsid w:val="007870DE"/>
    <w:rsid w:val="00791BB4"/>
    <w:rsid w:val="00791D64"/>
    <w:rsid w:val="00791FB3"/>
    <w:rsid w:val="00793FCF"/>
    <w:rsid w:val="0079686F"/>
    <w:rsid w:val="007A20B0"/>
    <w:rsid w:val="007A2711"/>
    <w:rsid w:val="007A36B2"/>
    <w:rsid w:val="007A5EAD"/>
    <w:rsid w:val="007A61D5"/>
    <w:rsid w:val="007A65AF"/>
    <w:rsid w:val="007A7A1E"/>
    <w:rsid w:val="007B16FE"/>
    <w:rsid w:val="007B1902"/>
    <w:rsid w:val="007B238C"/>
    <w:rsid w:val="007B25C3"/>
    <w:rsid w:val="007B42AA"/>
    <w:rsid w:val="007B47B4"/>
    <w:rsid w:val="007B5B99"/>
    <w:rsid w:val="007B5E62"/>
    <w:rsid w:val="007B6F10"/>
    <w:rsid w:val="007B7E43"/>
    <w:rsid w:val="007C03D9"/>
    <w:rsid w:val="007C0DA1"/>
    <w:rsid w:val="007C18B0"/>
    <w:rsid w:val="007C1A7D"/>
    <w:rsid w:val="007C28B8"/>
    <w:rsid w:val="007C28DB"/>
    <w:rsid w:val="007C2A65"/>
    <w:rsid w:val="007C2E1D"/>
    <w:rsid w:val="007C6902"/>
    <w:rsid w:val="007C692A"/>
    <w:rsid w:val="007D0E91"/>
    <w:rsid w:val="007D23CD"/>
    <w:rsid w:val="007D3A14"/>
    <w:rsid w:val="007D442F"/>
    <w:rsid w:val="007D5BDC"/>
    <w:rsid w:val="007D7B9A"/>
    <w:rsid w:val="007E0036"/>
    <w:rsid w:val="007E15F9"/>
    <w:rsid w:val="007E1A16"/>
    <w:rsid w:val="007E2665"/>
    <w:rsid w:val="007E4593"/>
    <w:rsid w:val="007E4789"/>
    <w:rsid w:val="007E5D6F"/>
    <w:rsid w:val="007E6570"/>
    <w:rsid w:val="007E67C0"/>
    <w:rsid w:val="007E773F"/>
    <w:rsid w:val="007E7D04"/>
    <w:rsid w:val="007F0C26"/>
    <w:rsid w:val="007F1130"/>
    <w:rsid w:val="007F15F1"/>
    <w:rsid w:val="007F2980"/>
    <w:rsid w:val="007F29D5"/>
    <w:rsid w:val="007F2E6D"/>
    <w:rsid w:val="007F49F5"/>
    <w:rsid w:val="007F5D0B"/>
    <w:rsid w:val="007F69FC"/>
    <w:rsid w:val="007F6FFE"/>
    <w:rsid w:val="0080022C"/>
    <w:rsid w:val="0080083F"/>
    <w:rsid w:val="00802A34"/>
    <w:rsid w:val="00803DAA"/>
    <w:rsid w:val="00805997"/>
    <w:rsid w:val="00807B1F"/>
    <w:rsid w:val="008108C4"/>
    <w:rsid w:val="00812252"/>
    <w:rsid w:val="008130AF"/>
    <w:rsid w:val="00814EA7"/>
    <w:rsid w:val="00815773"/>
    <w:rsid w:val="008157F2"/>
    <w:rsid w:val="00815AD3"/>
    <w:rsid w:val="00815EE3"/>
    <w:rsid w:val="00820253"/>
    <w:rsid w:val="00820463"/>
    <w:rsid w:val="00820827"/>
    <w:rsid w:val="00822A0C"/>
    <w:rsid w:val="00822FD8"/>
    <w:rsid w:val="0082306C"/>
    <w:rsid w:val="00823D04"/>
    <w:rsid w:val="00824F34"/>
    <w:rsid w:val="008260A7"/>
    <w:rsid w:val="0083054C"/>
    <w:rsid w:val="00831122"/>
    <w:rsid w:val="00831BEF"/>
    <w:rsid w:val="00831D95"/>
    <w:rsid w:val="00832032"/>
    <w:rsid w:val="00832AB6"/>
    <w:rsid w:val="0083322D"/>
    <w:rsid w:val="00834FF8"/>
    <w:rsid w:val="00836B5F"/>
    <w:rsid w:val="00837042"/>
    <w:rsid w:val="0083730F"/>
    <w:rsid w:val="008379C1"/>
    <w:rsid w:val="00840406"/>
    <w:rsid w:val="0084053D"/>
    <w:rsid w:val="008413AD"/>
    <w:rsid w:val="008416BA"/>
    <w:rsid w:val="00843B3A"/>
    <w:rsid w:val="008440C5"/>
    <w:rsid w:val="00844427"/>
    <w:rsid w:val="00844B7F"/>
    <w:rsid w:val="008460A5"/>
    <w:rsid w:val="008465D6"/>
    <w:rsid w:val="00846629"/>
    <w:rsid w:val="008470C0"/>
    <w:rsid w:val="0084786D"/>
    <w:rsid w:val="0085092A"/>
    <w:rsid w:val="00850969"/>
    <w:rsid w:val="00851171"/>
    <w:rsid w:val="0085241B"/>
    <w:rsid w:val="00853225"/>
    <w:rsid w:val="00853BF4"/>
    <w:rsid w:val="00853C53"/>
    <w:rsid w:val="00853F4D"/>
    <w:rsid w:val="00854186"/>
    <w:rsid w:val="00854757"/>
    <w:rsid w:val="00855DEC"/>
    <w:rsid w:val="00855F9A"/>
    <w:rsid w:val="0085646F"/>
    <w:rsid w:val="008612AA"/>
    <w:rsid w:val="008617CE"/>
    <w:rsid w:val="008618AE"/>
    <w:rsid w:val="00863CE1"/>
    <w:rsid w:val="00864440"/>
    <w:rsid w:val="00864FFE"/>
    <w:rsid w:val="00865C72"/>
    <w:rsid w:val="00865E8C"/>
    <w:rsid w:val="008662AC"/>
    <w:rsid w:val="00867A73"/>
    <w:rsid w:val="00867B8D"/>
    <w:rsid w:val="00867EAF"/>
    <w:rsid w:val="0087052E"/>
    <w:rsid w:val="0087381C"/>
    <w:rsid w:val="008741D6"/>
    <w:rsid w:val="0087516C"/>
    <w:rsid w:val="0087545A"/>
    <w:rsid w:val="0087610A"/>
    <w:rsid w:val="0087661E"/>
    <w:rsid w:val="00877DED"/>
    <w:rsid w:val="00880776"/>
    <w:rsid w:val="008809B7"/>
    <w:rsid w:val="00881927"/>
    <w:rsid w:val="00882080"/>
    <w:rsid w:val="0088349D"/>
    <w:rsid w:val="0088694B"/>
    <w:rsid w:val="00886C78"/>
    <w:rsid w:val="00886FCA"/>
    <w:rsid w:val="0089084F"/>
    <w:rsid w:val="00893061"/>
    <w:rsid w:val="008947E5"/>
    <w:rsid w:val="00894D71"/>
    <w:rsid w:val="00895F35"/>
    <w:rsid w:val="00896B65"/>
    <w:rsid w:val="008A0F38"/>
    <w:rsid w:val="008A0FE0"/>
    <w:rsid w:val="008A1E94"/>
    <w:rsid w:val="008A2995"/>
    <w:rsid w:val="008A2DD7"/>
    <w:rsid w:val="008A3B56"/>
    <w:rsid w:val="008A40C2"/>
    <w:rsid w:val="008A5182"/>
    <w:rsid w:val="008A5F6D"/>
    <w:rsid w:val="008B1298"/>
    <w:rsid w:val="008B1D99"/>
    <w:rsid w:val="008B2042"/>
    <w:rsid w:val="008B22E2"/>
    <w:rsid w:val="008B288C"/>
    <w:rsid w:val="008B37F3"/>
    <w:rsid w:val="008B3FBC"/>
    <w:rsid w:val="008B6175"/>
    <w:rsid w:val="008B67DF"/>
    <w:rsid w:val="008B7002"/>
    <w:rsid w:val="008B71D6"/>
    <w:rsid w:val="008C3448"/>
    <w:rsid w:val="008C4BE6"/>
    <w:rsid w:val="008C4D80"/>
    <w:rsid w:val="008C5DFC"/>
    <w:rsid w:val="008C61F6"/>
    <w:rsid w:val="008D0959"/>
    <w:rsid w:val="008D3773"/>
    <w:rsid w:val="008D54D7"/>
    <w:rsid w:val="008D54DD"/>
    <w:rsid w:val="008E0182"/>
    <w:rsid w:val="008E1699"/>
    <w:rsid w:val="008E1A51"/>
    <w:rsid w:val="008E4C53"/>
    <w:rsid w:val="008E6D21"/>
    <w:rsid w:val="008F0046"/>
    <w:rsid w:val="008F02A7"/>
    <w:rsid w:val="008F055F"/>
    <w:rsid w:val="008F0BFA"/>
    <w:rsid w:val="008F1045"/>
    <w:rsid w:val="008F1729"/>
    <w:rsid w:val="008F1E67"/>
    <w:rsid w:val="008F205E"/>
    <w:rsid w:val="008F2B1D"/>
    <w:rsid w:val="008F6200"/>
    <w:rsid w:val="008F68D4"/>
    <w:rsid w:val="008F7213"/>
    <w:rsid w:val="009025A3"/>
    <w:rsid w:val="009026FD"/>
    <w:rsid w:val="0090406C"/>
    <w:rsid w:val="00905309"/>
    <w:rsid w:val="00905B5B"/>
    <w:rsid w:val="00906721"/>
    <w:rsid w:val="0090690F"/>
    <w:rsid w:val="00907242"/>
    <w:rsid w:val="00907609"/>
    <w:rsid w:val="009077BE"/>
    <w:rsid w:val="00910006"/>
    <w:rsid w:val="009104B0"/>
    <w:rsid w:val="00911C40"/>
    <w:rsid w:val="009150E7"/>
    <w:rsid w:val="00915AFB"/>
    <w:rsid w:val="00915D09"/>
    <w:rsid w:val="00916616"/>
    <w:rsid w:val="00916651"/>
    <w:rsid w:val="009167D2"/>
    <w:rsid w:val="00916FBE"/>
    <w:rsid w:val="0091795E"/>
    <w:rsid w:val="00921717"/>
    <w:rsid w:val="00921D67"/>
    <w:rsid w:val="0092357C"/>
    <w:rsid w:val="00923D17"/>
    <w:rsid w:val="00923DD9"/>
    <w:rsid w:val="00923EEA"/>
    <w:rsid w:val="0092438B"/>
    <w:rsid w:val="00924EF3"/>
    <w:rsid w:val="009300A1"/>
    <w:rsid w:val="00931E6B"/>
    <w:rsid w:val="00931EB8"/>
    <w:rsid w:val="0093360F"/>
    <w:rsid w:val="0093399F"/>
    <w:rsid w:val="0093568D"/>
    <w:rsid w:val="00936EF0"/>
    <w:rsid w:val="009373BB"/>
    <w:rsid w:val="009374C0"/>
    <w:rsid w:val="009428B8"/>
    <w:rsid w:val="00942B27"/>
    <w:rsid w:val="00944938"/>
    <w:rsid w:val="0094493C"/>
    <w:rsid w:val="00945521"/>
    <w:rsid w:val="00945924"/>
    <w:rsid w:val="009505A0"/>
    <w:rsid w:val="0095264C"/>
    <w:rsid w:val="00952B95"/>
    <w:rsid w:val="00953391"/>
    <w:rsid w:val="009533D5"/>
    <w:rsid w:val="00955801"/>
    <w:rsid w:val="00956427"/>
    <w:rsid w:val="009565F6"/>
    <w:rsid w:val="0095672B"/>
    <w:rsid w:val="009567AA"/>
    <w:rsid w:val="009569EC"/>
    <w:rsid w:val="00956A4F"/>
    <w:rsid w:val="00956BA9"/>
    <w:rsid w:val="00957038"/>
    <w:rsid w:val="0096112C"/>
    <w:rsid w:val="009611A7"/>
    <w:rsid w:val="00964580"/>
    <w:rsid w:val="0096472B"/>
    <w:rsid w:val="009649B7"/>
    <w:rsid w:val="00967774"/>
    <w:rsid w:val="00967E06"/>
    <w:rsid w:val="009704DB"/>
    <w:rsid w:val="00970F58"/>
    <w:rsid w:val="00972A0A"/>
    <w:rsid w:val="00974D11"/>
    <w:rsid w:val="009752E9"/>
    <w:rsid w:val="00975666"/>
    <w:rsid w:val="00975F90"/>
    <w:rsid w:val="00980671"/>
    <w:rsid w:val="0098240C"/>
    <w:rsid w:val="00984B54"/>
    <w:rsid w:val="009854FB"/>
    <w:rsid w:val="009859FD"/>
    <w:rsid w:val="00985BD0"/>
    <w:rsid w:val="00986C15"/>
    <w:rsid w:val="0098721B"/>
    <w:rsid w:val="009900E9"/>
    <w:rsid w:val="00990A4B"/>
    <w:rsid w:val="00992B47"/>
    <w:rsid w:val="00993499"/>
    <w:rsid w:val="00993DF2"/>
    <w:rsid w:val="00994072"/>
    <w:rsid w:val="00994781"/>
    <w:rsid w:val="00994BE2"/>
    <w:rsid w:val="00995728"/>
    <w:rsid w:val="00996161"/>
    <w:rsid w:val="0099695E"/>
    <w:rsid w:val="0099730F"/>
    <w:rsid w:val="009A148B"/>
    <w:rsid w:val="009A152B"/>
    <w:rsid w:val="009B042A"/>
    <w:rsid w:val="009B06F4"/>
    <w:rsid w:val="009B185E"/>
    <w:rsid w:val="009B1E36"/>
    <w:rsid w:val="009B2F53"/>
    <w:rsid w:val="009B35A3"/>
    <w:rsid w:val="009B5C91"/>
    <w:rsid w:val="009B6450"/>
    <w:rsid w:val="009B76EA"/>
    <w:rsid w:val="009B7A20"/>
    <w:rsid w:val="009C04A7"/>
    <w:rsid w:val="009C086B"/>
    <w:rsid w:val="009C584F"/>
    <w:rsid w:val="009C66B7"/>
    <w:rsid w:val="009C71F8"/>
    <w:rsid w:val="009C7B3A"/>
    <w:rsid w:val="009C7CC0"/>
    <w:rsid w:val="009D1518"/>
    <w:rsid w:val="009D1CFE"/>
    <w:rsid w:val="009D1E1C"/>
    <w:rsid w:val="009D2184"/>
    <w:rsid w:val="009D2B2C"/>
    <w:rsid w:val="009D34FE"/>
    <w:rsid w:val="009D3C43"/>
    <w:rsid w:val="009D52F7"/>
    <w:rsid w:val="009D6D4D"/>
    <w:rsid w:val="009E2091"/>
    <w:rsid w:val="009E326A"/>
    <w:rsid w:val="009E3CC5"/>
    <w:rsid w:val="009E4175"/>
    <w:rsid w:val="009E43B0"/>
    <w:rsid w:val="009E4667"/>
    <w:rsid w:val="009E60B6"/>
    <w:rsid w:val="009E694D"/>
    <w:rsid w:val="009F0C05"/>
    <w:rsid w:val="009F0D06"/>
    <w:rsid w:val="009F1FEF"/>
    <w:rsid w:val="009F2F54"/>
    <w:rsid w:val="009F3943"/>
    <w:rsid w:val="009F3FF4"/>
    <w:rsid w:val="009F6B90"/>
    <w:rsid w:val="009F714B"/>
    <w:rsid w:val="009F7495"/>
    <w:rsid w:val="00A009EF"/>
    <w:rsid w:val="00A015AB"/>
    <w:rsid w:val="00A0217A"/>
    <w:rsid w:val="00A02B65"/>
    <w:rsid w:val="00A0383D"/>
    <w:rsid w:val="00A0399E"/>
    <w:rsid w:val="00A05699"/>
    <w:rsid w:val="00A07295"/>
    <w:rsid w:val="00A07B44"/>
    <w:rsid w:val="00A07C7F"/>
    <w:rsid w:val="00A108B9"/>
    <w:rsid w:val="00A11775"/>
    <w:rsid w:val="00A12497"/>
    <w:rsid w:val="00A13175"/>
    <w:rsid w:val="00A1329E"/>
    <w:rsid w:val="00A13C9B"/>
    <w:rsid w:val="00A156AD"/>
    <w:rsid w:val="00A15770"/>
    <w:rsid w:val="00A1696C"/>
    <w:rsid w:val="00A16D76"/>
    <w:rsid w:val="00A2060F"/>
    <w:rsid w:val="00A2123C"/>
    <w:rsid w:val="00A21F79"/>
    <w:rsid w:val="00A23A61"/>
    <w:rsid w:val="00A24991"/>
    <w:rsid w:val="00A24D0C"/>
    <w:rsid w:val="00A2744D"/>
    <w:rsid w:val="00A30413"/>
    <w:rsid w:val="00A307EE"/>
    <w:rsid w:val="00A31158"/>
    <w:rsid w:val="00A313D9"/>
    <w:rsid w:val="00A31638"/>
    <w:rsid w:val="00A31F3B"/>
    <w:rsid w:val="00A332DA"/>
    <w:rsid w:val="00A336FE"/>
    <w:rsid w:val="00A339D0"/>
    <w:rsid w:val="00A33A40"/>
    <w:rsid w:val="00A33AD5"/>
    <w:rsid w:val="00A33B81"/>
    <w:rsid w:val="00A33BBB"/>
    <w:rsid w:val="00A34555"/>
    <w:rsid w:val="00A34B42"/>
    <w:rsid w:val="00A37D95"/>
    <w:rsid w:val="00A40986"/>
    <w:rsid w:val="00A40D41"/>
    <w:rsid w:val="00A41215"/>
    <w:rsid w:val="00A42A65"/>
    <w:rsid w:val="00A42C07"/>
    <w:rsid w:val="00A43DA8"/>
    <w:rsid w:val="00A4409F"/>
    <w:rsid w:val="00A4490C"/>
    <w:rsid w:val="00A4561C"/>
    <w:rsid w:val="00A45C48"/>
    <w:rsid w:val="00A46394"/>
    <w:rsid w:val="00A46489"/>
    <w:rsid w:val="00A464D6"/>
    <w:rsid w:val="00A50104"/>
    <w:rsid w:val="00A5157F"/>
    <w:rsid w:val="00A51938"/>
    <w:rsid w:val="00A51D87"/>
    <w:rsid w:val="00A523AF"/>
    <w:rsid w:val="00A5406D"/>
    <w:rsid w:val="00A5510E"/>
    <w:rsid w:val="00A557E9"/>
    <w:rsid w:val="00A5618E"/>
    <w:rsid w:val="00A56B8B"/>
    <w:rsid w:val="00A57032"/>
    <w:rsid w:val="00A5758B"/>
    <w:rsid w:val="00A576B8"/>
    <w:rsid w:val="00A57D8C"/>
    <w:rsid w:val="00A60E3B"/>
    <w:rsid w:val="00A65C5E"/>
    <w:rsid w:val="00A66011"/>
    <w:rsid w:val="00A66271"/>
    <w:rsid w:val="00A66D66"/>
    <w:rsid w:val="00A67EAC"/>
    <w:rsid w:val="00A72364"/>
    <w:rsid w:val="00A72BA9"/>
    <w:rsid w:val="00A7306A"/>
    <w:rsid w:val="00A75482"/>
    <w:rsid w:val="00A75840"/>
    <w:rsid w:val="00A75C97"/>
    <w:rsid w:val="00A76201"/>
    <w:rsid w:val="00A769F5"/>
    <w:rsid w:val="00A77C72"/>
    <w:rsid w:val="00A8122A"/>
    <w:rsid w:val="00A8244F"/>
    <w:rsid w:val="00A83851"/>
    <w:rsid w:val="00A8431E"/>
    <w:rsid w:val="00A84EC6"/>
    <w:rsid w:val="00A84F2F"/>
    <w:rsid w:val="00A85FC4"/>
    <w:rsid w:val="00A86488"/>
    <w:rsid w:val="00A874DB"/>
    <w:rsid w:val="00A90EA7"/>
    <w:rsid w:val="00A93ADE"/>
    <w:rsid w:val="00A94FA6"/>
    <w:rsid w:val="00A95B0D"/>
    <w:rsid w:val="00A960A0"/>
    <w:rsid w:val="00A97187"/>
    <w:rsid w:val="00A97BEA"/>
    <w:rsid w:val="00AA0622"/>
    <w:rsid w:val="00AA09DA"/>
    <w:rsid w:val="00AA121C"/>
    <w:rsid w:val="00AA1A03"/>
    <w:rsid w:val="00AA5E33"/>
    <w:rsid w:val="00AA5E4E"/>
    <w:rsid w:val="00AA66EA"/>
    <w:rsid w:val="00AA7508"/>
    <w:rsid w:val="00AB0FA6"/>
    <w:rsid w:val="00AB101E"/>
    <w:rsid w:val="00AB1219"/>
    <w:rsid w:val="00AB2AE9"/>
    <w:rsid w:val="00AB4031"/>
    <w:rsid w:val="00AB4A8E"/>
    <w:rsid w:val="00AB4C77"/>
    <w:rsid w:val="00AB4E30"/>
    <w:rsid w:val="00AB5163"/>
    <w:rsid w:val="00AB5714"/>
    <w:rsid w:val="00AB64A1"/>
    <w:rsid w:val="00AB6B8B"/>
    <w:rsid w:val="00AB6BFD"/>
    <w:rsid w:val="00AC0884"/>
    <w:rsid w:val="00AC2725"/>
    <w:rsid w:val="00AC3890"/>
    <w:rsid w:val="00AC71D5"/>
    <w:rsid w:val="00AC7ACB"/>
    <w:rsid w:val="00AC7F47"/>
    <w:rsid w:val="00AD0232"/>
    <w:rsid w:val="00AD08CF"/>
    <w:rsid w:val="00AD39B8"/>
    <w:rsid w:val="00AD3EE2"/>
    <w:rsid w:val="00AD459A"/>
    <w:rsid w:val="00AD564D"/>
    <w:rsid w:val="00AD5B91"/>
    <w:rsid w:val="00AD6249"/>
    <w:rsid w:val="00AD6F50"/>
    <w:rsid w:val="00AD7072"/>
    <w:rsid w:val="00AD74CA"/>
    <w:rsid w:val="00AD796B"/>
    <w:rsid w:val="00AE0720"/>
    <w:rsid w:val="00AE0C46"/>
    <w:rsid w:val="00AE0E27"/>
    <w:rsid w:val="00AE0E84"/>
    <w:rsid w:val="00AE219B"/>
    <w:rsid w:val="00AE229C"/>
    <w:rsid w:val="00AE3184"/>
    <w:rsid w:val="00AE356E"/>
    <w:rsid w:val="00AE5EE1"/>
    <w:rsid w:val="00AE6BCF"/>
    <w:rsid w:val="00AF0162"/>
    <w:rsid w:val="00AF0F13"/>
    <w:rsid w:val="00AF1B5A"/>
    <w:rsid w:val="00AF2AEB"/>
    <w:rsid w:val="00AF327C"/>
    <w:rsid w:val="00AF4FEF"/>
    <w:rsid w:val="00AF567C"/>
    <w:rsid w:val="00AF57B3"/>
    <w:rsid w:val="00AF722D"/>
    <w:rsid w:val="00B02B6E"/>
    <w:rsid w:val="00B0456B"/>
    <w:rsid w:val="00B05604"/>
    <w:rsid w:val="00B0573E"/>
    <w:rsid w:val="00B072CA"/>
    <w:rsid w:val="00B100E1"/>
    <w:rsid w:val="00B1294A"/>
    <w:rsid w:val="00B15473"/>
    <w:rsid w:val="00B16519"/>
    <w:rsid w:val="00B17FE3"/>
    <w:rsid w:val="00B21251"/>
    <w:rsid w:val="00B224D3"/>
    <w:rsid w:val="00B227D3"/>
    <w:rsid w:val="00B233D1"/>
    <w:rsid w:val="00B23A55"/>
    <w:rsid w:val="00B23ABF"/>
    <w:rsid w:val="00B23AEC"/>
    <w:rsid w:val="00B243B4"/>
    <w:rsid w:val="00B2449D"/>
    <w:rsid w:val="00B275A6"/>
    <w:rsid w:val="00B30BC7"/>
    <w:rsid w:val="00B30F48"/>
    <w:rsid w:val="00B3120F"/>
    <w:rsid w:val="00B32D82"/>
    <w:rsid w:val="00B33B5B"/>
    <w:rsid w:val="00B34773"/>
    <w:rsid w:val="00B35197"/>
    <w:rsid w:val="00B35F36"/>
    <w:rsid w:val="00B369BE"/>
    <w:rsid w:val="00B36CB0"/>
    <w:rsid w:val="00B37EE0"/>
    <w:rsid w:val="00B404AC"/>
    <w:rsid w:val="00B40A28"/>
    <w:rsid w:val="00B40E0F"/>
    <w:rsid w:val="00B40E54"/>
    <w:rsid w:val="00B41413"/>
    <w:rsid w:val="00B41645"/>
    <w:rsid w:val="00B42489"/>
    <w:rsid w:val="00B4292B"/>
    <w:rsid w:val="00B43707"/>
    <w:rsid w:val="00B4399E"/>
    <w:rsid w:val="00B44ED3"/>
    <w:rsid w:val="00B45007"/>
    <w:rsid w:val="00B450F1"/>
    <w:rsid w:val="00B4639D"/>
    <w:rsid w:val="00B46C0A"/>
    <w:rsid w:val="00B50291"/>
    <w:rsid w:val="00B5056F"/>
    <w:rsid w:val="00B50B4E"/>
    <w:rsid w:val="00B52297"/>
    <w:rsid w:val="00B523B4"/>
    <w:rsid w:val="00B5243C"/>
    <w:rsid w:val="00B52BAE"/>
    <w:rsid w:val="00B56CB3"/>
    <w:rsid w:val="00B5715C"/>
    <w:rsid w:val="00B604EE"/>
    <w:rsid w:val="00B60824"/>
    <w:rsid w:val="00B62D35"/>
    <w:rsid w:val="00B63199"/>
    <w:rsid w:val="00B64A72"/>
    <w:rsid w:val="00B667CB"/>
    <w:rsid w:val="00B6722C"/>
    <w:rsid w:val="00B702BA"/>
    <w:rsid w:val="00B7276D"/>
    <w:rsid w:val="00B7493A"/>
    <w:rsid w:val="00B761CE"/>
    <w:rsid w:val="00B7718C"/>
    <w:rsid w:val="00B810F1"/>
    <w:rsid w:val="00B818E7"/>
    <w:rsid w:val="00B81982"/>
    <w:rsid w:val="00B8215D"/>
    <w:rsid w:val="00B82C99"/>
    <w:rsid w:val="00B82D20"/>
    <w:rsid w:val="00B8342F"/>
    <w:rsid w:val="00B83ABE"/>
    <w:rsid w:val="00B840CE"/>
    <w:rsid w:val="00B850B3"/>
    <w:rsid w:val="00B85237"/>
    <w:rsid w:val="00B854EF"/>
    <w:rsid w:val="00B865D9"/>
    <w:rsid w:val="00B86705"/>
    <w:rsid w:val="00B875E2"/>
    <w:rsid w:val="00B903A9"/>
    <w:rsid w:val="00B90835"/>
    <w:rsid w:val="00B9108A"/>
    <w:rsid w:val="00B9211A"/>
    <w:rsid w:val="00B93682"/>
    <w:rsid w:val="00B93966"/>
    <w:rsid w:val="00B9494D"/>
    <w:rsid w:val="00B95579"/>
    <w:rsid w:val="00B958E7"/>
    <w:rsid w:val="00B97A58"/>
    <w:rsid w:val="00BA220B"/>
    <w:rsid w:val="00BA2CC5"/>
    <w:rsid w:val="00BA337F"/>
    <w:rsid w:val="00BA4194"/>
    <w:rsid w:val="00BA43B1"/>
    <w:rsid w:val="00BA53A5"/>
    <w:rsid w:val="00BA5ED9"/>
    <w:rsid w:val="00BA61F5"/>
    <w:rsid w:val="00BA6B03"/>
    <w:rsid w:val="00BA7AC8"/>
    <w:rsid w:val="00BB02B8"/>
    <w:rsid w:val="00BB09A5"/>
    <w:rsid w:val="00BB13F2"/>
    <w:rsid w:val="00BB14CF"/>
    <w:rsid w:val="00BB1EE0"/>
    <w:rsid w:val="00BB4337"/>
    <w:rsid w:val="00BB56E8"/>
    <w:rsid w:val="00BB6536"/>
    <w:rsid w:val="00BC0372"/>
    <w:rsid w:val="00BC052A"/>
    <w:rsid w:val="00BC12AE"/>
    <w:rsid w:val="00BC1CE6"/>
    <w:rsid w:val="00BC30AA"/>
    <w:rsid w:val="00BC79DC"/>
    <w:rsid w:val="00BD0FD2"/>
    <w:rsid w:val="00BD2130"/>
    <w:rsid w:val="00BD21AC"/>
    <w:rsid w:val="00BD2903"/>
    <w:rsid w:val="00BD536A"/>
    <w:rsid w:val="00BD6C9A"/>
    <w:rsid w:val="00BD7491"/>
    <w:rsid w:val="00BE098B"/>
    <w:rsid w:val="00BE444D"/>
    <w:rsid w:val="00BE44DF"/>
    <w:rsid w:val="00BE5647"/>
    <w:rsid w:val="00BE5A3B"/>
    <w:rsid w:val="00BE5F16"/>
    <w:rsid w:val="00BE7EAC"/>
    <w:rsid w:val="00BF0890"/>
    <w:rsid w:val="00BF241B"/>
    <w:rsid w:val="00BF27E2"/>
    <w:rsid w:val="00BF2BF6"/>
    <w:rsid w:val="00BF2F24"/>
    <w:rsid w:val="00BF3EA4"/>
    <w:rsid w:val="00BF5312"/>
    <w:rsid w:val="00BF777B"/>
    <w:rsid w:val="00C0056C"/>
    <w:rsid w:val="00C0474E"/>
    <w:rsid w:val="00C04E4C"/>
    <w:rsid w:val="00C05014"/>
    <w:rsid w:val="00C05150"/>
    <w:rsid w:val="00C05164"/>
    <w:rsid w:val="00C072EB"/>
    <w:rsid w:val="00C07D27"/>
    <w:rsid w:val="00C07E88"/>
    <w:rsid w:val="00C10708"/>
    <w:rsid w:val="00C1174C"/>
    <w:rsid w:val="00C11B4B"/>
    <w:rsid w:val="00C16D4B"/>
    <w:rsid w:val="00C16DF7"/>
    <w:rsid w:val="00C16FE5"/>
    <w:rsid w:val="00C2016E"/>
    <w:rsid w:val="00C208DE"/>
    <w:rsid w:val="00C20D52"/>
    <w:rsid w:val="00C212AF"/>
    <w:rsid w:val="00C22B5A"/>
    <w:rsid w:val="00C24C1D"/>
    <w:rsid w:val="00C2535C"/>
    <w:rsid w:val="00C25A7E"/>
    <w:rsid w:val="00C26100"/>
    <w:rsid w:val="00C26C5F"/>
    <w:rsid w:val="00C31322"/>
    <w:rsid w:val="00C31E2B"/>
    <w:rsid w:val="00C323BF"/>
    <w:rsid w:val="00C33B55"/>
    <w:rsid w:val="00C34138"/>
    <w:rsid w:val="00C3516D"/>
    <w:rsid w:val="00C35E80"/>
    <w:rsid w:val="00C36140"/>
    <w:rsid w:val="00C361D4"/>
    <w:rsid w:val="00C36275"/>
    <w:rsid w:val="00C36925"/>
    <w:rsid w:val="00C36EEE"/>
    <w:rsid w:val="00C37534"/>
    <w:rsid w:val="00C3789D"/>
    <w:rsid w:val="00C379E0"/>
    <w:rsid w:val="00C40543"/>
    <w:rsid w:val="00C424BA"/>
    <w:rsid w:val="00C43D3F"/>
    <w:rsid w:val="00C44526"/>
    <w:rsid w:val="00C4461C"/>
    <w:rsid w:val="00C456CE"/>
    <w:rsid w:val="00C45C24"/>
    <w:rsid w:val="00C461F0"/>
    <w:rsid w:val="00C47BAC"/>
    <w:rsid w:val="00C5061E"/>
    <w:rsid w:val="00C51D2D"/>
    <w:rsid w:val="00C52522"/>
    <w:rsid w:val="00C5318F"/>
    <w:rsid w:val="00C5346F"/>
    <w:rsid w:val="00C545B1"/>
    <w:rsid w:val="00C54C01"/>
    <w:rsid w:val="00C54E12"/>
    <w:rsid w:val="00C557F9"/>
    <w:rsid w:val="00C56031"/>
    <w:rsid w:val="00C5617C"/>
    <w:rsid w:val="00C563BD"/>
    <w:rsid w:val="00C568DF"/>
    <w:rsid w:val="00C60B08"/>
    <w:rsid w:val="00C61276"/>
    <w:rsid w:val="00C62337"/>
    <w:rsid w:val="00C62633"/>
    <w:rsid w:val="00C62E77"/>
    <w:rsid w:val="00C63675"/>
    <w:rsid w:val="00C6429D"/>
    <w:rsid w:val="00C6563D"/>
    <w:rsid w:val="00C65FD3"/>
    <w:rsid w:val="00C660AF"/>
    <w:rsid w:val="00C6680B"/>
    <w:rsid w:val="00C66D9F"/>
    <w:rsid w:val="00C71550"/>
    <w:rsid w:val="00C71B3E"/>
    <w:rsid w:val="00C72007"/>
    <w:rsid w:val="00C723CC"/>
    <w:rsid w:val="00C72622"/>
    <w:rsid w:val="00C729D5"/>
    <w:rsid w:val="00C73A8B"/>
    <w:rsid w:val="00C75E40"/>
    <w:rsid w:val="00C802FA"/>
    <w:rsid w:val="00C831B1"/>
    <w:rsid w:val="00C8347E"/>
    <w:rsid w:val="00C844D1"/>
    <w:rsid w:val="00C846EA"/>
    <w:rsid w:val="00C84F6F"/>
    <w:rsid w:val="00C8547D"/>
    <w:rsid w:val="00C8639A"/>
    <w:rsid w:val="00C87248"/>
    <w:rsid w:val="00C91FE6"/>
    <w:rsid w:val="00C9580B"/>
    <w:rsid w:val="00C96C00"/>
    <w:rsid w:val="00C97FC1"/>
    <w:rsid w:val="00CA0021"/>
    <w:rsid w:val="00CA02B4"/>
    <w:rsid w:val="00CA0507"/>
    <w:rsid w:val="00CA0B9F"/>
    <w:rsid w:val="00CA1619"/>
    <w:rsid w:val="00CA2762"/>
    <w:rsid w:val="00CA30F9"/>
    <w:rsid w:val="00CA46CC"/>
    <w:rsid w:val="00CA49D7"/>
    <w:rsid w:val="00CA5DDF"/>
    <w:rsid w:val="00CA6379"/>
    <w:rsid w:val="00CA670E"/>
    <w:rsid w:val="00CA6EEF"/>
    <w:rsid w:val="00CA778C"/>
    <w:rsid w:val="00CA77C4"/>
    <w:rsid w:val="00CB0C80"/>
    <w:rsid w:val="00CB1224"/>
    <w:rsid w:val="00CB200B"/>
    <w:rsid w:val="00CB2526"/>
    <w:rsid w:val="00CB3E4E"/>
    <w:rsid w:val="00CB42AF"/>
    <w:rsid w:val="00CB4ECC"/>
    <w:rsid w:val="00CB5F64"/>
    <w:rsid w:val="00CC09A8"/>
    <w:rsid w:val="00CC295F"/>
    <w:rsid w:val="00CC33F3"/>
    <w:rsid w:val="00CC37F2"/>
    <w:rsid w:val="00CC484B"/>
    <w:rsid w:val="00CC4C91"/>
    <w:rsid w:val="00CC62C1"/>
    <w:rsid w:val="00CC671D"/>
    <w:rsid w:val="00CC7DBF"/>
    <w:rsid w:val="00CC7F18"/>
    <w:rsid w:val="00CD0B50"/>
    <w:rsid w:val="00CD0B53"/>
    <w:rsid w:val="00CD0B86"/>
    <w:rsid w:val="00CD2A91"/>
    <w:rsid w:val="00CD3451"/>
    <w:rsid w:val="00CD3D70"/>
    <w:rsid w:val="00CD5CE8"/>
    <w:rsid w:val="00CD6186"/>
    <w:rsid w:val="00CD6D83"/>
    <w:rsid w:val="00CD6E6B"/>
    <w:rsid w:val="00CD6F51"/>
    <w:rsid w:val="00CD7E7B"/>
    <w:rsid w:val="00CE0A68"/>
    <w:rsid w:val="00CE1041"/>
    <w:rsid w:val="00CE17AE"/>
    <w:rsid w:val="00CE1ADD"/>
    <w:rsid w:val="00CE2AD9"/>
    <w:rsid w:val="00CE37EC"/>
    <w:rsid w:val="00CE3E90"/>
    <w:rsid w:val="00CE418E"/>
    <w:rsid w:val="00CE4707"/>
    <w:rsid w:val="00CE501A"/>
    <w:rsid w:val="00CE6104"/>
    <w:rsid w:val="00CE7744"/>
    <w:rsid w:val="00CF05B4"/>
    <w:rsid w:val="00CF0B4E"/>
    <w:rsid w:val="00CF259A"/>
    <w:rsid w:val="00CF434E"/>
    <w:rsid w:val="00CF4B46"/>
    <w:rsid w:val="00CF572E"/>
    <w:rsid w:val="00CF635E"/>
    <w:rsid w:val="00CF6584"/>
    <w:rsid w:val="00CF6ED5"/>
    <w:rsid w:val="00CF75E1"/>
    <w:rsid w:val="00CF7612"/>
    <w:rsid w:val="00D003AF"/>
    <w:rsid w:val="00D0100C"/>
    <w:rsid w:val="00D01E63"/>
    <w:rsid w:val="00D029BD"/>
    <w:rsid w:val="00D047A7"/>
    <w:rsid w:val="00D05B6A"/>
    <w:rsid w:val="00D06234"/>
    <w:rsid w:val="00D07ADE"/>
    <w:rsid w:val="00D1000B"/>
    <w:rsid w:val="00D10BA2"/>
    <w:rsid w:val="00D11D39"/>
    <w:rsid w:val="00D1309C"/>
    <w:rsid w:val="00D13F61"/>
    <w:rsid w:val="00D15E34"/>
    <w:rsid w:val="00D15EB8"/>
    <w:rsid w:val="00D16AC0"/>
    <w:rsid w:val="00D16EEA"/>
    <w:rsid w:val="00D16F6A"/>
    <w:rsid w:val="00D178E5"/>
    <w:rsid w:val="00D17E45"/>
    <w:rsid w:val="00D202E5"/>
    <w:rsid w:val="00D21ECA"/>
    <w:rsid w:val="00D22DB7"/>
    <w:rsid w:val="00D23534"/>
    <w:rsid w:val="00D23E7E"/>
    <w:rsid w:val="00D25860"/>
    <w:rsid w:val="00D268D0"/>
    <w:rsid w:val="00D26BBF"/>
    <w:rsid w:val="00D30656"/>
    <w:rsid w:val="00D311BD"/>
    <w:rsid w:val="00D312DE"/>
    <w:rsid w:val="00D31EE1"/>
    <w:rsid w:val="00D32703"/>
    <w:rsid w:val="00D32CE4"/>
    <w:rsid w:val="00D330A5"/>
    <w:rsid w:val="00D36D6E"/>
    <w:rsid w:val="00D40554"/>
    <w:rsid w:val="00D40C2F"/>
    <w:rsid w:val="00D40CDD"/>
    <w:rsid w:val="00D40D70"/>
    <w:rsid w:val="00D42A44"/>
    <w:rsid w:val="00D43EE7"/>
    <w:rsid w:val="00D44018"/>
    <w:rsid w:val="00D456D0"/>
    <w:rsid w:val="00D4786B"/>
    <w:rsid w:val="00D501DF"/>
    <w:rsid w:val="00D50DF0"/>
    <w:rsid w:val="00D51F8D"/>
    <w:rsid w:val="00D5284B"/>
    <w:rsid w:val="00D550DB"/>
    <w:rsid w:val="00D558F5"/>
    <w:rsid w:val="00D56423"/>
    <w:rsid w:val="00D56A0A"/>
    <w:rsid w:val="00D571E0"/>
    <w:rsid w:val="00D575DE"/>
    <w:rsid w:val="00D61890"/>
    <w:rsid w:val="00D62F19"/>
    <w:rsid w:val="00D63359"/>
    <w:rsid w:val="00D64E1F"/>
    <w:rsid w:val="00D67BA1"/>
    <w:rsid w:val="00D713BA"/>
    <w:rsid w:val="00D7162C"/>
    <w:rsid w:val="00D71BDD"/>
    <w:rsid w:val="00D725AB"/>
    <w:rsid w:val="00D72959"/>
    <w:rsid w:val="00D73931"/>
    <w:rsid w:val="00D768F2"/>
    <w:rsid w:val="00D76CAE"/>
    <w:rsid w:val="00D77317"/>
    <w:rsid w:val="00D802ED"/>
    <w:rsid w:val="00D80B77"/>
    <w:rsid w:val="00D81039"/>
    <w:rsid w:val="00D81281"/>
    <w:rsid w:val="00D82D68"/>
    <w:rsid w:val="00D83844"/>
    <w:rsid w:val="00D8439F"/>
    <w:rsid w:val="00D84655"/>
    <w:rsid w:val="00D85DCB"/>
    <w:rsid w:val="00D85F9F"/>
    <w:rsid w:val="00D8696B"/>
    <w:rsid w:val="00D86A6D"/>
    <w:rsid w:val="00D87158"/>
    <w:rsid w:val="00D92022"/>
    <w:rsid w:val="00D934B7"/>
    <w:rsid w:val="00D93DB4"/>
    <w:rsid w:val="00D962EB"/>
    <w:rsid w:val="00D9714B"/>
    <w:rsid w:val="00D97B01"/>
    <w:rsid w:val="00DA01CB"/>
    <w:rsid w:val="00DA12D2"/>
    <w:rsid w:val="00DA24A9"/>
    <w:rsid w:val="00DA28FE"/>
    <w:rsid w:val="00DA4986"/>
    <w:rsid w:val="00DA51F5"/>
    <w:rsid w:val="00DA5C01"/>
    <w:rsid w:val="00DA5C3B"/>
    <w:rsid w:val="00DA6629"/>
    <w:rsid w:val="00DA6BD4"/>
    <w:rsid w:val="00DA6D9D"/>
    <w:rsid w:val="00DA757B"/>
    <w:rsid w:val="00DB0AB0"/>
    <w:rsid w:val="00DB17FE"/>
    <w:rsid w:val="00DB187F"/>
    <w:rsid w:val="00DB238C"/>
    <w:rsid w:val="00DB2D73"/>
    <w:rsid w:val="00DB3ECD"/>
    <w:rsid w:val="00DB44CA"/>
    <w:rsid w:val="00DB613C"/>
    <w:rsid w:val="00DB6551"/>
    <w:rsid w:val="00DB6918"/>
    <w:rsid w:val="00DC099B"/>
    <w:rsid w:val="00DC1785"/>
    <w:rsid w:val="00DC1A56"/>
    <w:rsid w:val="00DC210A"/>
    <w:rsid w:val="00DC22A7"/>
    <w:rsid w:val="00DC22B5"/>
    <w:rsid w:val="00DC2993"/>
    <w:rsid w:val="00DC3070"/>
    <w:rsid w:val="00DC315B"/>
    <w:rsid w:val="00DC3704"/>
    <w:rsid w:val="00DC41BB"/>
    <w:rsid w:val="00DC44FD"/>
    <w:rsid w:val="00DC571D"/>
    <w:rsid w:val="00DC6642"/>
    <w:rsid w:val="00DC66D2"/>
    <w:rsid w:val="00DC6C85"/>
    <w:rsid w:val="00DC7BBE"/>
    <w:rsid w:val="00DD05F0"/>
    <w:rsid w:val="00DD1177"/>
    <w:rsid w:val="00DD140D"/>
    <w:rsid w:val="00DD4375"/>
    <w:rsid w:val="00DD6197"/>
    <w:rsid w:val="00DD7BD2"/>
    <w:rsid w:val="00DE0DA1"/>
    <w:rsid w:val="00DE13AE"/>
    <w:rsid w:val="00DE32C2"/>
    <w:rsid w:val="00DE3C93"/>
    <w:rsid w:val="00DE462E"/>
    <w:rsid w:val="00DE4846"/>
    <w:rsid w:val="00DE624A"/>
    <w:rsid w:val="00DE66E6"/>
    <w:rsid w:val="00DE766E"/>
    <w:rsid w:val="00DF042E"/>
    <w:rsid w:val="00DF1AB2"/>
    <w:rsid w:val="00DF3068"/>
    <w:rsid w:val="00DF36CD"/>
    <w:rsid w:val="00DF5475"/>
    <w:rsid w:val="00E006E9"/>
    <w:rsid w:val="00E01BD8"/>
    <w:rsid w:val="00E01C39"/>
    <w:rsid w:val="00E030FB"/>
    <w:rsid w:val="00E0446E"/>
    <w:rsid w:val="00E05657"/>
    <w:rsid w:val="00E06092"/>
    <w:rsid w:val="00E06932"/>
    <w:rsid w:val="00E07805"/>
    <w:rsid w:val="00E10B0D"/>
    <w:rsid w:val="00E11A9D"/>
    <w:rsid w:val="00E13C00"/>
    <w:rsid w:val="00E13FA5"/>
    <w:rsid w:val="00E14088"/>
    <w:rsid w:val="00E14445"/>
    <w:rsid w:val="00E14CFA"/>
    <w:rsid w:val="00E14F90"/>
    <w:rsid w:val="00E15A93"/>
    <w:rsid w:val="00E1607D"/>
    <w:rsid w:val="00E1775F"/>
    <w:rsid w:val="00E21223"/>
    <w:rsid w:val="00E21920"/>
    <w:rsid w:val="00E21ECE"/>
    <w:rsid w:val="00E22905"/>
    <w:rsid w:val="00E250DE"/>
    <w:rsid w:val="00E2572E"/>
    <w:rsid w:val="00E2588B"/>
    <w:rsid w:val="00E32B48"/>
    <w:rsid w:val="00E32CA0"/>
    <w:rsid w:val="00E330B3"/>
    <w:rsid w:val="00E35943"/>
    <w:rsid w:val="00E36067"/>
    <w:rsid w:val="00E36C3D"/>
    <w:rsid w:val="00E37877"/>
    <w:rsid w:val="00E40346"/>
    <w:rsid w:val="00E415D0"/>
    <w:rsid w:val="00E4241C"/>
    <w:rsid w:val="00E43CAD"/>
    <w:rsid w:val="00E45BC5"/>
    <w:rsid w:val="00E4654D"/>
    <w:rsid w:val="00E501C2"/>
    <w:rsid w:val="00E504C3"/>
    <w:rsid w:val="00E515DC"/>
    <w:rsid w:val="00E53B25"/>
    <w:rsid w:val="00E53FDD"/>
    <w:rsid w:val="00E55D62"/>
    <w:rsid w:val="00E609C8"/>
    <w:rsid w:val="00E62124"/>
    <w:rsid w:val="00E62A35"/>
    <w:rsid w:val="00E62A96"/>
    <w:rsid w:val="00E62EC5"/>
    <w:rsid w:val="00E634C0"/>
    <w:rsid w:val="00E6423C"/>
    <w:rsid w:val="00E6531D"/>
    <w:rsid w:val="00E65567"/>
    <w:rsid w:val="00E65694"/>
    <w:rsid w:val="00E66469"/>
    <w:rsid w:val="00E667AC"/>
    <w:rsid w:val="00E67D76"/>
    <w:rsid w:val="00E70A3C"/>
    <w:rsid w:val="00E7242B"/>
    <w:rsid w:val="00E756DC"/>
    <w:rsid w:val="00E75C83"/>
    <w:rsid w:val="00E75F08"/>
    <w:rsid w:val="00E770D9"/>
    <w:rsid w:val="00E770FC"/>
    <w:rsid w:val="00E77C02"/>
    <w:rsid w:val="00E8023A"/>
    <w:rsid w:val="00E823E5"/>
    <w:rsid w:val="00E82476"/>
    <w:rsid w:val="00E83264"/>
    <w:rsid w:val="00E83CB1"/>
    <w:rsid w:val="00E8420C"/>
    <w:rsid w:val="00E84536"/>
    <w:rsid w:val="00E845DD"/>
    <w:rsid w:val="00E86318"/>
    <w:rsid w:val="00E86401"/>
    <w:rsid w:val="00E86AE3"/>
    <w:rsid w:val="00E86F47"/>
    <w:rsid w:val="00E875E5"/>
    <w:rsid w:val="00E90408"/>
    <w:rsid w:val="00E912C7"/>
    <w:rsid w:val="00E913BD"/>
    <w:rsid w:val="00E91887"/>
    <w:rsid w:val="00E9215C"/>
    <w:rsid w:val="00E92C12"/>
    <w:rsid w:val="00E92E08"/>
    <w:rsid w:val="00E94C84"/>
    <w:rsid w:val="00E97144"/>
    <w:rsid w:val="00E9745D"/>
    <w:rsid w:val="00E97F73"/>
    <w:rsid w:val="00EA0675"/>
    <w:rsid w:val="00EA13E2"/>
    <w:rsid w:val="00EA1768"/>
    <w:rsid w:val="00EA2A1B"/>
    <w:rsid w:val="00EA322B"/>
    <w:rsid w:val="00EA35DC"/>
    <w:rsid w:val="00EA43C6"/>
    <w:rsid w:val="00EA5726"/>
    <w:rsid w:val="00EA5A18"/>
    <w:rsid w:val="00EA7043"/>
    <w:rsid w:val="00EA7533"/>
    <w:rsid w:val="00EB04E0"/>
    <w:rsid w:val="00EB0BDC"/>
    <w:rsid w:val="00EB2232"/>
    <w:rsid w:val="00EB2C54"/>
    <w:rsid w:val="00EB33CA"/>
    <w:rsid w:val="00EB35BB"/>
    <w:rsid w:val="00EB4045"/>
    <w:rsid w:val="00EB4A21"/>
    <w:rsid w:val="00EB58BF"/>
    <w:rsid w:val="00EB5C3C"/>
    <w:rsid w:val="00EB5CF7"/>
    <w:rsid w:val="00EB6432"/>
    <w:rsid w:val="00EB6468"/>
    <w:rsid w:val="00EB6B41"/>
    <w:rsid w:val="00EB719F"/>
    <w:rsid w:val="00EB7868"/>
    <w:rsid w:val="00EC0346"/>
    <w:rsid w:val="00EC0471"/>
    <w:rsid w:val="00EC0CC4"/>
    <w:rsid w:val="00EC22C2"/>
    <w:rsid w:val="00EC2EB9"/>
    <w:rsid w:val="00EC30E8"/>
    <w:rsid w:val="00EC371E"/>
    <w:rsid w:val="00EC441C"/>
    <w:rsid w:val="00EC50C4"/>
    <w:rsid w:val="00EC615D"/>
    <w:rsid w:val="00EC77A8"/>
    <w:rsid w:val="00EC78CB"/>
    <w:rsid w:val="00ED0807"/>
    <w:rsid w:val="00ED0BFF"/>
    <w:rsid w:val="00ED0D04"/>
    <w:rsid w:val="00ED3AB1"/>
    <w:rsid w:val="00ED5F20"/>
    <w:rsid w:val="00ED6157"/>
    <w:rsid w:val="00ED6356"/>
    <w:rsid w:val="00ED64B4"/>
    <w:rsid w:val="00ED6EF1"/>
    <w:rsid w:val="00EE0BC9"/>
    <w:rsid w:val="00EE3316"/>
    <w:rsid w:val="00EE4D64"/>
    <w:rsid w:val="00EE5FD2"/>
    <w:rsid w:val="00EE65DB"/>
    <w:rsid w:val="00EE754A"/>
    <w:rsid w:val="00EF1964"/>
    <w:rsid w:val="00EF1A12"/>
    <w:rsid w:val="00EF2E16"/>
    <w:rsid w:val="00EF3A6A"/>
    <w:rsid w:val="00EF3D53"/>
    <w:rsid w:val="00EF47CD"/>
    <w:rsid w:val="00EF4D05"/>
    <w:rsid w:val="00EF57B6"/>
    <w:rsid w:val="00EF5897"/>
    <w:rsid w:val="00EF5958"/>
    <w:rsid w:val="00EF60D2"/>
    <w:rsid w:val="00EF64AE"/>
    <w:rsid w:val="00EF6AC4"/>
    <w:rsid w:val="00EF6BD3"/>
    <w:rsid w:val="00F00F8F"/>
    <w:rsid w:val="00F0246C"/>
    <w:rsid w:val="00F02E8C"/>
    <w:rsid w:val="00F03229"/>
    <w:rsid w:val="00F05BFF"/>
    <w:rsid w:val="00F06440"/>
    <w:rsid w:val="00F067CF"/>
    <w:rsid w:val="00F108FB"/>
    <w:rsid w:val="00F1150C"/>
    <w:rsid w:val="00F11E2F"/>
    <w:rsid w:val="00F11E5F"/>
    <w:rsid w:val="00F12161"/>
    <w:rsid w:val="00F1221E"/>
    <w:rsid w:val="00F12E7A"/>
    <w:rsid w:val="00F130DE"/>
    <w:rsid w:val="00F14F0C"/>
    <w:rsid w:val="00F14F42"/>
    <w:rsid w:val="00F15108"/>
    <w:rsid w:val="00F1526C"/>
    <w:rsid w:val="00F15B44"/>
    <w:rsid w:val="00F17FCE"/>
    <w:rsid w:val="00F207D2"/>
    <w:rsid w:val="00F21517"/>
    <w:rsid w:val="00F21E23"/>
    <w:rsid w:val="00F24049"/>
    <w:rsid w:val="00F2415E"/>
    <w:rsid w:val="00F24543"/>
    <w:rsid w:val="00F24841"/>
    <w:rsid w:val="00F25E05"/>
    <w:rsid w:val="00F25E0D"/>
    <w:rsid w:val="00F25E81"/>
    <w:rsid w:val="00F26434"/>
    <w:rsid w:val="00F26D2A"/>
    <w:rsid w:val="00F275B9"/>
    <w:rsid w:val="00F32634"/>
    <w:rsid w:val="00F33927"/>
    <w:rsid w:val="00F34A9F"/>
    <w:rsid w:val="00F359BC"/>
    <w:rsid w:val="00F35C3A"/>
    <w:rsid w:val="00F40B39"/>
    <w:rsid w:val="00F40D74"/>
    <w:rsid w:val="00F41D2A"/>
    <w:rsid w:val="00F41FA7"/>
    <w:rsid w:val="00F423EC"/>
    <w:rsid w:val="00F42E4E"/>
    <w:rsid w:val="00F438C9"/>
    <w:rsid w:val="00F44FE7"/>
    <w:rsid w:val="00F475D5"/>
    <w:rsid w:val="00F477D2"/>
    <w:rsid w:val="00F47A2E"/>
    <w:rsid w:val="00F5000E"/>
    <w:rsid w:val="00F50068"/>
    <w:rsid w:val="00F52271"/>
    <w:rsid w:val="00F52B1E"/>
    <w:rsid w:val="00F53502"/>
    <w:rsid w:val="00F53A65"/>
    <w:rsid w:val="00F54409"/>
    <w:rsid w:val="00F54C7B"/>
    <w:rsid w:val="00F54E2D"/>
    <w:rsid w:val="00F55A94"/>
    <w:rsid w:val="00F56635"/>
    <w:rsid w:val="00F5720D"/>
    <w:rsid w:val="00F57280"/>
    <w:rsid w:val="00F57B55"/>
    <w:rsid w:val="00F60621"/>
    <w:rsid w:val="00F60ABD"/>
    <w:rsid w:val="00F60E4B"/>
    <w:rsid w:val="00F6191F"/>
    <w:rsid w:val="00F62A1B"/>
    <w:rsid w:val="00F645C7"/>
    <w:rsid w:val="00F70C0F"/>
    <w:rsid w:val="00F71079"/>
    <w:rsid w:val="00F7109E"/>
    <w:rsid w:val="00F71CFA"/>
    <w:rsid w:val="00F72277"/>
    <w:rsid w:val="00F73853"/>
    <w:rsid w:val="00F73995"/>
    <w:rsid w:val="00F76321"/>
    <w:rsid w:val="00F7699F"/>
    <w:rsid w:val="00F76E94"/>
    <w:rsid w:val="00F8268E"/>
    <w:rsid w:val="00F84E96"/>
    <w:rsid w:val="00F85C22"/>
    <w:rsid w:val="00F867BC"/>
    <w:rsid w:val="00F87516"/>
    <w:rsid w:val="00F878D7"/>
    <w:rsid w:val="00F87CAB"/>
    <w:rsid w:val="00F90759"/>
    <w:rsid w:val="00F90F8A"/>
    <w:rsid w:val="00F91A64"/>
    <w:rsid w:val="00F94467"/>
    <w:rsid w:val="00F94EC6"/>
    <w:rsid w:val="00F963B4"/>
    <w:rsid w:val="00F96A59"/>
    <w:rsid w:val="00FA179D"/>
    <w:rsid w:val="00FA242B"/>
    <w:rsid w:val="00FA2638"/>
    <w:rsid w:val="00FA390B"/>
    <w:rsid w:val="00FA413B"/>
    <w:rsid w:val="00FA5ABC"/>
    <w:rsid w:val="00FA5E09"/>
    <w:rsid w:val="00FA74E3"/>
    <w:rsid w:val="00FB27C2"/>
    <w:rsid w:val="00FB30AF"/>
    <w:rsid w:val="00FB3B32"/>
    <w:rsid w:val="00FB3F16"/>
    <w:rsid w:val="00FB5505"/>
    <w:rsid w:val="00FB5C34"/>
    <w:rsid w:val="00FB673F"/>
    <w:rsid w:val="00FB76ED"/>
    <w:rsid w:val="00FC019E"/>
    <w:rsid w:val="00FC01F2"/>
    <w:rsid w:val="00FC128B"/>
    <w:rsid w:val="00FC19C5"/>
    <w:rsid w:val="00FC1B29"/>
    <w:rsid w:val="00FC2759"/>
    <w:rsid w:val="00FC28F2"/>
    <w:rsid w:val="00FC2CEC"/>
    <w:rsid w:val="00FC330C"/>
    <w:rsid w:val="00FC3F65"/>
    <w:rsid w:val="00FC45FD"/>
    <w:rsid w:val="00FC48BB"/>
    <w:rsid w:val="00FC4F86"/>
    <w:rsid w:val="00FC6293"/>
    <w:rsid w:val="00FC666E"/>
    <w:rsid w:val="00FC6E97"/>
    <w:rsid w:val="00FC7315"/>
    <w:rsid w:val="00FC76F8"/>
    <w:rsid w:val="00FD0690"/>
    <w:rsid w:val="00FD101B"/>
    <w:rsid w:val="00FD1499"/>
    <w:rsid w:val="00FD29BA"/>
    <w:rsid w:val="00FD3808"/>
    <w:rsid w:val="00FD3C87"/>
    <w:rsid w:val="00FD4FC3"/>
    <w:rsid w:val="00FD5975"/>
    <w:rsid w:val="00FD6770"/>
    <w:rsid w:val="00FD6FF3"/>
    <w:rsid w:val="00FD70E9"/>
    <w:rsid w:val="00FE28C4"/>
    <w:rsid w:val="00FE2A8D"/>
    <w:rsid w:val="00FE2F7B"/>
    <w:rsid w:val="00FE352A"/>
    <w:rsid w:val="00FE5BC3"/>
    <w:rsid w:val="00FE7337"/>
    <w:rsid w:val="00FE758E"/>
    <w:rsid w:val="00FF0DB7"/>
    <w:rsid w:val="00FF2309"/>
    <w:rsid w:val="00FF28CE"/>
    <w:rsid w:val="00FF2F5A"/>
    <w:rsid w:val="00FF3E81"/>
    <w:rsid w:val="00FF4364"/>
    <w:rsid w:val="00FF47C3"/>
    <w:rsid w:val="00FF47D9"/>
    <w:rsid w:val="00FF63F2"/>
  </w:rsids>
  <m:mathPr>
    <m:mathFont m:val="Cambria Math"/>
    <m:brkBin m:val="before"/>
    <m:brkBinSub m:val="--"/>
    <m:smallFrac m:val="off"/>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PMingLiU"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B44"/>
  </w:style>
  <w:style w:type="paragraph" w:styleId="Heading1">
    <w:name w:val="heading 1"/>
    <w:basedOn w:val="Normal"/>
    <w:next w:val="Normal"/>
    <w:link w:val="Heading1Char"/>
    <w:autoRedefine/>
    <w:uiPriority w:val="9"/>
    <w:qFormat/>
    <w:rsid w:val="00986C15"/>
    <w:pPr>
      <w:keepNext/>
      <w:keepLines/>
      <w:spacing w:after="0"/>
      <w:outlineLvl w:val="0"/>
    </w:pPr>
    <w:rPr>
      <w:rFonts w:ascii="Calibri" w:eastAsiaTheme="majorEastAsia" w:hAnsi="Calibri" w:cstheme="minorHAnsi"/>
      <w:b/>
      <w:bCs/>
      <w:sz w:val="28"/>
      <w:szCs w:val="28"/>
      <w:lang w:val="en-GB"/>
    </w:rPr>
  </w:style>
  <w:style w:type="paragraph" w:styleId="Heading2">
    <w:name w:val="heading 2"/>
    <w:basedOn w:val="Heading1"/>
    <w:next w:val="Heading1"/>
    <w:link w:val="Heading2Char"/>
    <w:autoRedefine/>
    <w:uiPriority w:val="9"/>
    <w:unhideWhenUsed/>
    <w:qFormat/>
    <w:rsid w:val="0087052E"/>
    <w:pPr>
      <w:spacing w:before="200"/>
      <w:jc w:val="both"/>
      <w:outlineLvl w:val="1"/>
    </w:pPr>
    <w:rPr>
      <w:rFonts w:eastAsiaTheme="minorHAnsi" w:cstheme="minorBidi"/>
      <w:b w:val="0"/>
      <w:lang w:val="en-US"/>
    </w:rPr>
  </w:style>
  <w:style w:type="paragraph" w:styleId="Heading3">
    <w:name w:val="heading 3"/>
    <w:next w:val="Heading2"/>
    <w:link w:val="Heading3Char"/>
    <w:autoRedefine/>
    <w:unhideWhenUsed/>
    <w:qFormat/>
    <w:rsid w:val="001E4C5D"/>
    <w:pPr>
      <w:keepNext/>
      <w:overflowPunct w:val="0"/>
      <w:autoSpaceDE w:val="0"/>
      <w:autoSpaceDN w:val="0"/>
      <w:adjustRightInd w:val="0"/>
      <w:spacing w:before="240" w:after="60"/>
      <w:jc w:val="both"/>
      <w:textAlignment w:val="baseline"/>
      <w:outlineLvl w:val="2"/>
    </w:pPr>
    <w:rPr>
      <w:b/>
      <w:bCs/>
      <w:sz w:val="24"/>
      <w:szCs w:val="24"/>
      <w:lang w:val="en-US"/>
    </w:rPr>
  </w:style>
  <w:style w:type="paragraph" w:styleId="Heading4">
    <w:name w:val="heading 4"/>
    <w:basedOn w:val="Normal"/>
    <w:next w:val="Normal"/>
    <w:link w:val="Heading4Char"/>
    <w:qFormat/>
    <w:rsid w:val="009D34FE"/>
    <w:pPr>
      <w:keepNext/>
      <w:numPr>
        <w:ilvl w:val="3"/>
        <w:numId w:val="1"/>
      </w:numPr>
      <w:spacing w:before="240" w:after="60" w:line="240" w:lineRule="auto"/>
      <w:outlineLvl w:val="3"/>
    </w:pPr>
    <w:rPr>
      <w:rFonts w:ascii="Times New Roman" w:eastAsia="Times New Roman" w:hAnsi="Times New Roman" w:cs="Times New Roman"/>
      <w:b/>
      <w:bCs/>
      <w:sz w:val="28"/>
      <w:szCs w:val="28"/>
      <w:lang w:eastAsia="nl-NL"/>
    </w:rPr>
  </w:style>
  <w:style w:type="paragraph" w:styleId="Heading5">
    <w:name w:val="heading 5"/>
    <w:basedOn w:val="Normal"/>
    <w:next w:val="Normal"/>
    <w:link w:val="Heading5Char"/>
    <w:qFormat/>
    <w:rsid w:val="009D34FE"/>
    <w:pPr>
      <w:numPr>
        <w:ilvl w:val="4"/>
        <w:numId w:val="1"/>
      </w:numPr>
      <w:spacing w:before="240" w:after="60" w:line="240" w:lineRule="auto"/>
      <w:outlineLvl w:val="4"/>
    </w:pPr>
    <w:rPr>
      <w:rFonts w:ascii="Times New Roman" w:eastAsia="Times New Roman" w:hAnsi="Times New Roman" w:cs="Times New Roman"/>
      <w:b/>
      <w:bCs/>
      <w:i/>
      <w:iCs/>
      <w:sz w:val="26"/>
      <w:szCs w:val="26"/>
      <w:lang w:eastAsia="nl-NL"/>
    </w:rPr>
  </w:style>
  <w:style w:type="paragraph" w:styleId="Heading6">
    <w:name w:val="heading 6"/>
    <w:basedOn w:val="Normal"/>
    <w:next w:val="Normal"/>
    <w:link w:val="Heading6Char"/>
    <w:qFormat/>
    <w:rsid w:val="009D34FE"/>
    <w:pPr>
      <w:numPr>
        <w:ilvl w:val="5"/>
        <w:numId w:val="1"/>
      </w:numPr>
      <w:spacing w:before="240" w:after="60" w:line="240" w:lineRule="auto"/>
      <w:outlineLvl w:val="5"/>
    </w:pPr>
    <w:rPr>
      <w:rFonts w:ascii="Times New Roman" w:eastAsia="Times New Roman" w:hAnsi="Times New Roman" w:cs="Times New Roman"/>
      <w:b/>
      <w:bCs/>
      <w:lang w:eastAsia="nl-NL"/>
    </w:rPr>
  </w:style>
  <w:style w:type="paragraph" w:styleId="Heading7">
    <w:name w:val="heading 7"/>
    <w:basedOn w:val="Normal"/>
    <w:next w:val="Normal"/>
    <w:link w:val="Heading7Char"/>
    <w:qFormat/>
    <w:rsid w:val="009D34FE"/>
    <w:pPr>
      <w:numPr>
        <w:ilvl w:val="6"/>
        <w:numId w:val="1"/>
      </w:numPr>
      <w:spacing w:before="240" w:after="60" w:line="240" w:lineRule="auto"/>
      <w:outlineLvl w:val="6"/>
    </w:pPr>
    <w:rPr>
      <w:rFonts w:ascii="Times New Roman" w:eastAsia="Times New Roman" w:hAnsi="Times New Roman" w:cs="Times New Roman"/>
      <w:sz w:val="24"/>
      <w:szCs w:val="24"/>
      <w:lang w:eastAsia="nl-NL"/>
    </w:rPr>
  </w:style>
  <w:style w:type="paragraph" w:styleId="Heading8">
    <w:name w:val="heading 8"/>
    <w:basedOn w:val="Normal"/>
    <w:next w:val="Normal"/>
    <w:link w:val="Heading8Char"/>
    <w:qFormat/>
    <w:rsid w:val="009D34FE"/>
    <w:pPr>
      <w:numPr>
        <w:ilvl w:val="7"/>
        <w:numId w:val="1"/>
      </w:numPr>
      <w:spacing w:before="240" w:after="60" w:line="240" w:lineRule="auto"/>
      <w:outlineLvl w:val="7"/>
    </w:pPr>
    <w:rPr>
      <w:rFonts w:ascii="Times New Roman" w:eastAsia="Times New Roman" w:hAnsi="Times New Roman" w:cs="Times New Roman"/>
      <w:i/>
      <w:iCs/>
      <w:sz w:val="24"/>
      <w:szCs w:val="24"/>
      <w:lang w:eastAsia="nl-NL"/>
    </w:rPr>
  </w:style>
  <w:style w:type="paragraph" w:styleId="Heading9">
    <w:name w:val="heading 9"/>
    <w:basedOn w:val="Normal"/>
    <w:next w:val="Normal"/>
    <w:link w:val="Heading9Char"/>
    <w:qFormat/>
    <w:rsid w:val="009D34FE"/>
    <w:pPr>
      <w:numPr>
        <w:ilvl w:val="8"/>
        <w:numId w:val="1"/>
      </w:numPr>
      <w:spacing w:before="240" w:after="60" w:line="240" w:lineRule="auto"/>
      <w:outlineLvl w:val="8"/>
    </w:pPr>
    <w:rPr>
      <w:rFonts w:ascii="Arial" w:eastAsia="Times New Roman" w:hAnsi="Arial" w:cs="Arial"/>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C15"/>
    <w:rPr>
      <w:rFonts w:ascii="Calibri" w:eastAsiaTheme="majorEastAsia" w:hAnsi="Calibri" w:cstheme="minorHAnsi"/>
      <w:b/>
      <w:bCs/>
      <w:sz w:val="28"/>
      <w:szCs w:val="28"/>
      <w:lang w:val="en-GB"/>
    </w:rPr>
  </w:style>
  <w:style w:type="character" w:customStyle="1" w:styleId="Heading2Char">
    <w:name w:val="Heading 2 Char"/>
    <w:basedOn w:val="DefaultParagraphFont"/>
    <w:link w:val="Heading2"/>
    <w:uiPriority w:val="9"/>
    <w:rsid w:val="0087052E"/>
    <w:rPr>
      <w:rFonts w:eastAsiaTheme="minorHAnsi"/>
      <w:bCs/>
      <w:sz w:val="24"/>
      <w:szCs w:val="24"/>
      <w:lang w:val="en-US"/>
    </w:rPr>
  </w:style>
  <w:style w:type="character" w:customStyle="1" w:styleId="Heading3Char">
    <w:name w:val="Heading 3 Char"/>
    <w:basedOn w:val="DefaultParagraphFont"/>
    <w:link w:val="Heading3"/>
    <w:rsid w:val="001E4C5D"/>
    <w:rPr>
      <w:b/>
      <w:bCs/>
      <w:sz w:val="24"/>
      <w:szCs w:val="24"/>
      <w:lang w:val="en-US"/>
    </w:rPr>
  </w:style>
  <w:style w:type="paragraph" w:styleId="NoSpacing">
    <w:name w:val="No Spacing"/>
    <w:link w:val="NoSpacingChar"/>
    <w:uiPriority w:val="1"/>
    <w:qFormat/>
    <w:rsid w:val="009D34FE"/>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D34FE"/>
    <w:rPr>
      <w:rFonts w:eastAsiaTheme="minorEastAsia"/>
      <w:lang w:val="en-US" w:eastAsia="ja-JP"/>
    </w:rPr>
  </w:style>
  <w:style w:type="paragraph" w:styleId="BalloonText">
    <w:name w:val="Balloon Text"/>
    <w:basedOn w:val="Normal"/>
    <w:link w:val="BalloonTextChar"/>
    <w:uiPriority w:val="99"/>
    <w:semiHidden/>
    <w:unhideWhenUsed/>
    <w:rsid w:val="009D3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4FE"/>
    <w:rPr>
      <w:rFonts w:ascii="Tahoma" w:hAnsi="Tahoma" w:cs="Tahoma"/>
      <w:sz w:val="16"/>
      <w:szCs w:val="16"/>
    </w:rPr>
  </w:style>
  <w:style w:type="character" w:customStyle="1" w:styleId="Heading4Char">
    <w:name w:val="Heading 4 Char"/>
    <w:basedOn w:val="DefaultParagraphFont"/>
    <w:link w:val="Heading4"/>
    <w:rsid w:val="009D34FE"/>
    <w:rPr>
      <w:rFonts w:ascii="Times New Roman" w:eastAsia="Times New Roman" w:hAnsi="Times New Roman" w:cs="Times New Roman"/>
      <w:b/>
      <w:bCs/>
      <w:sz w:val="28"/>
      <w:szCs w:val="28"/>
      <w:lang w:eastAsia="nl-NL"/>
    </w:rPr>
  </w:style>
  <w:style w:type="character" w:customStyle="1" w:styleId="Heading5Char">
    <w:name w:val="Heading 5 Char"/>
    <w:basedOn w:val="DefaultParagraphFont"/>
    <w:link w:val="Heading5"/>
    <w:rsid w:val="009D34FE"/>
    <w:rPr>
      <w:rFonts w:ascii="Times New Roman" w:eastAsia="Times New Roman" w:hAnsi="Times New Roman" w:cs="Times New Roman"/>
      <w:b/>
      <w:bCs/>
      <w:i/>
      <w:iCs/>
      <w:sz w:val="26"/>
      <w:szCs w:val="26"/>
      <w:lang w:eastAsia="nl-NL"/>
    </w:rPr>
  </w:style>
  <w:style w:type="character" w:customStyle="1" w:styleId="Heading6Char">
    <w:name w:val="Heading 6 Char"/>
    <w:basedOn w:val="DefaultParagraphFont"/>
    <w:link w:val="Heading6"/>
    <w:rsid w:val="009D34FE"/>
    <w:rPr>
      <w:rFonts w:ascii="Times New Roman" w:eastAsia="Times New Roman" w:hAnsi="Times New Roman" w:cs="Times New Roman"/>
      <w:b/>
      <w:bCs/>
      <w:lang w:eastAsia="nl-NL"/>
    </w:rPr>
  </w:style>
  <w:style w:type="character" w:customStyle="1" w:styleId="Heading7Char">
    <w:name w:val="Heading 7 Char"/>
    <w:basedOn w:val="DefaultParagraphFont"/>
    <w:link w:val="Heading7"/>
    <w:rsid w:val="009D34FE"/>
    <w:rPr>
      <w:rFonts w:ascii="Times New Roman" w:eastAsia="Times New Roman" w:hAnsi="Times New Roman" w:cs="Times New Roman"/>
      <w:sz w:val="24"/>
      <w:szCs w:val="24"/>
      <w:lang w:eastAsia="nl-NL"/>
    </w:rPr>
  </w:style>
  <w:style w:type="character" w:customStyle="1" w:styleId="Heading8Char">
    <w:name w:val="Heading 8 Char"/>
    <w:basedOn w:val="DefaultParagraphFont"/>
    <w:link w:val="Heading8"/>
    <w:rsid w:val="009D34FE"/>
    <w:rPr>
      <w:rFonts w:ascii="Times New Roman" w:eastAsia="Times New Roman" w:hAnsi="Times New Roman" w:cs="Times New Roman"/>
      <w:i/>
      <w:iCs/>
      <w:sz w:val="24"/>
      <w:szCs w:val="24"/>
      <w:lang w:eastAsia="nl-NL"/>
    </w:rPr>
  </w:style>
  <w:style w:type="character" w:customStyle="1" w:styleId="Heading9Char">
    <w:name w:val="Heading 9 Char"/>
    <w:basedOn w:val="DefaultParagraphFont"/>
    <w:link w:val="Heading9"/>
    <w:rsid w:val="009D34FE"/>
    <w:rPr>
      <w:rFonts w:ascii="Arial" w:eastAsia="Times New Roman" w:hAnsi="Arial" w:cs="Arial"/>
      <w:lang w:eastAsia="nl-NL"/>
    </w:rPr>
  </w:style>
  <w:style w:type="paragraph" w:customStyle="1" w:styleId="StyleHeading1Left0cmFirstline0cm">
    <w:name w:val="Style Heading 1 + Left:  0 cm First line:  0 cm"/>
    <w:basedOn w:val="Heading1"/>
    <w:link w:val="StyleHeading1Left0cmFirstline0cmChar"/>
    <w:rsid w:val="009D34FE"/>
    <w:pPr>
      <w:keepLines w:val="0"/>
      <w:tabs>
        <w:tab w:val="num" w:pos="-1680"/>
      </w:tabs>
      <w:spacing w:before="240" w:after="60" w:line="240" w:lineRule="auto"/>
      <w:ind w:left="432" w:hanging="432"/>
    </w:pPr>
    <w:rPr>
      <w:rFonts w:ascii="Times New Roman" w:eastAsia="Times New Roman" w:hAnsi="Times New Roman" w:cs="Times New Roman"/>
      <w:b w:val="0"/>
      <w:bCs w:val="0"/>
      <w:kern w:val="32"/>
      <w:sz w:val="32"/>
      <w:szCs w:val="32"/>
      <w:lang w:eastAsia="nl-NL"/>
    </w:rPr>
  </w:style>
  <w:style w:type="paragraph" w:customStyle="1" w:styleId="StyleStyleHeading2JustifiedUnderline">
    <w:name w:val="Style Style Heading 2 + Justified + Underline"/>
    <w:basedOn w:val="Normal"/>
    <w:link w:val="StyleStyleHeading2JustifiedUnderlineChar"/>
    <w:rsid w:val="009D34FE"/>
    <w:pPr>
      <w:keepNext/>
      <w:tabs>
        <w:tab w:val="num" w:pos="0"/>
      </w:tabs>
      <w:spacing w:before="240" w:after="60" w:line="240" w:lineRule="auto"/>
      <w:ind w:left="576" w:hanging="576"/>
      <w:jc w:val="both"/>
      <w:outlineLvl w:val="1"/>
    </w:pPr>
    <w:rPr>
      <w:rFonts w:ascii="Times New Roman" w:eastAsia="Times New Roman" w:hAnsi="Times New Roman" w:cs="Times New Roman"/>
      <w:iCs/>
      <w:sz w:val="28"/>
      <w:szCs w:val="28"/>
      <w:lang w:eastAsia="nl-NL"/>
    </w:rPr>
  </w:style>
  <w:style w:type="character" w:customStyle="1" w:styleId="StyleStyleHeading2JustifiedUnderlineChar">
    <w:name w:val="Style Style Heading 2 + Justified + Underline Char"/>
    <w:basedOn w:val="DefaultParagraphFont"/>
    <w:link w:val="StyleStyleHeading2JustifiedUnderline"/>
    <w:rsid w:val="009D34FE"/>
    <w:rPr>
      <w:rFonts w:ascii="Times New Roman" w:eastAsia="Times New Roman" w:hAnsi="Times New Roman" w:cs="Times New Roman"/>
      <w:iCs/>
      <w:sz w:val="28"/>
      <w:szCs w:val="28"/>
      <w:lang w:eastAsia="nl-NL"/>
    </w:rPr>
  </w:style>
  <w:style w:type="paragraph" w:styleId="Caption">
    <w:name w:val="caption"/>
    <w:basedOn w:val="Normal"/>
    <w:next w:val="Normal"/>
    <w:qFormat/>
    <w:rsid w:val="00390BFA"/>
    <w:pPr>
      <w:spacing w:after="0" w:line="240" w:lineRule="auto"/>
    </w:pPr>
    <w:rPr>
      <w:rFonts w:ascii="Times New Roman" w:eastAsia="Times New Roman" w:hAnsi="Times New Roman" w:cs="Times New Roman"/>
      <w:b/>
      <w:bCs/>
      <w:sz w:val="20"/>
      <w:szCs w:val="20"/>
      <w:lang w:eastAsia="nl-NL"/>
    </w:rPr>
  </w:style>
  <w:style w:type="paragraph" w:customStyle="1" w:styleId="StyleStyleHeading1Left0cmFirstline0cmItalic">
    <w:name w:val="Style Style Heading 1 + Left:  0 cm First line:  0 cm + Italic"/>
    <w:basedOn w:val="StyleHeading1Left0cmFirstline0cm"/>
    <w:link w:val="StyleStyleHeading1Left0cmFirstline0cmItalicChar"/>
    <w:rsid w:val="00390BFA"/>
    <w:rPr>
      <w:iCs/>
    </w:rPr>
  </w:style>
  <w:style w:type="character" w:customStyle="1" w:styleId="StyleHeading1Left0cmFirstline0cmChar">
    <w:name w:val="Style Heading 1 + Left:  0 cm First line:  0 cm Char"/>
    <w:link w:val="StyleHeading1Left0cmFirstline0cm"/>
    <w:rsid w:val="00390BFA"/>
    <w:rPr>
      <w:rFonts w:ascii="Times New Roman" w:eastAsia="Times New Roman" w:hAnsi="Times New Roman" w:cs="Times New Roman"/>
      <w:kern w:val="32"/>
      <w:sz w:val="32"/>
      <w:szCs w:val="32"/>
      <w:lang w:eastAsia="nl-NL"/>
    </w:rPr>
  </w:style>
  <w:style w:type="character" w:customStyle="1" w:styleId="StyleStyleHeading1Left0cmFirstline0cmItalicChar">
    <w:name w:val="Style Style Heading 1 + Left:  0 cm First line:  0 cm + Italic Char"/>
    <w:link w:val="StyleStyleHeading1Left0cmFirstline0cmItalic"/>
    <w:rsid w:val="00390BFA"/>
    <w:rPr>
      <w:rFonts w:ascii="Times New Roman" w:eastAsia="Times New Roman" w:hAnsi="Times New Roman" w:cs="Times New Roman"/>
      <w:iCs/>
      <w:kern w:val="32"/>
      <w:sz w:val="32"/>
      <w:szCs w:val="32"/>
      <w:lang w:eastAsia="nl-NL"/>
    </w:rPr>
  </w:style>
  <w:style w:type="paragraph" w:styleId="FootnoteText">
    <w:name w:val="footnote text"/>
    <w:basedOn w:val="Normal"/>
    <w:link w:val="FootnoteTextChar"/>
    <w:semiHidden/>
    <w:rsid w:val="00B42489"/>
    <w:pPr>
      <w:spacing w:after="0" w:line="240" w:lineRule="auto"/>
    </w:pPr>
    <w:rPr>
      <w:rFonts w:ascii="Calibri" w:eastAsia="Times New Roman" w:hAnsi="Calibri" w:cs="Calibri"/>
      <w:sz w:val="20"/>
      <w:szCs w:val="20"/>
      <w:lang w:val="en-US"/>
    </w:rPr>
  </w:style>
  <w:style w:type="character" w:customStyle="1" w:styleId="FootnoteTextChar">
    <w:name w:val="Footnote Text Char"/>
    <w:basedOn w:val="DefaultParagraphFont"/>
    <w:link w:val="FootnoteText"/>
    <w:semiHidden/>
    <w:rsid w:val="00B42489"/>
    <w:rPr>
      <w:rFonts w:ascii="Calibri" w:eastAsia="Times New Roman" w:hAnsi="Calibri" w:cs="Calibri"/>
      <w:sz w:val="20"/>
      <w:szCs w:val="20"/>
      <w:lang w:val="en-US"/>
    </w:rPr>
  </w:style>
  <w:style w:type="character" w:styleId="FootnoteReference">
    <w:name w:val="footnote reference"/>
    <w:semiHidden/>
    <w:rsid w:val="00B42489"/>
    <w:rPr>
      <w:rFonts w:cs="Times New Roman"/>
      <w:vertAlign w:val="superscript"/>
    </w:rPr>
  </w:style>
  <w:style w:type="paragraph" w:styleId="Header">
    <w:name w:val="header"/>
    <w:basedOn w:val="Normal"/>
    <w:link w:val="HeaderChar"/>
    <w:uiPriority w:val="99"/>
    <w:unhideWhenUsed/>
    <w:rsid w:val="00082BF1"/>
    <w:pPr>
      <w:tabs>
        <w:tab w:val="center" w:pos="4536"/>
        <w:tab w:val="right" w:pos="9072"/>
      </w:tabs>
      <w:spacing w:after="0" w:line="240" w:lineRule="auto"/>
    </w:pPr>
  </w:style>
  <w:style w:type="character" w:customStyle="1" w:styleId="HeaderChar">
    <w:name w:val="Header Char"/>
    <w:basedOn w:val="DefaultParagraphFont"/>
    <w:link w:val="Header"/>
    <w:uiPriority w:val="99"/>
    <w:rsid w:val="00082BF1"/>
  </w:style>
  <w:style w:type="paragraph" w:styleId="Footer">
    <w:name w:val="footer"/>
    <w:basedOn w:val="Normal"/>
    <w:link w:val="FooterChar"/>
    <w:uiPriority w:val="99"/>
    <w:unhideWhenUsed/>
    <w:rsid w:val="00082BF1"/>
    <w:pPr>
      <w:tabs>
        <w:tab w:val="center" w:pos="4536"/>
        <w:tab w:val="right" w:pos="9072"/>
      </w:tabs>
      <w:spacing w:after="0" w:line="240" w:lineRule="auto"/>
    </w:pPr>
  </w:style>
  <w:style w:type="character" w:customStyle="1" w:styleId="FooterChar">
    <w:name w:val="Footer Char"/>
    <w:basedOn w:val="DefaultParagraphFont"/>
    <w:link w:val="Footer"/>
    <w:uiPriority w:val="99"/>
    <w:rsid w:val="00082BF1"/>
  </w:style>
  <w:style w:type="paragraph" w:styleId="BodyText">
    <w:name w:val="Body Text"/>
    <w:basedOn w:val="Normal"/>
    <w:link w:val="BodyTextChar"/>
    <w:uiPriority w:val="99"/>
    <w:rsid w:val="005C0562"/>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5C0562"/>
    <w:rPr>
      <w:rFonts w:ascii="Times New Roman" w:eastAsia="Times New Roman" w:hAnsi="Times New Roman" w:cs="Times New Roman"/>
      <w:sz w:val="24"/>
      <w:szCs w:val="24"/>
      <w:lang w:val="en-US"/>
    </w:rPr>
  </w:style>
  <w:style w:type="paragraph" w:customStyle="1" w:styleId="ecxmsonormal">
    <w:name w:val="ecxmsonormal"/>
    <w:basedOn w:val="Normal"/>
    <w:uiPriority w:val="99"/>
    <w:rsid w:val="005C0562"/>
    <w:pPr>
      <w:spacing w:after="324" w:line="240" w:lineRule="auto"/>
    </w:pPr>
    <w:rPr>
      <w:rFonts w:ascii="Times New Roman" w:eastAsia="Times New Roman" w:hAnsi="Times New Roman" w:cs="Times New Roman"/>
      <w:sz w:val="24"/>
      <w:szCs w:val="24"/>
      <w:lang w:eastAsia="nl-NL"/>
    </w:rPr>
  </w:style>
  <w:style w:type="character" w:styleId="CommentReference">
    <w:name w:val="annotation reference"/>
    <w:basedOn w:val="DefaultParagraphFont"/>
    <w:semiHidden/>
    <w:unhideWhenUsed/>
    <w:rsid w:val="00505627"/>
    <w:rPr>
      <w:sz w:val="16"/>
      <w:szCs w:val="16"/>
    </w:rPr>
  </w:style>
  <w:style w:type="paragraph" w:styleId="CommentText">
    <w:name w:val="annotation text"/>
    <w:basedOn w:val="Normal"/>
    <w:link w:val="CommentTextChar"/>
    <w:semiHidden/>
    <w:unhideWhenUsed/>
    <w:rsid w:val="00505627"/>
    <w:pPr>
      <w:spacing w:line="240" w:lineRule="auto"/>
    </w:pPr>
    <w:rPr>
      <w:sz w:val="20"/>
      <w:szCs w:val="20"/>
    </w:rPr>
  </w:style>
  <w:style w:type="character" w:customStyle="1" w:styleId="CommentTextChar">
    <w:name w:val="Comment Text Char"/>
    <w:basedOn w:val="DefaultParagraphFont"/>
    <w:link w:val="CommentText"/>
    <w:semiHidden/>
    <w:rsid w:val="00505627"/>
    <w:rPr>
      <w:sz w:val="20"/>
      <w:szCs w:val="20"/>
    </w:rPr>
  </w:style>
  <w:style w:type="paragraph" w:styleId="CommentSubject">
    <w:name w:val="annotation subject"/>
    <w:basedOn w:val="CommentText"/>
    <w:next w:val="CommentText"/>
    <w:link w:val="CommentSubjectChar"/>
    <w:uiPriority w:val="99"/>
    <w:semiHidden/>
    <w:unhideWhenUsed/>
    <w:rsid w:val="00505627"/>
    <w:rPr>
      <w:b/>
      <w:bCs/>
    </w:rPr>
  </w:style>
  <w:style w:type="character" w:customStyle="1" w:styleId="CommentSubjectChar">
    <w:name w:val="Comment Subject Char"/>
    <w:basedOn w:val="CommentTextChar"/>
    <w:link w:val="CommentSubject"/>
    <w:uiPriority w:val="99"/>
    <w:semiHidden/>
    <w:rsid w:val="00505627"/>
    <w:rPr>
      <w:b/>
      <w:bCs/>
      <w:sz w:val="20"/>
      <w:szCs w:val="20"/>
    </w:rPr>
  </w:style>
  <w:style w:type="paragraph" w:styleId="TOCHeading">
    <w:name w:val="TOC Heading"/>
    <w:basedOn w:val="Heading1"/>
    <w:next w:val="Normal"/>
    <w:uiPriority w:val="39"/>
    <w:unhideWhenUsed/>
    <w:qFormat/>
    <w:rsid w:val="0058239C"/>
    <w:pPr>
      <w:spacing w:before="480"/>
      <w:outlineLvl w:val="9"/>
    </w:pPr>
    <w:rPr>
      <w:rFonts w:asciiTheme="majorHAnsi" w:hAnsiTheme="majorHAnsi" w:cstheme="majorBidi"/>
      <w:color w:val="365F91" w:themeColor="accent1" w:themeShade="BF"/>
      <w:lang w:val="en-US" w:eastAsia="ja-JP"/>
    </w:rPr>
  </w:style>
  <w:style w:type="paragraph" w:styleId="TOC2">
    <w:name w:val="toc 2"/>
    <w:basedOn w:val="Normal"/>
    <w:next w:val="Normal"/>
    <w:autoRedefine/>
    <w:uiPriority w:val="39"/>
    <w:unhideWhenUsed/>
    <w:qFormat/>
    <w:rsid w:val="004855D9"/>
    <w:pPr>
      <w:spacing w:after="0"/>
      <w:ind w:left="220"/>
    </w:pPr>
  </w:style>
  <w:style w:type="paragraph" w:styleId="TOC1">
    <w:name w:val="toc 1"/>
    <w:basedOn w:val="Normal"/>
    <w:next w:val="Normal"/>
    <w:autoRedefine/>
    <w:uiPriority w:val="39"/>
    <w:unhideWhenUsed/>
    <w:qFormat/>
    <w:rsid w:val="004855D9"/>
    <w:pPr>
      <w:spacing w:before="240" w:after="100"/>
    </w:pPr>
    <w:rPr>
      <w:b/>
    </w:rPr>
  </w:style>
  <w:style w:type="paragraph" w:styleId="TOC3">
    <w:name w:val="toc 3"/>
    <w:basedOn w:val="Normal"/>
    <w:next w:val="Normal"/>
    <w:autoRedefine/>
    <w:uiPriority w:val="39"/>
    <w:unhideWhenUsed/>
    <w:qFormat/>
    <w:rsid w:val="00A97BEA"/>
    <w:pPr>
      <w:spacing w:after="0"/>
      <w:ind w:left="440"/>
    </w:pPr>
    <w:rPr>
      <w:i/>
    </w:rPr>
  </w:style>
  <w:style w:type="character" w:styleId="Hyperlink">
    <w:name w:val="Hyperlink"/>
    <w:basedOn w:val="DefaultParagraphFont"/>
    <w:uiPriority w:val="99"/>
    <w:unhideWhenUsed/>
    <w:rsid w:val="0058239C"/>
    <w:rPr>
      <w:color w:val="0000FF" w:themeColor="hyperlink"/>
      <w:u w:val="single"/>
    </w:rPr>
  </w:style>
  <w:style w:type="paragraph" w:styleId="Title">
    <w:name w:val="Title"/>
    <w:basedOn w:val="Normal"/>
    <w:next w:val="Normal"/>
    <w:link w:val="TitleChar"/>
    <w:uiPriority w:val="10"/>
    <w:qFormat/>
    <w:rsid w:val="009B7A2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7A2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qFormat/>
    <w:rsid w:val="006B15D4"/>
    <w:pPr>
      <w:spacing w:after="0" w:line="240" w:lineRule="auto"/>
      <w:ind w:left="720"/>
    </w:pPr>
    <w:rPr>
      <w:rFonts w:ascii="Times New Roman" w:eastAsia="Times New Roman" w:hAnsi="Times New Roman" w:cs="Times New Roman"/>
      <w:sz w:val="24"/>
      <w:szCs w:val="24"/>
      <w:lang w:eastAsia="nl-NL"/>
    </w:rPr>
  </w:style>
  <w:style w:type="paragraph" w:customStyle="1" w:styleId="Default">
    <w:name w:val="Default"/>
    <w:rsid w:val="00A15770"/>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MediumList2-Accent2">
    <w:name w:val="Medium List 2 Accent 2"/>
    <w:basedOn w:val="TableNormal"/>
    <w:uiPriority w:val="66"/>
    <w:rsid w:val="005F17F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character" w:styleId="FollowedHyperlink">
    <w:name w:val="FollowedHyperlink"/>
    <w:basedOn w:val="DefaultParagraphFont"/>
    <w:uiPriority w:val="99"/>
    <w:semiHidden/>
    <w:unhideWhenUsed/>
    <w:rsid w:val="001608A3"/>
    <w:rPr>
      <w:color w:val="800080" w:themeColor="followedHyperlink"/>
      <w:u w:val="single"/>
    </w:rPr>
  </w:style>
  <w:style w:type="table" w:styleId="LightGrid-Accent3">
    <w:name w:val="Light Grid Accent 3"/>
    <w:basedOn w:val="TableNormal"/>
    <w:uiPriority w:val="62"/>
    <w:rsid w:val="00ED3AB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ListParagraph1">
    <w:name w:val="List Paragraph1"/>
    <w:basedOn w:val="Normal"/>
    <w:rsid w:val="00EC615D"/>
    <w:pPr>
      <w:spacing w:after="0" w:line="240" w:lineRule="auto"/>
      <w:ind w:left="720"/>
      <w:contextualSpacing/>
    </w:pPr>
    <w:rPr>
      <w:rFonts w:ascii="Times New Roman" w:eastAsia="Calibri" w:hAnsi="Times New Roman" w:cs="Times New Roman"/>
      <w:sz w:val="24"/>
      <w:szCs w:val="24"/>
      <w:lang w:val="en-US"/>
    </w:rPr>
  </w:style>
  <w:style w:type="paragraph" w:styleId="NormalWeb">
    <w:name w:val="Normal (Web)"/>
    <w:basedOn w:val="Normal"/>
    <w:uiPriority w:val="99"/>
    <w:rsid w:val="00886C7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Strong">
    <w:name w:val="Strong"/>
    <w:basedOn w:val="DefaultParagraphFont"/>
    <w:uiPriority w:val="22"/>
    <w:qFormat/>
    <w:rsid w:val="002A4D63"/>
    <w:rPr>
      <w:b/>
      <w:bCs/>
    </w:rPr>
  </w:style>
  <w:style w:type="paragraph" w:styleId="BodyText2">
    <w:name w:val="Body Text 2"/>
    <w:basedOn w:val="Normal"/>
    <w:link w:val="BodyText2Char"/>
    <w:uiPriority w:val="99"/>
    <w:semiHidden/>
    <w:unhideWhenUsed/>
    <w:rsid w:val="00EB6432"/>
    <w:pPr>
      <w:spacing w:after="120" w:line="480" w:lineRule="auto"/>
    </w:pPr>
  </w:style>
  <w:style w:type="character" w:customStyle="1" w:styleId="BodyText2Char">
    <w:name w:val="Body Text 2 Char"/>
    <w:basedOn w:val="DefaultParagraphFont"/>
    <w:link w:val="BodyText2"/>
    <w:uiPriority w:val="99"/>
    <w:semiHidden/>
    <w:rsid w:val="00EB6432"/>
  </w:style>
  <w:style w:type="paragraph" w:styleId="BodyTextIndent">
    <w:name w:val="Body Text Indent"/>
    <w:basedOn w:val="Normal"/>
    <w:link w:val="BodyTextIndentChar"/>
    <w:uiPriority w:val="99"/>
    <w:unhideWhenUsed/>
    <w:rsid w:val="00EB6432"/>
    <w:pPr>
      <w:spacing w:after="120"/>
      <w:ind w:left="283"/>
    </w:pPr>
  </w:style>
  <w:style w:type="character" w:customStyle="1" w:styleId="BodyTextIndentChar">
    <w:name w:val="Body Text Indent Char"/>
    <w:basedOn w:val="DefaultParagraphFont"/>
    <w:link w:val="BodyTextIndent"/>
    <w:uiPriority w:val="99"/>
    <w:rsid w:val="00EB6432"/>
  </w:style>
  <w:style w:type="paragraph" w:customStyle="1" w:styleId="000">
    <w:name w:val="000"/>
    <w:aliases w:val="standaard"/>
    <w:basedOn w:val="Normal"/>
    <w:link w:val="000Char"/>
    <w:rsid w:val="00A57D8C"/>
    <w:pPr>
      <w:overflowPunct w:val="0"/>
      <w:autoSpaceDE w:val="0"/>
      <w:autoSpaceDN w:val="0"/>
      <w:adjustRightInd w:val="0"/>
      <w:spacing w:after="0" w:line="260" w:lineRule="atLeast"/>
      <w:textAlignment w:val="baseline"/>
    </w:pPr>
    <w:rPr>
      <w:rFonts w:ascii="EYInterstate Light" w:eastAsia="Times New Roman" w:hAnsi="EYInterstate Light" w:cs="Times New Roman"/>
      <w:szCs w:val="20"/>
      <w:lang w:val="en-GB"/>
    </w:rPr>
  </w:style>
  <w:style w:type="character" w:customStyle="1" w:styleId="000Char">
    <w:name w:val="000 Char"/>
    <w:aliases w:val="standaard Char"/>
    <w:link w:val="000"/>
    <w:locked/>
    <w:rsid w:val="00A57D8C"/>
    <w:rPr>
      <w:rFonts w:ascii="EYInterstate Light" w:eastAsia="Times New Roman" w:hAnsi="EYInterstate Light" w:cs="Times New Roman"/>
      <w:szCs w:val="20"/>
      <w:lang w:val="en-GB"/>
    </w:rPr>
  </w:style>
  <w:style w:type="character" w:customStyle="1" w:styleId="reference-text">
    <w:name w:val="reference-text"/>
    <w:basedOn w:val="DefaultParagraphFont"/>
    <w:rsid w:val="00F57280"/>
  </w:style>
  <w:style w:type="character" w:customStyle="1" w:styleId="apple-converted-space">
    <w:name w:val="apple-converted-space"/>
    <w:basedOn w:val="DefaultParagraphFont"/>
    <w:rsid w:val="007234D2"/>
  </w:style>
  <w:style w:type="paragraph" w:styleId="DocumentMap">
    <w:name w:val="Document Map"/>
    <w:basedOn w:val="Normal"/>
    <w:link w:val="DocumentMapChar"/>
    <w:uiPriority w:val="99"/>
    <w:semiHidden/>
    <w:unhideWhenUsed/>
    <w:rsid w:val="000642F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642FD"/>
    <w:rPr>
      <w:rFonts w:ascii="Tahoma" w:hAnsi="Tahoma" w:cs="Tahoma"/>
      <w:sz w:val="16"/>
      <w:szCs w:val="16"/>
    </w:rPr>
  </w:style>
  <w:style w:type="character" w:customStyle="1" w:styleId="itxtrst">
    <w:name w:val="itxtrst"/>
    <w:basedOn w:val="DefaultParagraphFont"/>
    <w:rsid w:val="00DE766E"/>
  </w:style>
  <w:style w:type="character" w:customStyle="1" w:styleId="reference-accessdate">
    <w:name w:val="reference-accessdate"/>
    <w:basedOn w:val="DefaultParagraphFont"/>
    <w:rsid w:val="00FF47D9"/>
  </w:style>
  <w:style w:type="character" w:customStyle="1" w:styleId="hps">
    <w:name w:val="hps"/>
    <w:basedOn w:val="DefaultParagraphFont"/>
    <w:rsid w:val="0049557A"/>
  </w:style>
  <w:style w:type="table" w:styleId="TableGrid">
    <w:name w:val="Table Grid"/>
    <w:basedOn w:val="TableNormal"/>
    <w:uiPriority w:val="59"/>
    <w:rsid w:val="000875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stp">
    <w:name w:val="firstp"/>
    <w:basedOn w:val="Normal"/>
    <w:rsid w:val="00406D18"/>
    <w:pPr>
      <w:spacing w:after="0" w:line="360" w:lineRule="atLeast"/>
    </w:pPr>
    <w:rPr>
      <w:rFonts w:ascii="Verdana" w:eastAsia="Times New Roman" w:hAnsi="Verdana" w:cs="Times New Roman"/>
      <w:sz w:val="24"/>
      <w:szCs w:val="24"/>
      <w:lang w:eastAsia="zh-CN"/>
    </w:rPr>
  </w:style>
  <w:style w:type="paragraph" w:customStyle="1" w:styleId="para">
    <w:name w:val="para"/>
    <w:basedOn w:val="Normal"/>
    <w:rsid w:val="00406D18"/>
    <w:pPr>
      <w:spacing w:after="0" w:line="360" w:lineRule="atLeast"/>
      <w:ind w:firstLine="480"/>
    </w:pPr>
    <w:rPr>
      <w:rFonts w:ascii="Verdana" w:eastAsia="Times New Roman" w:hAnsi="Verdana" w:cs="Times New Roman"/>
      <w:sz w:val="24"/>
      <w:szCs w:val="24"/>
      <w:lang w:eastAsia="zh-CN"/>
    </w:rPr>
  </w:style>
  <w:style w:type="character" w:styleId="Emphasis">
    <w:name w:val="Emphasis"/>
    <w:basedOn w:val="DefaultParagraphFont"/>
    <w:qFormat/>
    <w:rsid w:val="00C87248"/>
    <w:rPr>
      <w:i/>
      <w:iCs/>
    </w:rPr>
  </w:style>
  <w:style w:type="table" w:customStyle="1" w:styleId="LightList1">
    <w:name w:val="Light List1"/>
    <w:basedOn w:val="TableNormal"/>
    <w:uiPriority w:val="61"/>
    <w:rsid w:val="00DC6642"/>
    <w:pPr>
      <w:spacing w:after="0" w:line="240" w:lineRule="auto"/>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Revision">
    <w:name w:val="Revision"/>
    <w:hidden/>
    <w:uiPriority w:val="99"/>
    <w:semiHidden/>
    <w:rsid w:val="00E11A9D"/>
    <w:pPr>
      <w:spacing w:after="0" w:line="240" w:lineRule="auto"/>
    </w:pPr>
  </w:style>
  <w:style w:type="character" w:styleId="LineNumber">
    <w:name w:val="line number"/>
    <w:basedOn w:val="DefaultParagraphFont"/>
    <w:uiPriority w:val="99"/>
    <w:semiHidden/>
    <w:unhideWhenUsed/>
    <w:rsid w:val="00986C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PMingLiU"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B44"/>
  </w:style>
  <w:style w:type="paragraph" w:styleId="Heading1">
    <w:name w:val="heading 1"/>
    <w:basedOn w:val="Normal"/>
    <w:next w:val="Normal"/>
    <w:link w:val="Heading1Char"/>
    <w:autoRedefine/>
    <w:uiPriority w:val="9"/>
    <w:qFormat/>
    <w:rsid w:val="00986C15"/>
    <w:pPr>
      <w:keepNext/>
      <w:keepLines/>
      <w:spacing w:after="0"/>
      <w:outlineLvl w:val="0"/>
    </w:pPr>
    <w:rPr>
      <w:rFonts w:ascii="Calibri" w:eastAsiaTheme="majorEastAsia" w:hAnsi="Calibri" w:cstheme="minorHAnsi"/>
      <w:b/>
      <w:bCs/>
      <w:sz w:val="28"/>
      <w:szCs w:val="28"/>
      <w:lang w:val="en-GB"/>
    </w:rPr>
  </w:style>
  <w:style w:type="paragraph" w:styleId="Heading2">
    <w:name w:val="heading 2"/>
    <w:basedOn w:val="Heading1"/>
    <w:next w:val="Heading1"/>
    <w:link w:val="Heading2Char"/>
    <w:autoRedefine/>
    <w:uiPriority w:val="9"/>
    <w:unhideWhenUsed/>
    <w:qFormat/>
    <w:rsid w:val="0087052E"/>
    <w:pPr>
      <w:spacing w:before="200"/>
      <w:jc w:val="both"/>
      <w:outlineLvl w:val="1"/>
    </w:pPr>
    <w:rPr>
      <w:rFonts w:eastAsiaTheme="minorHAnsi" w:cstheme="minorBidi"/>
      <w:b w:val="0"/>
      <w:lang w:val="en-US"/>
    </w:rPr>
  </w:style>
  <w:style w:type="paragraph" w:styleId="Heading3">
    <w:name w:val="heading 3"/>
    <w:next w:val="Heading2"/>
    <w:link w:val="Heading3Char"/>
    <w:autoRedefine/>
    <w:unhideWhenUsed/>
    <w:qFormat/>
    <w:rsid w:val="001E4C5D"/>
    <w:pPr>
      <w:keepNext/>
      <w:overflowPunct w:val="0"/>
      <w:autoSpaceDE w:val="0"/>
      <w:autoSpaceDN w:val="0"/>
      <w:adjustRightInd w:val="0"/>
      <w:spacing w:before="240" w:after="60"/>
      <w:jc w:val="both"/>
      <w:textAlignment w:val="baseline"/>
      <w:outlineLvl w:val="2"/>
    </w:pPr>
    <w:rPr>
      <w:b/>
      <w:bCs/>
      <w:sz w:val="24"/>
      <w:szCs w:val="24"/>
      <w:lang w:val="en-US"/>
    </w:rPr>
  </w:style>
  <w:style w:type="paragraph" w:styleId="Heading4">
    <w:name w:val="heading 4"/>
    <w:basedOn w:val="Normal"/>
    <w:next w:val="Normal"/>
    <w:link w:val="Heading4Char"/>
    <w:qFormat/>
    <w:rsid w:val="009D34FE"/>
    <w:pPr>
      <w:keepNext/>
      <w:numPr>
        <w:ilvl w:val="3"/>
        <w:numId w:val="1"/>
      </w:numPr>
      <w:spacing w:before="240" w:after="60" w:line="240" w:lineRule="auto"/>
      <w:outlineLvl w:val="3"/>
    </w:pPr>
    <w:rPr>
      <w:rFonts w:ascii="Times New Roman" w:eastAsia="Times New Roman" w:hAnsi="Times New Roman" w:cs="Times New Roman"/>
      <w:b/>
      <w:bCs/>
      <w:sz w:val="28"/>
      <w:szCs w:val="28"/>
      <w:lang w:eastAsia="nl-NL"/>
    </w:rPr>
  </w:style>
  <w:style w:type="paragraph" w:styleId="Heading5">
    <w:name w:val="heading 5"/>
    <w:basedOn w:val="Normal"/>
    <w:next w:val="Normal"/>
    <w:link w:val="Heading5Char"/>
    <w:qFormat/>
    <w:rsid w:val="009D34FE"/>
    <w:pPr>
      <w:numPr>
        <w:ilvl w:val="4"/>
        <w:numId w:val="1"/>
      </w:numPr>
      <w:spacing w:before="240" w:after="60" w:line="240" w:lineRule="auto"/>
      <w:outlineLvl w:val="4"/>
    </w:pPr>
    <w:rPr>
      <w:rFonts w:ascii="Times New Roman" w:eastAsia="Times New Roman" w:hAnsi="Times New Roman" w:cs="Times New Roman"/>
      <w:b/>
      <w:bCs/>
      <w:i/>
      <w:iCs/>
      <w:sz w:val="26"/>
      <w:szCs w:val="26"/>
      <w:lang w:eastAsia="nl-NL"/>
    </w:rPr>
  </w:style>
  <w:style w:type="paragraph" w:styleId="Heading6">
    <w:name w:val="heading 6"/>
    <w:basedOn w:val="Normal"/>
    <w:next w:val="Normal"/>
    <w:link w:val="Heading6Char"/>
    <w:qFormat/>
    <w:rsid w:val="009D34FE"/>
    <w:pPr>
      <w:numPr>
        <w:ilvl w:val="5"/>
        <w:numId w:val="1"/>
      </w:numPr>
      <w:spacing w:before="240" w:after="60" w:line="240" w:lineRule="auto"/>
      <w:outlineLvl w:val="5"/>
    </w:pPr>
    <w:rPr>
      <w:rFonts w:ascii="Times New Roman" w:eastAsia="Times New Roman" w:hAnsi="Times New Roman" w:cs="Times New Roman"/>
      <w:b/>
      <w:bCs/>
      <w:lang w:eastAsia="nl-NL"/>
    </w:rPr>
  </w:style>
  <w:style w:type="paragraph" w:styleId="Heading7">
    <w:name w:val="heading 7"/>
    <w:basedOn w:val="Normal"/>
    <w:next w:val="Normal"/>
    <w:link w:val="Heading7Char"/>
    <w:qFormat/>
    <w:rsid w:val="009D34FE"/>
    <w:pPr>
      <w:numPr>
        <w:ilvl w:val="6"/>
        <w:numId w:val="1"/>
      </w:numPr>
      <w:spacing w:before="240" w:after="60" w:line="240" w:lineRule="auto"/>
      <w:outlineLvl w:val="6"/>
    </w:pPr>
    <w:rPr>
      <w:rFonts w:ascii="Times New Roman" w:eastAsia="Times New Roman" w:hAnsi="Times New Roman" w:cs="Times New Roman"/>
      <w:sz w:val="24"/>
      <w:szCs w:val="24"/>
      <w:lang w:eastAsia="nl-NL"/>
    </w:rPr>
  </w:style>
  <w:style w:type="paragraph" w:styleId="Heading8">
    <w:name w:val="heading 8"/>
    <w:basedOn w:val="Normal"/>
    <w:next w:val="Normal"/>
    <w:link w:val="Heading8Char"/>
    <w:qFormat/>
    <w:rsid w:val="009D34FE"/>
    <w:pPr>
      <w:numPr>
        <w:ilvl w:val="7"/>
        <w:numId w:val="1"/>
      </w:numPr>
      <w:spacing w:before="240" w:after="60" w:line="240" w:lineRule="auto"/>
      <w:outlineLvl w:val="7"/>
    </w:pPr>
    <w:rPr>
      <w:rFonts w:ascii="Times New Roman" w:eastAsia="Times New Roman" w:hAnsi="Times New Roman" w:cs="Times New Roman"/>
      <w:i/>
      <w:iCs/>
      <w:sz w:val="24"/>
      <w:szCs w:val="24"/>
      <w:lang w:eastAsia="nl-NL"/>
    </w:rPr>
  </w:style>
  <w:style w:type="paragraph" w:styleId="Heading9">
    <w:name w:val="heading 9"/>
    <w:basedOn w:val="Normal"/>
    <w:next w:val="Normal"/>
    <w:link w:val="Heading9Char"/>
    <w:qFormat/>
    <w:rsid w:val="009D34FE"/>
    <w:pPr>
      <w:numPr>
        <w:ilvl w:val="8"/>
        <w:numId w:val="1"/>
      </w:numPr>
      <w:spacing w:before="240" w:after="60" w:line="240" w:lineRule="auto"/>
      <w:outlineLvl w:val="8"/>
    </w:pPr>
    <w:rPr>
      <w:rFonts w:ascii="Arial" w:eastAsia="Times New Roman" w:hAnsi="Arial" w:cs="Arial"/>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C15"/>
    <w:rPr>
      <w:rFonts w:ascii="Calibri" w:eastAsiaTheme="majorEastAsia" w:hAnsi="Calibri" w:cstheme="minorHAnsi"/>
      <w:b/>
      <w:bCs/>
      <w:sz w:val="28"/>
      <w:szCs w:val="28"/>
      <w:lang w:val="en-GB"/>
    </w:rPr>
  </w:style>
  <w:style w:type="character" w:customStyle="1" w:styleId="Heading2Char">
    <w:name w:val="Heading 2 Char"/>
    <w:basedOn w:val="DefaultParagraphFont"/>
    <w:link w:val="Heading2"/>
    <w:uiPriority w:val="9"/>
    <w:rsid w:val="0087052E"/>
    <w:rPr>
      <w:rFonts w:eastAsiaTheme="minorHAnsi"/>
      <w:bCs/>
      <w:sz w:val="24"/>
      <w:szCs w:val="24"/>
      <w:lang w:val="en-US"/>
    </w:rPr>
  </w:style>
  <w:style w:type="character" w:customStyle="1" w:styleId="Heading3Char">
    <w:name w:val="Heading 3 Char"/>
    <w:basedOn w:val="DefaultParagraphFont"/>
    <w:link w:val="Heading3"/>
    <w:rsid w:val="001E4C5D"/>
    <w:rPr>
      <w:b/>
      <w:bCs/>
      <w:sz w:val="24"/>
      <w:szCs w:val="24"/>
      <w:lang w:val="en-US"/>
    </w:rPr>
  </w:style>
  <w:style w:type="paragraph" w:styleId="NoSpacing">
    <w:name w:val="No Spacing"/>
    <w:link w:val="NoSpacingChar"/>
    <w:uiPriority w:val="1"/>
    <w:qFormat/>
    <w:rsid w:val="009D34FE"/>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D34FE"/>
    <w:rPr>
      <w:rFonts w:eastAsiaTheme="minorEastAsia"/>
      <w:lang w:val="en-US" w:eastAsia="ja-JP"/>
    </w:rPr>
  </w:style>
  <w:style w:type="paragraph" w:styleId="BalloonText">
    <w:name w:val="Balloon Text"/>
    <w:basedOn w:val="Normal"/>
    <w:link w:val="BalloonTextChar"/>
    <w:uiPriority w:val="99"/>
    <w:semiHidden/>
    <w:unhideWhenUsed/>
    <w:rsid w:val="009D3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4FE"/>
    <w:rPr>
      <w:rFonts w:ascii="Tahoma" w:hAnsi="Tahoma" w:cs="Tahoma"/>
      <w:sz w:val="16"/>
      <w:szCs w:val="16"/>
    </w:rPr>
  </w:style>
  <w:style w:type="character" w:customStyle="1" w:styleId="Heading4Char">
    <w:name w:val="Heading 4 Char"/>
    <w:basedOn w:val="DefaultParagraphFont"/>
    <w:link w:val="Heading4"/>
    <w:rsid w:val="009D34FE"/>
    <w:rPr>
      <w:rFonts w:ascii="Times New Roman" w:eastAsia="Times New Roman" w:hAnsi="Times New Roman" w:cs="Times New Roman"/>
      <w:b/>
      <w:bCs/>
      <w:sz w:val="28"/>
      <w:szCs w:val="28"/>
      <w:lang w:eastAsia="nl-NL"/>
    </w:rPr>
  </w:style>
  <w:style w:type="character" w:customStyle="1" w:styleId="Heading5Char">
    <w:name w:val="Heading 5 Char"/>
    <w:basedOn w:val="DefaultParagraphFont"/>
    <w:link w:val="Heading5"/>
    <w:rsid w:val="009D34FE"/>
    <w:rPr>
      <w:rFonts w:ascii="Times New Roman" w:eastAsia="Times New Roman" w:hAnsi="Times New Roman" w:cs="Times New Roman"/>
      <w:b/>
      <w:bCs/>
      <w:i/>
      <w:iCs/>
      <w:sz w:val="26"/>
      <w:szCs w:val="26"/>
      <w:lang w:eastAsia="nl-NL"/>
    </w:rPr>
  </w:style>
  <w:style w:type="character" w:customStyle="1" w:styleId="Heading6Char">
    <w:name w:val="Heading 6 Char"/>
    <w:basedOn w:val="DefaultParagraphFont"/>
    <w:link w:val="Heading6"/>
    <w:rsid w:val="009D34FE"/>
    <w:rPr>
      <w:rFonts w:ascii="Times New Roman" w:eastAsia="Times New Roman" w:hAnsi="Times New Roman" w:cs="Times New Roman"/>
      <w:b/>
      <w:bCs/>
      <w:lang w:eastAsia="nl-NL"/>
    </w:rPr>
  </w:style>
  <w:style w:type="character" w:customStyle="1" w:styleId="Heading7Char">
    <w:name w:val="Heading 7 Char"/>
    <w:basedOn w:val="DefaultParagraphFont"/>
    <w:link w:val="Heading7"/>
    <w:rsid w:val="009D34FE"/>
    <w:rPr>
      <w:rFonts w:ascii="Times New Roman" w:eastAsia="Times New Roman" w:hAnsi="Times New Roman" w:cs="Times New Roman"/>
      <w:sz w:val="24"/>
      <w:szCs w:val="24"/>
      <w:lang w:eastAsia="nl-NL"/>
    </w:rPr>
  </w:style>
  <w:style w:type="character" w:customStyle="1" w:styleId="Heading8Char">
    <w:name w:val="Heading 8 Char"/>
    <w:basedOn w:val="DefaultParagraphFont"/>
    <w:link w:val="Heading8"/>
    <w:rsid w:val="009D34FE"/>
    <w:rPr>
      <w:rFonts w:ascii="Times New Roman" w:eastAsia="Times New Roman" w:hAnsi="Times New Roman" w:cs="Times New Roman"/>
      <w:i/>
      <w:iCs/>
      <w:sz w:val="24"/>
      <w:szCs w:val="24"/>
      <w:lang w:eastAsia="nl-NL"/>
    </w:rPr>
  </w:style>
  <w:style w:type="character" w:customStyle="1" w:styleId="Heading9Char">
    <w:name w:val="Heading 9 Char"/>
    <w:basedOn w:val="DefaultParagraphFont"/>
    <w:link w:val="Heading9"/>
    <w:rsid w:val="009D34FE"/>
    <w:rPr>
      <w:rFonts w:ascii="Arial" w:eastAsia="Times New Roman" w:hAnsi="Arial" w:cs="Arial"/>
      <w:lang w:eastAsia="nl-NL"/>
    </w:rPr>
  </w:style>
  <w:style w:type="paragraph" w:customStyle="1" w:styleId="StyleHeading1Left0cmFirstline0cm">
    <w:name w:val="Style Heading 1 + Left:  0 cm First line:  0 cm"/>
    <w:basedOn w:val="Heading1"/>
    <w:link w:val="StyleHeading1Left0cmFirstline0cmChar"/>
    <w:rsid w:val="009D34FE"/>
    <w:pPr>
      <w:keepLines w:val="0"/>
      <w:tabs>
        <w:tab w:val="num" w:pos="-1680"/>
      </w:tabs>
      <w:spacing w:before="240" w:after="60" w:line="240" w:lineRule="auto"/>
      <w:ind w:left="432" w:hanging="432"/>
    </w:pPr>
    <w:rPr>
      <w:rFonts w:ascii="Times New Roman" w:eastAsia="Times New Roman" w:hAnsi="Times New Roman" w:cs="Times New Roman"/>
      <w:b w:val="0"/>
      <w:bCs w:val="0"/>
      <w:kern w:val="32"/>
      <w:sz w:val="32"/>
      <w:szCs w:val="32"/>
      <w:lang w:eastAsia="nl-NL"/>
    </w:rPr>
  </w:style>
  <w:style w:type="paragraph" w:customStyle="1" w:styleId="StyleStyleHeading2JustifiedUnderline">
    <w:name w:val="Style Style Heading 2 + Justified + Underline"/>
    <w:basedOn w:val="Normal"/>
    <w:link w:val="StyleStyleHeading2JustifiedUnderlineChar"/>
    <w:rsid w:val="009D34FE"/>
    <w:pPr>
      <w:keepNext/>
      <w:tabs>
        <w:tab w:val="num" w:pos="0"/>
      </w:tabs>
      <w:spacing w:before="240" w:after="60" w:line="240" w:lineRule="auto"/>
      <w:ind w:left="576" w:hanging="576"/>
      <w:jc w:val="both"/>
      <w:outlineLvl w:val="1"/>
    </w:pPr>
    <w:rPr>
      <w:rFonts w:ascii="Times New Roman" w:eastAsia="Times New Roman" w:hAnsi="Times New Roman" w:cs="Times New Roman"/>
      <w:iCs/>
      <w:sz w:val="28"/>
      <w:szCs w:val="28"/>
      <w:lang w:eastAsia="nl-NL"/>
    </w:rPr>
  </w:style>
  <w:style w:type="character" w:customStyle="1" w:styleId="StyleStyleHeading2JustifiedUnderlineChar">
    <w:name w:val="Style Style Heading 2 + Justified + Underline Char"/>
    <w:basedOn w:val="DefaultParagraphFont"/>
    <w:link w:val="StyleStyleHeading2JustifiedUnderline"/>
    <w:rsid w:val="009D34FE"/>
    <w:rPr>
      <w:rFonts w:ascii="Times New Roman" w:eastAsia="Times New Roman" w:hAnsi="Times New Roman" w:cs="Times New Roman"/>
      <w:iCs/>
      <w:sz w:val="28"/>
      <w:szCs w:val="28"/>
      <w:lang w:eastAsia="nl-NL"/>
    </w:rPr>
  </w:style>
  <w:style w:type="paragraph" w:styleId="Caption">
    <w:name w:val="caption"/>
    <w:basedOn w:val="Normal"/>
    <w:next w:val="Normal"/>
    <w:qFormat/>
    <w:rsid w:val="00390BFA"/>
    <w:pPr>
      <w:spacing w:after="0" w:line="240" w:lineRule="auto"/>
    </w:pPr>
    <w:rPr>
      <w:rFonts w:ascii="Times New Roman" w:eastAsia="Times New Roman" w:hAnsi="Times New Roman" w:cs="Times New Roman"/>
      <w:b/>
      <w:bCs/>
      <w:sz w:val="20"/>
      <w:szCs w:val="20"/>
      <w:lang w:eastAsia="nl-NL"/>
    </w:rPr>
  </w:style>
  <w:style w:type="paragraph" w:customStyle="1" w:styleId="StyleStyleHeading1Left0cmFirstline0cmItalic">
    <w:name w:val="Style Style Heading 1 + Left:  0 cm First line:  0 cm + Italic"/>
    <w:basedOn w:val="StyleHeading1Left0cmFirstline0cm"/>
    <w:link w:val="StyleStyleHeading1Left0cmFirstline0cmItalicChar"/>
    <w:rsid w:val="00390BFA"/>
    <w:rPr>
      <w:iCs/>
    </w:rPr>
  </w:style>
  <w:style w:type="character" w:customStyle="1" w:styleId="StyleHeading1Left0cmFirstline0cmChar">
    <w:name w:val="Style Heading 1 + Left:  0 cm First line:  0 cm Char"/>
    <w:link w:val="StyleHeading1Left0cmFirstline0cm"/>
    <w:rsid w:val="00390BFA"/>
    <w:rPr>
      <w:rFonts w:ascii="Times New Roman" w:eastAsia="Times New Roman" w:hAnsi="Times New Roman" w:cs="Times New Roman"/>
      <w:kern w:val="32"/>
      <w:sz w:val="32"/>
      <w:szCs w:val="32"/>
      <w:lang w:eastAsia="nl-NL"/>
    </w:rPr>
  </w:style>
  <w:style w:type="character" w:customStyle="1" w:styleId="StyleStyleHeading1Left0cmFirstline0cmItalicChar">
    <w:name w:val="Style Style Heading 1 + Left:  0 cm First line:  0 cm + Italic Char"/>
    <w:link w:val="StyleStyleHeading1Left0cmFirstline0cmItalic"/>
    <w:rsid w:val="00390BFA"/>
    <w:rPr>
      <w:rFonts w:ascii="Times New Roman" w:eastAsia="Times New Roman" w:hAnsi="Times New Roman" w:cs="Times New Roman"/>
      <w:iCs/>
      <w:kern w:val="32"/>
      <w:sz w:val="32"/>
      <w:szCs w:val="32"/>
      <w:lang w:eastAsia="nl-NL"/>
    </w:rPr>
  </w:style>
  <w:style w:type="paragraph" w:styleId="FootnoteText">
    <w:name w:val="footnote text"/>
    <w:basedOn w:val="Normal"/>
    <w:link w:val="FootnoteTextChar"/>
    <w:semiHidden/>
    <w:rsid w:val="00B42489"/>
    <w:pPr>
      <w:spacing w:after="0" w:line="240" w:lineRule="auto"/>
    </w:pPr>
    <w:rPr>
      <w:rFonts w:ascii="Calibri" w:eastAsia="Times New Roman" w:hAnsi="Calibri" w:cs="Calibri"/>
      <w:sz w:val="20"/>
      <w:szCs w:val="20"/>
      <w:lang w:val="en-US"/>
    </w:rPr>
  </w:style>
  <w:style w:type="character" w:customStyle="1" w:styleId="FootnoteTextChar">
    <w:name w:val="Footnote Text Char"/>
    <w:basedOn w:val="DefaultParagraphFont"/>
    <w:link w:val="FootnoteText"/>
    <w:semiHidden/>
    <w:rsid w:val="00B42489"/>
    <w:rPr>
      <w:rFonts w:ascii="Calibri" w:eastAsia="Times New Roman" w:hAnsi="Calibri" w:cs="Calibri"/>
      <w:sz w:val="20"/>
      <w:szCs w:val="20"/>
      <w:lang w:val="en-US"/>
    </w:rPr>
  </w:style>
  <w:style w:type="character" w:styleId="FootnoteReference">
    <w:name w:val="footnote reference"/>
    <w:semiHidden/>
    <w:rsid w:val="00B42489"/>
    <w:rPr>
      <w:rFonts w:cs="Times New Roman"/>
      <w:vertAlign w:val="superscript"/>
    </w:rPr>
  </w:style>
  <w:style w:type="paragraph" w:styleId="Header">
    <w:name w:val="header"/>
    <w:basedOn w:val="Normal"/>
    <w:link w:val="HeaderChar"/>
    <w:uiPriority w:val="99"/>
    <w:unhideWhenUsed/>
    <w:rsid w:val="00082BF1"/>
    <w:pPr>
      <w:tabs>
        <w:tab w:val="center" w:pos="4536"/>
        <w:tab w:val="right" w:pos="9072"/>
      </w:tabs>
      <w:spacing w:after="0" w:line="240" w:lineRule="auto"/>
    </w:pPr>
  </w:style>
  <w:style w:type="character" w:customStyle="1" w:styleId="HeaderChar">
    <w:name w:val="Header Char"/>
    <w:basedOn w:val="DefaultParagraphFont"/>
    <w:link w:val="Header"/>
    <w:uiPriority w:val="99"/>
    <w:rsid w:val="00082BF1"/>
  </w:style>
  <w:style w:type="paragraph" w:styleId="Footer">
    <w:name w:val="footer"/>
    <w:basedOn w:val="Normal"/>
    <w:link w:val="FooterChar"/>
    <w:uiPriority w:val="99"/>
    <w:unhideWhenUsed/>
    <w:rsid w:val="00082BF1"/>
    <w:pPr>
      <w:tabs>
        <w:tab w:val="center" w:pos="4536"/>
        <w:tab w:val="right" w:pos="9072"/>
      </w:tabs>
      <w:spacing w:after="0" w:line="240" w:lineRule="auto"/>
    </w:pPr>
  </w:style>
  <w:style w:type="character" w:customStyle="1" w:styleId="FooterChar">
    <w:name w:val="Footer Char"/>
    <w:basedOn w:val="DefaultParagraphFont"/>
    <w:link w:val="Footer"/>
    <w:uiPriority w:val="99"/>
    <w:rsid w:val="00082BF1"/>
  </w:style>
  <w:style w:type="paragraph" w:styleId="BodyText">
    <w:name w:val="Body Text"/>
    <w:basedOn w:val="Normal"/>
    <w:link w:val="BodyTextChar"/>
    <w:uiPriority w:val="99"/>
    <w:rsid w:val="005C0562"/>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5C0562"/>
    <w:rPr>
      <w:rFonts w:ascii="Times New Roman" w:eastAsia="Times New Roman" w:hAnsi="Times New Roman" w:cs="Times New Roman"/>
      <w:sz w:val="24"/>
      <w:szCs w:val="24"/>
      <w:lang w:val="en-US"/>
    </w:rPr>
  </w:style>
  <w:style w:type="paragraph" w:customStyle="1" w:styleId="ecxmsonormal">
    <w:name w:val="ecxmsonormal"/>
    <w:basedOn w:val="Normal"/>
    <w:uiPriority w:val="99"/>
    <w:rsid w:val="005C0562"/>
    <w:pPr>
      <w:spacing w:after="324" w:line="240" w:lineRule="auto"/>
    </w:pPr>
    <w:rPr>
      <w:rFonts w:ascii="Times New Roman" w:eastAsia="Times New Roman" w:hAnsi="Times New Roman" w:cs="Times New Roman"/>
      <w:sz w:val="24"/>
      <w:szCs w:val="24"/>
      <w:lang w:eastAsia="nl-NL"/>
    </w:rPr>
  </w:style>
  <w:style w:type="character" w:styleId="CommentReference">
    <w:name w:val="annotation reference"/>
    <w:basedOn w:val="DefaultParagraphFont"/>
    <w:semiHidden/>
    <w:unhideWhenUsed/>
    <w:rsid w:val="00505627"/>
    <w:rPr>
      <w:sz w:val="16"/>
      <w:szCs w:val="16"/>
    </w:rPr>
  </w:style>
  <w:style w:type="paragraph" w:styleId="CommentText">
    <w:name w:val="annotation text"/>
    <w:basedOn w:val="Normal"/>
    <w:link w:val="CommentTextChar"/>
    <w:semiHidden/>
    <w:unhideWhenUsed/>
    <w:rsid w:val="00505627"/>
    <w:pPr>
      <w:spacing w:line="240" w:lineRule="auto"/>
    </w:pPr>
    <w:rPr>
      <w:sz w:val="20"/>
      <w:szCs w:val="20"/>
    </w:rPr>
  </w:style>
  <w:style w:type="character" w:customStyle="1" w:styleId="CommentTextChar">
    <w:name w:val="Comment Text Char"/>
    <w:basedOn w:val="DefaultParagraphFont"/>
    <w:link w:val="CommentText"/>
    <w:semiHidden/>
    <w:rsid w:val="00505627"/>
    <w:rPr>
      <w:sz w:val="20"/>
      <w:szCs w:val="20"/>
    </w:rPr>
  </w:style>
  <w:style w:type="paragraph" w:styleId="CommentSubject">
    <w:name w:val="annotation subject"/>
    <w:basedOn w:val="CommentText"/>
    <w:next w:val="CommentText"/>
    <w:link w:val="CommentSubjectChar"/>
    <w:uiPriority w:val="99"/>
    <w:semiHidden/>
    <w:unhideWhenUsed/>
    <w:rsid w:val="00505627"/>
    <w:rPr>
      <w:b/>
      <w:bCs/>
    </w:rPr>
  </w:style>
  <w:style w:type="character" w:customStyle="1" w:styleId="CommentSubjectChar">
    <w:name w:val="Comment Subject Char"/>
    <w:basedOn w:val="CommentTextChar"/>
    <w:link w:val="CommentSubject"/>
    <w:uiPriority w:val="99"/>
    <w:semiHidden/>
    <w:rsid w:val="00505627"/>
    <w:rPr>
      <w:b/>
      <w:bCs/>
      <w:sz w:val="20"/>
      <w:szCs w:val="20"/>
    </w:rPr>
  </w:style>
  <w:style w:type="paragraph" w:styleId="TOCHeading">
    <w:name w:val="TOC Heading"/>
    <w:basedOn w:val="Heading1"/>
    <w:next w:val="Normal"/>
    <w:uiPriority w:val="39"/>
    <w:unhideWhenUsed/>
    <w:qFormat/>
    <w:rsid w:val="0058239C"/>
    <w:pPr>
      <w:spacing w:before="480"/>
      <w:outlineLvl w:val="9"/>
    </w:pPr>
    <w:rPr>
      <w:rFonts w:asciiTheme="majorHAnsi" w:hAnsiTheme="majorHAnsi" w:cstheme="majorBidi"/>
      <w:color w:val="365F91" w:themeColor="accent1" w:themeShade="BF"/>
      <w:lang w:val="en-US" w:eastAsia="ja-JP"/>
    </w:rPr>
  </w:style>
  <w:style w:type="paragraph" w:styleId="TOC2">
    <w:name w:val="toc 2"/>
    <w:basedOn w:val="Normal"/>
    <w:next w:val="Normal"/>
    <w:autoRedefine/>
    <w:uiPriority w:val="39"/>
    <w:unhideWhenUsed/>
    <w:qFormat/>
    <w:rsid w:val="004855D9"/>
    <w:pPr>
      <w:spacing w:after="0"/>
      <w:ind w:left="220"/>
    </w:pPr>
  </w:style>
  <w:style w:type="paragraph" w:styleId="TOC1">
    <w:name w:val="toc 1"/>
    <w:basedOn w:val="Normal"/>
    <w:next w:val="Normal"/>
    <w:autoRedefine/>
    <w:uiPriority w:val="39"/>
    <w:unhideWhenUsed/>
    <w:qFormat/>
    <w:rsid w:val="004855D9"/>
    <w:pPr>
      <w:spacing w:before="240" w:after="100"/>
    </w:pPr>
    <w:rPr>
      <w:b/>
    </w:rPr>
  </w:style>
  <w:style w:type="paragraph" w:styleId="TOC3">
    <w:name w:val="toc 3"/>
    <w:basedOn w:val="Normal"/>
    <w:next w:val="Normal"/>
    <w:autoRedefine/>
    <w:uiPriority w:val="39"/>
    <w:unhideWhenUsed/>
    <w:qFormat/>
    <w:rsid w:val="00A97BEA"/>
    <w:pPr>
      <w:spacing w:after="0"/>
      <w:ind w:left="440"/>
    </w:pPr>
    <w:rPr>
      <w:i/>
    </w:rPr>
  </w:style>
  <w:style w:type="character" w:styleId="Hyperlink">
    <w:name w:val="Hyperlink"/>
    <w:basedOn w:val="DefaultParagraphFont"/>
    <w:uiPriority w:val="99"/>
    <w:unhideWhenUsed/>
    <w:rsid w:val="0058239C"/>
    <w:rPr>
      <w:color w:val="0000FF" w:themeColor="hyperlink"/>
      <w:u w:val="single"/>
    </w:rPr>
  </w:style>
  <w:style w:type="paragraph" w:styleId="Title">
    <w:name w:val="Title"/>
    <w:basedOn w:val="Normal"/>
    <w:next w:val="Normal"/>
    <w:link w:val="TitleChar"/>
    <w:uiPriority w:val="10"/>
    <w:qFormat/>
    <w:rsid w:val="009B7A2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7A2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qFormat/>
    <w:rsid w:val="006B15D4"/>
    <w:pPr>
      <w:spacing w:after="0" w:line="240" w:lineRule="auto"/>
      <w:ind w:left="720"/>
    </w:pPr>
    <w:rPr>
      <w:rFonts w:ascii="Times New Roman" w:eastAsia="Times New Roman" w:hAnsi="Times New Roman" w:cs="Times New Roman"/>
      <w:sz w:val="24"/>
      <w:szCs w:val="24"/>
      <w:lang w:eastAsia="nl-NL"/>
    </w:rPr>
  </w:style>
  <w:style w:type="paragraph" w:customStyle="1" w:styleId="Default">
    <w:name w:val="Default"/>
    <w:rsid w:val="00A15770"/>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MediumList2-Accent2">
    <w:name w:val="Medium List 2 Accent 2"/>
    <w:basedOn w:val="TableNormal"/>
    <w:uiPriority w:val="66"/>
    <w:rsid w:val="005F17F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character" w:styleId="FollowedHyperlink">
    <w:name w:val="FollowedHyperlink"/>
    <w:basedOn w:val="DefaultParagraphFont"/>
    <w:uiPriority w:val="99"/>
    <w:semiHidden/>
    <w:unhideWhenUsed/>
    <w:rsid w:val="001608A3"/>
    <w:rPr>
      <w:color w:val="800080" w:themeColor="followedHyperlink"/>
      <w:u w:val="single"/>
    </w:rPr>
  </w:style>
  <w:style w:type="table" w:styleId="LightGrid-Accent3">
    <w:name w:val="Light Grid Accent 3"/>
    <w:basedOn w:val="TableNormal"/>
    <w:uiPriority w:val="62"/>
    <w:rsid w:val="00ED3AB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ListParagraph1">
    <w:name w:val="List Paragraph1"/>
    <w:basedOn w:val="Normal"/>
    <w:rsid w:val="00EC615D"/>
    <w:pPr>
      <w:spacing w:after="0" w:line="240" w:lineRule="auto"/>
      <w:ind w:left="720"/>
      <w:contextualSpacing/>
    </w:pPr>
    <w:rPr>
      <w:rFonts w:ascii="Times New Roman" w:eastAsia="Calibri" w:hAnsi="Times New Roman" w:cs="Times New Roman"/>
      <w:sz w:val="24"/>
      <w:szCs w:val="24"/>
      <w:lang w:val="en-US"/>
    </w:rPr>
  </w:style>
  <w:style w:type="paragraph" w:styleId="NormalWeb">
    <w:name w:val="Normal (Web)"/>
    <w:basedOn w:val="Normal"/>
    <w:uiPriority w:val="99"/>
    <w:rsid w:val="00886C7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Strong">
    <w:name w:val="Strong"/>
    <w:basedOn w:val="DefaultParagraphFont"/>
    <w:uiPriority w:val="22"/>
    <w:qFormat/>
    <w:rsid w:val="002A4D63"/>
    <w:rPr>
      <w:b/>
      <w:bCs/>
    </w:rPr>
  </w:style>
  <w:style w:type="paragraph" w:styleId="BodyText2">
    <w:name w:val="Body Text 2"/>
    <w:basedOn w:val="Normal"/>
    <w:link w:val="BodyText2Char"/>
    <w:uiPriority w:val="99"/>
    <w:semiHidden/>
    <w:unhideWhenUsed/>
    <w:rsid w:val="00EB6432"/>
    <w:pPr>
      <w:spacing w:after="120" w:line="480" w:lineRule="auto"/>
    </w:pPr>
  </w:style>
  <w:style w:type="character" w:customStyle="1" w:styleId="BodyText2Char">
    <w:name w:val="Body Text 2 Char"/>
    <w:basedOn w:val="DefaultParagraphFont"/>
    <w:link w:val="BodyText2"/>
    <w:uiPriority w:val="99"/>
    <w:semiHidden/>
    <w:rsid w:val="00EB6432"/>
  </w:style>
  <w:style w:type="paragraph" w:styleId="BodyTextIndent">
    <w:name w:val="Body Text Indent"/>
    <w:basedOn w:val="Normal"/>
    <w:link w:val="BodyTextIndentChar"/>
    <w:uiPriority w:val="99"/>
    <w:unhideWhenUsed/>
    <w:rsid w:val="00EB6432"/>
    <w:pPr>
      <w:spacing w:after="120"/>
      <w:ind w:left="283"/>
    </w:pPr>
  </w:style>
  <w:style w:type="character" w:customStyle="1" w:styleId="BodyTextIndentChar">
    <w:name w:val="Body Text Indent Char"/>
    <w:basedOn w:val="DefaultParagraphFont"/>
    <w:link w:val="BodyTextIndent"/>
    <w:uiPriority w:val="99"/>
    <w:rsid w:val="00EB6432"/>
  </w:style>
  <w:style w:type="paragraph" w:customStyle="1" w:styleId="000">
    <w:name w:val="000"/>
    <w:aliases w:val="standaard"/>
    <w:basedOn w:val="Normal"/>
    <w:link w:val="000Char"/>
    <w:rsid w:val="00A57D8C"/>
    <w:pPr>
      <w:overflowPunct w:val="0"/>
      <w:autoSpaceDE w:val="0"/>
      <w:autoSpaceDN w:val="0"/>
      <w:adjustRightInd w:val="0"/>
      <w:spacing w:after="0" w:line="260" w:lineRule="atLeast"/>
      <w:textAlignment w:val="baseline"/>
    </w:pPr>
    <w:rPr>
      <w:rFonts w:ascii="EYInterstate Light" w:eastAsia="Times New Roman" w:hAnsi="EYInterstate Light" w:cs="Times New Roman"/>
      <w:szCs w:val="20"/>
      <w:lang w:val="en-GB"/>
    </w:rPr>
  </w:style>
  <w:style w:type="character" w:customStyle="1" w:styleId="000Char">
    <w:name w:val="000 Char"/>
    <w:aliases w:val="standaard Char"/>
    <w:link w:val="000"/>
    <w:locked/>
    <w:rsid w:val="00A57D8C"/>
    <w:rPr>
      <w:rFonts w:ascii="EYInterstate Light" w:eastAsia="Times New Roman" w:hAnsi="EYInterstate Light" w:cs="Times New Roman"/>
      <w:szCs w:val="20"/>
      <w:lang w:val="en-GB"/>
    </w:rPr>
  </w:style>
  <w:style w:type="character" w:customStyle="1" w:styleId="reference-text">
    <w:name w:val="reference-text"/>
    <w:basedOn w:val="DefaultParagraphFont"/>
    <w:rsid w:val="00F57280"/>
  </w:style>
  <w:style w:type="character" w:customStyle="1" w:styleId="apple-converted-space">
    <w:name w:val="apple-converted-space"/>
    <w:basedOn w:val="DefaultParagraphFont"/>
    <w:rsid w:val="007234D2"/>
  </w:style>
  <w:style w:type="paragraph" w:styleId="DocumentMap">
    <w:name w:val="Document Map"/>
    <w:basedOn w:val="Normal"/>
    <w:link w:val="DocumentMapChar"/>
    <w:uiPriority w:val="99"/>
    <w:semiHidden/>
    <w:unhideWhenUsed/>
    <w:rsid w:val="000642F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642FD"/>
    <w:rPr>
      <w:rFonts w:ascii="Tahoma" w:hAnsi="Tahoma" w:cs="Tahoma"/>
      <w:sz w:val="16"/>
      <w:szCs w:val="16"/>
    </w:rPr>
  </w:style>
  <w:style w:type="character" w:customStyle="1" w:styleId="itxtrst">
    <w:name w:val="itxtrst"/>
    <w:basedOn w:val="DefaultParagraphFont"/>
    <w:rsid w:val="00DE766E"/>
  </w:style>
  <w:style w:type="character" w:customStyle="1" w:styleId="reference-accessdate">
    <w:name w:val="reference-accessdate"/>
    <w:basedOn w:val="DefaultParagraphFont"/>
    <w:rsid w:val="00FF47D9"/>
  </w:style>
  <w:style w:type="character" w:customStyle="1" w:styleId="hps">
    <w:name w:val="hps"/>
    <w:basedOn w:val="DefaultParagraphFont"/>
    <w:rsid w:val="0049557A"/>
  </w:style>
  <w:style w:type="table" w:styleId="TableGrid">
    <w:name w:val="Table Grid"/>
    <w:basedOn w:val="TableNormal"/>
    <w:uiPriority w:val="59"/>
    <w:rsid w:val="000875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stp">
    <w:name w:val="firstp"/>
    <w:basedOn w:val="Normal"/>
    <w:rsid w:val="00406D18"/>
    <w:pPr>
      <w:spacing w:after="0" w:line="360" w:lineRule="atLeast"/>
    </w:pPr>
    <w:rPr>
      <w:rFonts w:ascii="Verdana" w:eastAsia="Times New Roman" w:hAnsi="Verdana" w:cs="Times New Roman"/>
      <w:sz w:val="24"/>
      <w:szCs w:val="24"/>
      <w:lang w:eastAsia="zh-CN"/>
    </w:rPr>
  </w:style>
  <w:style w:type="paragraph" w:customStyle="1" w:styleId="para">
    <w:name w:val="para"/>
    <w:basedOn w:val="Normal"/>
    <w:rsid w:val="00406D18"/>
    <w:pPr>
      <w:spacing w:after="0" w:line="360" w:lineRule="atLeast"/>
      <w:ind w:firstLine="480"/>
    </w:pPr>
    <w:rPr>
      <w:rFonts w:ascii="Verdana" w:eastAsia="Times New Roman" w:hAnsi="Verdana" w:cs="Times New Roman"/>
      <w:sz w:val="24"/>
      <w:szCs w:val="24"/>
      <w:lang w:eastAsia="zh-CN"/>
    </w:rPr>
  </w:style>
  <w:style w:type="character" w:styleId="Emphasis">
    <w:name w:val="Emphasis"/>
    <w:basedOn w:val="DefaultParagraphFont"/>
    <w:qFormat/>
    <w:rsid w:val="00C87248"/>
    <w:rPr>
      <w:i/>
      <w:iCs/>
    </w:rPr>
  </w:style>
  <w:style w:type="table" w:customStyle="1" w:styleId="LightList1">
    <w:name w:val="Light List1"/>
    <w:basedOn w:val="TableNormal"/>
    <w:uiPriority w:val="61"/>
    <w:rsid w:val="00DC6642"/>
    <w:pPr>
      <w:spacing w:after="0" w:line="240" w:lineRule="auto"/>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Revision">
    <w:name w:val="Revision"/>
    <w:hidden/>
    <w:uiPriority w:val="99"/>
    <w:semiHidden/>
    <w:rsid w:val="00E11A9D"/>
    <w:pPr>
      <w:spacing w:after="0" w:line="240" w:lineRule="auto"/>
    </w:pPr>
  </w:style>
  <w:style w:type="character" w:styleId="LineNumber">
    <w:name w:val="line number"/>
    <w:basedOn w:val="DefaultParagraphFont"/>
    <w:uiPriority w:val="99"/>
    <w:semiHidden/>
    <w:unhideWhenUsed/>
    <w:rsid w:val="00986C15"/>
  </w:style>
</w:styles>
</file>

<file path=word/webSettings.xml><?xml version="1.0" encoding="utf-8"?>
<w:webSettings xmlns:r="http://schemas.openxmlformats.org/officeDocument/2006/relationships" xmlns:w="http://schemas.openxmlformats.org/wordprocessingml/2006/main">
  <w:divs>
    <w:div w:id="109520582">
      <w:bodyDiv w:val="1"/>
      <w:marLeft w:val="0"/>
      <w:marRight w:val="0"/>
      <w:marTop w:val="0"/>
      <w:marBottom w:val="0"/>
      <w:divBdr>
        <w:top w:val="none" w:sz="0" w:space="0" w:color="auto"/>
        <w:left w:val="none" w:sz="0" w:space="0" w:color="auto"/>
        <w:bottom w:val="none" w:sz="0" w:space="0" w:color="auto"/>
        <w:right w:val="none" w:sz="0" w:space="0" w:color="auto"/>
      </w:divBdr>
      <w:divsChild>
        <w:div w:id="541671916">
          <w:marLeft w:val="0"/>
          <w:marRight w:val="0"/>
          <w:marTop w:val="0"/>
          <w:marBottom w:val="0"/>
          <w:divBdr>
            <w:top w:val="none" w:sz="0" w:space="0" w:color="auto"/>
            <w:left w:val="none" w:sz="0" w:space="0" w:color="auto"/>
            <w:bottom w:val="none" w:sz="0" w:space="0" w:color="auto"/>
            <w:right w:val="none" w:sz="0" w:space="0" w:color="auto"/>
          </w:divBdr>
          <w:divsChild>
            <w:div w:id="715742415">
              <w:marLeft w:val="0"/>
              <w:marRight w:val="0"/>
              <w:marTop w:val="0"/>
              <w:marBottom w:val="0"/>
              <w:divBdr>
                <w:top w:val="none" w:sz="0" w:space="0" w:color="auto"/>
                <w:left w:val="none" w:sz="0" w:space="0" w:color="auto"/>
                <w:bottom w:val="none" w:sz="0" w:space="0" w:color="auto"/>
                <w:right w:val="none" w:sz="0" w:space="0" w:color="auto"/>
              </w:divBdr>
              <w:divsChild>
                <w:div w:id="1821535921">
                  <w:marLeft w:val="0"/>
                  <w:marRight w:val="4500"/>
                  <w:marTop w:val="0"/>
                  <w:marBottom w:val="0"/>
                  <w:divBdr>
                    <w:top w:val="none" w:sz="0" w:space="0" w:color="auto"/>
                    <w:left w:val="none" w:sz="0" w:space="0" w:color="auto"/>
                    <w:bottom w:val="none" w:sz="0" w:space="0" w:color="auto"/>
                    <w:right w:val="none" w:sz="0" w:space="0" w:color="auto"/>
                  </w:divBdr>
                  <w:divsChild>
                    <w:div w:id="267082090">
                      <w:marLeft w:val="0"/>
                      <w:marRight w:val="0"/>
                      <w:marTop w:val="0"/>
                      <w:marBottom w:val="0"/>
                      <w:divBdr>
                        <w:top w:val="none" w:sz="0" w:space="0" w:color="auto"/>
                        <w:left w:val="none" w:sz="0" w:space="0" w:color="auto"/>
                        <w:bottom w:val="none" w:sz="0" w:space="0" w:color="auto"/>
                        <w:right w:val="none" w:sz="0" w:space="0" w:color="auto"/>
                      </w:divBdr>
                      <w:divsChild>
                        <w:div w:id="840126647">
                          <w:marLeft w:val="0"/>
                          <w:marRight w:val="0"/>
                          <w:marTop w:val="0"/>
                          <w:marBottom w:val="0"/>
                          <w:divBdr>
                            <w:top w:val="none" w:sz="0" w:space="0" w:color="auto"/>
                            <w:left w:val="none" w:sz="0" w:space="0" w:color="auto"/>
                            <w:bottom w:val="none" w:sz="0" w:space="0" w:color="auto"/>
                            <w:right w:val="none" w:sz="0" w:space="0" w:color="auto"/>
                          </w:divBdr>
                          <w:divsChild>
                            <w:div w:id="234822466">
                              <w:marLeft w:val="0"/>
                              <w:marRight w:val="0"/>
                              <w:marTop w:val="0"/>
                              <w:marBottom w:val="0"/>
                              <w:divBdr>
                                <w:top w:val="none" w:sz="0" w:space="0" w:color="auto"/>
                                <w:left w:val="none" w:sz="0" w:space="0" w:color="auto"/>
                                <w:bottom w:val="none" w:sz="0" w:space="0" w:color="auto"/>
                                <w:right w:val="none" w:sz="0" w:space="0" w:color="auto"/>
                              </w:divBdr>
                              <w:divsChild>
                                <w:div w:id="493644030">
                                  <w:marLeft w:val="0"/>
                                  <w:marRight w:val="0"/>
                                  <w:marTop w:val="0"/>
                                  <w:marBottom w:val="0"/>
                                  <w:divBdr>
                                    <w:top w:val="none" w:sz="0" w:space="0" w:color="auto"/>
                                    <w:left w:val="none" w:sz="0" w:space="0" w:color="auto"/>
                                    <w:bottom w:val="none" w:sz="0" w:space="0" w:color="auto"/>
                                    <w:right w:val="none" w:sz="0" w:space="0" w:color="auto"/>
                                  </w:divBdr>
                                  <w:divsChild>
                                    <w:div w:id="186189522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655551">
      <w:bodyDiv w:val="1"/>
      <w:marLeft w:val="0"/>
      <w:marRight w:val="0"/>
      <w:marTop w:val="0"/>
      <w:marBottom w:val="0"/>
      <w:divBdr>
        <w:top w:val="none" w:sz="0" w:space="0" w:color="auto"/>
        <w:left w:val="none" w:sz="0" w:space="0" w:color="auto"/>
        <w:bottom w:val="none" w:sz="0" w:space="0" w:color="auto"/>
        <w:right w:val="none" w:sz="0" w:space="0" w:color="auto"/>
      </w:divBdr>
    </w:div>
    <w:div w:id="692263079">
      <w:bodyDiv w:val="1"/>
      <w:marLeft w:val="0"/>
      <w:marRight w:val="0"/>
      <w:marTop w:val="0"/>
      <w:marBottom w:val="0"/>
      <w:divBdr>
        <w:top w:val="none" w:sz="0" w:space="0" w:color="auto"/>
        <w:left w:val="none" w:sz="0" w:space="0" w:color="auto"/>
        <w:bottom w:val="none" w:sz="0" w:space="0" w:color="auto"/>
        <w:right w:val="none" w:sz="0" w:space="0" w:color="auto"/>
      </w:divBdr>
    </w:div>
    <w:div w:id="877399700">
      <w:bodyDiv w:val="1"/>
      <w:marLeft w:val="0"/>
      <w:marRight w:val="0"/>
      <w:marTop w:val="0"/>
      <w:marBottom w:val="0"/>
      <w:divBdr>
        <w:top w:val="none" w:sz="0" w:space="0" w:color="auto"/>
        <w:left w:val="none" w:sz="0" w:space="0" w:color="auto"/>
        <w:bottom w:val="none" w:sz="0" w:space="0" w:color="auto"/>
        <w:right w:val="none" w:sz="0" w:space="0" w:color="auto"/>
      </w:divBdr>
    </w:div>
    <w:div w:id="1892111998">
      <w:bodyDiv w:val="1"/>
      <w:marLeft w:val="0"/>
      <w:marRight w:val="0"/>
      <w:marTop w:val="0"/>
      <w:marBottom w:val="0"/>
      <w:divBdr>
        <w:top w:val="none" w:sz="0" w:space="0" w:color="auto"/>
        <w:left w:val="none" w:sz="0" w:space="0" w:color="auto"/>
        <w:bottom w:val="none" w:sz="0" w:space="0" w:color="auto"/>
        <w:right w:val="none" w:sz="0" w:space="0" w:color="auto"/>
      </w:divBdr>
      <w:divsChild>
        <w:div w:id="1621451839">
          <w:marLeft w:val="0"/>
          <w:marRight w:val="0"/>
          <w:marTop w:val="0"/>
          <w:marBottom w:val="0"/>
          <w:divBdr>
            <w:top w:val="none" w:sz="0" w:space="0" w:color="auto"/>
            <w:left w:val="none" w:sz="0" w:space="0" w:color="auto"/>
            <w:bottom w:val="none" w:sz="0" w:space="0" w:color="auto"/>
            <w:right w:val="none" w:sz="0" w:space="0" w:color="auto"/>
          </w:divBdr>
          <w:divsChild>
            <w:div w:id="1786150319">
              <w:marLeft w:val="0"/>
              <w:marRight w:val="0"/>
              <w:marTop w:val="0"/>
              <w:marBottom w:val="0"/>
              <w:divBdr>
                <w:top w:val="none" w:sz="0" w:space="0" w:color="auto"/>
                <w:left w:val="none" w:sz="0" w:space="0" w:color="auto"/>
                <w:bottom w:val="none" w:sz="0" w:space="0" w:color="auto"/>
                <w:right w:val="none" w:sz="0" w:space="0" w:color="auto"/>
              </w:divBdr>
              <w:divsChild>
                <w:div w:id="715203252">
                  <w:marLeft w:val="0"/>
                  <w:marRight w:val="0"/>
                  <w:marTop w:val="0"/>
                  <w:marBottom w:val="0"/>
                  <w:divBdr>
                    <w:top w:val="none" w:sz="0" w:space="0" w:color="auto"/>
                    <w:left w:val="none" w:sz="0" w:space="0" w:color="auto"/>
                    <w:bottom w:val="none" w:sz="0" w:space="0" w:color="auto"/>
                    <w:right w:val="none" w:sz="0" w:space="0" w:color="auto"/>
                  </w:divBdr>
                  <w:divsChild>
                    <w:div w:id="30545232">
                      <w:marLeft w:val="0"/>
                      <w:marRight w:val="0"/>
                      <w:marTop w:val="0"/>
                      <w:marBottom w:val="0"/>
                      <w:divBdr>
                        <w:top w:val="none" w:sz="0" w:space="0" w:color="auto"/>
                        <w:left w:val="none" w:sz="0" w:space="0" w:color="auto"/>
                        <w:bottom w:val="none" w:sz="0" w:space="0" w:color="auto"/>
                        <w:right w:val="none" w:sz="0" w:space="0" w:color="auto"/>
                      </w:divBdr>
                      <w:divsChild>
                        <w:div w:id="809782130">
                          <w:marLeft w:val="0"/>
                          <w:marRight w:val="0"/>
                          <w:marTop w:val="0"/>
                          <w:marBottom w:val="0"/>
                          <w:divBdr>
                            <w:top w:val="none" w:sz="0" w:space="0" w:color="auto"/>
                            <w:left w:val="none" w:sz="0" w:space="0" w:color="auto"/>
                            <w:bottom w:val="none" w:sz="0" w:space="0" w:color="auto"/>
                            <w:right w:val="none" w:sz="0" w:space="0" w:color="auto"/>
                          </w:divBdr>
                          <w:divsChild>
                            <w:div w:id="674187474">
                              <w:marLeft w:val="0"/>
                              <w:marRight w:val="0"/>
                              <w:marTop w:val="0"/>
                              <w:marBottom w:val="0"/>
                              <w:divBdr>
                                <w:top w:val="none" w:sz="0" w:space="0" w:color="auto"/>
                                <w:left w:val="none" w:sz="0" w:space="0" w:color="auto"/>
                                <w:bottom w:val="none" w:sz="0" w:space="0" w:color="auto"/>
                                <w:right w:val="none" w:sz="0" w:space="0" w:color="auto"/>
                              </w:divBdr>
                              <w:divsChild>
                                <w:div w:id="1156845960">
                                  <w:marLeft w:val="0"/>
                                  <w:marRight w:val="0"/>
                                  <w:marTop w:val="0"/>
                                  <w:marBottom w:val="0"/>
                                  <w:divBdr>
                                    <w:top w:val="none" w:sz="0" w:space="0" w:color="auto"/>
                                    <w:left w:val="none" w:sz="0" w:space="0" w:color="auto"/>
                                    <w:bottom w:val="none" w:sz="0" w:space="0" w:color="auto"/>
                                    <w:right w:val="none" w:sz="0" w:space="0" w:color="auto"/>
                                  </w:divBdr>
                                  <w:divsChild>
                                    <w:div w:id="323827194">
                                      <w:marLeft w:val="0"/>
                                      <w:marRight w:val="0"/>
                                      <w:marTop w:val="0"/>
                                      <w:marBottom w:val="0"/>
                                      <w:divBdr>
                                        <w:top w:val="none" w:sz="0" w:space="0" w:color="auto"/>
                                        <w:left w:val="none" w:sz="0" w:space="0" w:color="auto"/>
                                        <w:bottom w:val="none" w:sz="0" w:space="0" w:color="auto"/>
                                        <w:right w:val="none" w:sz="0" w:space="0" w:color="auto"/>
                                      </w:divBdr>
                                      <w:divsChild>
                                        <w:div w:id="1759213407">
                                          <w:marLeft w:val="0"/>
                                          <w:marRight w:val="0"/>
                                          <w:marTop w:val="0"/>
                                          <w:marBottom w:val="0"/>
                                          <w:divBdr>
                                            <w:top w:val="none" w:sz="0" w:space="0" w:color="auto"/>
                                            <w:left w:val="none" w:sz="0" w:space="0" w:color="auto"/>
                                            <w:bottom w:val="none" w:sz="0" w:space="0" w:color="auto"/>
                                            <w:right w:val="none" w:sz="0" w:space="0" w:color="auto"/>
                                          </w:divBdr>
                                          <w:divsChild>
                                            <w:div w:id="1621104057">
                                              <w:marLeft w:val="0"/>
                                              <w:marRight w:val="0"/>
                                              <w:marTop w:val="0"/>
                                              <w:marBottom w:val="0"/>
                                              <w:divBdr>
                                                <w:top w:val="none" w:sz="0" w:space="0" w:color="auto"/>
                                                <w:left w:val="none" w:sz="0" w:space="0" w:color="auto"/>
                                                <w:bottom w:val="none" w:sz="0" w:space="0" w:color="auto"/>
                                                <w:right w:val="none" w:sz="0" w:space="0" w:color="auto"/>
                                              </w:divBdr>
                                              <w:divsChild>
                                                <w:div w:id="279847467">
                                                  <w:marLeft w:val="0"/>
                                                  <w:marRight w:val="0"/>
                                                  <w:marTop w:val="0"/>
                                                  <w:marBottom w:val="0"/>
                                                  <w:divBdr>
                                                    <w:top w:val="none" w:sz="0" w:space="0" w:color="auto"/>
                                                    <w:left w:val="none" w:sz="0" w:space="0" w:color="auto"/>
                                                    <w:bottom w:val="none" w:sz="0" w:space="0" w:color="auto"/>
                                                    <w:right w:val="none" w:sz="0" w:space="0" w:color="auto"/>
                                                  </w:divBdr>
                                                  <w:divsChild>
                                                    <w:div w:id="8533006">
                                                      <w:marLeft w:val="0"/>
                                                      <w:marRight w:val="0"/>
                                                      <w:marTop w:val="0"/>
                                                      <w:marBottom w:val="0"/>
                                                      <w:divBdr>
                                                        <w:top w:val="none" w:sz="0" w:space="0" w:color="auto"/>
                                                        <w:left w:val="none" w:sz="0" w:space="0" w:color="auto"/>
                                                        <w:bottom w:val="none" w:sz="0" w:space="0" w:color="auto"/>
                                                        <w:right w:val="none" w:sz="0" w:space="0" w:color="auto"/>
                                                      </w:divBdr>
                                                      <w:divsChild>
                                                        <w:div w:id="1293949937">
                                                          <w:marLeft w:val="0"/>
                                                          <w:marRight w:val="0"/>
                                                          <w:marTop w:val="0"/>
                                                          <w:marBottom w:val="0"/>
                                                          <w:divBdr>
                                                            <w:top w:val="none" w:sz="0" w:space="0" w:color="auto"/>
                                                            <w:left w:val="none" w:sz="0" w:space="0" w:color="auto"/>
                                                            <w:bottom w:val="none" w:sz="0" w:space="0" w:color="auto"/>
                                                            <w:right w:val="none" w:sz="0" w:space="0" w:color="auto"/>
                                                          </w:divBdr>
                                                          <w:divsChild>
                                                            <w:div w:id="1921482282">
                                                              <w:marLeft w:val="0"/>
                                                              <w:marRight w:val="0"/>
                                                              <w:marTop w:val="0"/>
                                                              <w:marBottom w:val="0"/>
                                                              <w:divBdr>
                                                                <w:top w:val="none" w:sz="0" w:space="0" w:color="auto"/>
                                                                <w:left w:val="none" w:sz="0" w:space="0" w:color="auto"/>
                                                                <w:bottom w:val="none" w:sz="0" w:space="0" w:color="auto"/>
                                                                <w:right w:val="none" w:sz="0" w:space="0" w:color="auto"/>
                                                              </w:divBdr>
                                                              <w:divsChild>
                                                                <w:div w:id="1022829316">
                                                                  <w:marLeft w:val="0"/>
                                                                  <w:marRight w:val="0"/>
                                                                  <w:marTop w:val="0"/>
                                                                  <w:marBottom w:val="0"/>
                                                                  <w:divBdr>
                                                                    <w:top w:val="none" w:sz="0" w:space="0" w:color="auto"/>
                                                                    <w:left w:val="none" w:sz="0" w:space="0" w:color="auto"/>
                                                                    <w:bottom w:val="none" w:sz="0" w:space="0" w:color="auto"/>
                                                                    <w:right w:val="none" w:sz="0" w:space="0" w:color="auto"/>
                                                                  </w:divBdr>
                                                                  <w:divsChild>
                                                                    <w:div w:id="1626934932">
                                                                      <w:marLeft w:val="0"/>
                                                                      <w:marRight w:val="0"/>
                                                                      <w:marTop w:val="0"/>
                                                                      <w:marBottom w:val="0"/>
                                                                      <w:divBdr>
                                                                        <w:top w:val="none" w:sz="0" w:space="0" w:color="auto"/>
                                                                        <w:left w:val="none" w:sz="0" w:space="0" w:color="auto"/>
                                                                        <w:bottom w:val="none" w:sz="0" w:space="0" w:color="auto"/>
                                                                        <w:right w:val="none" w:sz="0" w:space="0" w:color="auto"/>
                                                                      </w:divBdr>
                                                                      <w:divsChild>
                                                                        <w:div w:id="884415720">
                                                                          <w:marLeft w:val="0"/>
                                                                          <w:marRight w:val="0"/>
                                                                          <w:marTop w:val="0"/>
                                                                          <w:marBottom w:val="0"/>
                                                                          <w:divBdr>
                                                                            <w:top w:val="none" w:sz="0" w:space="0" w:color="auto"/>
                                                                            <w:left w:val="none" w:sz="0" w:space="0" w:color="auto"/>
                                                                            <w:bottom w:val="none" w:sz="0" w:space="0" w:color="auto"/>
                                                                            <w:right w:val="none" w:sz="0" w:space="0" w:color="auto"/>
                                                                          </w:divBdr>
                                                                          <w:divsChild>
                                                                            <w:div w:id="1792897954">
                                                                              <w:marLeft w:val="0"/>
                                                                              <w:marRight w:val="0"/>
                                                                              <w:marTop w:val="0"/>
                                                                              <w:marBottom w:val="0"/>
                                                                              <w:divBdr>
                                                                                <w:top w:val="none" w:sz="0" w:space="0" w:color="auto"/>
                                                                                <w:left w:val="none" w:sz="0" w:space="0" w:color="auto"/>
                                                                                <w:bottom w:val="none" w:sz="0" w:space="0" w:color="auto"/>
                                                                                <w:right w:val="none" w:sz="0" w:space="0" w:color="auto"/>
                                                                              </w:divBdr>
                                                                              <w:divsChild>
                                                                                <w:div w:id="784885646">
                                                                                  <w:marLeft w:val="0"/>
                                                                                  <w:marRight w:val="0"/>
                                                                                  <w:marTop w:val="0"/>
                                                                                  <w:marBottom w:val="0"/>
                                                                                  <w:divBdr>
                                                                                    <w:top w:val="none" w:sz="0" w:space="0" w:color="auto"/>
                                                                                    <w:left w:val="none" w:sz="0" w:space="0" w:color="auto"/>
                                                                                    <w:bottom w:val="none" w:sz="0" w:space="0" w:color="auto"/>
                                                                                    <w:right w:val="none" w:sz="0" w:space="0" w:color="auto"/>
                                                                                  </w:divBdr>
                                                                                  <w:divsChild>
                                                                                    <w:div w:id="1715306423">
                                                                                      <w:marLeft w:val="0"/>
                                                                                      <w:marRight w:val="0"/>
                                                                                      <w:marTop w:val="0"/>
                                                                                      <w:marBottom w:val="0"/>
                                                                                      <w:divBdr>
                                                                                        <w:top w:val="none" w:sz="0" w:space="0" w:color="auto"/>
                                                                                        <w:left w:val="none" w:sz="0" w:space="0" w:color="auto"/>
                                                                                        <w:bottom w:val="none" w:sz="0" w:space="0" w:color="auto"/>
                                                                                        <w:right w:val="none" w:sz="0" w:space="0" w:color="auto"/>
                                                                                      </w:divBdr>
                                                                                      <w:divsChild>
                                                                                        <w:div w:id="1453203975">
                                                                                          <w:marLeft w:val="0"/>
                                                                                          <w:marRight w:val="0"/>
                                                                                          <w:marTop w:val="0"/>
                                                                                          <w:marBottom w:val="0"/>
                                                                                          <w:divBdr>
                                                                                            <w:top w:val="none" w:sz="0" w:space="0" w:color="auto"/>
                                                                                            <w:left w:val="none" w:sz="0" w:space="0" w:color="auto"/>
                                                                                            <w:bottom w:val="none" w:sz="0" w:space="0" w:color="auto"/>
                                                                                            <w:right w:val="none" w:sz="0" w:space="0" w:color="auto"/>
                                                                                          </w:divBdr>
                                                                                          <w:divsChild>
                                                                                            <w:div w:id="401373408">
                                                                                              <w:marLeft w:val="0"/>
                                                                                              <w:marRight w:val="0"/>
                                                                                              <w:marTop w:val="0"/>
                                                                                              <w:marBottom w:val="0"/>
                                                                                              <w:divBdr>
                                                                                                <w:top w:val="none" w:sz="0" w:space="0" w:color="auto"/>
                                                                                                <w:left w:val="none" w:sz="0" w:space="0" w:color="auto"/>
                                                                                                <w:bottom w:val="none" w:sz="0" w:space="0" w:color="auto"/>
                                                                                                <w:right w:val="none" w:sz="0" w:space="0" w:color="auto"/>
                                                                                              </w:divBdr>
                                                                                              <w:divsChild>
                                                                                                <w:div w:id="2110158446">
                                                                                                  <w:marLeft w:val="0"/>
                                                                                                  <w:marRight w:val="0"/>
                                                                                                  <w:marTop w:val="0"/>
                                                                                                  <w:marBottom w:val="0"/>
                                                                                                  <w:divBdr>
                                                                                                    <w:top w:val="none" w:sz="0" w:space="0" w:color="auto"/>
                                                                                                    <w:left w:val="none" w:sz="0" w:space="0" w:color="auto"/>
                                                                                                    <w:bottom w:val="none" w:sz="0" w:space="0" w:color="auto"/>
                                                                                                    <w:right w:val="none" w:sz="0" w:space="0" w:color="auto"/>
                                                                                                  </w:divBdr>
                                                                                                  <w:divsChild>
                                                                                                    <w:div w:id="1665470135">
                                                                                                      <w:marLeft w:val="0"/>
                                                                                                      <w:marRight w:val="0"/>
                                                                                                      <w:marTop w:val="0"/>
                                                                                                      <w:marBottom w:val="0"/>
                                                                                                      <w:divBdr>
                                                                                                        <w:top w:val="none" w:sz="0" w:space="0" w:color="auto"/>
                                                                                                        <w:left w:val="none" w:sz="0" w:space="0" w:color="auto"/>
                                                                                                        <w:bottom w:val="none" w:sz="0" w:space="0" w:color="auto"/>
                                                                                                        <w:right w:val="none" w:sz="0" w:space="0" w:color="auto"/>
                                                                                                      </w:divBdr>
                                                                                                      <w:divsChild>
                                                                                                        <w:div w:id="597756828">
                                                                                                          <w:marLeft w:val="0"/>
                                                                                                          <w:marRight w:val="0"/>
                                                                                                          <w:marTop w:val="0"/>
                                                                                                          <w:marBottom w:val="0"/>
                                                                                                          <w:divBdr>
                                                                                                            <w:top w:val="none" w:sz="0" w:space="0" w:color="auto"/>
                                                                                                            <w:left w:val="none" w:sz="0" w:space="0" w:color="auto"/>
                                                                                                            <w:bottom w:val="none" w:sz="0" w:space="0" w:color="auto"/>
                                                                                                            <w:right w:val="none" w:sz="0" w:space="0" w:color="auto"/>
                                                                                                          </w:divBdr>
                                                                                                          <w:divsChild>
                                                                                                            <w:div w:id="1068268243">
                                                                                                              <w:marLeft w:val="0"/>
                                                                                                              <w:marRight w:val="0"/>
                                                                                                              <w:marTop w:val="0"/>
                                                                                                              <w:marBottom w:val="0"/>
                                                                                                              <w:divBdr>
                                                                                                                <w:top w:val="none" w:sz="0" w:space="0" w:color="auto"/>
                                                                                                                <w:left w:val="none" w:sz="0" w:space="0" w:color="auto"/>
                                                                                                                <w:bottom w:val="none" w:sz="0" w:space="0" w:color="auto"/>
                                                                                                                <w:right w:val="none" w:sz="0" w:space="0" w:color="auto"/>
                                                                                                              </w:divBdr>
                                                                                                              <w:divsChild>
                                                                                                                <w:div w:id="1140607897">
                                                                                                                  <w:marLeft w:val="0"/>
                                                                                                                  <w:marRight w:val="0"/>
                                                                                                                  <w:marTop w:val="0"/>
                                                                                                                  <w:marBottom w:val="0"/>
                                                                                                                  <w:divBdr>
                                                                                                                    <w:top w:val="none" w:sz="0" w:space="0" w:color="auto"/>
                                                                                                                    <w:left w:val="none" w:sz="0" w:space="0" w:color="auto"/>
                                                                                                                    <w:bottom w:val="none" w:sz="0" w:space="0" w:color="auto"/>
                                                                                                                    <w:right w:val="none" w:sz="0" w:space="0" w:color="auto"/>
                                                                                                                  </w:divBdr>
                                                                                                                  <w:divsChild>
                                                                                                                    <w:div w:id="1369135889">
                                                                                                                      <w:marLeft w:val="0"/>
                                                                                                                      <w:marRight w:val="0"/>
                                                                                                                      <w:marTop w:val="0"/>
                                                                                                                      <w:marBottom w:val="0"/>
                                                                                                                      <w:divBdr>
                                                                                                                        <w:top w:val="none" w:sz="0" w:space="0" w:color="auto"/>
                                                                                                                        <w:left w:val="none" w:sz="0" w:space="0" w:color="auto"/>
                                                                                                                        <w:bottom w:val="none" w:sz="0" w:space="0" w:color="auto"/>
                                                                                                                        <w:right w:val="none" w:sz="0" w:space="0" w:color="auto"/>
                                                                                                                      </w:divBdr>
                                                                                                                      <w:divsChild>
                                                                                                                        <w:div w:id="1740862985">
                                                                                                                          <w:marLeft w:val="0"/>
                                                                                                                          <w:marRight w:val="0"/>
                                                                                                                          <w:marTop w:val="0"/>
                                                                                                                          <w:marBottom w:val="0"/>
                                                                                                                          <w:divBdr>
                                                                                                                            <w:top w:val="none" w:sz="0" w:space="0" w:color="auto"/>
                                                                                                                            <w:left w:val="none" w:sz="0" w:space="0" w:color="auto"/>
                                                                                                                            <w:bottom w:val="none" w:sz="0" w:space="0" w:color="auto"/>
                                                                                                                            <w:right w:val="none" w:sz="0" w:space="0" w:color="auto"/>
                                                                                                                          </w:divBdr>
                                                                                                                          <w:divsChild>
                                                                                                                            <w:div w:id="155271539">
                                                                                                                              <w:marLeft w:val="0"/>
                                                                                                                              <w:marRight w:val="0"/>
                                                                                                                              <w:marTop w:val="0"/>
                                                                                                                              <w:marBottom w:val="0"/>
                                                                                                                              <w:divBdr>
                                                                                                                                <w:top w:val="none" w:sz="0" w:space="0" w:color="auto"/>
                                                                                                                                <w:left w:val="none" w:sz="0" w:space="0" w:color="auto"/>
                                                                                                                                <w:bottom w:val="none" w:sz="0" w:space="0" w:color="auto"/>
                                                                                                                                <w:right w:val="none" w:sz="0" w:space="0" w:color="auto"/>
                                                                                                                              </w:divBdr>
                                                                                                                              <w:divsChild>
                                                                                                                                <w:div w:id="1769350228">
                                                                                                                                  <w:marLeft w:val="0"/>
                                                                                                                                  <w:marRight w:val="0"/>
                                                                                                                                  <w:marTop w:val="0"/>
                                                                                                                                  <w:marBottom w:val="0"/>
                                                                                                                                  <w:divBdr>
                                                                                                                                    <w:top w:val="none" w:sz="0" w:space="0" w:color="auto"/>
                                                                                                                                    <w:left w:val="none" w:sz="0" w:space="0" w:color="auto"/>
                                                                                                                                    <w:bottom w:val="none" w:sz="0" w:space="0" w:color="auto"/>
                                                                                                                                    <w:right w:val="none" w:sz="0" w:space="0" w:color="auto"/>
                                                                                                                                  </w:divBdr>
                                                                                                                                  <w:divsChild>
                                                                                                                                    <w:div w:id="1363282731">
                                                                                                                                      <w:marLeft w:val="0"/>
                                                                                                                                      <w:marRight w:val="0"/>
                                                                                                                                      <w:marTop w:val="0"/>
                                                                                                                                      <w:marBottom w:val="0"/>
                                                                                                                                      <w:divBdr>
                                                                                                                                        <w:top w:val="none" w:sz="0" w:space="0" w:color="auto"/>
                                                                                                                                        <w:left w:val="none" w:sz="0" w:space="0" w:color="auto"/>
                                                                                                                                        <w:bottom w:val="none" w:sz="0" w:space="0" w:color="auto"/>
                                                                                                                                        <w:right w:val="none" w:sz="0" w:space="0" w:color="auto"/>
                                                                                                                                      </w:divBdr>
                                                                                                                                      <w:divsChild>
                                                                                                                                        <w:div w:id="807405387">
                                                                                                                                          <w:marLeft w:val="0"/>
                                                                                                                                          <w:marRight w:val="0"/>
                                                                                                                                          <w:marTop w:val="0"/>
                                                                                                                                          <w:marBottom w:val="0"/>
                                                                                                                                          <w:divBdr>
                                                                                                                                            <w:top w:val="none" w:sz="0" w:space="0" w:color="auto"/>
                                                                                                                                            <w:left w:val="none" w:sz="0" w:space="0" w:color="auto"/>
                                                                                                                                            <w:bottom w:val="none" w:sz="0" w:space="0" w:color="auto"/>
                                                                                                                                            <w:right w:val="none" w:sz="0" w:space="0" w:color="auto"/>
                                                                                                                                          </w:divBdr>
                                                                                                                                          <w:divsChild>
                                                                                                                                            <w:div w:id="917590413">
                                                                                                                                              <w:marLeft w:val="0"/>
                                                                                                                                              <w:marRight w:val="0"/>
                                                                                                                                              <w:marTop w:val="0"/>
                                                                                                                                              <w:marBottom w:val="0"/>
                                                                                                                                              <w:divBdr>
                                                                                                                                                <w:top w:val="none" w:sz="0" w:space="0" w:color="auto"/>
                                                                                                                                                <w:left w:val="none" w:sz="0" w:space="0" w:color="auto"/>
                                                                                                                                                <w:bottom w:val="none" w:sz="0" w:space="0" w:color="auto"/>
                                                                                                                                                <w:right w:val="none" w:sz="0" w:space="0" w:color="auto"/>
                                                                                                                                              </w:divBdr>
                                                                                                                                              <w:divsChild>
                                                                                                                                                <w:div w:id="853961083">
                                                                                                                                                  <w:marLeft w:val="0"/>
                                                                                                                                                  <w:marRight w:val="0"/>
                                                                                                                                                  <w:marTop w:val="0"/>
                                                                                                                                                  <w:marBottom w:val="0"/>
                                                                                                                                                  <w:divBdr>
                                                                                                                                                    <w:top w:val="none" w:sz="0" w:space="0" w:color="auto"/>
                                                                                                                                                    <w:left w:val="none" w:sz="0" w:space="0" w:color="auto"/>
                                                                                                                                                    <w:bottom w:val="none" w:sz="0" w:space="0" w:color="auto"/>
                                                                                                                                                    <w:right w:val="none" w:sz="0" w:space="0" w:color="auto"/>
                                                                                                                                                  </w:divBdr>
                                                                                                                                                  <w:divsChild>
                                                                                                                                                    <w:div w:id="1031028158">
                                                                                                                                                      <w:marLeft w:val="0"/>
                                                                                                                                                      <w:marRight w:val="0"/>
                                                                                                                                                      <w:marTop w:val="0"/>
                                                                                                                                                      <w:marBottom w:val="0"/>
                                                                                                                                                      <w:divBdr>
                                                                                                                                                        <w:top w:val="none" w:sz="0" w:space="0" w:color="auto"/>
                                                                                                                                                        <w:left w:val="none" w:sz="0" w:space="0" w:color="auto"/>
                                                                                                                                                        <w:bottom w:val="none" w:sz="0" w:space="0" w:color="auto"/>
                                                                                                                                                        <w:right w:val="none" w:sz="0" w:space="0" w:color="auto"/>
                                                                                                                                                      </w:divBdr>
                                                                                                                                                      <w:divsChild>
                                                                                                                                                        <w:div w:id="189268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oleObject" Target="embeddings/oleObject69.bin"/><Relationship Id="rId21" Type="http://schemas.openxmlformats.org/officeDocument/2006/relationships/image" Target="media/image8.wmf"/><Relationship Id="rId42" Type="http://schemas.openxmlformats.org/officeDocument/2006/relationships/image" Target="media/image15.png"/><Relationship Id="rId47" Type="http://schemas.openxmlformats.org/officeDocument/2006/relationships/image" Target="media/image20.png"/><Relationship Id="rId63" Type="http://schemas.openxmlformats.org/officeDocument/2006/relationships/image" Target="media/image30.wmf"/><Relationship Id="rId68" Type="http://schemas.openxmlformats.org/officeDocument/2006/relationships/image" Target="media/image32.wmf"/><Relationship Id="rId84" Type="http://schemas.openxmlformats.org/officeDocument/2006/relationships/image" Target="media/image36.wmf"/><Relationship Id="rId89" Type="http://schemas.openxmlformats.org/officeDocument/2006/relationships/oleObject" Target="embeddings/oleObject43.bin"/><Relationship Id="rId112" Type="http://schemas.openxmlformats.org/officeDocument/2006/relationships/oleObject" Target="embeddings/oleObject64.bin"/><Relationship Id="rId133" Type="http://schemas.openxmlformats.org/officeDocument/2006/relationships/oleObject" Target="embeddings/oleObject85.bin"/><Relationship Id="rId138" Type="http://schemas.openxmlformats.org/officeDocument/2006/relationships/image" Target="media/image41.wmf"/><Relationship Id="rId154" Type="http://schemas.openxmlformats.org/officeDocument/2006/relationships/hyperlink" Target="http://dare.uva.nl/document/58930" TargetMode="External"/><Relationship Id="rId159" Type="http://schemas.openxmlformats.org/officeDocument/2006/relationships/image" Target="media/image48.png"/><Relationship Id="rId16" Type="http://schemas.openxmlformats.org/officeDocument/2006/relationships/oleObject" Target="embeddings/oleObject3.bin"/><Relationship Id="rId107" Type="http://schemas.openxmlformats.org/officeDocument/2006/relationships/oleObject" Target="embeddings/oleObject59.bin"/><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3.wmf"/><Relationship Id="rId53" Type="http://schemas.openxmlformats.org/officeDocument/2006/relationships/image" Target="media/image25.wmf"/><Relationship Id="rId58" Type="http://schemas.openxmlformats.org/officeDocument/2006/relationships/oleObject" Target="embeddings/oleObject22.bin"/><Relationship Id="rId74" Type="http://schemas.openxmlformats.org/officeDocument/2006/relationships/oleObject" Target="embeddings/oleObject33.bin"/><Relationship Id="rId79" Type="http://schemas.openxmlformats.org/officeDocument/2006/relationships/oleObject" Target="embeddings/oleObject37.bin"/><Relationship Id="rId102" Type="http://schemas.openxmlformats.org/officeDocument/2006/relationships/oleObject" Target="embeddings/oleObject54.bin"/><Relationship Id="rId123" Type="http://schemas.openxmlformats.org/officeDocument/2006/relationships/oleObject" Target="embeddings/oleObject75.bin"/><Relationship Id="rId128" Type="http://schemas.openxmlformats.org/officeDocument/2006/relationships/oleObject" Target="embeddings/oleObject80.bin"/><Relationship Id="rId144" Type="http://schemas.openxmlformats.org/officeDocument/2006/relationships/image" Target="media/image44.wmf"/><Relationship Id="rId149" Type="http://schemas.openxmlformats.org/officeDocument/2006/relationships/hyperlink" Target="http://papers.ssrn.com/sol3/=214996" TargetMode="External"/><Relationship Id="rId5" Type="http://schemas.openxmlformats.org/officeDocument/2006/relationships/settings" Target="settings.xml"/><Relationship Id="rId90" Type="http://schemas.openxmlformats.org/officeDocument/2006/relationships/image" Target="media/image39.wmf"/><Relationship Id="rId95" Type="http://schemas.openxmlformats.org/officeDocument/2006/relationships/oleObject" Target="embeddings/oleObject47.bin"/><Relationship Id="rId160" Type="http://schemas.openxmlformats.org/officeDocument/2006/relationships/image" Target="media/image49.png"/><Relationship Id="rId165" Type="http://schemas.microsoft.com/office/2007/relationships/stylesWithEffects" Target="stylesWithEffects.xml"/><Relationship Id="rId22" Type="http://schemas.openxmlformats.org/officeDocument/2006/relationships/oleObject" Target="embeddings/oleObject6.bin"/><Relationship Id="rId27" Type="http://schemas.openxmlformats.org/officeDocument/2006/relationships/image" Target="media/image10.wmf"/><Relationship Id="rId43" Type="http://schemas.openxmlformats.org/officeDocument/2006/relationships/image" Target="media/image16.png"/><Relationship Id="rId48" Type="http://schemas.openxmlformats.org/officeDocument/2006/relationships/image" Target="media/image21.png"/><Relationship Id="rId64" Type="http://schemas.openxmlformats.org/officeDocument/2006/relationships/oleObject" Target="embeddings/oleObject26.bin"/><Relationship Id="rId69" Type="http://schemas.openxmlformats.org/officeDocument/2006/relationships/oleObject" Target="embeddings/oleObject29.bin"/><Relationship Id="rId113" Type="http://schemas.openxmlformats.org/officeDocument/2006/relationships/oleObject" Target="embeddings/oleObject65.bin"/><Relationship Id="rId118" Type="http://schemas.openxmlformats.org/officeDocument/2006/relationships/oleObject" Target="embeddings/oleObject70.bin"/><Relationship Id="rId134" Type="http://schemas.openxmlformats.org/officeDocument/2006/relationships/oleObject" Target="embeddings/oleObject86.bin"/><Relationship Id="rId139" Type="http://schemas.openxmlformats.org/officeDocument/2006/relationships/oleObject" Target="embeddings/oleObject90.bin"/><Relationship Id="rId80" Type="http://schemas.openxmlformats.org/officeDocument/2006/relationships/image" Target="media/image35.wmf"/><Relationship Id="rId85" Type="http://schemas.openxmlformats.org/officeDocument/2006/relationships/oleObject" Target="embeddings/oleObject41.bin"/><Relationship Id="rId150" Type="http://schemas.openxmlformats.org/officeDocument/2006/relationships/hyperlink" Target="http://ssrn.com/abstract=1755122" TargetMode="External"/><Relationship Id="rId155" Type="http://schemas.openxmlformats.org/officeDocument/2006/relationships/hyperlink" Target="http://www.forbes.com" TargetMode="External"/><Relationship Id="rId12" Type="http://schemas.openxmlformats.org/officeDocument/2006/relationships/oleObject" Target="embeddings/oleObject1.bin"/><Relationship Id="rId17" Type="http://schemas.openxmlformats.org/officeDocument/2006/relationships/image" Target="media/image6.wmf"/><Relationship Id="rId33" Type="http://schemas.openxmlformats.org/officeDocument/2006/relationships/image" Target="media/image12.wmf"/><Relationship Id="rId38" Type="http://schemas.openxmlformats.org/officeDocument/2006/relationships/oleObject" Target="embeddings/oleObject17.bin"/><Relationship Id="rId59" Type="http://schemas.openxmlformats.org/officeDocument/2006/relationships/image" Target="media/image29.wmf"/><Relationship Id="rId103" Type="http://schemas.openxmlformats.org/officeDocument/2006/relationships/oleObject" Target="embeddings/oleObject55.bin"/><Relationship Id="rId108" Type="http://schemas.openxmlformats.org/officeDocument/2006/relationships/oleObject" Target="embeddings/oleObject60.bin"/><Relationship Id="rId124" Type="http://schemas.openxmlformats.org/officeDocument/2006/relationships/oleObject" Target="embeddings/oleObject76.bin"/><Relationship Id="rId129" Type="http://schemas.openxmlformats.org/officeDocument/2006/relationships/oleObject" Target="embeddings/oleObject81.bin"/><Relationship Id="rId54" Type="http://schemas.openxmlformats.org/officeDocument/2006/relationships/oleObject" Target="embeddings/oleObject21.bin"/><Relationship Id="rId70" Type="http://schemas.openxmlformats.org/officeDocument/2006/relationships/oleObject" Target="embeddings/oleObject30.bin"/><Relationship Id="rId75" Type="http://schemas.openxmlformats.org/officeDocument/2006/relationships/oleObject" Target="embeddings/oleObject34.bin"/><Relationship Id="rId91" Type="http://schemas.openxmlformats.org/officeDocument/2006/relationships/oleObject" Target="embeddings/oleObject44.bin"/><Relationship Id="rId96" Type="http://schemas.openxmlformats.org/officeDocument/2006/relationships/oleObject" Target="embeddings/oleObject48.bin"/><Relationship Id="rId140" Type="http://schemas.openxmlformats.org/officeDocument/2006/relationships/image" Target="media/image42.wmf"/><Relationship Id="rId145" Type="http://schemas.openxmlformats.org/officeDocument/2006/relationships/oleObject" Target="embeddings/oleObject93.bin"/><Relationship Id="rId161" Type="http://schemas.openxmlformats.org/officeDocument/2006/relationships/image" Target="media/image50.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oleObject" Target="embeddings/oleObject7.bin"/><Relationship Id="rId28" Type="http://schemas.openxmlformats.org/officeDocument/2006/relationships/oleObject" Target="embeddings/oleObject10.bin"/><Relationship Id="rId36" Type="http://schemas.openxmlformats.org/officeDocument/2006/relationships/oleObject" Target="embeddings/oleObject16.bin"/><Relationship Id="rId49" Type="http://schemas.openxmlformats.org/officeDocument/2006/relationships/image" Target="media/image22.png"/><Relationship Id="rId57" Type="http://schemas.openxmlformats.org/officeDocument/2006/relationships/image" Target="media/image28.wmf"/><Relationship Id="rId106" Type="http://schemas.openxmlformats.org/officeDocument/2006/relationships/oleObject" Target="embeddings/oleObject58.bin"/><Relationship Id="rId114" Type="http://schemas.openxmlformats.org/officeDocument/2006/relationships/oleObject" Target="embeddings/oleObject66.bin"/><Relationship Id="rId119" Type="http://schemas.openxmlformats.org/officeDocument/2006/relationships/oleObject" Target="embeddings/oleObject71.bin"/><Relationship Id="rId127" Type="http://schemas.openxmlformats.org/officeDocument/2006/relationships/oleObject" Target="embeddings/oleObject79.bin"/><Relationship Id="rId10" Type="http://schemas.openxmlformats.org/officeDocument/2006/relationships/image" Target="media/image2.png"/><Relationship Id="rId31" Type="http://schemas.openxmlformats.org/officeDocument/2006/relationships/oleObject" Target="embeddings/oleObject12.bin"/><Relationship Id="rId44" Type="http://schemas.openxmlformats.org/officeDocument/2006/relationships/image" Target="media/image17.png"/><Relationship Id="rId52" Type="http://schemas.openxmlformats.org/officeDocument/2006/relationships/oleObject" Target="embeddings/oleObject20.bin"/><Relationship Id="rId60" Type="http://schemas.openxmlformats.org/officeDocument/2006/relationships/oleObject" Target="embeddings/oleObject23.bin"/><Relationship Id="rId65" Type="http://schemas.openxmlformats.org/officeDocument/2006/relationships/oleObject" Target="embeddings/oleObject27.bin"/><Relationship Id="rId73" Type="http://schemas.openxmlformats.org/officeDocument/2006/relationships/oleObject" Target="embeddings/oleObject32.bin"/><Relationship Id="rId78" Type="http://schemas.openxmlformats.org/officeDocument/2006/relationships/oleObject" Target="embeddings/oleObject36.bin"/><Relationship Id="rId81" Type="http://schemas.openxmlformats.org/officeDocument/2006/relationships/oleObject" Target="embeddings/oleObject38.bin"/><Relationship Id="rId86" Type="http://schemas.openxmlformats.org/officeDocument/2006/relationships/image" Target="media/image37.wmf"/><Relationship Id="rId94" Type="http://schemas.openxmlformats.org/officeDocument/2006/relationships/oleObject" Target="embeddings/oleObject46.bin"/><Relationship Id="rId99" Type="http://schemas.openxmlformats.org/officeDocument/2006/relationships/oleObject" Target="embeddings/oleObject51.bin"/><Relationship Id="rId101" Type="http://schemas.openxmlformats.org/officeDocument/2006/relationships/oleObject" Target="embeddings/oleObject53.bin"/><Relationship Id="rId122" Type="http://schemas.openxmlformats.org/officeDocument/2006/relationships/oleObject" Target="embeddings/oleObject74.bin"/><Relationship Id="rId130" Type="http://schemas.openxmlformats.org/officeDocument/2006/relationships/oleObject" Target="embeddings/oleObject82.bin"/><Relationship Id="rId135" Type="http://schemas.openxmlformats.org/officeDocument/2006/relationships/oleObject" Target="embeddings/oleObject87.bin"/><Relationship Id="rId143" Type="http://schemas.openxmlformats.org/officeDocument/2006/relationships/oleObject" Target="embeddings/oleObject92.bin"/><Relationship Id="rId148" Type="http://schemas.openxmlformats.org/officeDocument/2006/relationships/hyperlink" Target="http://faculty.chicagobooth.edu/ray.ball/pdf" TargetMode="External"/><Relationship Id="rId151" Type="http://schemas.openxmlformats.org/officeDocument/2006/relationships/hyperlink" Target="http://ssrn.com/abstract=1473571" TargetMode="External"/><Relationship Id="rId156" Type="http://schemas.openxmlformats.org/officeDocument/2006/relationships/hyperlink" Target="http://www.bdo.nl/en/services/audit-accounting/ifrs/pages/default.aspx" TargetMode="External"/><Relationship Id="rId16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4.bin"/><Relationship Id="rId39" Type="http://schemas.openxmlformats.org/officeDocument/2006/relationships/oleObject" Target="embeddings/oleObject18.bin"/><Relationship Id="rId109" Type="http://schemas.openxmlformats.org/officeDocument/2006/relationships/oleObject" Target="embeddings/oleObject61.bin"/><Relationship Id="rId34" Type="http://schemas.openxmlformats.org/officeDocument/2006/relationships/oleObject" Target="embeddings/oleObject14.bin"/><Relationship Id="rId50" Type="http://schemas.openxmlformats.org/officeDocument/2006/relationships/image" Target="media/image23.png"/><Relationship Id="rId55" Type="http://schemas.openxmlformats.org/officeDocument/2006/relationships/image" Target="media/image26.png"/><Relationship Id="rId76" Type="http://schemas.openxmlformats.org/officeDocument/2006/relationships/image" Target="media/image34.wmf"/><Relationship Id="rId97" Type="http://schemas.openxmlformats.org/officeDocument/2006/relationships/oleObject" Target="embeddings/oleObject49.bin"/><Relationship Id="rId104" Type="http://schemas.openxmlformats.org/officeDocument/2006/relationships/oleObject" Target="embeddings/oleObject56.bin"/><Relationship Id="rId120" Type="http://schemas.openxmlformats.org/officeDocument/2006/relationships/oleObject" Target="embeddings/oleObject72.bin"/><Relationship Id="rId125" Type="http://schemas.openxmlformats.org/officeDocument/2006/relationships/oleObject" Target="embeddings/oleObject77.bin"/><Relationship Id="rId141" Type="http://schemas.openxmlformats.org/officeDocument/2006/relationships/oleObject" Target="embeddings/oleObject91.bin"/><Relationship Id="rId146" Type="http://schemas.openxmlformats.org/officeDocument/2006/relationships/image" Target="media/image45.png"/><Relationship Id="rId7" Type="http://schemas.openxmlformats.org/officeDocument/2006/relationships/footnotes" Target="footnotes.xml"/><Relationship Id="rId71" Type="http://schemas.openxmlformats.org/officeDocument/2006/relationships/oleObject" Target="embeddings/oleObject31.bin"/><Relationship Id="rId92" Type="http://schemas.openxmlformats.org/officeDocument/2006/relationships/image" Target="media/image40.wmf"/><Relationship Id="rId16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image" Target="media/image11.wmf"/><Relationship Id="rId24" Type="http://schemas.openxmlformats.org/officeDocument/2006/relationships/image" Target="media/image9.wmf"/><Relationship Id="rId40" Type="http://schemas.openxmlformats.org/officeDocument/2006/relationships/oleObject" Target="embeddings/oleObject19.bin"/><Relationship Id="rId45" Type="http://schemas.openxmlformats.org/officeDocument/2006/relationships/image" Target="media/image18.png"/><Relationship Id="rId66" Type="http://schemas.openxmlformats.org/officeDocument/2006/relationships/image" Target="media/image31.wmf"/><Relationship Id="rId87" Type="http://schemas.openxmlformats.org/officeDocument/2006/relationships/oleObject" Target="embeddings/oleObject42.bin"/><Relationship Id="rId110" Type="http://schemas.openxmlformats.org/officeDocument/2006/relationships/oleObject" Target="embeddings/oleObject62.bin"/><Relationship Id="rId115" Type="http://schemas.openxmlformats.org/officeDocument/2006/relationships/oleObject" Target="embeddings/oleObject67.bin"/><Relationship Id="rId131" Type="http://schemas.openxmlformats.org/officeDocument/2006/relationships/oleObject" Target="embeddings/oleObject83.bin"/><Relationship Id="rId136" Type="http://schemas.openxmlformats.org/officeDocument/2006/relationships/oleObject" Target="embeddings/oleObject88.bin"/><Relationship Id="rId157" Type="http://schemas.openxmlformats.org/officeDocument/2006/relationships/footer" Target="footer1.xml"/><Relationship Id="rId61" Type="http://schemas.openxmlformats.org/officeDocument/2006/relationships/oleObject" Target="embeddings/oleObject24.bin"/><Relationship Id="rId82" Type="http://schemas.openxmlformats.org/officeDocument/2006/relationships/oleObject" Target="embeddings/oleObject39.bin"/><Relationship Id="rId152" Type="http://schemas.openxmlformats.org/officeDocument/2006/relationships/hyperlink" Target="https://research.mbs.ac.uk/investment-risk/Portals/0/docs/ChristensenLeeWalker2008-IncentivesStandards.pdf" TargetMode="External"/><Relationship Id="rId19" Type="http://schemas.openxmlformats.org/officeDocument/2006/relationships/image" Target="media/image7.wmf"/><Relationship Id="rId14" Type="http://schemas.openxmlformats.org/officeDocument/2006/relationships/oleObject" Target="embeddings/oleObject2.bin"/><Relationship Id="rId30" Type="http://schemas.openxmlformats.org/officeDocument/2006/relationships/oleObject" Target="embeddings/oleObject11.bin"/><Relationship Id="rId35" Type="http://schemas.openxmlformats.org/officeDocument/2006/relationships/oleObject" Target="embeddings/oleObject15.bin"/><Relationship Id="rId56" Type="http://schemas.openxmlformats.org/officeDocument/2006/relationships/image" Target="media/image27.png"/><Relationship Id="rId77" Type="http://schemas.openxmlformats.org/officeDocument/2006/relationships/oleObject" Target="embeddings/oleObject35.bin"/><Relationship Id="rId100" Type="http://schemas.openxmlformats.org/officeDocument/2006/relationships/oleObject" Target="embeddings/oleObject52.bin"/><Relationship Id="rId105" Type="http://schemas.openxmlformats.org/officeDocument/2006/relationships/oleObject" Target="embeddings/oleObject57.bin"/><Relationship Id="rId126" Type="http://schemas.openxmlformats.org/officeDocument/2006/relationships/oleObject" Target="embeddings/oleObject78.bin"/><Relationship Id="rId147" Type="http://schemas.openxmlformats.org/officeDocument/2006/relationships/image" Target="media/image46.png"/><Relationship Id="rId8" Type="http://schemas.openxmlformats.org/officeDocument/2006/relationships/endnotes" Target="endnotes.xml"/><Relationship Id="rId51" Type="http://schemas.openxmlformats.org/officeDocument/2006/relationships/image" Target="media/image24.wmf"/><Relationship Id="rId72" Type="http://schemas.openxmlformats.org/officeDocument/2006/relationships/image" Target="media/image33.wmf"/><Relationship Id="rId93" Type="http://schemas.openxmlformats.org/officeDocument/2006/relationships/oleObject" Target="embeddings/oleObject45.bin"/><Relationship Id="rId98" Type="http://schemas.openxmlformats.org/officeDocument/2006/relationships/oleObject" Target="embeddings/oleObject50.bin"/><Relationship Id="rId121" Type="http://schemas.openxmlformats.org/officeDocument/2006/relationships/oleObject" Target="embeddings/oleObject73.bin"/><Relationship Id="rId142" Type="http://schemas.openxmlformats.org/officeDocument/2006/relationships/image" Target="media/image43.wmf"/><Relationship Id="rId163" Type="http://schemas.openxmlformats.org/officeDocument/2006/relationships/glossaryDocument" Target="glossary/document.xml"/><Relationship Id="rId3" Type="http://schemas.openxmlformats.org/officeDocument/2006/relationships/numbering" Target="numbering.xml"/><Relationship Id="rId25" Type="http://schemas.openxmlformats.org/officeDocument/2006/relationships/oleObject" Target="embeddings/oleObject8.bin"/><Relationship Id="rId46" Type="http://schemas.openxmlformats.org/officeDocument/2006/relationships/image" Target="media/image19.png"/><Relationship Id="rId67" Type="http://schemas.openxmlformats.org/officeDocument/2006/relationships/oleObject" Target="embeddings/oleObject28.bin"/><Relationship Id="rId116" Type="http://schemas.openxmlformats.org/officeDocument/2006/relationships/oleObject" Target="embeddings/oleObject68.bin"/><Relationship Id="rId137" Type="http://schemas.openxmlformats.org/officeDocument/2006/relationships/oleObject" Target="embeddings/oleObject89.bin"/><Relationship Id="rId158" Type="http://schemas.openxmlformats.org/officeDocument/2006/relationships/image" Target="media/image47.png"/><Relationship Id="rId20" Type="http://schemas.openxmlformats.org/officeDocument/2006/relationships/oleObject" Target="embeddings/oleObject5.bin"/><Relationship Id="rId41" Type="http://schemas.openxmlformats.org/officeDocument/2006/relationships/image" Target="media/image14.png"/><Relationship Id="rId62" Type="http://schemas.openxmlformats.org/officeDocument/2006/relationships/oleObject" Target="embeddings/oleObject25.bin"/><Relationship Id="rId83" Type="http://schemas.openxmlformats.org/officeDocument/2006/relationships/oleObject" Target="embeddings/oleObject40.bin"/><Relationship Id="rId88" Type="http://schemas.openxmlformats.org/officeDocument/2006/relationships/image" Target="media/image38.wmf"/><Relationship Id="rId111" Type="http://schemas.openxmlformats.org/officeDocument/2006/relationships/oleObject" Target="embeddings/oleObject63.bin"/><Relationship Id="rId132" Type="http://schemas.openxmlformats.org/officeDocument/2006/relationships/oleObject" Target="embeddings/oleObject84.bin"/><Relationship Id="rId153" Type="http://schemas.openxmlformats.org/officeDocument/2006/relationships/hyperlink" Target="http://repub.eur.nl/res/pub/20021/91-113_lippen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E0989BB4851428A89200D86DC66DAEC"/>
        <w:category>
          <w:name w:val="General"/>
          <w:gallery w:val="placeholder"/>
        </w:category>
        <w:types>
          <w:type w:val="bbPlcHdr"/>
        </w:types>
        <w:behaviors>
          <w:behavior w:val="content"/>
        </w:behaviors>
        <w:guid w:val="{3BECE803-F736-4F5E-9821-9AE388D59B67}"/>
      </w:docPartPr>
      <w:docPartBody>
        <w:p w:rsidR="00223363" w:rsidRDefault="00223363" w:rsidP="00223363">
          <w:pPr>
            <w:pStyle w:val="EE0989BB4851428A89200D86DC66DAEC"/>
          </w:pPr>
          <w:r>
            <w:rPr>
              <w:rFonts w:asciiTheme="majorHAnsi" w:eastAsiaTheme="majorEastAsia" w:hAnsiTheme="majorHAnsi" w:cstheme="majorBidi"/>
              <w:sz w:val="80"/>
              <w:szCs w:val="80"/>
            </w:rPr>
            <w:t>[Type the document title]</w:t>
          </w:r>
        </w:p>
      </w:docPartBody>
    </w:docPart>
    <w:docPart>
      <w:docPartPr>
        <w:name w:val="648CC24DDAFD4EA29FBAB7A3FA06F98E"/>
        <w:category>
          <w:name w:val="General"/>
          <w:gallery w:val="placeholder"/>
        </w:category>
        <w:types>
          <w:type w:val="bbPlcHdr"/>
        </w:types>
        <w:behaviors>
          <w:behavior w:val="content"/>
        </w:behaviors>
        <w:guid w:val="{4343E2AD-AE4E-4175-9BB5-B97A01E36E43}"/>
      </w:docPartPr>
      <w:docPartBody>
        <w:p w:rsidR="00223363" w:rsidRDefault="00223363" w:rsidP="00223363">
          <w:pPr>
            <w:pStyle w:val="648CC24DDAFD4EA29FBAB7A3FA06F98E"/>
          </w:pPr>
          <w:r>
            <w:rPr>
              <w:rFonts w:asciiTheme="majorHAnsi" w:eastAsiaTheme="majorEastAsia" w:hAnsiTheme="majorHAnsi" w:cstheme="majorBidi"/>
              <w:sz w:val="44"/>
              <w:szCs w:val="44"/>
            </w:rPr>
            <w:t>[Type the document subtitle]</w:t>
          </w:r>
        </w:p>
      </w:docPartBody>
    </w:docPart>
  </w:docParts>
</w:glossaryDocument>
</file>

<file path=word/glossary/fontTable.xml><?xml version="1.0" encoding="utf-8"?>
<w:fonts xmlns:r="http://schemas.openxmlformats.org/officeDocument/2006/relationships" xmlns:w="http://schemas.openxmlformats.org/wordprocessingml/2006/main">
  <w:font w:name="EYInterstate Light">
    <w:altName w:val="Arial Narrow"/>
    <w:panose1 w:val="00000000000000000000"/>
    <w:charset w:val="00"/>
    <w:family w:val="auto"/>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AdvPS6F00">
    <w:panose1 w:val="00000000000000000000"/>
    <w:charset w:val="00"/>
    <w:family w:val="roman"/>
    <w:notTrueType/>
    <w:pitch w:val="default"/>
    <w:sig w:usb0="00000003" w:usb1="00000000" w:usb2="00000000" w:usb3="00000000" w:csb0="00000001" w:csb1="00000000"/>
  </w:font>
  <w:font w:name="TrebuchetMS">
    <w:panose1 w:val="00000000000000000000"/>
    <w:charset w:val="00"/>
    <w:family w:val="swiss"/>
    <w:notTrueType/>
    <w:pitch w:val="default"/>
    <w:sig w:usb0="00000003" w:usb1="00000000" w:usb2="00000000" w:usb3="00000000" w:csb0="00000001" w:csb1="00000000"/>
  </w:font>
  <w:font w:name="TimesNewRomanPSMT">
    <w:altName w:val="Arial Unicode MS"/>
    <w:panose1 w:val="00000000000000000000"/>
    <w:charset w:val="80"/>
    <w:family w:val="auto"/>
    <w:notTrueType/>
    <w:pitch w:val="default"/>
    <w:sig w:usb0="00000000" w:usb1="08070000" w:usb2="00000010" w:usb3="00000000" w:csb0="00020000" w:csb1="00000000"/>
  </w:font>
  <w:font w:name="Times-Roman">
    <w:panose1 w:val="00000000000000000000"/>
    <w:charset w:val="00"/>
    <w:family w:val="roman"/>
    <w:notTrueType/>
    <w:pitch w:val="default"/>
    <w:sig w:usb0="00000003" w:usb1="00000000" w:usb2="00000000" w:usb3="00000000" w:csb0="00000001" w:csb1="00000000"/>
  </w:font>
  <w:font w:name="MinionPro-Regular">
    <w:panose1 w:val="00000000000000000000"/>
    <w:charset w:val="00"/>
    <w:family w:val="roman"/>
    <w:notTrueType/>
    <w:pitch w:val="default"/>
    <w:sig w:usb0="00000003" w:usb1="00000000" w:usb2="00000000" w:usb3="00000000" w:csb0="00000001" w:csb1="00000000"/>
  </w:font>
  <w:font w:name="TimesNewRoman,Italic">
    <w:altName w:val="MS Mincho"/>
    <w:panose1 w:val="00000000000000000000"/>
    <w:charset w:val="00"/>
    <w:family w:val="roman"/>
    <w:notTrueType/>
    <w:pitch w:val="default"/>
    <w:sig w:usb0="00000003" w:usb1="00000000" w:usb2="00000000" w:usb3="00000000" w:csb0="00000001" w:csb1="00000000"/>
  </w:font>
  <w:font w:name="NewBaskerville-Roman">
    <w:panose1 w:val="00000000000000000000"/>
    <w:charset w:val="00"/>
    <w:family w:val="roman"/>
    <w:notTrueType/>
    <w:pitch w:val="default"/>
    <w:sig w:usb0="00000003" w:usb1="00000000" w:usb2="00000000" w:usb3="00000000" w:csb0="00000001" w:csb1="00000000"/>
  </w:font>
  <w:font w:name="AdvGulliv-R">
    <w:panose1 w:val="00000000000000000000"/>
    <w:charset w:val="00"/>
    <w:family w:val="auto"/>
    <w:notTrueType/>
    <w:pitch w:val="default"/>
    <w:sig w:usb0="00000003" w:usb1="00000000" w:usb2="00000000" w:usb3="00000000" w:csb0="00000001" w:csb1="00000000"/>
  </w:font>
  <w:font w:name="TrebuchetMS,Italic">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223363"/>
    <w:rsid w:val="00011B88"/>
    <w:rsid w:val="001352C9"/>
    <w:rsid w:val="00206134"/>
    <w:rsid w:val="00223363"/>
    <w:rsid w:val="00367F99"/>
    <w:rsid w:val="004931D4"/>
    <w:rsid w:val="005228CA"/>
    <w:rsid w:val="00550280"/>
    <w:rsid w:val="00573AC3"/>
    <w:rsid w:val="00576B97"/>
    <w:rsid w:val="005F3DC8"/>
    <w:rsid w:val="007639E9"/>
    <w:rsid w:val="00783262"/>
    <w:rsid w:val="008336D5"/>
    <w:rsid w:val="008D6E39"/>
    <w:rsid w:val="009203C9"/>
    <w:rsid w:val="00942230"/>
    <w:rsid w:val="009D7FF9"/>
    <w:rsid w:val="00C16242"/>
    <w:rsid w:val="00C7232F"/>
    <w:rsid w:val="00C877AE"/>
    <w:rsid w:val="00C944F2"/>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E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0989BB4851428A89200D86DC66DAEC">
    <w:name w:val="EE0989BB4851428A89200D86DC66DAEC"/>
    <w:rsid w:val="00223363"/>
  </w:style>
  <w:style w:type="paragraph" w:customStyle="1" w:styleId="648CC24DDAFD4EA29FBAB7A3FA06F98E">
    <w:name w:val="648CC24DDAFD4EA29FBAB7A3FA06F98E"/>
    <w:rsid w:val="0022336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2013-01-21T00:00:00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708285-9F0E-47B8-9A04-255A0F9B8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30736</Words>
  <Characters>175198</Characters>
  <Application>Microsoft Office Word</Application>
  <DocSecurity>0</DocSecurity>
  <Lines>1459</Lines>
  <Paragraphs>411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Master thesis</vt:lpstr>
      <vt:lpstr>Master thesis</vt:lpstr>
    </vt:vector>
  </TitlesOfParts>
  <Company>PricewaterhouseCoopers</Company>
  <LinksUpToDate>false</LinksUpToDate>
  <CharactersWithSpaces>205523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dc:title>
  <dc:subject>Does the use of Earnings Management decline after the introduction of IFRS?</dc:subject>
  <dc:creator>Azzouzi, Tarik el</dc:creator>
  <cp:lastModifiedBy>Eef A. de Knecht</cp:lastModifiedBy>
  <cp:revision>2</cp:revision>
  <cp:lastPrinted>2013-07-16T13:08:00Z</cp:lastPrinted>
  <dcterms:created xsi:type="dcterms:W3CDTF">2013-07-22T12:53:00Z</dcterms:created>
  <dcterms:modified xsi:type="dcterms:W3CDTF">2013-07-22T12:53:00Z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NegativeNumbersBrackets">
    <vt:lpwstr>True</vt:lpwstr>
  </property>
  <property fmtid="{D5CDD505-2E9C-101B-9397-08002B2CF9AE}" pid="3" name="EuropeanNumberFormatting">
    <vt:lpwstr>False</vt:lpwstr>
  </property>
  <property fmtid="{D5CDD505-2E9C-101B-9397-08002B2CF9AE}" pid="4" name="NoDecimals">
    <vt:lpwstr>False</vt:lpwstr>
  </property>
  <property fmtid="{D5CDD505-2E9C-101B-9397-08002B2CF9AE}" pid="5" name="CurrencySymbol">
    <vt:lpwstr>€</vt:lpwstr>
  </property>
</Properties>
</file>