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856809"/>
        <w:docPartObj>
          <w:docPartGallery w:val="Cover Pages"/>
          <w:docPartUnique/>
        </w:docPartObj>
      </w:sdtPr>
      <w:sdtContent>
        <w:p w:rsidR="006748D0" w:rsidRPr="005B33B5" w:rsidRDefault="001A2B08" w:rsidP="00470966">
          <w:pPr>
            <w:spacing w:line="240" w:lineRule="auto"/>
            <w:ind w:right="27" w:firstLine="0"/>
            <w:rPr>
              <w:lang w:val="nl-NL"/>
            </w:rPr>
          </w:pPr>
          <w:r>
            <w:rPr>
              <w:noProof/>
              <w:lang w:bidi="ar-SA"/>
            </w:rPr>
            <w:drawing>
              <wp:anchor distT="0" distB="0" distL="114300" distR="114300" simplePos="0" relativeHeight="251658240" behindDoc="1" locked="0" layoutInCell="1" allowOverlap="1">
                <wp:simplePos x="0" y="0"/>
                <wp:positionH relativeFrom="column">
                  <wp:posOffset>3272155</wp:posOffset>
                </wp:positionH>
                <wp:positionV relativeFrom="paragraph">
                  <wp:posOffset>150495</wp:posOffset>
                </wp:positionV>
                <wp:extent cx="2940050" cy="702945"/>
                <wp:effectExtent l="19050" t="0" r="0" b="0"/>
                <wp:wrapTight wrapText="bothSides">
                  <wp:wrapPolygon edited="0">
                    <wp:start x="-140" y="0"/>
                    <wp:lineTo x="-140" y="21073"/>
                    <wp:lineTo x="21553" y="21073"/>
                    <wp:lineTo x="21553" y="0"/>
                    <wp:lineTo x="-140" y="0"/>
                  </wp:wrapPolygon>
                </wp:wrapTight>
                <wp:docPr id="1" name="Picture 0" descr="erasmus-universiteit-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universiteit-rotterdam.jpg"/>
                        <pic:cNvPicPr/>
                      </pic:nvPicPr>
                      <pic:blipFill>
                        <a:blip r:embed="rId9" cstate="print"/>
                        <a:stretch>
                          <a:fillRect/>
                        </a:stretch>
                      </pic:blipFill>
                      <pic:spPr>
                        <a:xfrm>
                          <a:off x="0" y="0"/>
                          <a:ext cx="2940050" cy="702945"/>
                        </a:xfrm>
                        <a:prstGeom prst="rect">
                          <a:avLst/>
                        </a:prstGeom>
                      </pic:spPr>
                    </pic:pic>
                  </a:graphicData>
                </a:graphic>
              </wp:anchor>
            </w:drawing>
          </w:r>
          <w:r w:rsidR="005B33B5" w:rsidRPr="005B33B5">
            <w:rPr>
              <w:lang w:val="nl-NL"/>
            </w:rPr>
            <w:t>ERASMUS UNIVERSITEIT ROTTERDAM</w:t>
          </w:r>
        </w:p>
        <w:p w:rsidR="005B33B5" w:rsidRPr="005B33B5" w:rsidRDefault="005B33B5" w:rsidP="00470966">
          <w:pPr>
            <w:spacing w:line="240" w:lineRule="auto"/>
            <w:ind w:right="27" w:firstLine="0"/>
            <w:rPr>
              <w:lang w:val="nl-NL"/>
            </w:rPr>
          </w:pPr>
          <w:r w:rsidRPr="005B33B5">
            <w:rPr>
              <w:lang w:val="nl-NL"/>
            </w:rPr>
            <w:t xml:space="preserve">Erasmus School of </w:t>
          </w:r>
          <w:proofErr w:type="spellStart"/>
          <w:r w:rsidRPr="005B33B5">
            <w:rPr>
              <w:lang w:val="nl-NL"/>
            </w:rPr>
            <w:t>Economics</w:t>
          </w:r>
          <w:proofErr w:type="spellEnd"/>
        </w:p>
        <w:p w:rsidR="005B33B5" w:rsidRPr="005B33B5" w:rsidRDefault="005B33B5" w:rsidP="00470966">
          <w:pPr>
            <w:spacing w:line="240" w:lineRule="auto"/>
            <w:ind w:right="27" w:firstLine="0"/>
          </w:pPr>
          <w:r w:rsidRPr="005B33B5">
            <w:t>FEM11112 Master Thesis Accounting and Auditing</w:t>
          </w:r>
        </w:p>
        <w:p w:rsidR="005B33B5" w:rsidRPr="005B33B5" w:rsidRDefault="005B33B5" w:rsidP="00470966">
          <w:pPr>
            <w:spacing w:line="240" w:lineRule="auto"/>
            <w:ind w:right="27" w:firstLine="0"/>
          </w:pPr>
          <w:r>
            <w:t>2012-2013</w:t>
          </w:r>
        </w:p>
        <w:p w:rsidR="00F32F48" w:rsidRDefault="00F32F48" w:rsidP="00470966">
          <w:pPr>
            <w:ind w:right="27" w:firstLine="0"/>
          </w:pP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p>
        <w:p w:rsidR="005B33B5" w:rsidRPr="005B33B5" w:rsidRDefault="005B33B5" w:rsidP="00470966">
          <w:pPr>
            <w:ind w:right="27" w:firstLine="0"/>
            <w:rPr>
              <w:b/>
              <w:sz w:val="48"/>
            </w:rPr>
          </w:pPr>
          <w:r w:rsidRPr="005B33B5">
            <w:rPr>
              <w:b/>
              <w:sz w:val="48"/>
            </w:rPr>
            <w:t>Master Thesis</w:t>
          </w:r>
        </w:p>
        <w:p w:rsidR="005B33B5" w:rsidRPr="00277E77" w:rsidRDefault="005B33B5" w:rsidP="00470966">
          <w:pPr>
            <w:pStyle w:val="Title"/>
            <w:ind w:right="27"/>
          </w:pPr>
          <w:r w:rsidRPr="00277E77">
            <w:t>The influence of the audit committee’s composition and expertise on earnings quality in the European Union</w:t>
          </w: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p>
        <w:p w:rsidR="005B33B5" w:rsidRDefault="005B33B5" w:rsidP="00470966">
          <w:pPr>
            <w:ind w:right="27" w:firstLine="0"/>
          </w:pPr>
          <w:r>
            <w:t xml:space="preserve">By: Jun-Patrick </w:t>
          </w:r>
          <w:r w:rsidR="00277E77">
            <w:t xml:space="preserve">J. </w:t>
          </w:r>
          <w:r>
            <w:t>Croes</w:t>
          </w:r>
        </w:p>
        <w:p w:rsidR="005B33B5" w:rsidRDefault="005B33B5" w:rsidP="00470966">
          <w:pPr>
            <w:ind w:right="27" w:firstLine="0"/>
          </w:pPr>
          <w:r>
            <w:t>Student number: 325490</w:t>
          </w:r>
        </w:p>
        <w:p w:rsidR="005B33B5" w:rsidRDefault="005B33B5" w:rsidP="00470966">
          <w:pPr>
            <w:ind w:right="27" w:firstLine="0"/>
          </w:pPr>
          <w:r>
            <w:t>Supervisor: Dr. C.D. Knoops</w:t>
          </w:r>
        </w:p>
        <w:p w:rsidR="005B33B5" w:rsidRDefault="005B33B5" w:rsidP="00470966">
          <w:pPr>
            <w:ind w:right="27" w:firstLine="0"/>
          </w:pPr>
          <w:r>
            <w:t>Second reader: Dr. L. Dai</w:t>
          </w:r>
        </w:p>
        <w:p w:rsidR="00277E77" w:rsidRDefault="005B33B5" w:rsidP="00470966">
          <w:pPr>
            <w:ind w:right="27" w:firstLine="0"/>
          </w:pPr>
          <w:r>
            <w:t>Date: 15 Augustus 2013</w:t>
          </w:r>
        </w:p>
        <w:p w:rsidR="00470966" w:rsidRDefault="00470966">
          <w:pPr>
            <w:spacing w:before="200" w:after="200" w:line="276" w:lineRule="auto"/>
            <w:ind w:firstLine="0"/>
            <w:jc w:val="left"/>
          </w:pPr>
          <w:r>
            <w:br w:type="page"/>
          </w:r>
        </w:p>
        <w:p w:rsidR="00965281" w:rsidRDefault="00965281" w:rsidP="00470966">
          <w:pPr>
            <w:spacing w:before="200" w:after="200"/>
            <w:ind w:right="27" w:firstLine="0"/>
            <w:jc w:val="left"/>
            <w:sectPr w:rsidR="00965281" w:rsidSect="00470966">
              <w:headerReference w:type="default" r:id="rId10"/>
              <w:type w:val="continuous"/>
              <w:pgSz w:w="11907" w:h="16839" w:code="9"/>
              <w:pgMar w:top="1440" w:right="1080" w:bottom="1440" w:left="1080" w:header="504" w:footer="720" w:gutter="0"/>
              <w:pgNumType w:start="0"/>
              <w:cols w:space="720"/>
              <w:docGrid w:linePitch="360"/>
            </w:sectPr>
          </w:pPr>
        </w:p>
        <w:p w:rsidR="005B33B5" w:rsidRDefault="005B33B5" w:rsidP="00470966">
          <w:pPr>
            <w:pStyle w:val="Heading1"/>
            <w:ind w:right="27"/>
          </w:pPr>
          <w:bookmarkStart w:id="0" w:name="_Toc364177647"/>
          <w:bookmarkStart w:id="1" w:name="_Toc364200626"/>
          <w:r>
            <w:lastRenderedPageBreak/>
            <w:t>Abstract</w:t>
          </w:r>
          <w:bookmarkEnd w:id="0"/>
          <w:bookmarkEnd w:id="1"/>
        </w:p>
        <w:p w:rsidR="005B33B5" w:rsidRDefault="00041DBA" w:rsidP="00470966">
          <w:pPr>
            <w:ind w:right="27" w:firstLine="0"/>
          </w:pPr>
          <w:r>
            <w:t xml:space="preserve">My master’s thesis focuses on the transformation of the audit committee structure regarding the </w:t>
          </w:r>
          <w:r w:rsidR="009C1923">
            <w:t xml:space="preserve">audit committee directors’ </w:t>
          </w:r>
          <w:r>
            <w:t xml:space="preserve">composition and expertise requirements </w:t>
          </w:r>
          <w:r w:rsidR="009C1923">
            <w:t>that is being proposed in the audit reform by the</w:t>
          </w:r>
          <w:r>
            <w:t xml:space="preserve"> European Commission</w:t>
          </w:r>
          <w:r w:rsidR="009C1923">
            <w:t xml:space="preserve"> (2011).</w:t>
          </w:r>
          <w:r>
            <w:t xml:space="preserve"> </w:t>
          </w:r>
          <w:r w:rsidR="007C5E4B">
            <w:t xml:space="preserve">I use data on 205 </w:t>
          </w:r>
          <w:r w:rsidR="009C1923">
            <w:t xml:space="preserve">European </w:t>
          </w:r>
          <w:r w:rsidR="007C5E4B">
            <w:t>public interest entities spread across 17 European Union member states to</w:t>
          </w:r>
          <w:r w:rsidR="00235D46">
            <w:t xml:space="preserve"> stud</w:t>
          </w:r>
          <w:r w:rsidR="007C5E4B">
            <w:t>y</w:t>
          </w:r>
          <w:r w:rsidR="00235D46">
            <w:t xml:space="preserve"> </w:t>
          </w:r>
          <w:r w:rsidR="007C5E4B">
            <w:t xml:space="preserve">the relationship among audit committee characteristics with earnings quality, proxied by benchmarking approaches. I find that certain audit committee characteristics changed considerably between 2008 and 2011. EU public interest entities’ audit committees became larger in size, more active and employed more financial experts. The </w:t>
          </w:r>
          <w:r w:rsidR="006813B7">
            <w:t xml:space="preserve">results from logistics regressions </w:t>
          </w:r>
          <w:r>
            <w:t>suggests</w:t>
          </w:r>
          <w:r w:rsidR="006813B7">
            <w:t xml:space="preserve"> that audit committees who are currently meeting the European Commission’s (2011) proposed audit reform requirements, the frequency in which the audit committee meets, and larger audit committees increases the likelihood of higher earnings quality.</w:t>
          </w:r>
          <w:r w:rsidR="009C1923">
            <w:t xml:space="preserve"> The evidence provided by my master’s thesis supports the European Commission’s actions of reforming the audit committee to improve financial reporting quality. The results could be of further use to policy makers, regulators, management and stakeholders who are concerned whether the transformation of the audit committee structure, in the form of a fully (100%) independent audit committee consisting out of at least two directors with experience and knowledge in auditing or one director with experience and knowledge in auditing and another one in accounting, improves the supervision capability of the audit committee.</w:t>
          </w:r>
        </w:p>
        <w:p w:rsidR="005B33B5" w:rsidRDefault="005B33B5" w:rsidP="00470966">
          <w:pPr>
            <w:ind w:right="27" w:firstLine="0"/>
          </w:pPr>
        </w:p>
        <w:p w:rsidR="006748D0" w:rsidRPr="00FD0348" w:rsidRDefault="006748D0" w:rsidP="00470966">
          <w:pPr>
            <w:ind w:right="27" w:firstLine="0"/>
          </w:pPr>
          <w:r w:rsidRPr="005B33B5">
            <w:br w:type="page"/>
          </w:r>
        </w:p>
      </w:sdtContent>
    </w:sdt>
    <w:p w:rsidR="00470966" w:rsidRDefault="00652C8F" w:rsidP="00470966">
      <w:pPr>
        <w:pStyle w:val="Heading1"/>
        <w:ind w:right="27"/>
      </w:pPr>
      <w:bookmarkStart w:id="2" w:name="_Toc364177648"/>
      <w:bookmarkStart w:id="3" w:name="_Toc364200627"/>
      <w:r w:rsidRPr="00FD0348">
        <w:lastRenderedPageBreak/>
        <w:t>Table of contents</w:t>
      </w:r>
      <w:bookmarkEnd w:id="2"/>
      <w:bookmarkEnd w:id="3"/>
    </w:p>
    <w:p w:rsidR="001A2B08" w:rsidRDefault="0052067B">
      <w:pPr>
        <w:pStyle w:val="TOC1"/>
        <w:tabs>
          <w:tab w:val="right" w:pos="9737"/>
        </w:tabs>
        <w:rPr>
          <w:b w:val="0"/>
          <w:bCs w:val="0"/>
          <w:caps w:val="0"/>
          <w:noProof/>
          <w:sz w:val="22"/>
          <w:u w:val="none"/>
          <w:lang w:bidi="ar-SA"/>
        </w:rPr>
      </w:pPr>
      <w:r>
        <w:rPr>
          <w:b w:val="0"/>
          <w:bCs w:val="0"/>
          <w:caps w:val="0"/>
        </w:rPr>
        <w:fldChar w:fldCharType="begin"/>
      </w:r>
      <w:r w:rsidR="00470966">
        <w:rPr>
          <w:b w:val="0"/>
          <w:bCs w:val="0"/>
          <w:caps w:val="0"/>
        </w:rPr>
        <w:instrText xml:space="preserve"> TOC \o "1-2" \u </w:instrText>
      </w:r>
      <w:r>
        <w:rPr>
          <w:b w:val="0"/>
          <w:bCs w:val="0"/>
          <w:caps w:val="0"/>
        </w:rPr>
        <w:fldChar w:fldCharType="separate"/>
      </w:r>
      <w:r w:rsidR="001A2B08" w:rsidRPr="00977948">
        <w:rPr>
          <w:rFonts w:ascii="Times New Roman" w:hAnsi="Times New Roman" w:cs="Times New Roman"/>
          <w:noProof/>
        </w:rPr>
        <w:t xml:space="preserve">I </w:t>
      </w:r>
      <w:r w:rsidR="001A2B08">
        <w:rPr>
          <w:noProof/>
        </w:rPr>
        <w:t>Introduction</w:t>
      </w:r>
      <w:r w:rsidR="001A2B08">
        <w:rPr>
          <w:noProof/>
        </w:rPr>
        <w:tab/>
      </w:r>
      <w:r>
        <w:rPr>
          <w:noProof/>
        </w:rPr>
        <w:fldChar w:fldCharType="begin"/>
      </w:r>
      <w:r w:rsidR="001A2B08">
        <w:rPr>
          <w:noProof/>
        </w:rPr>
        <w:instrText xml:space="preserve"> PAGEREF _Toc364200628 \h </w:instrText>
      </w:r>
      <w:r>
        <w:rPr>
          <w:noProof/>
        </w:rPr>
      </w:r>
      <w:r>
        <w:rPr>
          <w:noProof/>
        </w:rPr>
        <w:fldChar w:fldCharType="separate"/>
      </w:r>
      <w:r w:rsidR="001A2B08">
        <w:rPr>
          <w:noProof/>
        </w:rPr>
        <w:t>1</w:t>
      </w:r>
      <w:r>
        <w:rPr>
          <w:noProof/>
        </w:rPr>
        <w:fldChar w:fldCharType="end"/>
      </w:r>
    </w:p>
    <w:p w:rsidR="001A2B08" w:rsidRDefault="001A2B08">
      <w:pPr>
        <w:pStyle w:val="TOC1"/>
        <w:tabs>
          <w:tab w:val="right" w:pos="9737"/>
        </w:tabs>
        <w:rPr>
          <w:b w:val="0"/>
          <w:bCs w:val="0"/>
          <w:caps w:val="0"/>
          <w:noProof/>
          <w:sz w:val="22"/>
          <w:u w:val="none"/>
          <w:lang w:bidi="ar-SA"/>
        </w:rPr>
      </w:pPr>
      <w:r>
        <w:rPr>
          <w:noProof/>
        </w:rPr>
        <w:t>II Theoretical background</w:t>
      </w:r>
      <w:r>
        <w:rPr>
          <w:noProof/>
        </w:rPr>
        <w:tab/>
      </w:r>
      <w:r w:rsidR="0052067B">
        <w:rPr>
          <w:noProof/>
        </w:rPr>
        <w:fldChar w:fldCharType="begin"/>
      </w:r>
      <w:r>
        <w:rPr>
          <w:noProof/>
        </w:rPr>
        <w:instrText xml:space="preserve"> PAGEREF _Toc364200629 \h </w:instrText>
      </w:r>
      <w:r w:rsidR="0052067B">
        <w:rPr>
          <w:noProof/>
        </w:rPr>
      </w:r>
      <w:r w:rsidR="0052067B">
        <w:rPr>
          <w:noProof/>
        </w:rPr>
        <w:fldChar w:fldCharType="separate"/>
      </w:r>
      <w:r>
        <w:rPr>
          <w:noProof/>
        </w:rPr>
        <w:t>5</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Audit committees</w:t>
      </w:r>
      <w:r>
        <w:rPr>
          <w:noProof/>
        </w:rPr>
        <w:tab/>
      </w:r>
      <w:r w:rsidR="0052067B">
        <w:rPr>
          <w:noProof/>
        </w:rPr>
        <w:fldChar w:fldCharType="begin"/>
      </w:r>
      <w:r>
        <w:rPr>
          <w:noProof/>
        </w:rPr>
        <w:instrText xml:space="preserve"> PAGEREF _Toc364200630 \h </w:instrText>
      </w:r>
      <w:r w:rsidR="0052067B">
        <w:rPr>
          <w:noProof/>
        </w:rPr>
      </w:r>
      <w:r w:rsidR="0052067B">
        <w:rPr>
          <w:noProof/>
        </w:rPr>
        <w:fldChar w:fldCharType="separate"/>
      </w:r>
      <w:r>
        <w:rPr>
          <w:noProof/>
        </w:rPr>
        <w:t>5</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Earnings quality</w:t>
      </w:r>
      <w:r>
        <w:rPr>
          <w:noProof/>
        </w:rPr>
        <w:tab/>
      </w:r>
      <w:r w:rsidR="0052067B">
        <w:rPr>
          <w:noProof/>
        </w:rPr>
        <w:fldChar w:fldCharType="begin"/>
      </w:r>
      <w:r>
        <w:rPr>
          <w:noProof/>
        </w:rPr>
        <w:instrText xml:space="preserve"> PAGEREF _Toc364200631 \h </w:instrText>
      </w:r>
      <w:r w:rsidR="0052067B">
        <w:rPr>
          <w:noProof/>
        </w:rPr>
      </w:r>
      <w:r w:rsidR="0052067B">
        <w:rPr>
          <w:noProof/>
        </w:rPr>
        <w:fldChar w:fldCharType="separate"/>
      </w:r>
      <w:r>
        <w:rPr>
          <w:noProof/>
        </w:rPr>
        <w:t>9</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III Relevant literature</w:t>
      </w:r>
      <w:r>
        <w:rPr>
          <w:noProof/>
        </w:rPr>
        <w:tab/>
      </w:r>
      <w:r w:rsidR="0052067B">
        <w:rPr>
          <w:noProof/>
        </w:rPr>
        <w:fldChar w:fldCharType="begin"/>
      </w:r>
      <w:r>
        <w:rPr>
          <w:noProof/>
        </w:rPr>
        <w:instrText xml:space="preserve"> PAGEREF _Toc364200632 \h </w:instrText>
      </w:r>
      <w:r w:rsidR="0052067B">
        <w:rPr>
          <w:noProof/>
        </w:rPr>
      </w:r>
      <w:r w:rsidR="0052067B">
        <w:rPr>
          <w:noProof/>
        </w:rPr>
        <w:fldChar w:fldCharType="separate"/>
      </w:r>
      <w:r>
        <w:rPr>
          <w:noProof/>
        </w:rPr>
        <w:t>14</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Empirical literature using External indicators of earnings misstatements</w:t>
      </w:r>
      <w:r>
        <w:rPr>
          <w:noProof/>
        </w:rPr>
        <w:tab/>
      </w:r>
      <w:r w:rsidR="0052067B">
        <w:rPr>
          <w:noProof/>
        </w:rPr>
        <w:fldChar w:fldCharType="begin"/>
      </w:r>
      <w:r>
        <w:rPr>
          <w:noProof/>
        </w:rPr>
        <w:instrText xml:space="preserve"> PAGEREF _Toc364200633 \h </w:instrText>
      </w:r>
      <w:r w:rsidR="0052067B">
        <w:rPr>
          <w:noProof/>
        </w:rPr>
      </w:r>
      <w:r w:rsidR="0052067B">
        <w:rPr>
          <w:noProof/>
        </w:rPr>
        <w:fldChar w:fldCharType="separate"/>
      </w:r>
      <w:r>
        <w:rPr>
          <w:noProof/>
        </w:rPr>
        <w:t>15</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empirical literature using Properties of earnings</w:t>
      </w:r>
      <w:r>
        <w:rPr>
          <w:noProof/>
        </w:rPr>
        <w:tab/>
      </w:r>
      <w:r w:rsidR="0052067B">
        <w:rPr>
          <w:noProof/>
        </w:rPr>
        <w:fldChar w:fldCharType="begin"/>
      </w:r>
      <w:r>
        <w:rPr>
          <w:noProof/>
        </w:rPr>
        <w:instrText xml:space="preserve"> PAGEREF _Toc364200634 \h </w:instrText>
      </w:r>
      <w:r w:rsidR="0052067B">
        <w:rPr>
          <w:noProof/>
        </w:rPr>
      </w:r>
      <w:r w:rsidR="0052067B">
        <w:rPr>
          <w:noProof/>
        </w:rPr>
        <w:fldChar w:fldCharType="separate"/>
      </w:r>
      <w:r>
        <w:rPr>
          <w:noProof/>
        </w:rPr>
        <w:t>15</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V Hypothesis development</w:t>
      </w:r>
      <w:r>
        <w:rPr>
          <w:noProof/>
        </w:rPr>
        <w:tab/>
      </w:r>
      <w:r w:rsidR="0052067B">
        <w:rPr>
          <w:noProof/>
        </w:rPr>
        <w:fldChar w:fldCharType="begin"/>
      </w:r>
      <w:r>
        <w:rPr>
          <w:noProof/>
        </w:rPr>
        <w:instrText xml:space="preserve"> PAGEREF _Toc364200635 \h </w:instrText>
      </w:r>
      <w:r w:rsidR="0052067B">
        <w:rPr>
          <w:noProof/>
        </w:rPr>
      </w:r>
      <w:r w:rsidR="0052067B">
        <w:rPr>
          <w:noProof/>
        </w:rPr>
        <w:fldChar w:fldCharType="separate"/>
      </w:r>
      <w:r>
        <w:rPr>
          <w:noProof/>
        </w:rPr>
        <w:t>19</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V Research methodology</w:t>
      </w:r>
      <w:r>
        <w:rPr>
          <w:noProof/>
        </w:rPr>
        <w:tab/>
      </w:r>
      <w:r w:rsidR="0052067B">
        <w:rPr>
          <w:noProof/>
        </w:rPr>
        <w:fldChar w:fldCharType="begin"/>
      </w:r>
      <w:r>
        <w:rPr>
          <w:noProof/>
        </w:rPr>
        <w:instrText xml:space="preserve"> PAGEREF _Toc364200636 \h </w:instrText>
      </w:r>
      <w:r w:rsidR="0052067B">
        <w:rPr>
          <w:noProof/>
        </w:rPr>
      </w:r>
      <w:r w:rsidR="0052067B">
        <w:rPr>
          <w:noProof/>
        </w:rPr>
        <w:fldChar w:fldCharType="separate"/>
      </w:r>
      <w:r>
        <w:rPr>
          <w:noProof/>
        </w:rPr>
        <w:t>21</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Sample &amp; Data</w:t>
      </w:r>
      <w:r>
        <w:rPr>
          <w:noProof/>
        </w:rPr>
        <w:tab/>
      </w:r>
      <w:r w:rsidR="0052067B">
        <w:rPr>
          <w:noProof/>
        </w:rPr>
        <w:fldChar w:fldCharType="begin"/>
      </w:r>
      <w:r>
        <w:rPr>
          <w:noProof/>
        </w:rPr>
        <w:instrText xml:space="preserve"> PAGEREF _Toc364200637 \h </w:instrText>
      </w:r>
      <w:r w:rsidR="0052067B">
        <w:rPr>
          <w:noProof/>
        </w:rPr>
      </w:r>
      <w:r w:rsidR="0052067B">
        <w:rPr>
          <w:noProof/>
        </w:rPr>
        <w:fldChar w:fldCharType="separate"/>
      </w:r>
      <w:r>
        <w:rPr>
          <w:noProof/>
        </w:rPr>
        <w:t>21</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Methodology</w:t>
      </w:r>
      <w:r>
        <w:rPr>
          <w:noProof/>
        </w:rPr>
        <w:tab/>
      </w:r>
      <w:r w:rsidR="0052067B">
        <w:rPr>
          <w:noProof/>
        </w:rPr>
        <w:fldChar w:fldCharType="begin"/>
      </w:r>
      <w:r>
        <w:rPr>
          <w:noProof/>
        </w:rPr>
        <w:instrText xml:space="preserve"> PAGEREF _Toc364200638 \h </w:instrText>
      </w:r>
      <w:r w:rsidR="0052067B">
        <w:rPr>
          <w:noProof/>
        </w:rPr>
      </w:r>
      <w:r w:rsidR="0052067B">
        <w:rPr>
          <w:noProof/>
        </w:rPr>
        <w:fldChar w:fldCharType="separate"/>
      </w:r>
      <w:r>
        <w:rPr>
          <w:noProof/>
        </w:rPr>
        <w:t>23</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VI Results</w:t>
      </w:r>
      <w:r>
        <w:rPr>
          <w:noProof/>
        </w:rPr>
        <w:tab/>
      </w:r>
      <w:r w:rsidR="0052067B">
        <w:rPr>
          <w:noProof/>
        </w:rPr>
        <w:fldChar w:fldCharType="begin"/>
      </w:r>
      <w:r>
        <w:rPr>
          <w:noProof/>
        </w:rPr>
        <w:instrText xml:space="preserve"> PAGEREF _Toc364200639 \h </w:instrText>
      </w:r>
      <w:r w:rsidR="0052067B">
        <w:rPr>
          <w:noProof/>
        </w:rPr>
      </w:r>
      <w:r w:rsidR="0052067B">
        <w:rPr>
          <w:noProof/>
        </w:rPr>
        <w:fldChar w:fldCharType="separate"/>
      </w:r>
      <w:r>
        <w:rPr>
          <w:noProof/>
        </w:rPr>
        <w:t>26</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The trend in EU audit committee characteristics</w:t>
      </w:r>
      <w:r>
        <w:rPr>
          <w:noProof/>
        </w:rPr>
        <w:tab/>
      </w:r>
      <w:r w:rsidR="0052067B">
        <w:rPr>
          <w:noProof/>
        </w:rPr>
        <w:fldChar w:fldCharType="begin"/>
      </w:r>
      <w:r>
        <w:rPr>
          <w:noProof/>
        </w:rPr>
        <w:instrText xml:space="preserve"> PAGEREF _Toc364200640 \h </w:instrText>
      </w:r>
      <w:r w:rsidR="0052067B">
        <w:rPr>
          <w:noProof/>
        </w:rPr>
      </w:r>
      <w:r w:rsidR="0052067B">
        <w:rPr>
          <w:noProof/>
        </w:rPr>
        <w:fldChar w:fldCharType="separate"/>
      </w:r>
      <w:r>
        <w:rPr>
          <w:noProof/>
        </w:rPr>
        <w:t>26</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The relation among the audit committee characteristics and earnings quality proxies.</w:t>
      </w:r>
      <w:r>
        <w:rPr>
          <w:noProof/>
        </w:rPr>
        <w:tab/>
      </w:r>
      <w:r w:rsidR="0052067B">
        <w:rPr>
          <w:noProof/>
        </w:rPr>
        <w:fldChar w:fldCharType="begin"/>
      </w:r>
      <w:r>
        <w:rPr>
          <w:noProof/>
        </w:rPr>
        <w:instrText xml:space="preserve"> PAGEREF _Toc364200641 \h </w:instrText>
      </w:r>
      <w:r w:rsidR="0052067B">
        <w:rPr>
          <w:noProof/>
        </w:rPr>
      </w:r>
      <w:r w:rsidR="0052067B">
        <w:rPr>
          <w:noProof/>
        </w:rPr>
        <w:fldChar w:fldCharType="separate"/>
      </w:r>
      <w:r>
        <w:rPr>
          <w:noProof/>
        </w:rPr>
        <w:t>29</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Additional tests</w:t>
      </w:r>
      <w:r>
        <w:rPr>
          <w:noProof/>
        </w:rPr>
        <w:tab/>
      </w:r>
      <w:r w:rsidR="0052067B">
        <w:rPr>
          <w:noProof/>
        </w:rPr>
        <w:fldChar w:fldCharType="begin"/>
      </w:r>
      <w:r>
        <w:rPr>
          <w:noProof/>
        </w:rPr>
        <w:instrText xml:space="preserve"> PAGEREF _Toc364200642 \h </w:instrText>
      </w:r>
      <w:r w:rsidR="0052067B">
        <w:rPr>
          <w:noProof/>
        </w:rPr>
      </w:r>
      <w:r w:rsidR="0052067B">
        <w:rPr>
          <w:noProof/>
        </w:rPr>
        <w:fldChar w:fldCharType="separate"/>
      </w:r>
      <w:r>
        <w:rPr>
          <w:noProof/>
        </w:rPr>
        <w:t>33</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VII Conclusion</w:t>
      </w:r>
      <w:r>
        <w:rPr>
          <w:noProof/>
        </w:rPr>
        <w:tab/>
      </w:r>
      <w:r w:rsidR="0052067B">
        <w:rPr>
          <w:noProof/>
        </w:rPr>
        <w:fldChar w:fldCharType="begin"/>
      </w:r>
      <w:r>
        <w:rPr>
          <w:noProof/>
        </w:rPr>
        <w:instrText xml:space="preserve"> PAGEREF _Toc364200643 \h </w:instrText>
      </w:r>
      <w:r w:rsidR="0052067B">
        <w:rPr>
          <w:noProof/>
        </w:rPr>
      </w:r>
      <w:r w:rsidR="0052067B">
        <w:rPr>
          <w:noProof/>
        </w:rPr>
        <w:fldChar w:fldCharType="separate"/>
      </w:r>
      <w:r>
        <w:rPr>
          <w:noProof/>
        </w:rPr>
        <w:t>35</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Limitation</w:t>
      </w:r>
      <w:r>
        <w:rPr>
          <w:noProof/>
        </w:rPr>
        <w:tab/>
      </w:r>
      <w:r w:rsidR="0052067B">
        <w:rPr>
          <w:noProof/>
        </w:rPr>
        <w:fldChar w:fldCharType="begin"/>
      </w:r>
      <w:r>
        <w:rPr>
          <w:noProof/>
        </w:rPr>
        <w:instrText xml:space="preserve"> PAGEREF _Toc364200644 \h </w:instrText>
      </w:r>
      <w:r w:rsidR="0052067B">
        <w:rPr>
          <w:noProof/>
        </w:rPr>
      </w:r>
      <w:r w:rsidR="0052067B">
        <w:rPr>
          <w:noProof/>
        </w:rPr>
        <w:fldChar w:fldCharType="separate"/>
      </w:r>
      <w:r>
        <w:rPr>
          <w:noProof/>
        </w:rPr>
        <w:t>36</w:t>
      </w:r>
      <w:r w:rsidR="0052067B">
        <w:rPr>
          <w:noProof/>
        </w:rPr>
        <w:fldChar w:fldCharType="end"/>
      </w:r>
    </w:p>
    <w:p w:rsidR="001A2B08" w:rsidRDefault="001A2B08">
      <w:pPr>
        <w:pStyle w:val="TOC2"/>
        <w:tabs>
          <w:tab w:val="right" w:pos="9737"/>
        </w:tabs>
        <w:rPr>
          <w:b w:val="0"/>
          <w:bCs w:val="0"/>
          <w:smallCaps w:val="0"/>
          <w:noProof/>
          <w:sz w:val="22"/>
          <w:lang w:bidi="ar-SA"/>
        </w:rPr>
      </w:pPr>
      <w:r>
        <w:rPr>
          <w:noProof/>
        </w:rPr>
        <w:t>Future Research</w:t>
      </w:r>
      <w:r>
        <w:rPr>
          <w:noProof/>
        </w:rPr>
        <w:tab/>
      </w:r>
      <w:r w:rsidR="0052067B">
        <w:rPr>
          <w:noProof/>
        </w:rPr>
        <w:fldChar w:fldCharType="begin"/>
      </w:r>
      <w:r>
        <w:rPr>
          <w:noProof/>
        </w:rPr>
        <w:instrText xml:space="preserve"> PAGEREF _Toc364200645 \h </w:instrText>
      </w:r>
      <w:r w:rsidR="0052067B">
        <w:rPr>
          <w:noProof/>
        </w:rPr>
      </w:r>
      <w:r w:rsidR="0052067B">
        <w:rPr>
          <w:noProof/>
        </w:rPr>
        <w:fldChar w:fldCharType="separate"/>
      </w:r>
      <w:r>
        <w:rPr>
          <w:noProof/>
        </w:rPr>
        <w:t>37</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Appendix</w:t>
      </w:r>
      <w:r>
        <w:rPr>
          <w:noProof/>
        </w:rPr>
        <w:tab/>
      </w:r>
      <w:r w:rsidR="0052067B">
        <w:rPr>
          <w:noProof/>
        </w:rPr>
        <w:fldChar w:fldCharType="begin"/>
      </w:r>
      <w:r>
        <w:rPr>
          <w:noProof/>
        </w:rPr>
        <w:instrText xml:space="preserve"> PAGEREF _Toc364200646 \h </w:instrText>
      </w:r>
      <w:r w:rsidR="0052067B">
        <w:rPr>
          <w:noProof/>
        </w:rPr>
      </w:r>
      <w:r w:rsidR="0052067B">
        <w:rPr>
          <w:noProof/>
        </w:rPr>
        <w:fldChar w:fldCharType="separate"/>
      </w:r>
      <w:r>
        <w:rPr>
          <w:noProof/>
        </w:rPr>
        <w:t>38</w:t>
      </w:r>
      <w:r w:rsidR="0052067B">
        <w:rPr>
          <w:noProof/>
        </w:rPr>
        <w:fldChar w:fldCharType="end"/>
      </w:r>
    </w:p>
    <w:p w:rsidR="001A2B08" w:rsidRDefault="001A2B08">
      <w:pPr>
        <w:pStyle w:val="TOC1"/>
        <w:tabs>
          <w:tab w:val="right" w:pos="9737"/>
        </w:tabs>
        <w:rPr>
          <w:b w:val="0"/>
          <w:bCs w:val="0"/>
          <w:caps w:val="0"/>
          <w:noProof/>
          <w:sz w:val="22"/>
          <w:u w:val="none"/>
          <w:lang w:bidi="ar-SA"/>
        </w:rPr>
      </w:pPr>
      <w:r>
        <w:rPr>
          <w:noProof/>
        </w:rPr>
        <w:t>References</w:t>
      </w:r>
      <w:r>
        <w:rPr>
          <w:noProof/>
        </w:rPr>
        <w:tab/>
      </w:r>
      <w:r w:rsidR="0052067B">
        <w:rPr>
          <w:noProof/>
        </w:rPr>
        <w:fldChar w:fldCharType="begin"/>
      </w:r>
      <w:r>
        <w:rPr>
          <w:noProof/>
        </w:rPr>
        <w:instrText xml:space="preserve"> PAGEREF _Toc364200647 \h </w:instrText>
      </w:r>
      <w:r w:rsidR="0052067B">
        <w:rPr>
          <w:noProof/>
        </w:rPr>
      </w:r>
      <w:r w:rsidR="0052067B">
        <w:rPr>
          <w:noProof/>
        </w:rPr>
        <w:fldChar w:fldCharType="separate"/>
      </w:r>
      <w:r>
        <w:rPr>
          <w:noProof/>
        </w:rPr>
        <w:t>44</w:t>
      </w:r>
      <w:r w:rsidR="0052067B">
        <w:rPr>
          <w:noProof/>
        </w:rPr>
        <w:fldChar w:fldCharType="end"/>
      </w:r>
    </w:p>
    <w:p w:rsidR="004D503D" w:rsidRDefault="0052067B" w:rsidP="001A2B08">
      <w:pPr>
        <w:pStyle w:val="TOC1"/>
        <w:tabs>
          <w:tab w:val="right" w:pos="9737"/>
        </w:tabs>
        <w:spacing w:before="200" w:after="200"/>
        <w:rPr>
          <w:b w:val="0"/>
          <w:bCs w:val="0"/>
          <w:caps w:val="0"/>
        </w:rPr>
        <w:sectPr w:rsidR="004D503D" w:rsidSect="004D503D">
          <w:headerReference w:type="default" r:id="rId11"/>
          <w:footerReference w:type="default" r:id="rId12"/>
          <w:type w:val="continuous"/>
          <w:pgSz w:w="11907" w:h="16839" w:code="9"/>
          <w:pgMar w:top="1440" w:right="1080" w:bottom="1440" w:left="1080" w:header="504" w:footer="720" w:gutter="0"/>
          <w:pgNumType w:fmt="lowerRoman" w:start="1"/>
          <w:cols w:space="720"/>
          <w:docGrid w:linePitch="360"/>
        </w:sectPr>
      </w:pPr>
      <w:r>
        <w:rPr>
          <w:b w:val="0"/>
          <w:bCs w:val="0"/>
          <w:caps w:val="0"/>
        </w:rPr>
        <w:fldChar w:fldCharType="end"/>
      </w:r>
    </w:p>
    <w:p w:rsidR="00652C8F" w:rsidRPr="00FD0348" w:rsidRDefault="00652C8F" w:rsidP="00470966">
      <w:pPr>
        <w:pStyle w:val="Heading1"/>
        <w:ind w:right="27"/>
      </w:pPr>
      <w:bookmarkStart w:id="4" w:name="_Toc364177649"/>
      <w:bookmarkStart w:id="5" w:name="_Toc364200628"/>
      <w:r w:rsidRPr="00FD0348">
        <w:rPr>
          <w:rFonts w:ascii="Times New Roman" w:hAnsi="Times New Roman" w:cs="Times New Roman"/>
          <w:szCs w:val="24"/>
        </w:rPr>
        <w:lastRenderedPageBreak/>
        <w:t xml:space="preserve">I </w:t>
      </w:r>
      <w:r w:rsidRPr="00FD0348">
        <w:t>Introduction</w:t>
      </w:r>
      <w:bookmarkEnd w:id="4"/>
      <w:bookmarkEnd w:id="5"/>
    </w:p>
    <w:p w:rsidR="007E023D" w:rsidRPr="00FD0348" w:rsidRDefault="00652C8F" w:rsidP="00470966">
      <w:pPr>
        <w:ind w:right="27"/>
      </w:pPr>
      <w:r w:rsidRPr="00FD0348">
        <w:t xml:space="preserve">The financial crisis in the years 2007-2009 </w:t>
      </w:r>
      <w:r w:rsidR="00A5679A" w:rsidRPr="00FD0348">
        <w:t xml:space="preserve">that </w:t>
      </w:r>
      <w:r w:rsidRPr="00FD0348">
        <w:t xml:space="preserve">affected the </w:t>
      </w:r>
      <w:r w:rsidR="00B13AEC" w:rsidRPr="00FD0348">
        <w:t xml:space="preserve">global </w:t>
      </w:r>
      <w:r w:rsidRPr="00FD0348">
        <w:t xml:space="preserve">markets </w:t>
      </w:r>
      <w:r w:rsidR="00B628E2" w:rsidRPr="00FD0348">
        <w:t>led</w:t>
      </w:r>
      <w:r w:rsidRPr="00FD0348">
        <w:t xml:space="preserve"> the European Commission to urgently stabilize the financial system in the European Union member states. </w:t>
      </w:r>
      <w:r w:rsidR="007E023D" w:rsidRPr="00FD0348">
        <w:t>T</w:t>
      </w:r>
      <w:r w:rsidRPr="00FD0348">
        <w:t xml:space="preserve">he European Commission believes that more attention needs to be given to the role that auditors </w:t>
      </w:r>
      <w:r w:rsidR="00A07324" w:rsidRPr="00FD0348">
        <w:t xml:space="preserve">have or </w:t>
      </w:r>
      <w:r w:rsidRPr="00FD0348">
        <w:t>should have played</w:t>
      </w:r>
      <w:r w:rsidR="00173EFA" w:rsidRPr="00FD0348">
        <w:t xml:space="preserve"> before and during the financial crisis</w:t>
      </w:r>
      <w:r w:rsidR="00165772" w:rsidRPr="00FD0348">
        <w:t xml:space="preserve">, seeing as unqualified opinions were given to </w:t>
      </w:r>
      <w:r w:rsidRPr="00FD0348">
        <w:t>public-interest entities</w:t>
      </w:r>
      <w:r w:rsidRPr="00FD0348">
        <w:rPr>
          <w:rStyle w:val="FootnoteReference"/>
        </w:rPr>
        <w:footnoteReference w:id="1"/>
      </w:r>
      <w:r w:rsidRPr="00FD0348">
        <w:t xml:space="preserve"> </w:t>
      </w:r>
      <w:r w:rsidR="00165772" w:rsidRPr="00FD0348">
        <w:t>(such as banks)</w:t>
      </w:r>
      <w:r w:rsidR="00B628E2" w:rsidRPr="00FD0348">
        <w:t xml:space="preserve"> that went into financial distress</w:t>
      </w:r>
      <w:r w:rsidR="007E023D" w:rsidRPr="00FD0348">
        <w:t xml:space="preserve"> during or after the crisis period</w:t>
      </w:r>
      <w:r w:rsidRPr="00FD0348">
        <w:t xml:space="preserve">. </w:t>
      </w:r>
    </w:p>
    <w:p w:rsidR="00652C8F" w:rsidRPr="00FD0348" w:rsidRDefault="00A01560" w:rsidP="00470966">
      <w:pPr>
        <w:ind w:right="27"/>
      </w:pPr>
      <w:r w:rsidRPr="00FD0348">
        <w:t xml:space="preserve">The European Commission </w:t>
      </w:r>
      <w:r w:rsidR="00690261" w:rsidRPr="00FD0348">
        <w:t>believe</w:t>
      </w:r>
      <w:r w:rsidR="005B33B5">
        <w:t>s</w:t>
      </w:r>
      <w:r w:rsidRPr="00FD0348">
        <w:t xml:space="preserve"> that in order for trust and market confidence to be re-established in the European Union, the audit profession has to be reformed, </w:t>
      </w:r>
      <w:r w:rsidR="00741178" w:rsidRPr="00FD0348">
        <w:t>given that</w:t>
      </w:r>
      <w:r w:rsidRPr="00FD0348">
        <w:t xml:space="preserve"> </w:t>
      </w:r>
      <w:r w:rsidR="00652C8F" w:rsidRPr="00FD0348">
        <w:t>auditors are entrusted by law to give an opinion on the fairness of the financial stat</w:t>
      </w:r>
      <w:r w:rsidRPr="00FD0348">
        <w:t>ements</w:t>
      </w:r>
      <w:r w:rsidR="00652C8F" w:rsidRPr="00FD0348">
        <w:t xml:space="preserve">. Similar to the Sarbanes-Oxley act introduced a decade ago in the United States, the proposed audit reform of the European Commission (2011) will bring a new chapter to the audit profession in the European Union. A lot of controversy and lobbying has taken place in Brussels due to the changes that the proposed audit reform will bring onto the </w:t>
      </w:r>
      <w:r w:rsidR="00B56116" w:rsidRPr="00FD0348">
        <w:t xml:space="preserve">European </w:t>
      </w:r>
      <w:r w:rsidR="00652C8F" w:rsidRPr="00FD0348">
        <w:t>audit mark</w:t>
      </w:r>
      <w:r w:rsidR="000E7EB7" w:rsidRPr="00FD0348">
        <w:t>et</w:t>
      </w:r>
      <w:r w:rsidR="00173EFA" w:rsidRPr="00FD0348">
        <w:t>.</w:t>
      </w:r>
      <w:r w:rsidR="00652C8F" w:rsidRPr="00FD0348">
        <w:t xml:space="preserve"> </w:t>
      </w:r>
      <w:r w:rsidR="00B56116" w:rsidRPr="00FD0348">
        <w:t xml:space="preserve">Although the </w:t>
      </w:r>
      <w:r w:rsidR="00173EFA" w:rsidRPr="00FD0348">
        <w:t xml:space="preserve">proposed </w:t>
      </w:r>
      <w:r w:rsidR="00B56116" w:rsidRPr="00FD0348">
        <w:t xml:space="preserve">audit reform will bring </w:t>
      </w:r>
      <w:r w:rsidR="000844AF" w:rsidRPr="00FD0348">
        <w:t>heaps</w:t>
      </w:r>
      <w:r w:rsidR="00B56116" w:rsidRPr="00FD0348">
        <w:t xml:space="preserve"> of changes onto the audit market</w:t>
      </w:r>
      <w:r w:rsidR="00173EFA" w:rsidRPr="00FD0348">
        <w:t>,</w:t>
      </w:r>
      <w:r w:rsidR="00A5679A" w:rsidRPr="00FD0348">
        <w:t xml:space="preserve"> </w:t>
      </w:r>
      <w:r w:rsidR="00173EFA" w:rsidRPr="00FD0348">
        <w:t>t</w:t>
      </w:r>
      <w:r w:rsidR="00B56116" w:rsidRPr="00FD0348">
        <w:t>he following are t</w:t>
      </w:r>
      <w:r w:rsidR="00652C8F" w:rsidRPr="00FD0348">
        <w:t xml:space="preserve">he most discussed topics </w:t>
      </w:r>
      <w:r w:rsidR="000844AF" w:rsidRPr="00FD0348">
        <w:t>in the audit community</w:t>
      </w:r>
      <w:r w:rsidR="00652C8F" w:rsidRPr="00FD0348">
        <w:t xml:space="preserve">: </w:t>
      </w:r>
    </w:p>
    <w:p w:rsidR="00652C8F" w:rsidRPr="00FD0348" w:rsidRDefault="000844AF" w:rsidP="00470966">
      <w:pPr>
        <w:pStyle w:val="ListParagraph"/>
        <w:numPr>
          <w:ilvl w:val="0"/>
          <w:numId w:val="39"/>
        </w:numPr>
        <w:ind w:right="27"/>
      </w:pPr>
      <w:r w:rsidRPr="00FD0348">
        <w:t>The c</w:t>
      </w:r>
      <w:r w:rsidR="00652C8F" w:rsidRPr="00FD0348">
        <w:t>ooling off period for employing former statutory auditors or key audit partners by the public-interest entity</w:t>
      </w:r>
      <w:r w:rsidR="00294DC7" w:rsidRPr="00FD0348">
        <w:t xml:space="preserve"> that has been audited</w:t>
      </w:r>
      <w:r w:rsidR="00652C8F" w:rsidRPr="00FD0348">
        <w:t>.</w:t>
      </w:r>
    </w:p>
    <w:p w:rsidR="00652C8F" w:rsidRPr="00FD0348" w:rsidRDefault="000844AF" w:rsidP="00470966">
      <w:pPr>
        <w:pStyle w:val="ListParagraph"/>
        <w:numPr>
          <w:ilvl w:val="0"/>
          <w:numId w:val="39"/>
        </w:numPr>
        <w:ind w:right="27"/>
      </w:pPr>
      <w:r w:rsidRPr="00FD0348">
        <w:t>The p</w:t>
      </w:r>
      <w:r w:rsidR="00652C8F" w:rsidRPr="00FD0348">
        <w:t>rohibition of non-audit services to clients if the statutory auditor or audit firm has carried out a statutory audit.</w:t>
      </w:r>
    </w:p>
    <w:p w:rsidR="00652C8F" w:rsidRPr="00FD0348" w:rsidRDefault="000844AF" w:rsidP="00470966">
      <w:pPr>
        <w:pStyle w:val="ListParagraph"/>
        <w:numPr>
          <w:ilvl w:val="0"/>
          <w:numId w:val="39"/>
        </w:numPr>
        <w:ind w:right="27"/>
      </w:pPr>
      <w:r w:rsidRPr="00FD0348">
        <w:t>The t</w:t>
      </w:r>
      <w:r w:rsidR="00652C8F" w:rsidRPr="00FD0348">
        <w:t>ransformation of the duties, structure and responsibilities of the audit committee.</w:t>
      </w:r>
    </w:p>
    <w:p w:rsidR="00652C8F" w:rsidRPr="00FD0348" w:rsidRDefault="00652C8F" w:rsidP="00470966">
      <w:pPr>
        <w:pStyle w:val="ListParagraph"/>
        <w:numPr>
          <w:ilvl w:val="0"/>
          <w:numId w:val="39"/>
        </w:numPr>
        <w:ind w:right="27"/>
      </w:pPr>
      <w:r w:rsidRPr="00FD0348">
        <w:t>Mandatory rotation of the statutory auditor.</w:t>
      </w:r>
    </w:p>
    <w:p w:rsidR="007E023D" w:rsidRPr="00FD0348" w:rsidRDefault="000844AF" w:rsidP="00470966">
      <w:pPr>
        <w:ind w:right="27"/>
      </w:pPr>
      <w:r w:rsidRPr="00FD0348">
        <w:t>The above mentioned topics are all interesting</w:t>
      </w:r>
      <w:r w:rsidR="00165772" w:rsidRPr="00FD0348">
        <w:t xml:space="preserve"> and </w:t>
      </w:r>
      <w:r w:rsidR="0018300B" w:rsidRPr="00FD0348">
        <w:t>might</w:t>
      </w:r>
      <w:r w:rsidR="00165772" w:rsidRPr="00FD0348">
        <w:t xml:space="preserve"> have a major effect on how the audit market operates</w:t>
      </w:r>
      <w:r w:rsidRPr="00FD0348">
        <w:t>, but f</w:t>
      </w:r>
      <w:r w:rsidR="00652C8F" w:rsidRPr="00FD0348">
        <w:t xml:space="preserve">or my </w:t>
      </w:r>
      <w:r w:rsidR="003E2CA4" w:rsidRPr="00FD0348">
        <w:t>master’s</w:t>
      </w:r>
      <w:r w:rsidR="00BB4BCE" w:rsidRPr="00FD0348">
        <w:t xml:space="preserve"> thesis</w:t>
      </w:r>
      <w:r w:rsidR="00652C8F" w:rsidRPr="00FD0348">
        <w:t xml:space="preserve"> I will </w:t>
      </w:r>
      <w:r w:rsidR="00A01560" w:rsidRPr="00FD0348">
        <w:t xml:space="preserve">be </w:t>
      </w:r>
      <w:r w:rsidR="00652C8F" w:rsidRPr="00FD0348">
        <w:t>focus</w:t>
      </w:r>
      <w:r w:rsidR="00A01560" w:rsidRPr="00FD0348">
        <w:t>ing</w:t>
      </w:r>
      <w:r w:rsidR="00652C8F" w:rsidRPr="00FD0348">
        <w:t xml:space="preserve"> on the transformation of the audit committee structure regarding the composition and expertise requirements of the audit committee directors</w:t>
      </w:r>
      <w:r w:rsidR="00165772" w:rsidRPr="00FD0348">
        <w:t xml:space="preserve">. </w:t>
      </w:r>
      <w:r w:rsidR="000E6DD4" w:rsidRPr="00FD0348">
        <w:t>I</w:t>
      </w:r>
      <w:r w:rsidR="00173EFA" w:rsidRPr="00FD0348">
        <w:t xml:space="preserve"> will investigate whether the audit committee structure requirements </w:t>
      </w:r>
      <w:r w:rsidR="00B52DD1" w:rsidRPr="00FD0348">
        <w:t xml:space="preserve">of the proposed audit reform </w:t>
      </w:r>
      <w:r w:rsidR="00173EFA" w:rsidRPr="00FD0348">
        <w:t>improve</w:t>
      </w:r>
      <w:r w:rsidR="005B33B5">
        <w:t>s</w:t>
      </w:r>
      <w:r w:rsidR="00173EFA" w:rsidRPr="00FD0348">
        <w:t xml:space="preserve"> financial reporting quality.</w:t>
      </w:r>
    </w:p>
    <w:p w:rsidR="00652C8F" w:rsidRPr="00FD0348" w:rsidRDefault="00BB6F56" w:rsidP="00470966">
      <w:pPr>
        <w:ind w:right="27"/>
      </w:pPr>
      <w:r w:rsidRPr="00FD0348">
        <w:t>In short t</w:t>
      </w:r>
      <w:r w:rsidR="00652C8F" w:rsidRPr="00FD0348">
        <w:t xml:space="preserve">he audit committee </w:t>
      </w:r>
      <w:r w:rsidRPr="00FD0348">
        <w:t xml:space="preserve">can be defined as </w:t>
      </w:r>
      <w:r w:rsidR="00652C8F" w:rsidRPr="00FD0348">
        <w:t>the independent governance body in charge with the oversi</w:t>
      </w:r>
      <w:r w:rsidR="00A4133D" w:rsidRPr="00FD0348">
        <w:t xml:space="preserve">ght of the financial reporting </w:t>
      </w:r>
      <w:r w:rsidR="00A5679A" w:rsidRPr="00FD0348">
        <w:t>–</w:t>
      </w:r>
      <w:r w:rsidR="00A4133D" w:rsidRPr="00FD0348">
        <w:t xml:space="preserve"> and internal control process</w:t>
      </w:r>
      <w:r w:rsidR="00652C8F" w:rsidRPr="00FD0348">
        <w:t>. The proposed audit reform of the European Commission (2011) will transform the audit committees from having one independent</w:t>
      </w:r>
      <w:r w:rsidR="00A5679A" w:rsidRPr="00FD0348">
        <w:t xml:space="preserve"> </w:t>
      </w:r>
      <w:r w:rsidR="003C3234" w:rsidRPr="00FD0348">
        <w:t>/</w:t>
      </w:r>
      <w:r w:rsidR="00A5679A" w:rsidRPr="00FD0348">
        <w:t xml:space="preserve"> </w:t>
      </w:r>
      <w:r w:rsidR="003C3234" w:rsidRPr="00FD0348">
        <w:t>outside</w:t>
      </w:r>
      <w:r w:rsidR="00652C8F" w:rsidRPr="00FD0348">
        <w:t xml:space="preserve"> </w:t>
      </w:r>
      <w:r w:rsidR="00D33CB4" w:rsidRPr="00FD0348">
        <w:t xml:space="preserve">director with </w:t>
      </w:r>
      <w:r w:rsidR="00652C8F" w:rsidRPr="00FD0348">
        <w:t>financial expert</w:t>
      </w:r>
      <w:r w:rsidR="00D33CB4" w:rsidRPr="00FD0348">
        <w:t>ise</w:t>
      </w:r>
      <w:r w:rsidR="00652C8F" w:rsidRPr="00FD0348">
        <w:t xml:space="preserve"> to two independent</w:t>
      </w:r>
      <w:r w:rsidR="00A5679A" w:rsidRPr="00FD0348">
        <w:t xml:space="preserve"> </w:t>
      </w:r>
      <w:r w:rsidR="003C3234" w:rsidRPr="00FD0348">
        <w:t>/</w:t>
      </w:r>
      <w:r w:rsidR="00A5679A" w:rsidRPr="00FD0348">
        <w:t xml:space="preserve"> </w:t>
      </w:r>
      <w:r w:rsidR="003C3234" w:rsidRPr="00FD0348">
        <w:t>outside</w:t>
      </w:r>
      <w:r w:rsidR="00652C8F" w:rsidRPr="00FD0348">
        <w:t xml:space="preserve"> </w:t>
      </w:r>
      <w:r w:rsidR="00D33CB4" w:rsidRPr="00FD0348">
        <w:t xml:space="preserve">directors with </w:t>
      </w:r>
      <w:r w:rsidR="00652C8F" w:rsidRPr="00FD0348">
        <w:lastRenderedPageBreak/>
        <w:t>financial expert</w:t>
      </w:r>
      <w:r w:rsidR="00D33CB4" w:rsidRPr="00FD0348">
        <w:t>i</w:t>
      </w:r>
      <w:r w:rsidR="00652C8F" w:rsidRPr="00FD0348">
        <w:t>s</w:t>
      </w:r>
      <w:r w:rsidR="00D33CB4" w:rsidRPr="00FD0348">
        <w:t>e</w:t>
      </w:r>
      <w:r w:rsidR="00652C8F" w:rsidRPr="00FD0348">
        <w:t xml:space="preserve">. However the European Commission goes even further in </w:t>
      </w:r>
      <w:r w:rsidR="00D33CB4" w:rsidRPr="00FD0348">
        <w:t xml:space="preserve">requiring </w:t>
      </w:r>
      <w:r w:rsidR="00F43223" w:rsidRPr="00FD0348">
        <w:t xml:space="preserve">that </w:t>
      </w:r>
      <w:r w:rsidR="00D33CB4" w:rsidRPr="00FD0348">
        <w:t xml:space="preserve">all directors serving on the audit committee </w:t>
      </w:r>
      <w:r w:rsidR="000A4D0A" w:rsidRPr="00FD0348">
        <w:t>to be</w:t>
      </w:r>
      <w:r w:rsidR="00D33CB4" w:rsidRPr="00FD0348">
        <w:t xml:space="preserve"> independent and </w:t>
      </w:r>
      <w:r w:rsidR="00652C8F" w:rsidRPr="00FD0348">
        <w:t>defin</w:t>
      </w:r>
      <w:r w:rsidR="00D33CB4" w:rsidRPr="00FD0348">
        <w:t>es</w:t>
      </w:r>
      <w:r w:rsidR="00652C8F" w:rsidRPr="00FD0348">
        <w:t xml:space="preserve"> the expertise requirements for the “EU financial expert” as an independent</w:t>
      </w:r>
      <w:r w:rsidR="00A5679A" w:rsidRPr="00FD0348">
        <w:t xml:space="preserve"> </w:t>
      </w:r>
      <w:r w:rsidR="00D33CB4" w:rsidRPr="00FD0348">
        <w:t>/</w:t>
      </w:r>
      <w:r w:rsidR="00A5679A" w:rsidRPr="00FD0348">
        <w:t xml:space="preserve"> </w:t>
      </w:r>
      <w:r w:rsidR="00D33CB4" w:rsidRPr="00FD0348">
        <w:t>outside</w:t>
      </w:r>
      <w:r w:rsidR="00652C8F" w:rsidRPr="00FD0348">
        <w:t xml:space="preserve"> director with experience and knowledge in either accounting or auditing.</w:t>
      </w:r>
    </w:p>
    <w:p w:rsidR="00B972DE" w:rsidRPr="00FD0348" w:rsidRDefault="00D26E1A" w:rsidP="00470966">
      <w:pPr>
        <w:ind w:right="27"/>
      </w:pPr>
      <w:r w:rsidRPr="00FD0348">
        <w:t>Prior empirical studies examine</w:t>
      </w:r>
      <w:r w:rsidR="00547881" w:rsidRPr="00FD0348">
        <w:t xml:space="preserve"> audit committee structure</w:t>
      </w:r>
      <w:r w:rsidRPr="00FD0348">
        <w:t>s</w:t>
      </w:r>
      <w:r w:rsidR="00547881" w:rsidRPr="00FD0348">
        <w:t xml:space="preserve"> and </w:t>
      </w:r>
      <w:r w:rsidRPr="00FD0348">
        <w:t xml:space="preserve">its </w:t>
      </w:r>
      <w:r w:rsidR="00547881" w:rsidRPr="00FD0348">
        <w:t>effectiveness</w:t>
      </w:r>
      <w:r w:rsidR="007E023D" w:rsidRPr="00FD0348">
        <w:t xml:space="preserve"> on financial reporting. The </w:t>
      </w:r>
      <w:r w:rsidR="00652C8F" w:rsidRPr="00FD0348">
        <w:t xml:space="preserve">evidence </w:t>
      </w:r>
      <w:r w:rsidR="007E023D" w:rsidRPr="00FD0348">
        <w:t xml:space="preserve">suggests </w:t>
      </w:r>
      <w:r w:rsidR="00652C8F" w:rsidRPr="00FD0348">
        <w:t xml:space="preserve">that certain </w:t>
      </w:r>
      <w:r w:rsidR="007E023D" w:rsidRPr="00FD0348">
        <w:t xml:space="preserve">audit committee </w:t>
      </w:r>
      <w:r w:rsidR="00652C8F" w:rsidRPr="00FD0348">
        <w:t>characteristics</w:t>
      </w:r>
      <w:r w:rsidR="00A5679A" w:rsidRPr="00FD0348">
        <w:t>,</w:t>
      </w:r>
      <w:r w:rsidR="00652C8F" w:rsidRPr="00FD0348">
        <w:t xml:space="preserve"> such as </w:t>
      </w:r>
      <w:r w:rsidR="00F0796A" w:rsidRPr="00FD0348">
        <w:t xml:space="preserve">director’s </w:t>
      </w:r>
      <w:r w:rsidR="00652C8F" w:rsidRPr="00FD0348">
        <w:t>expertise, me</w:t>
      </w:r>
      <w:r w:rsidR="00A5679A" w:rsidRPr="00FD0348">
        <w:t>eting frequency or independence,</w:t>
      </w:r>
      <w:r w:rsidR="00652C8F" w:rsidRPr="00FD0348">
        <w:t xml:space="preserve"> have an impact on the quality </w:t>
      </w:r>
      <w:r w:rsidR="00A01560" w:rsidRPr="00FD0348">
        <w:t>of financ</w:t>
      </w:r>
      <w:r w:rsidR="000A4D0A" w:rsidRPr="00FD0348">
        <w:t>ial reporting</w:t>
      </w:r>
      <w:r w:rsidR="00652C8F" w:rsidRPr="00FD0348">
        <w:t xml:space="preserve">. </w:t>
      </w:r>
      <w:r w:rsidRPr="00FD0348">
        <w:t xml:space="preserve">My </w:t>
      </w:r>
      <w:r w:rsidR="0081440A" w:rsidRPr="00FD0348">
        <w:t>master’s thesis</w:t>
      </w:r>
      <w:r w:rsidRPr="00FD0348">
        <w:t xml:space="preserve"> will cont</w:t>
      </w:r>
      <w:r w:rsidR="002C01C6" w:rsidRPr="00FD0348">
        <w:t xml:space="preserve">ribute </w:t>
      </w:r>
      <w:r w:rsidR="00B972DE" w:rsidRPr="00FD0348">
        <w:t xml:space="preserve">in extending the audit committee literature </w:t>
      </w:r>
      <w:r w:rsidR="002C01C6" w:rsidRPr="00FD0348">
        <w:t xml:space="preserve">by evaluating </w:t>
      </w:r>
      <w:r w:rsidR="00BB6F56" w:rsidRPr="00FD0348">
        <w:t xml:space="preserve">how </w:t>
      </w:r>
      <w:r w:rsidR="002C01C6" w:rsidRPr="00FD0348">
        <w:t>th</w:t>
      </w:r>
      <w:r w:rsidR="00BB6F56" w:rsidRPr="00FD0348">
        <w:t>e</w:t>
      </w:r>
      <w:r w:rsidR="002C01C6" w:rsidRPr="00FD0348">
        <w:t xml:space="preserve"> audit committee structure transformation </w:t>
      </w:r>
      <w:r w:rsidR="00BB6F56" w:rsidRPr="00FD0348">
        <w:t xml:space="preserve">proposed by the European Commission </w:t>
      </w:r>
      <w:r w:rsidR="002C01C6" w:rsidRPr="00FD0348">
        <w:t xml:space="preserve">will impact the </w:t>
      </w:r>
      <w:r w:rsidR="00BB6F56" w:rsidRPr="00FD0348">
        <w:t>quality of financial reporting</w:t>
      </w:r>
      <w:r w:rsidR="002C01C6" w:rsidRPr="00FD0348">
        <w:t xml:space="preserve"> of the European Union member states’ public interest entities.</w:t>
      </w:r>
      <w:r w:rsidR="00B972DE" w:rsidRPr="00FD0348">
        <w:t xml:space="preserve"> Policy makers, regulators (such as the European Commission), management (both executives and non-executives) and stakeholders will gain important insights whether the transformation of the audit committee structure improves the supervision capability of the audit committee in order to attain better financial reporting </w:t>
      </w:r>
      <w:r w:rsidR="00F43223" w:rsidRPr="00FD0348">
        <w:t xml:space="preserve">quality </w:t>
      </w:r>
      <w:r w:rsidR="00B972DE" w:rsidRPr="00FD0348">
        <w:t>for EU public-interest entities.</w:t>
      </w:r>
    </w:p>
    <w:p w:rsidR="00D201E7" w:rsidRPr="00FD0348" w:rsidRDefault="00652C8F" w:rsidP="00470966">
      <w:pPr>
        <w:ind w:right="27"/>
      </w:pPr>
      <w:r w:rsidRPr="00FD0348">
        <w:t xml:space="preserve">Abbott, Parker &amp; Peters (2004) </w:t>
      </w:r>
      <w:r w:rsidR="00E95086" w:rsidRPr="00FD0348">
        <w:t xml:space="preserve">investigate whether </w:t>
      </w:r>
      <w:r w:rsidR="00F43223" w:rsidRPr="00FD0348">
        <w:t xml:space="preserve">audit committee director’s financial expertise </w:t>
      </w:r>
      <w:r w:rsidR="00E95086" w:rsidRPr="00FD0348">
        <w:t xml:space="preserve">and </w:t>
      </w:r>
      <w:r w:rsidR="00AB2E90" w:rsidRPr="00FD0348">
        <w:t xml:space="preserve">several </w:t>
      </w:r>
      <w:proofErr w:type="gramStart"/>
      <w:r w:rsidR="00E95086" w:rsidRPr="00FD0348">
        <w:t>other</w:t>
      </w:r>
      <w:proofErr w:type="gramEnd"/>
      <w:r w:rsidR="00E95086" w:rsidRPr="00FD0348">
        <w:t xml:space="preserve"> audit committee characteristics</w:t>
      </w:r>
      <w:r w:rsidR="00F43223" w:rsidRPr="00FD0348">
        <w:t>,</w:t>
      </w:r>
      <w:r w:rsidR="00E95086" w:rsidRPr="00FD0348">
        <w:t xml:space="preserve"> such as independence and meeting frequency</w:t>
      </w:r>
      <w:r w:rsidR="00F43223" w:rsidRPr="00FD0348">
        <w:t>,</w:t>
      </w:r>
      <w:r w:rsidR="00E95086" w:rsidRPr="00FD0348">
        <w:t xml:space="preserve"> impacts the likelihood of </w:t>
      </w:r>
      <w:r w:rsidR="005B33B5">
        <w:t>financial restatements.</w:t>
      </w:r>
      <w:r w:rsidR="00E95086" w:rsidRPr="00FD0348">
        <w:t xml:space="preserve"> </w:t>
      </w:r>
      <w:r w:rsidR="005B33B5">
        <w:t>T</w:t>
      </w:r>
      <w:r w:rsidR="00E95086" w:rsidRPr="00FD0348">
        <w:t xml:space="preserve">hey </w:t>
      </w:r>
      <w:r w:rsidR="000A4D0A" w:rsidRPr="00FD0348">
        <w:t xml:space="preserve">provide </w:t>
      </w:r>
      <w:r w:rsidR="00663E19" w:rsidRPr="00FD0348">
        <w:t xml:space="preserve">empirical </w:t>
      </w:r>
      <w:r w:rsidRPr="00FD0348">
        <w:t xml:space="preserve">evidence that a </w:t>
      </w:r>
      <w:r w:rsidR="00AB2E90" w:rsidRPr="00FD0348">
        <w:t xml:space="preserve">significant </w:t>
      </w:r>
      <w:r w:rsidRPr="00FD0348">
        <w:t xml:space="preserve">negative association exists between </w:t>
      </w:r>
      <w:r w:rsidR="00AB2E90" w:rsidRPr="00FD0348">
        <w:t xml:space="preserve">an audit committee that includes at least one financial expert with the likelihood of financial restatement. Furthermore, </w:t>
      </w:r>
      <w:r w:rsidR="00663E19" w:rsidRPr="00FD0348">
        <w:t xml:space="preserve">other </w:t>
      </w:r>
      <w:r w:rsidRPr="00FD0348">
        <w:t xml:space="preserve">audit </w:t>
      </w:r>
      <w:r w:rsidR="00762F0E" w:rsidRPr="00FD0348">
        <w:t>committees’</w:t>
      </w:r>
      <w:r w:rsidRPr="00FD0348">
        <w:t xml:space="preserve"> </w:t>
      </w:r>
      <w:r w:rsidR="00663E19" w:rsidRPr="00FD0348">
        <w:t xml:space="preserve">characteristics such as the </w:t>
      </w:r>
      <w:r w:rsidR="001E5EBC" w:rsidRPr="00FD0348">
        <w:t xml:space="preserve">director’s </w:t>
      </w:r>
      <w:r w:rsidR="00663E19" w:rsidRPr="00FD0348">
        <w:t>independence and meeting frequency exhibit</w:t>
      </w:r>
      <w:r w:rsidR="00AB2E90" w:rsidRPr="00FD0348">
        <w:t xml:space="preserve"> </w:t>
      </w:r>
      <w:r w:rsidR="00663E19" w:rsidRPr="00FD0348">
        <w:t>a</w:t>
      </w:r>
      <w:r w:rsidR="00AB2E90" w:rsidRPr="00FD0348">
        <w:t xml:space="preserve"> </w:t>
      </w:r>
      <w:r w:rsidR="00B66983" w:rsidRPr="00FD0348">
        <w:t xml:space="preserve">highly </w:t>
      </w:r>
      <w:r w:rsidR="00AB2E90" w:rsidRPr="00FD0348">
        <w:t xml:space="preserve">significant negative association with the likelihood of </w:t>
      </w:r>
      <w:r w:rsidR="005567FE" w:rsidRPr="00FD0348">
        <w:t xml:space="preserve">financial </w:t>
      </w:r>
      <w:r w:rsidRPr="00FD0348">
        <w:t xml:space="preserve">restatements. </w:t>
      </w:r>
      <w:r w:rsidR="00E54948" w:rsidRPr="00FD0348">
        <w:t xml:space="preserve">Public-interest entities with financial restatements are considered </w:t>
      </w:r>
      <w:r w:rsidR="001E5EBC" w:rsidRPr="00FD0348">
        <w:t>to have</w:t>
      </w:r>
      <w:r w:rsidR="00E54948" w:rsidRPr="00FD0348">
        <w:t xml:space="preserve"> </w:t>
      </w:r>
      <w:r w:rsidR="001E5EBC" w:rsidRPr="00FD0348">
        <w:t xml:space="preserve">a </w:t>
      </w:r>
      <w:r w:rsidR="00E54948" w:rsidRPr="00FD0348">
        <w:t>low</w:t>
      </w:r>
      <w:r w:rsidR="001E5EBC" w:rsidRPr="00FD0348">
        <w:t>er quality of</w:t>
      </w:r>
      <w:r w:rsidR="00E54948" w:rsidRPr="00FD0348">
        <w:t xml:space="preserve"> financial reporting due to the presence of material omissions or misstatements in their former financial statements. </w:t>
      </w:r>
      <w:r w:rsidR="0081440A" w:rsidRPr="00FD0348">
        <w:t xml:space="preserve">Results of </w:t>
      </w:r>
      <w:r w:rsidR="005567FE" w:rsidRPr="00FD0348">
        <w:t>Abbott et al. (2004) suggest that b</w:t>
      </w:r>
      <w:r w:rsidR="00A4133D" w:rsidRPr="00FD0348">
        <w:t xml:space="preserve">y including at least one </w:t>
      </w:r>
      <w:r w:rsidR="005567FE" w:rsidRPr="00FD0348">
        <w:t xml:space="preserve">independent </w:t>
      </w:r>
      <w:r w:rsidR="00A4133D" w:rsidRPr="00FD0348">
        <w:t xml:space="preserve">director with financial expertise on the audit committee </w:t>
      </w:r>
      <w:r w:rsidR="003E5A5F" w:rsidRPr="00FD0348">
        <w:t>improves the audit committee’s effectiveness in limiting the occurrence of financial restatements</w:t>
      </w:r>
      <w:r w:rsidR="00E54948" w:rsidRPr="00FD0348">
        <w:t>, therefore these public-interest entities are providing their stakeholders with a higher quality of financial statements</w:t>
      </w:r>
      <w:r w:rsidR="00663E19" w:rsidRPr="00FD0348">
        <w:t xml:space="preserve">. Another </w:t>
      </w:r>
      <w:r w:rsidR="00B66983" w:rsidRPr="00FD0348">
        <w:t xml:space="preserve">interesting empirical </w:t>
      </w:r>
      <w:r w:rsidR="000A4D0A" w:rsidRPr="00FD0348">
        <w:t>study</w:t>
      </w:r>
      <w:r w:rsidR="00B66983" w:rsidRPr="00FD0348">
        <w:t xml:space="preserve"> on audit committee’s effectiveness is a paper by </w:t>
      </w:r>
      <w:proofErr w:type="spellStart"/>
      <w:r w:rsidRPr="00FD0348">
        <w:t>Carcello</w:t>
      </w:r>
      <w:proofErr w:type="spellEnd"/>
      <w:r w:rsidRPr="00FD0348">
        <w:t xml:space="preserve"> &amp; Neal (2000) </w:t>
      </w:r>
      <w:r w:rsidR="00B66983" w:rsidRPr="00FD0348">
        <w:t>who investigate whether the composition of financially distressed entity’s audit committees are related to the likelihood of receiving going-concern reports from their statutory auditor. The</w:t>
      </w:r>
      <w:r w:rsidRPr="00FD0348">
        <w:t xml:space="preserve"> evidence </w:t>
      </w:r>
      <w:r w:rsidR="00B43ECD" w:rsidRPr="00FD0348">
        <w:t>provided</w:t>
      </w:r>
      <w:r w:rsidR="00B66983" w:rsidRPr="00FD0348">
        <w:t xml:space="preserve"> by </w:t>
      </w:r>
      <w:proofErr w:type="spellStart"/>
      <w:r w:rsidR="00B66983" w:rsidRPr="00FD0348">
        <w:t>Carcello</w:t>
      </w:r>
      <w:proofErr w:type="spellEnd"/>
      <w:r w:rsidR="00B66983" w:rsidRPr="00FD0348">
        <w:t xml:space="preserve"> &amp; Neal (2000) </w:t>
      </w:r>
      <w:r w:rsidRPr="00FD0348">
        <w:t>suggest</w:t>
      </w:r>
      <w:r w:rsidR="00B66983" w:rsidRPr="00FD0348">
        <w:t>s</w:t>
      </w:r>
      <w:r w:rsidRPr="00FD0348">
        <w:t xml:space="preserve"> that the probability that </w:t>
      </w:r>
      <w:r w:rsidR="00E93022" w:rsidRPr="00FD0348">
        <w:t xml:space="preserve">the statutory </w:t>
      </w:r>
      <w:r w:rsidRPr="00FD0348">
        <w:t xml:space="preserve">auditors will issue a going-concern report is </w:t>
      </w:r>
      <w:r w:rsidR="00E54948" w:rsidRPr="00FD0348">
        <w:t>lower</w:t>
      </w:r>
      <w:r w:rsidRPr="00FD0348">
        <w:t xml:space="preserve"> for public-interest entities with a </w:t>
      </w:r>
      <w:r w:rsidR="00E54948" w:rsidRPr="00FD0348">
        <w:t>high percentage of out</w:t>
      </w:r>
      <w:r w:rsidRPr="00FD0348">
        <w:t>side</w:t>
      </w:r>
      <w:r w:rsidR="00A5679A" w:rsidRPr="00FD0348">
        <w:t xml:space="preserve"> </w:t>
      </w:r>
      <w:r w:rsidRPr="00FD0348">
        <w:t>/</w:t>
      </w:r>
      <w:r w:rsidR="00A5679A" w:rsidRPr="00FD0348">
        <w:t xml:space="preserve"> </w:t>
      </w:r>
      <w:r w:rsidR="00E54948" w:rsidRPr="00FD0348">
        <w:t>in</w:t>
      </w:r>
      <w:r w:rsidRPr="00FD0348">
        <w:t xml:space="preserve">dependent directors serving on the audit committee. </w:t>
      </w:r>
    </w:p>
    <w:p w:rsidR="007E023D" w:rsidRPr="00FD0348" w:rsidRDefault="003C3234" w:rsidP="00470966">
      <w:pPr>
        <w:ind w:right="27"/>
      </w:pPr>
      <w:r w:rsidRPr="00FD0348">
        <w:t xml:space="preserve">Empirical </w:t>
      </w:r>
      <w:r w:rsidR="00A2156E" w:rsidRPr="00FD0348">
        <w:t xml:space="preserve">evidence </w:t>
      </w:r>
      <w:r w:rsidR="00B63208" w:rsidRPr="00FD0348">
        <w:t>(</w:t>
      </w:r>
      <w:proofErr w:type="spellStart"/>
      <w:r w:rsidR="00B63208" w:rsidRPr="00FD0348">
        <w:t>Carcello</w:t>
      </w:r>
      <w:proofErr w:type="spellEnd"/>
      <w:r w:rsidR="00B63208" w:rsidRPr="00FD0348">
        <w:t xml:space="preserve"> &amp; Neal 2000; Klein 2002; McDaniel, Martin &amp; </w:t>
      </w:r>
      <w:proofErr w:type="spellStart"/>
      <w:r w:rsidR="00B63208" w:rsidRPr="00FD0348">
        <w:t>Maines</w:t>
      </w:r>
      <w:proofErr w:type="spellEnd"/>
      <w:r w:rsidR="00B63208" w:rsidRPr="00FD0348">
        <w:t xml:space="preserve"> 2002; </w:t>
      </w:r>
      <w:proofErr w:type="spellStart"/>
      <w:r w:rsidR="00B63208" w:rsidRPr="00FD0348">
        <w:t>Xie</w:t>
      </w:r>
      <w:proofErr w:type="spellEnd"/>
      <w:r w:rsidR="00B63208" w:rsidRPr="00FD0348">
        <w:t xml:space="preserve">, Davidson &amp; </w:t>
      </w:r>
      <w:proofErr w:type="spellStart"/>
      <w:r w:rsidR="00B63208" w:rsidRPr="00FD0348">
        <w:t>Dadalt</w:t>
      </w:r>
      <w:proofErr w:type="spellEnd"/>
      <w:r w:rsidR="00B63208" w:rsidRPr="00FD0348">
        <w:t xml:space="preserve"> 2003; Abbott et al</w:t>
      </w:r>
      <w:r w:rsidR="004B2B45" w:rsidRPr="00FD0348">
        <w:t>.</w:t>
      </w:r>
      <w:r w:rsidR="00B63208" w:rsidRPr="00FD0348">
        <w:t xml:space="preserve"> 2004) </w:t>
      </w:r>
      <w:r w:rsidR="00A2156E" w:rsidRPr="00FD0348">
        <w:t xml:space="preserve">on the composition of the audit committee structure reveals consistent </w:t>
      </w:r>
      <w:r w:rsidR="00BE02AE" w:rsidRPr="00FD0348">
        <w:t>results</w:t>
      </w:r>
      <w:r w:rsidR="00A5679A" w:rsidRPr="00FD0348">
        <w:t xml:space="preserve">, </w:t>
      </w:r>
      <w:r w:rsidR="00D33CB4" w:rsidRPr="00FD0348">
        <w:t>suggest</w:t>
      </w:r>
      <w:r w:rsidR="00A5679A" w:rsidRPr="00FD0348">
        <w:t>ing</w:t>
      </w:r>
      <w:r w:rsidR="00D33CB4" w:rsidRPr="00FD0348">
        <w:t xml:space="preserve"> that </w:t>
      </w:r>
      <w:r w:rsidR="00A2156E" w:rsidRPr="00FD0348">
        <w:t xml:space="preserve">the </w:t>
      </w:r>
      <w:r w:rsidR="00F67697" w:rsidRPr="00FD0348">
        <w:t xml:space="preserve">audit committee should consist exclusively out of </w:t>
      </w:r>
      <w:r w:rsidR="00F67697" w:rsidRPr="00FD0348">
        <w:lastRenderedPageBreak/>
        <w:t>independent</w:t>
      </w:r>
      <w:r w:rsidR="00A5679A" w:rsidRPr="00FD0348">
        <w:t xml:space="preserve"> </w:t>
      </w:r>
      <w:r w:rsidR="00F67697" w:rsidRPr="00FD0348">
        <w:t>/</w:t>
      </w:r>
      <w:r w:rsidR="00A5679A" w:rsidRPr="00FD0348">
        <w:t xml:space="preserve"> </w:t>
      </w:r>
      <w:r w:rsidR="00F67697" w:rsidRPr="00FD0348">
        <w:t xml:space="preserve">outside directors with at least one </w:t>
      </w:r>
      <w:r w:rsidR="00D33CB4" w:rsidRPr="00FD0348">
        <w:t>independent</w:t>
      </w:r>
      <w:r w:rsidR="00A5679A" w:rsidRPr="00FD0348">
        <w:t xml:space="preserve"> </w:t>
      </w:r>
      <w:r w:rsidR="00D33CB4" w:rsidRPr="00FD0348">
        <w:t>/</w:t>
      </w:r>
      <w:r w:rsidR="00A5679A" w:rsidRPr="00FD0348">
        <w:t xml:space="preserve"> </w:t>
      </w:r>
      <w:r w:rsidR="00D33CB4" w:rsidRPr="00FD0348">
        <w:t xml:space="preserve">outside director </w:t>
      </w:r>
      <w:r w:rsidR="001826EA" w:rsidRPr="00FD0348">
        <w:t xml:space="preserve">with financial expertise </w:t>
      </w:r>
      <w:r w:rsidR="00F67697" w:rsidRPr="00FD0348">
        <w:t xml:space="preserve">in order to </w:t>
      </w:r>
      <w:r w:rsidR="001826EA" w:rsidRPr="00FD0348">
        <w:t xml:space="preserve">increase </w:t>
      </w:r>
      <w:r w:rsidR="00A2156E" w:rsidRPr="00FD0348">
        <w:t>its</w:t>
      </w:r>
      <w:r w:rsidR="00F67697" w:rsidRPr="00FD0348">
        <w:t xml:space="preserve"> </w:t>
      </w:r>
      <w:r w:rsidR="001826EA" w:rsidRPr="00FD0348">
        <w:t>effectiveness</w:t>
      </w:r>
      <w:r w:rsidR="00A2156E" w:rsidRPr="00FD0348">
        <w:t xml:space="preserve"> in monitoring the public-interest entity</w:t>
      </w:r>
      <w:r w:rsidR="00A5679A" w:rsidRPr="00FD0348">
        <w:t>’s financial reporting – and internal control process</w:t>
      </w:r>
      <w:r w:rsidR="001826EA" w:rsidRPr="00FD0348">
        <w:t xml:space="preserve">. </w:t>
      </w:r>
      <w:r w:rsidR="00F67697" w:rsidRPr="00FD0348">
        <w:t xml:space="preserve">This evidence supports regulators’ concern, such as the European Commission, that the audit committee </w:t>
      </w:r>
      <w:r w:rsidR="00A5679A" w:rsidRPr="00FD0348">
        <w:t>will perform better when they</w:t>
      </w:r>
      <w:r w:rsidR="00F67697" w:rsidRPr="00FD0348">
        <w:t xml:space="preserve"> consist out of at least one independent/outside directors with financial expertise and be fully independent. </w:t>
      </w:r>
    </w:p>
    <w:p w:rsidR="00D33CB4" w:rsidRPr="00FD0348" w:rsidRDefault="00BC55A5" w:rsidP="00470966">
      <w:pPr>
        <w:ind w:right="27"/>
      </w:pPr>
      <w:r w:rsidRPr="00FD0348">
        <w:t>I expect that the audit committee structure transformation of the European Commission’s proposed audit reform (2011) will increase the audit committee’s ability to be more effective in their oversight duties and responsibilities, therefore providing the</w:t>
      </w:r>
      <w:r w:rsidR="00A2156E" w:rsidRPr="00FD0348">
        <w:t>ir</w:t>
      </w:r>
      <w:r w:rsidRPr="00FD0348">
        <w:t xml:space="preserve"> stakeholders with higher quality of financial reporting.</w:t>
      </w:r>
    </w:p>
    <w:p w:rsidR="007E023D" w:rsidRPr="00FD0348" w:rsidRDefault="00835B97" w:rsidP="00470966">
      <w:pPr>
        <w:ind w:right="27"/>
      </w:pPr>
      <w:r w:rsidRPr="00FD0348">
        <w:t xml:space="preserve">In order to </w:t>
      </w:r>
      <w:r w:rsidR="00F0796A" w:rsidRPr="00FD0348">
        <w:t xml:space="preserve">examine how the </w:t>
      </w:r>
      <w:r w:rsidR="00BB6F56" w:rsidRPr="00FD0348">
        <w:t>audit committee</w:t>
      </w:r>
      <w:r w:rsidR="00F0796A" w:rsidRPr="00FD0348">
        <w:t xml:space="preserve"> transformation will impact the quality of financial reporting </w:t>
      </w:r>
      <w:r w:rsidR="007E023D" w:rsidRPr="00FD0348">
        <w:t>my</w:t>
      </w:r>
      <w:r w:rsidR="00F0796A" w:rsidRPr="00FD0348">
        <w:t xml:space="preserve"> </w:t>
      </w:r>
      <w:r w:rsidR="00C561F2" w:rsidRPr="00FD0348">
        <w:t>m</w:t>
      </w:r>
      <w:r w:rsidR="0081440A" w:rsidRPr="00FD0348">
        <w:t>aster’s thesis</w:t>
      </w:r>
      <w:r w:rsidR="00F0796A" w:rsidRPr="00FD0348">
        <w:t xml:space="preserve"> will focus on </w:t>
      </w:r>
      <w:r w:rsidR="00FC5CBF" w:rsidRPr="00FD0348">
        <w:t xml:space="preserve">the earnings quality of public-interest entities. </w:t>
      </w:r>
      <w:r w:rsidR="00B63208" w:rsidRPr="00FD0348">
        <w:t xml:space="preserve">According to </w:t>
      </w:r>
      <w:proofErr w:type="spellStart"/>
      <w:r w:rsidR="0019296F" w:rsidRPr="00FD0348">
        <w:t>Dechow</w:t>
      </w:r>
      <w:proofErr w:type="spellEnd"/>
      <w:r w:rsidR="0019296F" w:rsidRPr="00FD0348">
        <w:t xml:space="preserve">, </w:t>
      </w:r>
      <w:proofErr w:type="spellStart"/>
      <w:r w:rsidR="0019296F" w:rsidRPr="00FD0348">
        <w:t>Ge</w:t>
      </w:r>
      <w:proofErr w:type="spellEnd"/>
      <w:r w:rsidR="0019296F" w:rsidRPr="00FD0348">
        <w:t xml:space="preserve"> &amp; </w:t>
      </w:r>
      <w:proofErr w:type="spellStart"/>
      <w:r w:rsidR="0019296F" w:rsidRPr="00FD0348">
        <w:t>Schrand</w:t>
      </w:r>
      <w:proofErr w:type="spellEnd"/>
      <w:r w:rsidR="0019296F" w:rsidRPr="00FD0348">
        <w:t xml:space="preserve"> (2010) </w:t>
      </w:r>
      <w:r w:rsidR="00B63208" w:rsidRPr="00FD0348">
        <w:t xml:space="preserve">earnings quality </w:t>
      </w:r>
      <w:r w:rsidR="00C74A0C" w:rsidRPr="00FD0348">
        <w:t xml:space="preserve">proxies </w:t>
      </w:r>
      <w:r w:rsidR="00B63208" w:rsidRPr="00FD0348">
        <w:t xml:space="preserve">can be organized into three </w:t>
      </w:r>
      <w:r w:rsidR="00C74A0C" w:rsidRPr="00FD0348">
        <w:t xml:space="preserve">broad </w:t>
      </w:r>
      <w:r w:rsidR="00BE02AE" w:rsidRPr="00FD0348">
        <w:t xml:space="preserve">proxy </w:t>
      </w:r>
      <w:r w:rsidR="00B63208" w:rsidRPr="00FD0348">
        <w:t>categories</w:t>
      </w:r>
      <w:r w:rsidR="008930C4" w:rsidRPr="00FD0348">
        <w:rPr>
          <w:rStyle w:val="FootnoteReference"/>
        </w:rPr>
        <w:footnoteReference w:id="2"/>
      </w:r>
      <w:r w:rsidR="00485610" w:rsidRPr="00FD0348">
        <w:t xml:space="preserve">: (1) </w:t>
      </w:r>
      <w:r w:rsidR="00B63208" w:rsidRPr="00FD0348">
        <w:t xml:space="preserve">properties of earnings, </w:t>
      </w:r>
      <w:r w:rsidR="00485610" w:rsidRPr="00FD0348">
        <w:t xml:space="preserve">(2) </w:t>
      </w:r>
      <w:r w:rsidR="00B63208" w:rsidRPr="00FD0348">
        <w:t xml:space="preserve">investor responsiveness to earnings and </w:t>
      </w:r>
      <w:r w:rsidR="00485610" w:rsidRPr="00FD0348">
        <w:t xml:space="preserve">(3) </w:t>
      </w:r>
      <w:r w:rsidR="00B63208" w:rsidRPr="00FD0348">
        <w:t>external indicators of earnings</w:t>
      </w:r>
      <w:r w:rsidR="00485610" w:rsidRPr="00FD0348">
        <w:t xml:space="preserve"> misstatements.</w:t>
      </w:r>
      <w:r w:rsidR="00403E79" w:rsidRPr="00FD0348">
        <w:t xml:space="preserve"> Prior empirical studies </w:t>
      </w:r>
      <w:r w:rsidR="0081474C" w:rsidRPr="00FD0348">
        <w:t>(</w:t>
      </w:r>
      <w:proofErr w:type="spellStart"/>
      <w:r w:rsidR="0081474C" w:rsidRPr="00FD0348">
        <w:t>Carcello</w:t>
      </w:r>
      <w:proofErr w:type="spellEnd"/>
      <w:r w:rsidR="0081474C" w:rsidRPr="00FD0348">
        <w:t xml:space="preserve"> &amp; Neal 2000; Klein 2002; </w:t>
      </w:r>
      <w:proofErr w:type="spellStart"/>
      <w:r w:rsidR="0081474C" w:rsidRPr="00FD0348">
        <w:t>Xie</w:t>
      </w:r>
      <w:proofErr w:type="spellEnd"/>
      <w:r w:rsidR="0081474C" w:rsidRPr="00FD0348">
        <w:t xml:space="preserve">, </w:t>
      </w:r>
      <w:r w:rsidR="000E7EB7" w:rsidRPr="00FD0348">
        <w:t>et</w:t>
      </w:r>
      <w:r w:rsidR="0081474C" w:rsidRPr="00FD0348">
        <w:t xml:space="preserve"> al. 2003; Abbott et al</w:t>
      </w:r>
      <w:r w:rsidR="004B2B45" w:rsidRPr="00FD0348">
        <w:t>.</w:t>
      </w:r>
      <w:r w:rsidR="0081474C" w:rsidRPr="00FD0348">
        <w:t xml:space="preserve"> 2004;</w:t>
      </w:r>
      <w:r w:rsidR="00EB4C7B" w:rsidRPr="00FD0348">
        <w:t xml:space="preserve"> </w:t>
      </w:r>
      <w:proofErr w:type="spellStart"/>
      <w:r w:rsidR="00EB4C7B" w:rsidRPr="00FD0348">
        <w:t>Vafeas</w:t>
      </w:r>
      <w:proofErr w:type="spellEnd"/>
      <w:r w:rsidR="00EB4C7B" w:rsidRPr="00FD0348">
        <w:t xml:space="preserve"> 2005</w:t>
      </w:r>
      <w:r w:rsidR="005F3724" w:rsidRPr="00FD0348">
        <w:t xml:space="preserve">; </w:t>
      </w:r>
      <w:proofErr w:type="spellStart"/>
      <w:r w:rsidR="005F3724" w:rsidRPr="00FD0348">
        <w:t>Carcello</w:t>
      </w:r>
      <w:proofErr w:type="spellEnd"/>
      <w:r w:rsidR="005F3724" w:rsidRPr="00FD0348">
        <w:t>, Klein &amp; Neal 2006)</w:t>
      </w:r>
      <w:r w:rsidR="0081474C" w:rsidRPr="00FD0348">
        <w:t xml:space="preserve"> </w:t>
      </w:r>
      <w:r w:rsidR="000A2FA9" w:rsidRPr="00FD0348">
        <w:t xml:space="preserve">investigating </w:t>
      </w:r>
      <w:r w:rsidR="00EB4C7B" w:rsidRPr="00FD0348">
        <w:t xml:space="preserve">audit committee performance </w:t>
      </w:r>
      <w:r w:rsidR="000A2FA9" w:rsidRPr="00FD0348">
        <w:t>var</w:t>
      </w:r>
      <w:r w:rsidR="00C561F2" w:rsidRPr="00FD0348">
        <w:t>y</w:t>
      </w:r>
      <w:r w:rsidR="000A2FA9" w:rsidRPr="00FD0348">
        <w:t xml:space="preserve"> </w:t>
      </w:r>
      <w:r w:rsidR="00EB4C7B" w:rsidRPr="00FD0348">
        <w:t xml:space="preserve">between </w:t>
      </w:r>
      <w:r w:rsidR="002E7C4C" w:rsidRPr="00FD0348">
        <w:t>the</w:t>
      </w:r>
      <w:r w:rsidR="00EB4C7B" w:rsidRPr="00FD0348">
        <w:t xml:space="preserve"> </w:t>
      </w:r>
      <w:r w:rsidR="00CF6112" w:rsidRPr="00FD0348">
        <w:t xml:space="preserve">earnings quality </w:t>
      </w:r>
      <w:r w:rsidR="00BE02AE" w:rsidRPr="00FD0348">
        <w:t xml:space="preserve">proxy </w:t>
      </w:r>
      <w:r w:rsidR="00EB4C7B" w:rsidRPr="00FD0348">
        <w:t>categories</w:t>
      </w:r>
      <w:r w:rsidR="000A2FA9" w:rsidRPr="00FD0348">
        <w:t>.</w:t>
      </w:r>
      <w:r w:rsidR="00403E79" w:rsidRPr="00FD0348">
        <w:t xml:space="preserve"> </w:t>
      </w:r>
      <w:r w:rsidR="007113B1" w:rsidRPr="00FD0348">
        <w:t>Whereas</w:t>
      </w:r>
      <w:r w:rsidR="00BE02AE" w:rsidRPr="00FD0348">
        <w:t xml:space="preserve"> </w:t>
      </w:r>
      <w:proofErr w:type="spellStart"/>
      <w:r w:rsidR="00BE02AE" w:rsidRPr="00FD0348">
        <w:t>Carcello</w:t>
      </w:r>
      <w:proofErr w:type="spellEnd"/>
      <w:r w:rsidR="00BE02AE" w:rsidRPr="00FD0348">
        <w:t xml:space="preserve"> &amp; Neal (2000) and Abbot et al. (2004) focused on external indicators of earnings misstatements, </w:t>
      </w:r>
      <w:r w:rsidR="000A2FA9" w:rsidRPr="00FD0348">
        <w:t>K</w:t>
      </w:r>
      <w:r w:rsidR="00CF6112" w:rsidRPr="00FD0348">
        <w:t>lein (2002),</w:t>
      </w:r>
      <w:r w:rsidR="00F04B3E" w:rsidRPr="00FD0348">
        <w:t xml:space="preserve"> </w:t>
      </w:r>
      <w:proofErr w:type="spellStart"/>
      <w:r w:rsidR="00F04B3E" w:rsidRPr="00FD0348">
        <w:t>Xie</w:t>
      </w:r>
      <w:proofErr w:type="spellEnd"/>
      <w:r w:rsidR="00F04B3E" w:rsidRPr="00FD0348">
        <w:t xml:space="preserve"> et al. (2003),</w:t>
      </w:r>
      <w:r w:rsidR="005F3724" w:rsidRPr="00FD0348">
        <w:t xml:space="preserve"> </w:t>
      </w:r>
      <w:proofErr w:type="spellStart"/>
      <w:r w:rsidR="00F04B3E" w:rsidRPr="00FD0348">
        <w:t>Vafeas</w:t>
      </w:r>
      <w:proofErr w:type="spellEnd"/>
      <w:r w:rsidR="00F04B3E" w:rsidRPr="00FD0348">
        <w:t xml:space="preserve"> (2005) </w:t>
      </w:r>
      <w:r w:rsidR="005F3724" w:rsidRPr="00FD0348">
        <w:t xml:space="preserve">and </w:t>
      </w:r>
      <w:proofErr w:type="spellStart"/>
      <w:r w:rsidR="005F3724" w:rsidRPr="00FD0348">
        <w:t>Carcello</w:t>
      </w:r>
      <w:proofErr w:type="spellEnd"/>
      <w:r w:rsidR="005F3724" w:rsidRPr="00FD0348">
        <w:t xml:space="preserve">, Klein &amp; Neal (2006) </w:t>
      </w:r>
      <w:r w:rsidR="000A2FA9" w:rsidRPr="00FD0348">
        <w:t xml:space="preserve">focus on </w:t>
      </w:r>
      <w:r w:rsidR="00BE02AE" w:rsidRPr="00FD0348">
        <w:t>properties of earnings</w:t>
      </w:r>
      <w:r w:rsidR="004A5ED3" w:rsidRPr="00FD0348">
        <w:t xml:space="preserve"> in order to identify a link to </w:t>
      </w:r>
      <w:r w:rsidR="000E2F92" w:rsidRPr="00FD0348">
        <w:t xml:space="preserve">audit committee </w:t>
      </w:r>
      <w:r w:rsidR="00A6782C" w:rsidRPr="00FD0348">
        <w:t>structures</w:t>
      </w:r>
      <w:r w:rsidR="004A5ED3" w:rsidRPr="00FD0348">
        <w:t>.</w:t>
      </w:r>
      <w:r w:rsidR="00C438E5" w:rsidRPr="00FD0348">
        <w:t xml:space="preserve"> </w:t>
      </w:r>
      <w:r w:rsidR="00E74941" w:rsidRPr="00FD0348">
        <w:t>Abnormal accruals-based measurements are</w:t>
      </w:r>
      <w:r w:rsidR="00FB0C77" w:rsidRPr="00FD0348">
        <w:t xml:space="preserve"> </w:t>
      </w:r>
      <w:r w:rsidR="00FA3F57" w:rsidRPr="00FD0348">
        <w:t xml:space="preserve">commonly used </w:t>
      </w:r>
      <w:r w:rsidR="00E74941" w:rsidRPr="00FD0348">
        <w:t xml:space="preserve">by empirical researchers </w:t>
      </w:r>
      <w:r w:rsidR="00FA3F57" w:rsidRPr="00FD0348">
        <w:t xml:space="preserve">to measure </w:t>
      </w:r>
      <w:r w:rsidR="00B22BD3" w:rsidRPr="00FD0348">
        <w:t>earnings quality</w:t>
      </w:r>
      <w:r w:rsidR="007113B1" w:rsidRPr="00FD0348">
        <w:t xml:space="preserve"> and the evidence from the studies </w:t>
      </w:r>
      <w:r w:rsidR="001E417E" w:rsidRPr="00FD0348">
        <w:t xml:space="preserve">consistently </w:t>
      </w:r>
      <w:r w:rsidR="007113B1" w:rsidRPr="00FD0348">
        <w:t xml:space="preserve">suggests a </w:t>
      </w:r>
      <w:r w:rsidR="00A10212" w:rsidRPr="00FD0348">
        <w:t>positive</w:t>
      </w:r>
      <w:r w:rsidR="007113B1" w:rsidRPr="00FD0348">
        <w:t xml:space="preserve"> association between audit committee </w:t>
      </w:r>
      <w:r w:rsidR="001E5EBC" w:rsidRPr="00FD0348">
        <w:t xml:space="preserve">monitoring </w:t>
      </w:r>
      <w:r w:rsidR="00A5679A" w:rsidRPr="00FD0348">
        <w:t>performance</w:t>
      </w:r>
      <w:r w:rsidR="007113B1" w:rsidRPr="00FD0348">
        <w:t xml:space="preserve"> and earnings </w:t>
      </w:r>
      <w:r w:rsidR="00DE119E" w:rsidRPr="00FD0348">
        <w:t>quality</w:t>
      </w:r>
      <w:r w:rsidR="001E417E" w:rsidRPr="00FD0348">
        <w:t xml:space="preserve"> (</w:t>
      </w:r>
      <w:proofErr w:type="spellStart"/>
      <w:r w:rsidR="001E417E" w:rsidRPr="00FD0348">
        <w:t>Dechow</w:t>
      </w:r>
      <w:proofErr w:type="spellEnd"/>
      <w:r w:rsidR="001E417E" w:rsidRPr="00FD0348">
        <w:t xml:space="preserve"> et al. 2010)</w:t>
      </w:r>
      <w:r w:rsidR="007113B1" w:rsidRPr="00FD0348">
        <w:t xml:space="preserve">. </w:t>
      </w:r>
    </w:p>
    <w:p w:rsidR="00DE119E" w:rsidRPr="00FD0348" w:rsidRDefault="007113B1" w:rsidP="00470966">
      <w:pPr>
        <w:ind w:right="27"/>
      </w:pPr>
      <w:r w:rsidRPr="00FD0348">
        <w:t xml:space="preserve">For my </w:t>
      </w:r>
      <w:r w:rsidR="0081440A" w:rsidRPr="00FD0348">
        <w:t>master’s thesis</w:t>
      </w:r>
      <w:r w:rsidRPr="00FD0348">
        <w:t xml:space="preserve"> I will </w:t>
      </w:r>
      <w:r w:rsidR="0081440A" w:rsidRPr="00FD0348">
        <w:t>use</w:t>
      </w:r>
      <w:r w:rsidR="00DE119E" w:rsidRPr="00FD0348">
        <w:t xml:space="preserve"> </w:t>
      </w:r>
      <w:r w:rsidR="001E417E" w:rsidRPr="00FD0348">
        <w:t xml:space="preserve">benchmarking </w:t>
      </w:r>
      <w:r w:rsidR="0048046E" w:rsidRPr="00FD0348">
        <w:t>approaches</w:t>
      </w:r>
      <w:r w:rsidR="001E417E" w:rsidRPr="00FD0348">
        <w:t xml:space="preserve"> </w:t>
      </w:r>
      <w:r w:rsidR="00C21CDA" w:rsidRPr="00FD0348">
        <w:t xml:space="preserve">to </w:t>
      </w:r>
      <w:r w:rsidR="000F4F02" w:rsidRPr="00FD0348">
        <w:t>measure</w:t>
      </w:r>
      <w:r w:rsidR="00C21CDA" w:rsidRPr="00FD0348">
        <w:t xml:space="preserve"> </w:t>
      </w:r>
      <w:r w:rsidR="008B2C39" w:rsidRPr="00FD0348">
        <w:t xml:space="preserve">earnings quality. </w:t>
      </w:r>
      <w:r w:rsidR="0048046E" w:rsidRPr="00FD0348">
        <w:t xml:space="preserve">The earnings quality proxies used in my models capture the likelihood of avoiding negative earnings surprises and the likelihood of small earnings increases. </w:t>
      </w:r>
      <w:r w:rsidR="008B2C39" w:rsidRPr="00FD0348">
        <w:t xml:space="preserve">By utilizing </w:t>
      </w:r>
      <w:r w:rsidR="0048046E" w:rsidRPr="00FD0348">
        <w:t>these uncommonly used approaches</w:t>
      </w:r>
      <w:r w:rsidR="008B2C39" w:rsidRPr="00FD0348">
        <w:t xml:space="preserve"> my </w:t>
      </w:r>
      <w:r w:rsidR="0081440A" w:rsidRPr="00FD0348">
        <w:t>master’s thesis</w:t>
      </w:r>
      <w:r w:rsidR="008B2C39" w:rsidRPr="00FD0348">
        <w:t xml:space="preserve"> will </w:t>
      </w:r>
      <w:r w:rsidR="00122BCB" w:rsidRPr="00FD0348">
        <w:t>contribute</w:t>
      </w:r>
      <w:r w:rsidR="008B2C39" w:rsidRPr="00FD0348">
        <w:t xml:space="preserve"> </w:t>
      </w:r>
      <w:r w:rsidR="00235FFF" w:rsidRPr="00FD0348">
        <w:t xml:space="preserve">in extending the </w:t>
      </w:r>
      <w:r w:rsidR="008B2C39" w:rsidRPr="00FD0348">
        <w:t xml:space="preserve">literature studying audit committee </w:t>
      </w:r>
      <w:r w:rsidR="0048046E" w:rsidRPr="00FD0348">
        <w:t>characteristics</w:t>
      </w:r>
      <w:r w:rsidR="008B2C39" w:rsidRPr="00FD0348">
        <w:t xml:space="preserve"> and earnings quality. </w:t>
      </w:r>
      <w:r w:rsidR="00A10212" w:rsidRPr="00FD0348">
        <w:t xml:space="preserve">I expect to find consistent evidence as prior literature that </w:t>
      </w:r>
      <w:r w:rsidR="00A5679A" w:rsidRPr="00FD0348">
        <w:t xml:space="preserve">the audit committee characteristics that are increasing the </w:t>
      </w:r>
      <w:r w:rsidR="00A10212" w:rsidRPr="00FD0348">
        <w:t>audit committee</w:t>
      </w:r>
      <w:r w:rsidR="00A5679A" w:rsidRPr="00FD0348">
        <w:t>’s monitoring</w:t>
      </w:r>
      <w:r w:rsidR="00A10212" w:rsidRPr="00FD0348">
        <w:t xml:space="preserve"> </w:t>
      </w:r>
      <w:r w:rsidR="00E6404C" w:rsidRPr="00FD0348">
        <w:t>performance</w:t>
      </w:r>
      <w:r w:rsidR="00A10212" w:rsidRPr="00FD0348">
        <w:t xml:space="preserve"> </w:t>
      </w:r>
      <w:r w:rsidR="00A5679A" w:rsidRPr="00FD0348">
        <w:t>are</w:t>
      </w:r>
      <w:r w:rsidR="00A10212" w:rsidRPr="00FD0348">
        <w:t xml:space="preserve"> </w:t>
      </w:r>
      <w:r w:rsidR="00323FF6" w:rsidRPr="00FD0348">
        <w:t>related</w:t>
      </w:r>
      <w:r w:rsidR="00A10212" w:rsidRPr="00FD0348">
        <w:t xml:space="preserve"> with higher earnings quality</w:t>
      </w:r>
      <w:r w:rsidR="00A5679A" w:rsidRPr="00FD0348">
        <w:t>.</w:t>
      </w:r>
      <w:r w:rsidR="000D6E06" w:rsidRPr="00FD0348">
        <w:t xml:space="preserve"> </w:t>
      </w:r>
      <w:r w:rsidR="00A5679A" w:rsidRPr="00FD0348">
        <w:t>T</w:t>
      </w:r>
      <w:r w:rsidR="000D6E06" w:rsidRPr="00FD0348">
        <w:t>herefore</w:t>
      </w:r>
      <w:r w:rsidR="00A5679A" w:rsidRPr="00FD0348">
        <w:t>,</w:t>
      </w:r>
      <w:r w:rsidR="000D6E06" w:rsidRPr="00FD0348">
        <w:t xml:space="preserve"> I expect that </w:t>
      </w:r>
      <w:r w:rsidR="00A208B0" w:rsidRPr="00FD0348">
        <w:t xml:space="preserve">the current </w:t>
      </w:r>
      <w:r w:rsidR="008B2C39" w:rsidRPr="00FD0348">
        <w:t xml:space="preserve">EU </w:t>
      </w:r>
      <w:r w:rsidR="00A208B0" w:rsidRPr="00FD0348">
        <w:t xml:space="preserve">public-interest entities, that are already meeting the new audit committee structure requirements of the European Commission’s proposed audit reform, are </w:t>
      </w:r>
      <w:r w:rsidR="007E023D" w:rsidRPr="00FD0348">
        <w:t>providing financial statements of higher quality to their stakeholders</w:t>
      </w:r>
      <w:r w:rsidR="00A208B0" w:rsidRPr="00FD0348">
        <w:t xml:space="preserve">. </w:t>
      </w:r>
    </w:p>
    <w:p w:rsidR="00014176" w:rsidRPr="00FD0348" w:rsidRDefault="00014176" w:rsidP="00470966">
      <w:pPr>
        <w:ind w:right="27"/>
      </w:pPr>
      <w:r w:rsidRPr="00FD0348">
        <w:lastRenderedPageBreak/>
        <w:t xml:space="preserve">Finally, my </w:t>
      </w:r>
      <w:r w:rsidR="005B33B5">
        <w:t>m</w:t>
      </w:r>
      <w:r w:rsidR="003E2CA4" w:rsidRPr="00FD0348">
        <w:t>aster’s</w:t>
      </w:r>
      <w:r w:rsidR="00BB4BCE" w:rsidRPr="00FD0348">
        <w:t xml:space="preserve"> thesis</w:t>
      </w:r>
      <w:r w:rsidRPr="00FD0348">
        <w:t xml:space="preserve"> covers a time span of four years from 2008 till 2011 and will be examining 205 EU public interest entities spread across 17 European Union member states. My sample suggests </w:t>
      </w:r>
      <w:r w:rsidR="00986D28" w:rsidRPr="00FD0348">
        <w:t>that EU audit committees’ composition</w:t>
      </w:r>
      <w:r w:rsidR="00302377" w:rsidRPr="00FD0348">
        <w:t>, meeting frequency</w:t>
      </w:r>
      <w:r w:rsidR="00986D28" w:rsidRPr="00FD0348">
        <w:t xml:space="preserve"> and expertise changed noticeably between 2008 and 2011. </w:t>
      </w:r>
      <w:r w:rsidR="00B6421B" w:rsidRPr="00FD0348">
        <w:t>Audit committees became</w:t>
      </w:r>
      <w:r w:rsidR="003C1125" w:rsidRPr="00FD0348">
        <w:t xml:space="preserve"> larger</w:t>
      </w:r>
      <w:r w:rsidR="0048046E" w:rsidRPr="00FD0348">
        <w:t xml:space="preserve"> in size</w:t>
      </w:r>
      <w:r w:rsidR="003C1125" w:rsidRPr="00FD0348">
        <w:t>, more active and employed</w:t>
      </w:r>
      <w:r w:rsidR="00B6421B" w:rsidRPr="00FD0348">
        <w:t xml:space="preserve"> more financial experts. The</w:t>
      </w:r>
      <w:r w:rsidRPr="00FD0348">
        <w:t xml:space="preserve"> </w:t>
      </w:r>
      <w:r w:rsidR="00986D28" w:rsidRPr="00FD0348">
        <w:t xml:space="preserve">increase </w:t>
      </w:r>
      <w:r w:rsidR="00B6421B" w:rsidRPr="00FD0348">
        <w:t>in</w:t>
      </w:r>
      <w:r w:rsidR="00986D28" w:rsidRPr="00FD0348">
        <w:t xml:space="preserve"> </w:t>
      </w:r>
      <w:r w:rsidRPr="00FD0348">
        <w:t>financial expert</w:t>
      </w:r>
      <w:r w:rsidR="00FA5403" w:rsidRPr="00FD0348">
        <w:t>s</w:t>
      </w:r>
      <w:r w:rsidR="00B6421B" w:rsidRPr="00FD0348">
        <w:t xml:space="preserve"> serving on the audit committee is due to the</w:t>
      </w:r>
      <w:r w:rsidR="00FA5403" w:rsidRPr="00FD0348">
        <w:t xml:space="preserve"> </w:t>
      </w:r>
      <w:r w:rsidR="00B6421B" w:rsidRPr="00FD0348">
        <w:t xml:space="preserve">significant increase in </w:t>
      </w:r>
      <w:r w:rsidR="00FA5403" w:rsidRPr="00FD0348">
        <w:t>employ</w:t>
      </w:r>
      <w:r w:rsidR="00B6421B" w:rsidRPr="00FD0348">
        <w:t>ment of</w:t>
      </w:r>
      <w:r w:rsidR="00FA5403" w:rsidRPr="00FD0348">
        <w:t xml:space="preserve"> more </w:t>
      </w:r>
      <w:r w:rsidR="0041768F" w:rsidRPr="00FD0348">
        <w:t>directors</w:t>
      </w:r>
      <w:r w:rsidR="00FA5403" w:rsidRPr="00FD0348">
        <w:t xml:space="preserve"> with knowledge and experience in auditing. Furthermore, m</w:t>
      </w:r>
      <w:r w:rsidRPr="00FD0348">
        <w:t xml:space="preserve">y sample contains 154 public interest entities in 2008 and 145 public interest entities in 2011 with 100% independent audit committee. </w:t>
      </w:r>
      <w:r w:rsidR="00FA5403" w:rsidRPr="00FD0348">
        <w:t xml:space="preserve">However, </w:t>
      </w:r>
      <w:r w:rsidRPr="00FD0348">
        <w:t>67 public interest entities in 2008 and 69 public interest entities in 2011 are meeting the European Commission’s proposed audit committee composition and expertise requirements. While the 2008 sample included more fully independent audit committees than 2011, more public interest entities met the European Commission’s audit committee composition and expertise requirements in 2011 due to the increase of independent directors with knowledge and experience in auditing serving on the audit committee.</w:t>
      </w:r>
    </w:p>
    <w:p w:rsidR="00302377" w:rsidRPr="00FD0348" w:rsidRDefault="007E023D" w:rsidP="00470966">
      <w:pPr>
        <w:tabs>
          <w:tab w:val="left" w:pos="-2430"/>
        </w:tabs>
        <w:ind w:right="27"/>
      </w:pPr>
      <w:r w:rsidRPr="00FD0348">
        <w:t>My</w:t>
      </w:r>
      <w:r w:rsidR="00652C8F" w:rsidRPr="00FD0348">
        <w:t xml:space="preserve"> results </w:t>
      </w:r>
      <w:r w:rsidRPr="00FD0348">
        <w:t>suggests</w:t>
      </w:r>
      <w:r w:rsidR="00652C8F" w:rsidRPr="00FD0348">
        <w:t xml:space="preserve"> that </w:t>
      </w:r>
      <w:r w:rsidRPr="00FD0348">
        <w:t>EU public intere</w:t>
      </w:r>
      <w:r w:rsidR="00261D81" w:rsidRPr="00FD0348">
        <w:t xml:space="preserve">st entities </w:t>
      </w:r>
      <w:r w:rsidR="00C82C18" w:rsidRPr="00FD0348">
        <w:t>with</w:t>
      </w:r>
      <w:r w:rsidRPr="00FD0348">
        <w:t xml:space="preserve"> audit committee</w:t>
      </w:r>
      <w:r w:rsidR="00261D81" w:rsidRPr="00FD0348">
        <w:t>s</w:t>
      </w:r>
      <w:r w:rsidRPr="00FD0348">
        <w:t xml:space="preserve"> who </w:t>
      </w:r>
      <w:r w:rsidR="00261D81" w:rsidRPr="00FD0348">
        <w:t>are</w:t>
      </w:r>
      <w:r w:rsidRPr="00FD0348">
        <w:t xml:space="preserve"> currently meeting the proposed European Commission’s audit committee composition and expertise requirements </w:t>
      </w:r>
      <w:r w:rsidR="00FA5403" w:rsidRPr="00FD0348">
        <w:t xml:space="preserve">significantly </w:t>
      </w:r>
      <w:r w:rsidRPr="00FD0348">
        <w:t xml:space="preserve">increases the likelihood of higher earnings quality. </w:t>
      </w:r>
      <w:r w:rsidR="00B13AEC" w:rsidRPr="00FD0348">
        <w:t>Furthermore</w:t>
      </w:r>
      <w:r w:rsidR="000830EE" w:rsidRPr="00FD0348">
        <w:t>,</w:t>
      </w:r>
      <w:r w:rsidR="00B13AEC" w:rsidRPr="00FD0348">
        <w:t xml:space="preserve"> </w:t>
      </w:r>
      <w:r w:rsidR="000830EE" w:rsidRPr="00FD0348">
        <w:t xml:space="preserve">the evidence suggests that also </w:t>
      </w:r>
      <w:r w:rsidR="00B13AEC" w:rsidRPr="00FD0348">
        <w:t xml:space="preserve">the frequency in which the audit committee meets </w:t>
      </w:r>
      <w:r w:rsidR="00302377" w:rsidRPr="00FD0348">
        <w:t xml:space="preserve">and </w:t>
      </w:r>
      <w:r w:rsidR="000830EE" w:rsidRPr="00FD0348">
        <w:t>larger audit committees significantly increase</w:t>
      </w:r>
      <w:r w:rsidR="00B13AEC" w:rsidRPr="00FD0348">
        <w:t xml:space="preserve"> the likelihood of higher earnings quality.</w:t>
      </w:r>
      <w:r w:rsidR="00302377" w:rsidRPr="00FD0348">
        <w:t xml:space="preserve"> The evidence provided by my </w:t>
      </w:r>
      <w:r w:rsidR="003E2CA4" w:rsidRPr="00FD0348">
        <w:t>Master’s</w:t>
      </w:r>
      <w:r w:rsidR="00BB4BCE" w:rsidRPr="00FD0348">
        <w:t xml:space="preserve"> thesis</w:t>
      </w:r>
      <w:r w:rsidR="00302377" w:rsidRPr="00FD0348">
        <w:t xml:space="preserve"> supports the European Commission’s actions of reforming the audit committee to improve financial reporting quality. </w:t>
      </w:r>
    </w:p>
    <w:p w:rsidR="00FA5403" w:rsidRPr="00FD0348" w:rsidRDefault="002217D1" w:rsidP="00470966">
      <w:pPr>
        <w:ind w:right="27"/>
      </w:pPr>
      <w:r w:rsidRPr="00FD0348">
        <w:t xml:space="preserve">My master’s thesis is divided into several sections, with this introduction being the first. </w:t>
      </w:r>
      <w:r w:rsidR="00F30E08" w:rsidRPr="00FD0348">
        <w:t>The second s</w:t>
      </w:r>
      <w:r w:rsidR="00C561F2" w:rsidRPr="00FD0348">
        <w:t xml:space="preserve">ection will </w:t>
      </w:r>
      <w:r w:rsidRPr="00FD0348">
        <w:t>provide</w:t>
      </w:r>
      <w:r w:rsidR="00C561F2" w:rsidRPr="00FD0348">
        <w:t xml:space="preserve"> the theoretical background</w:t>
      </w:r>
      <w:r w:rsidRPr="00FD0348">
        <w:t xml:space="preserve"> on the audit committee and earnings quality.</w:t>
      </w:r>
      <w:r w:rsidR="00C561F2" w:rsidRPr="00FD0348">
        <w:t xml:space="preserve"> </w:t>
      </w:r>
      <w:r w:rsidRPr="00FD0348">
        <w:t>I</w:t>
      </w:r>
      <w:r w:rsidR="00C561F2" w:rsidRPr="00FD0348">
        <w:t>n section III I will discuss the empirical literature review</w:t>
      </w:r>
      <w:r w:rsidRPr="00FD0348">
        <w:t>. S</w:t>
      </w:r>
      <w:r w:rsidR="00C561F2" w:rsidRPr="00FD0348">
        <w:t>ection IV</w:t>
      </w:r>
      <w:r w:rsidRPr="00FD0348">
        <w:t xml:space="preserve"> contains the hypothese</w:t>
      </w:r>
      <w:r w:rsidR="00C561F2" w:rsidRPr="00FD0348">
        <w:t xml:space="preserve">s </w:t>
      </w:r>
      <w:r w:rsidRPr="00FD0348">
        <w:t xml:space="preserve">that will be tested in </w:t>
      </w:r>
      <w:r w:rsidR="00690261" w:rsidRPr="00FD0348">
        <w:t>my</w:t>
      </w:r>
      <w:r w:rsidRPr="00FD0348">
        <w:t xml:space="preserve"> master’s thesis. </w:t>
      </w:r>
      <w:r w:rsidR="00F30E08" w:rsidRPr="00FD0348">
        <w:t>The fifth s</w:t>
      </w:r>
      <w:r w:rsidR="00C561F2" w:rsidRPr="00FD0348">
        <w:t xml:space="preserve">ection </w:t>
      </w:r>
      <w:r w:rsidR="00F30E08" w:rsidRPr="00FD0348">
        <w:t>provides</w:t>
      </w:r>
      <w:r w:rsidR="00C561F2" w:rsidRPr="00FD0348">
        <w:t xml:space="preserve"> the research methodology</w:t>
      </w:r>
      <w:r w:rsidR="00F30E08" w:rsidRPr="00FD0348">
        <w:t>.</w:t>
      </w:r>
      <w:r w:rsidR="00C561F2" w:rsidRPr="00FD0348">
        <w:t xml:space="preserve"> </w:t>
      </w:r>
      <w:r w:rsidR="00F30E08" w:rsidRPr="00FD0348">
        <w:t>In s</w:t>
      </w:r>
      <w:r w:rsidR="00C561F2" w:rsidRPr="00FD0348">
        <w:t xml:space="preserve">ection VI </w:t>
      </w:r>
      <w:r w:rsidR="00F30E08" w:rsidRPr="00FD0348">
        <w:t>I will discuss the main r</w:t>
      </w:r>
      <w:r w:rsidR="00AC0B69" w:rsidRPr="00FD0348">
        <w:t>esults</w:t>
      </w:r>
      <w:r w:rsidR="00F30E08" w:rsidRPr="00FD0348">
        <w:t xml:space="preserve"> of my hypotheses and additional tests are </w:t>
      </w:r>
      <w:r w:rsidR="00690261" w:rsidRPr="00FD0348">
        <w:t xml:space="preserve">also </w:t>
      </w:r>
      <w:r w:rsidR="00F30E08" w:rsidRPr="00FD0348">
        <w:t>presented and examined</w:t>
      </w:r>
      <w:r w:rsidRPr="00FD0348">
        <w:t>. Finally,</w:t>
      </w:r>
      <w:r w:rsidR="00C561F2" w:rsidRPr="00FD0348">
        <w:t xml:space="preserve"> the conclusion is </w:t>
      </w:r>
      <w:r w:rsidRPr="00FD0348">
        <w:t xml:space="preserve">presented </w:t>
      </w:r>
      <w:r w:rsidR="00C561F2" w:rsidRPr="00FD0348">
        <w:t>in section VII.</w:t>
      </w:r>
    </w:p>
    <w:p w:rsidR="00FA5403" w:rsidRPr="00FD0348" w:rsidRDefault="00FA5403" w:rsidP="00470966">
      <w:pPr>
        <w:spacing w:before="200" w:after="200"/>
        <w:ind w:right="27" w:firstLine="0"/>
        <w:jc w:val="left"/>
      </w:pPr>
      <w:r w:rsidRPr="00FD0348">
        <w:br w:type="page"/>
      </w:r>
    </w:p>
    <w:p w:rsidR="00652C8F" w:rsidRPr="00FD0348" w:rsidRDefault="00652C8F" w:rsidP="00470966">
      <w:pPr>
        <w:pStyle w:val="Heading1"/>
        <w:ind w:right="27"/>
      </w:pPr>
      <w:bookmarkStart w:id="6" w:name="_Toc364177650"/>
      <w:bookmarkStart w:id="7" w:name="_Toc364200629"/>
      <w:r w:rsidRPr="00FD0348">
        <w:lastRenderedPageBreak/>
        <w:t>II Theoretical background</w:t>
      </w:r>
      <w:bookmarkEnd w:id="6"/>
      <w:bookmarkEnd w:id="7"/>
    </w:p>
    <w:p w:rsidR="00652C8F" w:rsidRPr="00FD0348" w:rsidRDefault="00652C8F" w:rsidP="00470966">
      <w:pPr>
        <w:ind w:right="27"/>
      </w:pPr>
      <w:r w:rsidRPr="00FD0348">
        <w:t xml:space="preserve">In this section I </w:t>
      </w:r>
      <w:r w:rsidR="00FA5403" w:rsidRPr="00FD0348">
        <w:t xml:space="preserve">will </w:t>
      </w:r>
      <w:r w:rsidRPr="00FD0348">
        <w:t>discuss the relevant background surrounding audit committee</w:t>
      </w:r>
      <w:r w:rsidR="00533F14" w:rsidRPr="00FD0348">
        <w:t xml:space="preserve"> and</w:t>
      </w:r>
      <w:r w:rsidR="00750712" w:rsidRPr="00FD0348">
        <w:t xml:space="preserve"> earnings quality</w:t>
      </w:r>
      <w:r w:rsidR="00533F14" w:rsidRPr="00FD0348">
        <w:t>.</w:t>
      </w:r>
      <w:r w:rsidR="00750712" w:rsidRPr="00FD0348">
        <w:t xml:space="preserve"> </w:t>
      </w:r>
    </w:p>
    <w:p w:rsidR="00FA5403" w:rsidRPr="00FD0348" w:rsidRDefault="00FA5403" w:rsidP="00470966">
      <w:pPr>
        <w:ind w:right="27"/>
      </w:pPr>
    </w:p>
    <w:p w:rsidR="00652C8F" w:rsidRPr="00FD0348" w:rsidRDefault="00652C8F" w:rsidP="00470966">
      <w:pPr>
        <w:pStyle w:val="Heading2"/>
        <w:ind w:right="27"/>
      </w:pPr>
      <w:bookmarkStart w:id="8" w:name="_Toc364177651"/>
      <w:bookmarkStart w:id="9" w:name="_Toc364200630"/>
      <w:r w:rsidRPr="00FD0348">
        <w:t>Audit committees</w:t>
      </w:r>
      <w:bookmarkEnd w:id="8"/>
      <w:bookmarkEnd w:id="9"/>
    </w:p>
    <w:p w:rsidR="00652C8F" w:rsidRPr="00FD0348" w:rsidRDefault="00652C8F" w:rsidP="00470966">
      <w:pPr>
        <w:ind w:right="27"/>
      </w:pPr>
      <w:r w:rsidRPr="00FD0348">
        <w:t>A public-interest entity’s audit committee is the independent governance body in charge with the oversight of the entity’s financial reporting</w:t>
      </w:r>
      <w:r w:rsidR="00261D81" w:rsidRPr="00FD0348">
        <w:t xml:space="preserve"> –</w:t>
      </w:r>
      <w:r w:rsidRPr="00FD0348">
        <w:t xml:space="preserve"> and internal control proces</w:t>
      </w:r>
      <w:r w:rsidR="00261D81" w:rsidRPr="00FD0348">
        <w:t>s</w:t>
      </w:r>
      <w:r w:rsidRPr="00FD0348">
        <w:t>. The primary duties and responsibilities of the audit committee include the following: (EC 2006)</w:t>
      </w:r>
    </w:p>
    <w:p w:rsidR="00652C8F" w:rsidRPr="00FD0348" w:rsidRDefault="00652C8F" w:rsidP="00470966">
      <w:pPr>
        <w:pStyle w:val="ListParagraph"/>
        <w:numPr>
          <w:ilvl w:val="0"/>
          <w:numId w:val="49"/>
        </w:numPr>
        <w:ind w:left="360" w:right="27" w:hanging="270"/>
      </w:pPr>
      <w:r w:rsidRPr="00FD0348">
        <w:t>Monitoring of the financial reporting process;</w:t>
      </w:r>
    </w:p>
    <w:p w:rsidR="00652C8F" w:rsidRPr="00FD0348" w:rsidRDefault="00652C8F" w:rsidP="00470966">
      <w:pPr>
        <w:pStyle w:val="ListParagraph"/>
        <w:numPr>
          <w:ilvl w:val="0"/>
          <w:numId w:val="49"/>
        </w:numPr>
        <w:ind w:left="360" w:right="27" w:hanging="270"/>
      </w:pPr>
      <w:r w:rsidRPr="00FD0348">
        <w:t>Monitoring of the effectiveness of the company's internal control, internal audit where applicable, and risk management systems;</w:t>
      </w:r>
    </w:p>
    <w:p w:rsidR="00652C8F" w:rsidRPr="00FD0348" w:rsidRDefault="00652C8F" w:rsidP="00470966">
      <w:pPr>
        <w:pStyle w:val="ListParagraph"/>
        <w:numPr>
          <w:ilvl w:val="0"/>
          <w:numId w:val="49"/>
        </w:numPr>
        <w:ind w:left="360" w:right="27" w:hanging="270"/>
      </w:pPr>
      <w:r w:rsidRPr="00FD0348">
        <w:t>Monitoring of the statutory audit of the annual and consolidated accounts;</w:t>
      </w:r>
    </w:p>
    <w:p w:rsidR="00652C8F" w:rsidRPr="00FD0348" w:rsidRDefault="00652C8F" w:rsidP="00470966">
      <w:pPr>
        <w:pStyle w:val="ListParagraph"/>
        <w:numPr>
          <w:ilvl w:val="0"/>
          <w:numId w:val="49"/>
        </w:numPr>
        <w:ind w:left="360" w:right="27" w:hanging="270"/>
      </w:pPr>
      <w:r w:rsidRPr="00FD0348">
        <w:t>Reviewing and monitoring of the independence of the statutory auditor or audit firm, and in particular the provision of additional services to the audited entity;</w:t>
      </w:r>
    </w:p>
    <w:p w:rsidR="00652C8F" w:rsidRPr="00FD0348" w:rsidRDefault="00652C8F" w:rsidP="00470966">
      <w:pPr>
        <w:pStyle w:val="ListParagraph"/>
        <w:numPr>
          <w:ilvl w:val="0"/>
          <w:numId w:val="49"/>
        </w:numPr>
        <w:ind w:left="360" w:right="27" w:hanging="270"/>
      </w:pPr>
      <w:r w:rsidRPr="00FD0348">
        <w:t>Proposing and recommending the statutory auditor to the board of directors.</w:t>
      </w:r>
    </w:p>
    <w:p w:rsidR="0089207E" w:rsidRPr="00FD0348" w:rsidRDefault="0089207E" w:rsidP="00470966">
      <w:pPr>
        <w:ind w:right="27"/>
      </w:pPr>
    </w:p>
    <w:p w:rsidR="0063482E" w:rsidRPr="00FD0348" w:rsidRDefault="0063482E" w:rsidP="00470966">
      <w:pPr>
        <w:ind w:right="27"/>
      </w:pPr>
      <w:r w:rsidRPr="00FD0348">
        <w:t xml:space="preserve">The proposed audit reform </w:t>
      </w:r>
      <w:r w:rsidR="009A7AB8" w:rsidRPr="00FD0348">
        <w:t xml:space="preserve">of the European Commission (2011) will </w:t>
      </w:r>
      <w:r w:rsidRPr="00FD0348">
        <w:t xml:space="preserve">provide new guidance on </w:t>
      </w:r>
      <w:r w:rsidR="009A7AB8" w:rsidRPr="00FD0348">
        <w:t xml:space="preserve">how public interest entities should structure their audit committee’s </w:t>
      </w:r>
      <w:r w:rsidRPr="00FD0348">
        <w:t xml:space="preserve">composition and responsibilities of the audit committee. The </w:t>
      </w:r>
      <w:r w:rsidR="00EB30EC" w:rsidRPr="00FD0348">
        <w:t xml:space="preserve">proposed </w:t>
      </w:r>
      <w:r w:rsidRPr="00FD0348">
        <w:t>composition and expertise requirements of the audit committee are defined as follows in the European Commission’s proposed audit reform</w:t>
      </w:r>
      <w:r w:rsidR="00EB30EC" w:rsidRPr="00FD0348">
        <w:t xml:space="preserve"> (2011)</w:t>
      </w:r>
      <w:r w:rsidRPr="00FD0348">
        <w:t xml:space="preserve">: </w:t>
      </w:r>
    </w:p>
    <w:p w:rsidR="00E43584" w:rsidRPr="00FD0348" w:rsidRDefault="00E43584" w:rsidP="00470966">
      <w:pPr>
        <w:ind w:right="27"/>
      </w:pPr>
    </w:p>
    <w:p w:rsidR="0063482E" w:rsidRPr="00FD0348" w:rsidRDefault="0063482E" w:rsidP="00470966">
      <w:pPr>
        <w:pStyle w:val="IntenseQuote"/>
        <w:ind w:right="27"/>
        <w:rPr>
          <w:rStyle w:val="Emphasis"/>
          <w:caps w:val="0"/>
          <w:color w:val="4F81BD" w:themeColor="accent1"/>
          <w:spacing w:val="0"/>
        </w:rPr>
      </w:pPr>
      <w:r w:rsidRPr="00FD0348">
        <w:rPr>
          <w:rStyle w:val="Emphasis"/>
          <w:caps w:val="0"/>
          <w:color w:val="4F81BD" w:themeColor="accent1"/>
          <w:spacing w:val="0"/>
        </w:rPr>
        <w:t>(EC 2011): “In order to reinforce the independence and capacity of the audit committee, it should be composed of non-executive members; at least one member should have experience and knowledge in auditing and another one in accounting and/or auditing</w:t>
      </w:r>
      <w:r w:rsidR="007D6038" w:rsidRPr="00FD0348">
        <w:rPr>
          <w:rStyle w:val="Emphasis"/>
          <w:caps w:val="0"/>
          <w:color w:val="4F81BD" w:themeColor="accent1"/>
          <w:spacing w:val="0"/>
        </w:rPr>
        <w:t>.”</w:t>
      </w:r>
    </w:p>
    <w:p w:rsidR="00E43584" w:rsidRPr="00FD0348" w:rsidRDefault="00E43584" w:rsidP="00470966">
      <w:pPr>
        <w:ind w:right="27"/>
        <w:rPr>
          <w:rStyle w:val="Emphasis"/>
        </w:rPr>
      </w:pPr>
    </w:p>
    <w:p w:rsidR="0063482E" w:rsidRPr="00FD0348" w:rsidRDefault="0063482E" w:rsidP="00470966">
      <w:pPr>
        <w:ind w:right="27"/>
      </w:pPr>
      <w:r w:rsidRPr="00FD0348">
        <w:t xml:space="preserve">The proposed changes for the European Union’s audit committee composition </w:t>
      </w:r>
      <w:r w:rsidR="00EB30EC" w:rsidRPr="00FD0348">
        <w:t xml:space="preserve">and expertise requirements </w:t>
      </w:r>
      <w:r w:rsidRPr="00FD0348">
        <w:t xml:space="preserve">differ from the </w:t>
      </w:r>
      <w:r w:rsidRPr="00FD0348">
        <w:rPr>
          <w:u w:val="single"/>
        </w:rPr>
        <w:t>existing</w:t>
      </w:r>
      <w:r w:rsidRPr="00FD0348">
        <w:t xml:space="preserve"> audit committee composition and expertise requirements </w:t>
      </w:r>
      <w:r w:rsidR="00EB30EC" w:rsidRPr="00FD0348">
        <w:t xml:space="preserve">for EU public interest entities. The current audit committee’s duties, responsibilities and structure requirements are Directives (Directive 2006/43/EC) from the European Commission. Directives establish a common goal for all European Union member states; however every European Union member state is responsible for achieving the goals of the Directive in their own way. This implies that the European Union member states can choose to go </w:t>
      </w:r>
      <w:r w:rsidR="00EB30EC" w:rsidRPr="00FD0348">
        <w:rPr>
          <w:u w:val="single"/>
        </w:rPr>
        <w:t>further</w:t>
      </w:r>
      <w:r w:rsidR="00EB30EC" w:rsidRPr="00FD0348">
        <w:t xml:space="preserve"> in adding </w:t>
      </w:r>
      <w:r w:rsidR="00EB30EC" w:rsidRPr="00FD0348">
        <w:rPr>
          <w:u w:val="single"/>
        </w:rPr>
        <w:t>more</w:t>
      </w:r>
      <w:r w:rsidR="00EB30EC" w:rsidRPr="00FD0348">
        <w:t xml:space="preserve"> duties, </w:t>
      </w:r>
      <w:r w:rsidR="00EB30EC" w:rsidRPr="00FD0348">
        <w:lastRenderedPageBreak/>
        <w:t>responsibilities and / or structure requirements than those mentioned in the directives in order for audit committees to be more effective in monitoring the entity’s financial reporting and internal control processes. The audit committee composition and expertise requirements for public interest entities in</w:t>
      </w:r>
      <w:r w:rsidRPr="00FD0348">
        <w:t xml:space="preserve"> the United States and European Union are as follows:</w:t>
      </w:r>
    </w:p>
    <w:p w:rsidR="00E43584" w:rsidRPr="00FD0348" w:rsidRDefault="00E43584" w:rsidP="00470966">
      <w:pPr>
        <w:ind w:right="27"/>
      </w:pPr>
    </w:p>
    <w:p w:rsidR="0063482E" w:rsidRPr="00FD0348" w:rsidRDefault="0063482E" w:rsidP="00470966">
      <w:pPr>
        <w:pStyle w:val="IntenseQuote"/>
        <w:ind w:right="27"/>
        <w:rPr>
          <w:rStyle w:val="Emphasis"/>
          <w:caps w:val="0"/>
          <w:color w:val="4F81BD" w:themeColor="accent1"/>
          <w:spacing w:val="0"/>
        </w:rPr>
      </w:pPr>
      <w:r w:rsidRPr="00FD0348">
        <w:rPr>
          <w:rStyle w:val="Emphasis"/>
          <w:caps w:val="0"/>
          <w:color w:val="4F81BD" w:themeColor="accent1"/>
          <w:spacing w:val="0"/>
        </w:rPr>
        <w:t xml:space="preserve">United States: The Sarbanes-Oxley Act of 2002 requires the members of the audit committee to be </w:t>
      </w:r>
      <w:r w:rsidRPr="00FD0348">
        <w:rPr>
          <w:rStyle w:val="Emphasis"/>
          <w:caps w:val="0"/>
          <w:color w:val="4F81BD" w:themeColor="accent1"/>
          <w:spacing w:val="0"/>
          <w:u w:val="single"/>
        </w:rPr>
        <w:t>independent</w:t>
      </w:r>
      <w:r w:rsidRPr="00FD0348">
        <w:rPr>
          <w:rStyle w:val="Emphasis"/>
          <w:caps w:val="0"/>
          <w:color w:val="4F81BD" w:themeColor="accent1"/>
          <w:spacing w:val="0"/>
        </w:rPr>
        <w:t xml:space="preserve"> and at least </w:t>
      </w:r>
      <w:r w:rsidRPr="00FD0348">
        <w:rPr>
          <w:rStyle w:val="Emphasis"/>
          <w:caps w:val="0"/>
          <w:color w:val="4F81BD" w:themeColor="accent1"/>
          <w:spacing w:val="0"/>
          <w:u w:val="single"/>
        </w:rPr>
        <w:t>one</w:t>
      </w:r>
      <w:r w:rsidRPr="00FD0348">
        <w:rPr>
          <w:rStyle w:val="Emphasis"/>
          <w:caps w:val="0"/>
          <w:color w:val="4F81BD" w:themeColor="accent1"/>
          <w:spacing w:val="0"/>
        </w:rPr>
        <w:t xml:space="preserve"> director of the audit committee to be a “</w:t>
      </w:r>
      <w:r w:rsidRPr="00FD0348">
        <w:rPr>
          <w:rStyle w:val="Emphasis"/>
          <w:caps w:val="0"/>
          <w:color w:val="4F81BD" w:themeColor="accent1"/>
          <w:spacing w:val="0"/>
          <w:u w:val="single"/>
        </w:rPr>
        <w:t>financial expert</w:t>
      </w:r>
      <w:r w:rsidRPr="00FD0348">
        <w:rPr>
          <w:rStyle w:val="Emphasis"/>
          <w:caps w:val="0"/>
          <w:color w:val="4F81BD" w:themeColor="accent1"/>
          <w:spacing w:val="0"/>
        </w:rPr>
        <w:t>”.</w:t>
      </w:r>
    </w:p>
    <w:p w:rsidR="00EF7B34" w:rsidRPr="00FD0348" w:rsidRDefault="00EF7B34" w:rsidP="00470966">
      <w:pPr>
        <w:ind w:right="27"/>
      </w:pPr>
    </w:p>
    <w:p w:rsidR="0063482E" w:rsidRPr="00FD0348" w:rsidRDefault="0063482E" w:rsidP="00470966">
      <w:pPr>
        <w:pStyle w:val="IntenseQuote"/>
        <w:ind w:right="27"/>
        <w:rPr>
          <w:rStyle w:val="Emphasis"/>
          <w:caps w:val="0"/>
          <w:color w:val="4F81BD" w:themeColor="accent1"/>
          <w:spacing w:val="0"/>
        </w:rPr>
      </w:pPr>
      <w:r w:rsidRPr="00FD0348">
        <w:rPr>
          <w:rStyle w:val="Emphasis"/>
          <w:caps w:val="0"/>
          <w:color w:val="4F81BD" w:themeColor="accent1"/>
          <w:spacing w:val="0"/>
        </w:rPr>
        <w:t xml:space="preserve">European Union: (EC 2006) “At least </w:t>
      </w:r>
      <w:r w:rsidRPr="00FD0348">
        <w:rPr>
          <w:rStyle w:val="Emphasis"/>
          <w:caps w:val="0"/>
          <w:color w:val="4F81BD" w:themeColor="accent1"/>
          <w:spacing w:val="0"/>
          <w:u w:val="single"/>
        </w:rPr>
        <w:t>one</w:t>
      </w:r>
      <w:r w:rsidRPr="00FD0348">
        <w:rPr>
          <w:rStyle w:val="Emphasis"/>
          <w:caps w:val="0"/>
          <w:color w:val="4F81BD" w:themeColor="accent1"/>
          <w:spacing w:val="0"/>
        </w:rPr>
        <w:t xml:space="preserve"> member of the audit committee shall be </w:t>
      </w:r>
      <w:r w:rsidRPr="00FD0348">
        <w:rPr>
          <w:rStyle w:val="Emphasis"/>
          <w:caps w:val="0"/>
          <w:color w:val="4F81BD" w:themeColor="accent1"/>
          <w:spacing w:val="0"/>
          <w:u w:val="single"/>
        </w:rPr>
        <w:t>independent</w:t>
      </w:r>
      <w:r w:rsidRPr="00FD0348">
        <w:rPr>
          <w:rStyle w:val="Emphasis"/>
          <w:caps w:val="0"/>
          <w:color w:val="4F81BD" w:themeColor="accent1"/>
          <w:spacing w:val="0"/>
        </w:rPr>
        <w:t xml:space="preserve"> and shall have competence in </w:t>
      </w:r>
      <w:r w:rsidRPr="00FD0348">
        <w:rPr>
          <w:rStyle w:val="Emphasis"/>
          <w:caps w:val="0"/>
          <w:color w:val="4F81BD" w:themeColor="accent1"/>
          <w:spacing w:val="0"/>
          <w:u w:val="single"/>
        </w:rPr>
        <w:t>accounting and</w:t>
      </w:r>
      <w:r w:rsidR="00261D81" w:rsidRPr="00FD0348">
        <w:rPr>
          <w:rStyle w:val="Emphasis"/>
          <w:caps w:val="0"/>
          <w:color w:val="4F81BD" w:themeColor="accent1"/>
          <w:spacing w:val="0"/>
          <w:u w:val="single"/>
        </w:rPr>
        <w:t xml:space="preserve"> </w:t>
      </w:r>
      <w:r w:rsidRPr="00FD0348">
        <w:rPr>
          <w:rStyle w:val="Emphasis"/>
          <w:caps w:val="0"/>
          <w:color w:val="4F81BD" w:themeColor="accent1"/>
          <w:spacing w:val="0"/>
          <w:u w:val="single"/>
        </w:rPr>
        <w:t>/</w:t>
      </w:r>
      <w:r w:rsidR="00261D81" w:rsidRPr="00FD0348">
        <w:rPr>
          <w:rStyle w:val="Emphasis"/>
          <w:caps w:val="0"/>
          <w:color w:val="4F81BD" w:themeColor="accent1"/>
          <w:spacing w:val="0"/>
          <w:u w:val="single"/>
        </w:rPr>
        <w:t xml:space="preserve"> </w:t>
      </w:r>
      <w:r w:rsidRPr="00FD0348">
        <w:rPr>
          <w:rStyle w:val="Emphasis"/>
          <w:caps w:val="0"/>
          <w:color w:val="4F81BD" w:themeColor="accent1"/>
          <w:spacing w:val="0"/>
          <w:u w:val="single"/>
        </w:rPr>
        <w:t>or auditing</w:t>
      </w:r>
      <w:r w:rsidRPr="00FD0348">
        <w:rPr>
          <w:rStyle w:val="Emphasis"/>
          <w:caps w:val="0"/>
          <w:color w:val="4F81BD" w:themeColor="accent1"/>
          <w:spacing w:val="0"/>
        </w:rPr>
        <w:t xml:space="preserve">.” </w:t>
      </w:r>
    </w:p>
    <w:p w:rsidR="00E43584" w:rsidRPr="00FD0348" w:rsidRDefault="00E43584" w:rsidP="00470966">
      <w:pPr>
        <w:ind w:right="27"/>
      </w:pPr>
    </w:p>
    <w:p w:rsidR="0063482E" w:rsidRPr="00FD0348" w:rsidRDefault="0063482E" w:rsidP="00470966">
      <w:pPr>
        <w:ind w:right="27"/>
      </w:pPr>
      <w:r w:rsidRPr="00FD0348">
        <w:t xml:space="preserve">Noticeably the European Commission </w:t>
      </w:r>
      <w:r w:rsidR="004340CD" w:rsidRPr="00FD0348">
        <w:t xml:space="preserve">requires that at least two “professional experts” serve on the audit committee and </w:t>
      </w:r>
      <w:r w:rsidRPr="00FD0348">
        <w:t xml:space="preserve">defines the expertise needed for the audit committee </w:t>
      </w:r>
      <w:r w:rsidR="00A8180E" w:rsidRPr="00FD0348">
        <w:t>directors</w:t>
      </w:r>
      <w:r w:rsidR="004340CD" w:rsidRPr="00FD0348">
        <w:t xml:space="preserve"> as having experience and knowledge in auditing and</w:t>
      </w:r>
      <w:r w:rsidR="005340B7" w:rsidRPr="00FD0348">
        <w:t xml:space="preserve"> </w:t>
      </w:r>
      <w:r w:rsidR="004340CD" w:rsidRPr="00FD0348">
        <w:t>/</w:t>
      </w:r>
      <w:r w:rsidR="005340B7" w:rsidRPr="00FD0348">
        <w:t xml:space="preserve"> </w:t>
      </w:r>
      <w:r w:rsidR="004340CD" w:rsidRPr="00FD0348">
        <w:t>or accounting</w:t>
      </w:r>
      <w:r w:rsidRPr="00FD0348">
        <w:t xml:space="preserve"> </w:t>
      </w:r>
      <w:r w:rsidR="004340CD" w:rsidRPr="00FD0348">
        <w:t>(here after: EU</w:t>
      </w:r>
      <w:r w:rsidR="0041768F" w:rsidRPr="00FD0348">
        <w:t>FE</w:t>
      </w:r>
      <w:r w:rsidR="004340CD" w:rsidRPr="00FD0348">
        <w:t xml:space="preserve">). </w:t>
      </w:r>
      <w:r w:rsidRPr="00FD0348">
        <w:t xml:space="preserve">Therefore it is not possible for the audit committees in the European Union member states to consist out of a mixture of professionals with experience and knowledge in only </w:t>
      </w:r>
      <w:r w:rsidR="00AE6153" w:rsidRPr="00FD0348">
        <w:t xml:space="preserve">block holding, </w:t>
      </w:r>
      <w:r w:rsidRPr="00FD0348">
        <w:t xml:space="preserve">law, finance, banking and investment banking. The </w:t>
      </w:r>
      <w:r w:rsidR="004340CD" w:rsidRPr="00FD0348">
        <w:t>audit reform</w:t>
      </w:r>
      <w:r w:rsidRPr="00FD0348">
        <w:t xml:space="preserve"> will mandate that the audit committees consist of at least two </w:t>
      </w:r>
      <w:r w:rsidR="004340CD" w:rsidRPr="00FD0348">
        <w:t xml:space="preserve">independent </w:t>
      </w:r>
      <w:r w:rsidR="00A8180E" w:rsidRPr="00FD0348">
        <w:t>directors</w:t>
      </w:r>
      <w:r w:rsidRPr="00FD0348">
        <w:t xml:space="preserve"> that have experience and knowledge in auditing </w:t>
      </w:r>
      <w:r w:rsidR="0041768F" w:rsidRPr="00FD0348">
        <w:t xml:space="preserve">(hereafter: </w:t>
      </w:r>
      <w:r w:rsidR="007A4D09" w:rsidRPr="00FD0348">
        <w:t>EUFE-Auditing</w:t>
      </w:r>
      <w:r w:rsidR="0041768F" w:rsidRPr="00FD0348">
        <w:t xml:space="preserve">) </w:t>
      </w:r>
      <w:r w:rsidRPr="00FD0348">
        <w:t xml:space="preserve">or at least one </w:t>
      </w:r>
      <w:r w:rsidR="00A8180E" w:rsidRPr="00FD0348">
        <w:t>director</w:t>
      </w:r>
      <w:r w:rsidRPr="00FD0348">
        <w:t xml:space="preserve"> should have experience and knowledge in auditing and another </w:t>
      </w:r>
      <w:r w:rsidR="00A8180E" w:rsidRPr="00FD0348">
        <w:t>director</w:t>
      </w:r>
      <w:r w:rsidRPr="00FD0348">
        <w:t xml:space="preserve"> should have experience and knowledge in accounting</w:t>
      </w:r>
      <w:r w:rsidR="0041768F" w:rsidRPr="00FD0348">
        <w:t xml:space="preserve"> (hereafter: </w:t>
      </w:r>
      <w:r w:rsidR="007A4D09" w:rsidRPr="00FD0348">
        <w:t>EUFE-Accounting</w:t>
      </w:r>
      <w:r w:rsidR="0041768F" w:rsidRPr="00FD0348">
        <w:t>)</w:t>
      </w:r>
      <w:r w:rsidRPr="00FD0348">
        <w:t xml:space="preserve">. </w:t>
      </w:r>
      <w:r w:rsidR="00ED4EAA" w:rsidRPr="00FD0348">
        <w:t>Furthermore, t</w:t>
      </w:r>
      <w:r w:rsidR="00FF497E" w:rsidRPr="00FD0348">
        <w:t>he audit reform also mandates that t</w:t>
      </w:r>
      <w:r w:rsidR="00A8180E" w:rsidRPr="00FD0348">
        <w:t xml:space="preserve">he </w:t>
      </w:r>
      <w:r w:rsidR="004528DF" w:rsidRPr="00FD0348">
        <w:t xml:space="preserve">entire </w:t>
      </w:r>
      <w:r w:rsidR="00A8180E" w:rsidRPr="00FD0348">
        <w:t xml:space="preserve">audit committee </w:t>
      </w:r>
      <w:r w:rsidR="00FF497E" w:rsidRPr="00FD0348">
        <w:t>should be</w:t>
      </w:r>
      <w:r w:rsidR="00A8180E" w:rsidRPr="00FD0348">
        <w:t xml:space="preserve"> </w:t>
      </w:r>
      <w:r w:rsidR="00FF497E" w:rsidRPr="00FD0348">
        <w:t>independent. An audit committee is i</w:t>
      </w:r>
      <w:r w:rsidR="00A8180E" w:rsidRPr="00FD0348">
        <w:t>ndependent</w:t>
      </w:r>
      <w:r w:rsidR="004528DF" w:rsidRPr="00FD0348">
        <w:t xml:space="preserve"> when all the directors </w:t>
      </w:r>
      <w:r w:rsidR="00FF497E" w:rsidRPr="00FD0348">
        <w:t xml:space="preserve">serving on the audit committee </w:t>
      </w:r>
      <w:r w:rsidR="004528DF" w:rsidRPr="00FD0348">
        <w:t xml:space="preserve">are “non-executive members” which can be classified as directors with no financial </w:t>
      </w:r>
      <w:r w:rsidR="00FF497E" w:rsidRPr="00FD0348">
        <w:t>or</w:t>
      </w:r>
      <w:r w:rsidR="00450D06" w:rsidRPr="00FD0348">
        <w:t xml:space="preserve"> family</w:t>
      </w:r>
      <w:r w:rsidR="004528DF" w:rsidRPr="00FD0348">
        <w:t xml:space="preserve"> ties to the executive directors or public-interest entity.</w:t>
      </w:r>
    </w:p>
    <w:p w:rsidR="006835E2" w:rsidRPr="00FD0348" w:rsidRDefault="00190A0F" w:rsidP="00470966">
      <w:pPr>
        <w:ind w:right="27"/>
      </w:pPr>
      <w:r w:rsidRPr="00FD0348">
        <w:t>In short t</w:t>
      </w:r>
      <w:r w:rsidR="00FF4F7E" w:rsidRPr="00FD0348">
        <w:t>he European C</w:t>
      </w:r>
      <w:r w:rsidR="00526B33" w:rsidRPr="00FD0348">
        <w:t xml:space="preserve">ommission </w:t>
      </w:r>
      <w:r w:rsidR="00992578" w:rsidRPr="00FD0348">
        <w:t xml:space="preserve">is </w:t>
      </w:r>
      <w:r w:rsidR="00EB1610" w:rsidRPr="00FD0348">
        <w:t>introducing with the EC 20</w:t>
      </w:r>
      <w:r w:rsidR="00D17FF9" w:rsidRPr="00FD0348">
        <w:t>1</w:t>
      </w:r>
      <w:r w:rsidR="00EB1610" w:rsidRPr="00FD0348">
        <w:t xml:space="preserve">1 more regulations </w:t>
      </w:r>
      <w:r w:rsidR="00526B33" w:rsidRPr="00FD0348">
        <w:t xml:space="preserve">on </w:t>
      </w:r>
      <w:r w:rsidR="00EB1610" w:rsidRPr="00FD0348">
        <w:t xml:space="preserve">the expertise and </w:t>
      </w:r>
      <w:r w:rsidR="00992578" w:rsidRPr="00FD0348">
        <w:t xml:space="preserve">independence </w:t>
      </w:r>
      <w:r w:rsidR="00EB1610" w:rsidRPr="00FD0348">
        <w:t>requirements for the audit committee directors</w:t>
      </w:r>
      <w:r w:rsidR="00992578" w:rsidRPr="00FD0348">
        <w:t xml:space="preserve"> </w:t>
      </w:r>
      <w:r w:rsidRPr="00FD0348">
        <w:t xml:space="preserve">in order to improve audit committee </w:t>
      </w:r>
      <w:r w:rsidR="00EB1610" w:rsidRPr="00FD0348">
        <w:t>performance</w:t>
      </w:r>
      <w:r w:rsidR="00FF4F7E" w:rsidRPr="00FD0348">
        <w:t xml:space="preserve">. </w:t>
      </w:r>
      <w:r w:rsidR="001268DE" w:rsidRPr="00FD0348">
        <w:t>In the past t</w:t>
      </w:r>
      <w:r w:rsidR="00652C8F" w:rsidRPr="00FD0348">
        <w:t xml:space="preserve">he Blue Ribbon Committee (BRC 1999) has investigated desirable audit committee structures in order for </w:t>
      </w:r>
      <w:r w:rsidR="001268DE" w:rsidRPr="00FD0348">
        <w:t xml:space="preserve">the </w:t>
      </w:r>
      <w:r w:rsidR="00652C8F" w:rsidRPr="00FD0348">
        <w:t xml:space="preserve">public-interest entities in the United States of America to improve their financial reporting quality. </w:t>
      </w:r>
      <w:r w:rsidR="00ED4EAA" w:rsidRPr="00FD0348">
        <w:t xml:space="preserve">While the European Commission only focuses on improving </w:t>
      </w:r>
      <w:r w:rsidR="00A50880" w:rsidRPr="00FD0348">
        <w:t>expertise and independence</w:t>
      </w:r>
      <w:r w:rsidR="00ED4EAA" w:rsidRPr="00FD0348">
        <w:t xml:space="preserve">, the </w:t>
      </w:r>
      <w:r w:rsidR="00D22E0B" w:rsidRPr="00FD0348">
        <w:t xml:space="preserve">Blue Ribbon Committee highlights more audit committee characteristics that are important for improving audit committee </w:t>
      </w:r>
      <w:r w:rsidR="005340B7" w:rsidRPr="00FD0348">
        <w:t xml:space="preserve">monitoring </w:t>
      </w:r>
      <w:r w:rsidR="00D22E0B" w:rsidRPr="00FD0348">
        <w:t>performance</w:t>
      </w:r>
      <w:r w:rsidR="0033562B" w:rsidRPr="00FD0348">
        <w:t xml:space="preserve">. </w:t>
      </w:r>
    </w:p>
    <w:p w:rsidR="00AB6724" w:rsidRPr="00FD0348" w:rsidRDefault="00652C8F" w:rsidP="00470966">
      <w:pPr>
        <w:ind w:right="27"/>
      </w:pPr>
      <w:r w:rsidRPr="00FD0348">
        <w:lastRenderedPageBreak/>
        <w:t xml:space="preserve">The Blue Ribbon Committee recommends that the audit committee must have a minimum of three </w:t>
      </w:r>
      <w:r w:rsidR="00D17FF9" w:rsidRPr="00FD0348">
        <w:t>independent</w:t>
      </w:r>
      <w:r w:rsidR="008B72D0" w:rsidRPr="00FD0348">
        <w:t xml:space="preserve"> </w:t>
      </w:r>
      <w:r w:rsidR="00D17FF9" w:rsidRPr="00FD0348">
        <w:t>/</w:t>
      </w:r>
      <w:r w:rsidR="008B72D0" w:rsidRPr="00FD0348">
        <w:t xml:space="preserve"> </w:t>
      </w:r>
      <w:r w:rsidR="00D17FF9" w:rsidRPr="00FD0348">
        <w:t xml:space="preserve">outside </w:t>
      </w:r>
      <w:r w:rsidRPr="00FD0348">
        <w:t>directors, who must be financial literate</w:t>
      </w:r>
      <w:r w:rsidR="00C6601F" w:rsidRPr="00FD0348">
        <w:rPr>
          <w:rStyle w:val="FootnoteReference"/>
        </w:rPr>
        <w:footnoteReference w:id="3"/>
      </w:r>
      <w:r w:rsidRPr="00FD0348">
        <w:t xml:space="preserve"> and that at least one of the directors must be an expert in accounting or related financial expertise. </w:t>
      </w:r>
      <w:r w:rsidR="0043534C" w:rsidRPr="00FD0348">
        <w:t xml:space="preserve">The Blue Ribbon Committee also recommends at least four audit committee meetings annually </w:t>
      </w:r>
      <w:r w:rsidR="00741178" w:rsidRPr="00FD0348">
        <w:t>because</w:t>
      </w:r>
      <w:r w:rsidR="0043534C" w:rsidRPr="00FD0348">
        <w:t xml:space="preserve"> an audit committee that meets freq</w:t>
      </w:r>
      <w:r w:rsidR="00AE6153" w:rsidRPr="00FD0348">
        <w:t xml:space="preserve">uently devotes more time </w:t>
      </w:r>
      <w:r w:rsidR="0043534C" w:rsidRPr="00FD0348">
        <w:t xml:space="preserve">monitoring the financial reporting – and internal control processes. </w:t>
      </w:r>
      <w:r w:rsidR="00D17FF9" w:rsidRPr="00FD0348">
        <w:t xml:space="preserve">Empirical evidence (Klein 2002; </w:t>
      </w:r>
      <w:proofErr w:type="spellStart"/>
      <w:r w:rsidR="00D17FF9" w:rsidRPr="00FD0348">
        <w:t>Xie</w:t>
      </w:r>
      <w:proofErr w:type="spellEnd"/>
      <w:r w:rsidR="00D17FF9" w:rsidRPr="00FD0348">
        <w:t xml:space="preserve"> et al. 2003; </w:t>
      </w:r>
      <w:proofErr w:type="spellStart"/>
      <w:r w:rsidR="00D17FF9" w:rsidRPr="00FD0348">
        <w:t>Hooghiemstra</w:t>
      </w:r>
      <w:proofErr w:type="spellEnd"/>
      <w:r w:rsidR="00D17FF9" w:rsidRPr="00FD0348">
        <w:t xml:space="preserve"> et al. 2008) suggests that the presence of independent</w:t>
      </w:r>
      <w:r w:rsidR="00AE6153" w:rsidRPr="00FD0348">
        <w:t xml:space="preserve"> </w:t>
      </w:r>
      <w:r w:rsidR="00D17FF9" w:rsidRPr="00FD0348">
        <w:t>/</w:t>
      </w:r>
      <w:r w:rsidR="00AE6153" w:rsidRPr="00FD0348">
        <w:t xml:space="preserve"> </w:t>
      </w:r>
      <w:r w:rsidR="00D17FF9" w:rsidRPr="00FD0348">
        <w:t>outside directors serving on the audit committee is related to higher audit committee performance in monitoring the financial reporting – and internal control processes. Additionally, e</w:t>
      </w:r>
      <w:r w:rsidRPr="00FD0348">
        <w:t xml:space="preserve">mpirical evidence (McDaniel et al. 2002; </w:t>
      </w:r>
      <w:proofErr w:type="spellStart"/>
      <w:r w:rsidRPr="00FD0348">
        <w:t>Xie</w:t>
      </w:r>
      <w:proofErr w:type="spellEnd"/>
      <w:r w:rsidRPr="00FD0348">
        <w:t xml:space="preserve"> et al. 2003</w:t>
      </w:r>
      <w:r w:rsidR="005E33F4" w:rsidRPr="00FD0348">
        <w:t xml:space="preserve">; </w:t>
      </w:r>
      <w:proofErr w:type="spellStart"/>
      <w:r w:rsidR="00436B59" w:rsidRPr="00FD0348">
        <w:t>Carc</w:t>
      </w:r>
      <w:r w:rsidR="0091115F" w:rsidRPr="00FD0348">
        <w:t>ello</w:t>
      </w:r>
      <w:proofErr w:type="spellEnd"/>
      <w:r w:rsidR="0091115F" w:rsidRPr="00FD0348">
        <w:t>, Hollingsworth &amp; Neal 2006</w:t>
      </w:r>
      <w:r w:rsidRPr="00FD0348">
        <w:t>) on the expertise of the audit committee directors suggests that the presence of financial litera</w:t>
      </w:r>
      <w:r w:rsidR="00321A41" w:rsidRPr="00FD0348">
        <w:t>te</w:t>
      </w:r>
      <w:r w:rsidR="00856EF8" w:rsidRPr="00FD0348">
        <w:t xml:space="preserve"> (both accounting and non-accounting </w:t>
      </w:r>
      <w:r w:rsidR="00436B59" w:rsidRPr="00FD0348">
        <w:t>types</w:t>
      </w:r>
      <w:r w:rsidR="00856EF8" w:rsidRPr="00FD0348">
        <w:t>)</w:t>
      </w:r>
      <w:r w:rsidR="00321A41" w:rsidRPr="00FD0348">
        <w:t xml:space="preserve"> director</w:t>
      </w:r>
      <w:r w:rsidR="00436B59" w:rsidRPr="00FD0348">
        <w:t xml:space="preserve">s is </w:t>
      </w:r>
      <w:r w:rsidR="00321A41" w:rsidRPr="00FD0348">
        <w:t>related to higher audit committee</w:t>
      </w:r>
      <w:r w:rsidR="005340B7" w:rsidRPr="00FD0348">
        <w:t xml:space="preserve"> monitoring</w:t>
      </w:r>
      <w:r w:rsidR="00321A41" w:rsidRPr="00FD0348">
        <w:t xml:space="preserve"> </w:t>
      </w:r>
      <w:r w:rsidR="00D17FF9" w:rsidRPr="00FD0348">
        <w:t>performance</w:t>
      </w:r>
      <w:r w:rsidR="00321A41" w:rsidRPr="00FD0348">
        <w:t>; however the typical audit committee director lacks experience in accounting and finance</w:t>
      </w:r>
      <w:r w:rsidRPr="00FD0348">
        <w:t xml:space="preserve">. </w:t>
      </w:r>
      <w:r w:rsidR="00436B59" w:rsidRPr="00FD0348">
        <w:t>Furthermore</w:t>
      </w:r>
      <w:r w:rsidR="00D17FF9" w:rsidRPr="00FD0348">
        <w:t>,</w:t>
      </w:r>
      <w:r w:rsidR="00436B59" w:rsidRPr="00FD0348">
        <w:t xml:space="preserve"> </w:t>
      </w:r>
      <w:proofErr w:type="spellStart"/>
      <w:r w:rsidR="00436B59" w:rsidRPr="00FD0348">
        <w:t>Carcello</w:t>
      </w:r>
      <w:proofErr w:type="spellEnd"/>
      <w:r w:rsidR="00436B59" w:rsidRPr="00FD0348">
        <w:t>, Klein &amp; Neal</w:t>
      </w:r>
      <w:r w:rsidR="00856EF8" w:rsidRPr="00FD0348">
        <w:t xml:space="preserve"> </w:t>
      </w:r>
      <w:r w:rsidR="00436B59" w:rsidRPr="00FD0348">
        <w:t>(</w:t>
      </w:r>
      <w:r w:rsidR="00856EF8" w:rsidRPr="00FD0348">
        <w:t>2006</w:t>
      </w:r>
      <w:r w:rsidR="00436B59" w:rsidRPr="00FD0348">
        <w:t>)</w:t>
      </w:r>
      <w:r w:rsidR="00856EF8" w:rsidRPr="00FD0348">
        <w:t xml:space="preserve"> </w:t>
      </w:r>
      <w:r w:rsidR="00DA1493" w:rsidRPr="00FD0348">
        <w:t>support regulators concern by providing empirical evidence</w:t>
      </w:r>
      <w:r w:rsidR="00856EF8" w:rsidRPr="00FD0348">
        <w:t xml:space="preserve"> </w:t>
      </w:r>
      <w:r w:rsidR="00DA1493" w:rsidRPr="00FD0348">
        <w:t>that financial literate</w:t>
      </w:r>
      <w:r w:rsidR="00C6601F" w:rsidRPr="00FD0348">
        <w:rPr>
          <w:rStyle w:val="FootnoteReference"/>
        </w:rPr>
        <w:footnoteReference w:id="4"/>
      </w:r>
      <w:r w:rsidR="00DA1493" w:rsidRPr="00FD0348">
        <w:t xml:space="preserve"> director</w:t>
      </w:r>
      <w:r w:rsidR="00AE6153" w:rsidRPr="00FD0348">
        <w:t>s</w:t>
      </w:r>
      <w:r w:rsidR="00DA1493" w:rsidRPr="00FD0348">
        <w:t xml:space="preserve"> </w:t>
      </w:r>
      <w:r w:rsidR="00436B59" w:rsidRPr="00FD0348">
        <w:t xml:space="preserve">are more effective </w:t>
      </w:r>
      <w:r w:rsidR="005340B7" w:rsidRPr="00FD0348">
        <w:t xml:space="preserve">in monitoring the public interest entity’s financial reporting – and internal control processes </w:t>
      </w:r>
      <w:r w:rsidR="00436B59" w:rsidRPr="00FD0348">
        <w:t>w</w:t>
      </w:r>
      <w:r w:rsidR="00DA1493" w:rsidRPr="00FD0348">
        <w:t xml:space="preserve">hen they are </w:t>
      </w:r>
      <w:r w:rsidR="00436B59" w:rsidRPr="00FD0348">
        <w:t>indepe</w:t>
      </w:r>
      <w:r w:rsidR="00DA1493" w:rsidRPr="00FD0348">
        <w:t>n</w:t>
      </w:r>
      <w:r w:rsidR="00436B59" w:rsidRPr="00FD0348">
        <w:t>dent.</w:t>
      </w:r>
      <w:r w:rsidR="00856EF8" w:rsidRPr="00FD0348">
        <w:t xml:space="preserve"> </w:t>
      </w:r>
    </w:p>
    <w:p w:rsidR="0043534C" w:rsidRPr="00FD0348" w:rsidRDefault="00652C8F" w:rsidP="00470966">
      <w:pPr>
        <w:ind w:right="27"/>
      </w:pPr>
      <w:r w:rsidRPr="00FD0348">
        <w:t xml:space="preserve">Audit committee size might have non-linear effects on the committee’s performance due to the </w:t>
      </w:r>
      <w:r w:rsidR="001B27D8" w:rsidRPr="00FD0348">
        <w:t xml:space="preserve">trade-off between having more or less directors. </w:t>
      </w:r>
      <w:r w:rsidR="00D04E1E" w:rsidRPr="00FD0348">
        <w:t>A larger audit committee can monitor better due to its ability to distribute tasks and</w:t>
      </w:r>
      <w:r w:rsidR="005340B7" w:rsidRPr="00FD0348">
        <w:t xml:space="preserve"> </w:t>
      </w:r>
      <w:r w:rsidR="00D04E1E" w:rsidRPr="00FD0348">
        <w:t>/</w:t>
      </w:r>
      <w:r w:rsidR="005340B7" w:rsidRPr="00FD0348">
        <w:t xml:space="preserve"> </w:t>
      </w:r>
      <w:r w:rsidR="00D04E1E" w:rsidRPr="00FD0348">
        <w:t xml:space="preserve">or responsibilities to more directors, but with </w:t>
      </w:r>
      <w:r w:rsidR="00557CF2" w:rsidRPr="00FD0348">
        <w:t>an</w:t>
      </w:r>
      <w:r w:rsidR="00D04E1E" w:rsidRPr="00FD0348">
        <w:t xml:space="preserve"> increases in size </w:t>
      </w:r>
      <w:r w:rsidR="00557CF2" w:rsidRPr="00FD0348">
        <w:t xml:space="preserve">the </w:t>
      </w:r>
      <w:r w:rsidR="00D04E1E" w:rsidRPr="00FD0348">
        <w:t xml:space="preserve">audit committee may lose performance due to </w:t>
      </w:r>
      <w:r w:rsidR="00431C53" w:rsidRPr="00FD0348">
        <w:t>higher</w:t>
      </w:r>
      <w:r w:rsidR="00D04E1E" w:rsidRPr="00FD0348">
        <w:t xml:space="preserve"> decision making</w:t>
      </w:r>
      <w:r w:rsidR="00415992" w:rsidRPr="00FD0348">
        <w:t>s</w:t>
      </w:r>
      <w:r w:rsidR="00D04E1E" w:rsidRPr="00FD0348">
        <w:t xml:space="preserve"> </w:t>
      </w:r>
      <w:r w:rsidR="00557CF2" w:rsidRPr="00FD0348">
        <w:t>–</w:t>
      </w:r>
      <w:r w:rsidR="00D04E1E" w:rsidRPr="00FD0348">
        <w:t xml:space="preserve"> and coordination costs</w:t>
      </w:r>
      <w:r w:rsidR="00431C53" w:rsidRPr="00FD0348">
        <w:t xml:space="preserve"> (</w:t>
      </w:r>
      <w:proofErr w:type="spellStart"/>
      <w:r w:rsidR="00431C53" w:rsidRPr="00FD0348">
        <w:t>Yermack</w:t>
      </w:r>
      <w:proofErr w:type="spellEnd"/>
      <w:r w:rsidR="00431C53" w:rsidRPr="00FD0348">
        <w:t xml:space="preserve"> 1996)</w:t>
      </w:r>
      <w:r w:rsidR="00D04E1E" w:rsidRPr="00FD0348">
        <w:t>.</w:t>
      </w:r>
      <w:r w:rsidR="0043534C" w:rsidRPr="00FD0348">
        <w:t xml:space="preserve"> </w:t>
      </w:r>
    </w:p>
    <w:p w:rsidR="00D04E1E" w:rsidRPr="00FD0348" w:rsidRDefault="0066282E" w:rsidP="00470966">
      <w:pPr>
        <w:ind w:right="27"/>
      </w:pPr>
      <w:r w:rsidRPr="00FD0348">
        <w:t xml:space="preserve">The literature on audit committee performance has identified that the focus on improving </w:t>
      </w:r>
      <w:r w:rsidR="00F71A7F" w:rsidRPr="00FD0348">
        <w:t xml:space="preserve">the </w:t>
      </w:r>
      <w:r w:rsidRPr="00FD0348">
        <w:t>director</w:t>
      </w:r>
      <w:r w:rsidR="00904ACF" w:rsidRPr="00FD0348">
        <w:t>’s</w:t>
      </w:r>
      <w:r w:rsidRPr="00FD0348">
        <w:t xml:space="preserve"> characteristics </w:t>
      </w:r>
      <w:r w:rsidR="00F71A7F" w:rsidRPr="00FD0348">
        <w:t xml:space="preserve">(independence and expertise) </w:t>
      </w:r>
      <w:r w:rsidRPr="00FD0348">
        <w:t xml:space="preserve">by the European Commission are linked to audit committee structures </w:t>
      </w:r>
      <w:r w:rsidR="005340B7" w:rsidRPr="00FD0348">
        <w:t xml:space="preserve">with better monitoring capabilities </w:t>
      </w:r>
      <w:r w:rsidRPr="00FD0348">
        <w:t xml:space="preserve">and are good proxies in determining audit committee </w:t>
      </w:r>
      <w:r w:rsidR="005340B7" w:rsidRPr="00FD0348">
        <w:t>monitoring performance</w:t>
      </w:r>
      <w:r w:rsidRPr="00FD0348">
        <w:t xml:space="preserve">. However the literature </w:t>
      </w:r>
      <w:r w:rsidR="00904ACF" w:rsidRPr="00FD0348">
        <w:t>on director</w:t>
      </w:r>
      <w:r w:rsidR="00F71A7F" w:rsidRPr="00FD0348">
        <w:t>’s</w:t>
      </w:r>
      <w:r w:rsidR="00904ACF" w:rsidRPr="00FD0348">
        <w:t xml:space="preserve"> performance (Ferris, </w:t>
      </w:r>
      <w:proofErr w:type="spellStart"/>
      <w:r w:rsidR="00904ACF" w:rsidRPr="00FD0348">
        <w:t>Jagannathan</w:t>
      </w:r>
      <w:proofErr w:type="spellEnd"/>
      <w:r w:rsidR="00904ACF" w:rsidRPr="00FD0348">
        <w:t xml:space="preserve"> &amp; Pritchard 2003; </w:t>
      </w:r>
      <w:proofErr w:type="spellStart"/>
      <w:r w:rsidR="002478A6" w:rsidRPr="00FD0348">
        <w:t>Yermack</w:t>
      </w:r>
      <w:proofErr w:type="spellEnd"/>
      <w:r w:rsidR="002478A6" w:rsidRPr="00FD0348">
        <w:t xml:space="preserve"> 2004; </w:t>
      </w:r>
      <w:proofErr w:type="spellStart"/>
      <w:r w:rsidR="00904ACF" w:rsidRPr="00FD0348">
        <w:t>Fich</w:t>
      </w:r>
      <w:proofErr w:type="spellEnd"/>
      <w:r w:rsidR="00904ACF" w:rsidRPr="00FD0348">
        <w:t xml:space="preserve"> &amp; </w:t>
      </w:r>
      <w:proofErr w:type="spellStart"/>
      <w:r w:rsidR="00904ACF" w:rsidRPr="00FD0348">
        <w:t>Shivdasani</w:t>
      </w:r>
      <w:proofErr w:type="spellEnd"/>
      <w:r w:rsidR="00904ACF" w:rsidRPr="00FD0348">
        <w:t xml:space="preserve"> 2006; Hwang &amp; Kim 2009) </w:t>
      </w:r>
      <w:r w:rsidRPr="00FD0348">
        <w:t>also highlights other director characteristics that</w:t>
      </w:r>
      <w:r w:rsidR="00E47FED" w:rsidRPr="00FD0348">
        <w:t xml:space="preserve"> can measure director’s performance, which in turn can determine audit committee </w:t>
      </w:r>
      <w:r w:rsidR="0043534C" w:rsidRPr="00FD0348">
        <w:t>performance</w:t>
      </w:r>
      <w:r w:rsidR="00E47FED" w:rsidRPr="00FD0348">
        <w:t>.</w:t>
      </w:r>
      <w:r w:rsidRPr="00FD0348">
        <w:t xml:space="preserve"> </w:t>
      </w:r>
      <w:r w:rsidR="00E47FED" w:rsidRPr="00FD0348">
        <w:t xml:space="preserve">The evidence suggests that director performance can be measured by </w:t>
      </w:r>
      <w:r w:rsidR="00F71A7F" w:rsidRPr="00FD0348">
        <w:t xml:space="preserve">several </w:t>
      </w:r>
      <w:r w:rsidR="00E47FED" w:rsidRPr="00FD0348">
        <w:t>other characteristics</w:t>
      </w:r>
      <w:r w:rsidR="00C6601F" w:rsidRPr="00FD0348">
        <w:rPr>
          <w:rStyle w:val="FootnoteReference"/>
        </w:rPr>
        <w:footnoteReference w:id="5"/>
      </w:r>
      <w:r w:rsidR="00C6601F" w:rsidRPr="00FD0348">
        <w:t xml:space="preserve"> </w:t>
      </w:r>
      <w:r w:rsidR="00E47FED" w:rsidRPr="00FD0348">
        <w:t>such as</w:t>
      </w:r>
      <w:r w:rsidR="0043534C" w:rsidRPr="00FD0348">
        <w:t>: e</w:t>
      </w:r>
      <w:r w:rsidR="000C6D5A" w:rsidRPr="00FD0348">
        <w:t>quity incentives</w:t>
      </w:r>
      <w:r w:rsidR="00C6601F" w:rsidRPr="00FD0348">
        <w:t xml:space="preserve"> / ownership</w:t>
      </w:r>
      <w:r w:rsidR="0043534C" w:rsidRPr="00FD0348">
        <w:t>, t</w:t>
      </w:r>
      <w:r w:rsidR="00E47FED" w:rsidRPr="00FD0348">
        <w:t xml:space="preserve">otal </w:t>
      </w:r>
      <w:r w:rsidR="00C6601F" w:rsidRPr="00FD0348">
        <w:t xml:space="preserve">executive / supervisory </w:t>
      </w:r>
      <w:r w:rsidR="00E47FED" w:rsidRPr="00FD0348">
        <w:t xml:space="preserve">board </w:t>
      </w:r>
      <w:r w:rsidR="0043534C" w:rsidRPr="00FD0348">
        <w:t>seats, o</w:t>
      </w:r>
      <w:r w:rsidR="00E47FED" w:rsidRPr="00FD0348">
        <w:t xml:space="preserve">ther committee service </w:t>
      </w:r>
      <w:r w:rsidR="004024B4" w:rsidRPr="00FD0348">
        <w:t>seats</w:t>
      </w:r>
      <w:r w:rsidR="0043534C" w:rsidRPr="00FD0348">
        <w:t xml:space="preserve"> and s</w:t>
      </w:r>
      <w:r w:rsidR="00311ACE" w:rsidRPr="00FD0348">
        <w:t>ocial ties</w:t>
      </w:r>
      <w:r w:rsidR="00E47FED" w:rsidRPr="00FD0348">
        <w:t xml:space="preserve">. </w:t>
      </w:r>
    </w:p>
    <w:p w:rsidR="008F5697" w:rsidRPr="00FD0348" w:rsidRDefault="000C6D5A" w:rsidP="00470966">
      <w:pPr>
        <w:ind w:right="27"/>
      </w:pPr>
      <w:r w:rsidRPr="00FD0348">
        <w:lastRenderedPageBreak/>
        <w:t xml:space="preserve">Equity is regularly granted by public-interest entities to their </w:t>
      </w:r>
      <w:r w:rsidR="00783B6C" w:rsidRPr="00FD0348">
        <w:t xml:space="preserve">executive and </w:t>
      </w:r>
      <w:r w:rsidRPr="00FD0348">
        <w:t>non-executive directors in order to generate incentive for better performance and to align their interest with that of the entity’s stakeholders.</w:t>
      </w:r>
      <w:r w:rsidR="00783B6C" w:rsidRPr="00FD0348">
        <w:t xml:space="preserve"> </w:t>
      </w:r>
      <w:r w:rsidR="008F5697" w:rsidRPr="00FD0348">
        <w:t>Audit committee directors with e</w:t>
      </w:r>
      <w:r w:rsidR="00450D06" w:rsidRPr="00FD0348">
        <w:t>quity ownership should decrease</w:t>
      </w:r>
      <w:r w:rsidR="008F5697" w:rsidRPr="00FD0348">
        <w:t xml:space="preserve"> the likelihood of collusion with management in order to commit actions that would </w:t>
      </w:r>
      <w:r w:rsidR="005340B7" w:rsidRPr="00FD0348">
        <w:t xml:space="preserve">eventually </w:t>
      </w:r>
      <w:r w:rsidR="008F5697" w:rsidRPr="00FD0348">
        <w:t>harm s</w:t>
      </w:r>
      <w:r w:rsidR="005340B7" w:rsidRPr="00FD0348">
        <w:t>hare</w:t>
      </w:r>
      <w:r w:rsidR="008F5697" w:rsidRPr="00FD0348">
        <w:t xml:space="preserve">holders’ interest </w:t>
      </w:r>
      <w:r w:rsidR="00741178" w:rsidRPr="00FD0348">
        <w:t>because</w:t>
      </w:r>
      <w:r w:rsidR="008F5697" w:rsidRPr="00FD0348">
        <w:t xml:space="preserve"> audit committee directors with equity ownership share common interests</w:t>
      </w:r>
      <w:r w:rsidR="0043534C" w:rsidRPr="00FD0348">
        <w:t xml:space="preserve"> with the s</w:t>
      </w:r>
      <w:r w:rsidR="005340B7" w:rsidRPr="00FD0348">
        <w:t>hareholders</w:t>
      </w:r>
      <w:r w:rsidR="008F5697" w:rsidRPr="00FD0348">
        <w:t>. However, the literature does</w:t>
      </w:r>
      <w:r w:rsidR="00450D06" w:rsidRPr="00FD0348">
        <w:t xml:space="preserve"> </w:t>
      </w:r>
      <w:r w:rsidR="008F5697" w:rsidRPr="00FD0348">
        <w:t>n</w:t>
      </w:r>
      <w:r w:rsidR="00450D06" w:rsidRPr="00FD0348">
        <w:t>o</w:t>
      </w:r>
      <w:r w:rsidR="008F5697" w:rsidRPr="00FD0348">
        <w:t>t provide any</w:t>
      </w:r>
      <w:r w:rsidRPr="00FD0348">
        <w:t xml:space="preserve"> </w:t>
      </w:r>
      <w:r w:rsidR="008F5697" w:rsidRPr="00FD0348">
        <w:t xml:space="preserve">significant evidence </w:t>
      </w:r>
      <w:r w:rsidR="00C81120" w:rsidRPr="00FD0348">
        <w:t>if</w:t>
      </w:r>
      <w:r w:rsidRPr="00FD0348">
        <w:t xml:space="preserve"> audit committee directors with equity ownership are more effective in protecting the s</w:t>
      </w:r>
      <w:r w:rsidR="00BC42E0" w:rsidRPr="00FD0348">
        <w:t>hare</w:t>
      </w:r>
      <w:r w:rsidRPr="00FD0348">
        <w:t>holders’ interests by being more motivated in monitoring the effectiveness of the public-interest entities financial reporting</w:t>
      </w:r>
      <w:r w:rsidR="00D55BCC" w:rsidRPr="00FD0348">
        <w:t xml:space="preserve"> – and</w:t>
      </w:r>
      <w:r w:rsidRPr="00FD0348">
        <w:t xml:space="preserve"> internal control processes.</w:t>
      </w:r>
    </w:p>
    <w:p w:rsidR="00652C8F" w:rsidRPr="00FD0348" w:rsidRDefault="00783B6C" w:rsidP="00470966">
      <w:pPr>
        <w:ind w:right="27"/>
      </w:pPr>
      <w:r w:rsidRPr="00FD0348">
        <w:t>Ferris et al. (2003)</w:t>
      </w:r>
      <w:r w:rsidR="00AB5E17">
        <w:t>,</w:t>
      </w:r>
      <w:r w:rsidRPr="00FD0348">
        <w:t xml:space="preserve"> </w:t>
      </w:r>
      <w:proofErr w:type="spellStart"/>
      <w:r w:rsidRPr="00FD0348">
        <w:t>Yermack</w:t>
      </w:r>
      <w:proofErr w:type="spellEnd"/>
      <w:r w:rsidRPr="00FD0348">
        <w:t xml:space="preserve"> (2004) and </w:t>
      </w:r>
      <w:proofErr w:type="spellStart"/>
      <w:r w:rsidRPr="00FD0348">
        <w:t>Fich</w:t>
      </w:r>
      <w:proofErr w:type="spellEnd"/>
      <w:r w:rsidRPr="00FD0348">
        <w:t xml:space="preserve"> &amp; </w:t>
      </w:r>
      <w:proofErr w:type="spellStart"/>
      <w:r w:rsidRPr="00FD0348">
        <w:t>Shivdasani</w:t>
      </w:r>
      <w:proofErr w:type="spellEnd"/>
      <w:r w:rsidRPr="00FD0348">
        <w:t xml:space="preserve"> (2006) investigate the relationship between directors holding multiple committee seats and the oversight quality of financial reporting – and internal control processes.</w:t>
      </w:r>
      <w:r w:rsidR="006227C2" w:rsidRPr="00FD0348">
        <w:t xml:space="preserve"> </w:t>
      </w:r>
      <w:r w:rsidR="00652C8F" w:rsidRPr="00FD0348">
        <w:t xml:space="preserve">Ferris et al. (2003) </w:t>
      </w:r>
      <w:r w:rsidR="002478A6" w:rsidRPr="00FD0348">
        <w:t xml:space="preserve">and </w:t>
      </w:r>
      <w:proofErr w:type="spellStart"/>
      <w:r w:rsidR="002478A6" w:rsidRPr="00FD0348">
        <w:t>Yermack</w:t>
      </w:r>
      <w:proofErr w:type="spellEnd"/>
      <w:r w:rsidR="002478A6" w:rsidRPr="00FD0348">
        <w:t xml:space="preserve"> (2004) </w:t>
      </w:r>
      <w:r w:rsidR="00652C8F" w:rsidRPr="00FD0348">
        <w:t xml:space="preserve">suggest that directors holding multiple committee seats are very sensitive to reputation effect for the reason that being employed as a director on a public-interest entity’s supervisory board depends to a great extent on your reputation. Therefore, audit committee directors who have been involved in frauds and scandals are less likely to be employed on </w:t>
      </w:r>
      <w:r w:rsidR="00E64CEF" w:rsidRPr="00FD0348">
        <w:t>another supervisory or executive board</w:t>
      </w:r>
      <w:r w:rsidR="00652C8F" w:rsidRPr="00FD0348">
        <w:t xml:space="preserve"> due to </w:t>
      </w:r>
      <w:r w:rsidR="00BC42E0" w:rsidRPr="00FD0348">
        <w:t xml:space="preserve">the </w:t>
      </w:r>
      <w:r w:rsidR="00652C8F" w:rsidRPr="00FD0348">
        <w:t xml:space="preserve">damage done to the director’s reputation. This reputation effect increases the audit committee director’s </w:t>
      </w:r>
      <w:r w:rsidR="002478A6" w:rsidRPr="00FD0348">
        <w:t xml:space="preserve">performance </w:t>
      </w:r>
      <w:r w:rsidR="00652C8F" w:rsidRPr="00FD0348">
        <w:t xml:space="preserve">to be more effective in monitoring the public-interest entity’s financial reporting and internal control processes. </w:t>
      </w:r>
      <w:r w:rsidR="007B30E4" w:rsidRPr="00FD0348">
        <w:t>Furthermore, d</w:t>
      </w:r>
      <w:r w:rsidR="00652C8F" w:rsidRPr="00FD0348">
        <w:t xml:space="preserve">irectors holding multiple committee seats on multiple supervisory boards </w:t>
      </w:r>
      <w:r w:rsidR="00311ACE" w:rsidRPr="00FD0348">
        <w:t>should</w:t>
      </w:r>
      <w:r w:rsidR="00652C8F" w:rsidRPr="00FD0348">
        <w:t xml:space="preserve"> </w:t>
      </w:r>
      <w:r w:rsidR="007B30E4" w:rsidRPr="00FD0348">
        <w:t>improve</w:t>
      </w:r>
      <w:r w:rsidR="00652C8F" w:rsidRPr="00FD0348">
        <w:t xml:space="preserve"> the</w:t>
      </w:r>
      <w:r w:rsidR="00AE6153" w:rsidRPr="00FD0348">
        <w:t xml:space="preserve"> monitoring effectiveness of the</w:t>
      </w:r>
      <w:r w:rsidR="00652C8F" w:rsidRPr="00FD0348">
        <w:t xml:space="preserve"> audit committee due </w:t>
      </w:r>
      <w:r w:rsidR="00450D06" w:rsidRPr="00FD0348">
        <w:t xml:space="preserve">to </w:t>
      </w:r>
      <w:r w:rsidR="00652C8F" w:rsidRPr="00FD0348">
        <w:t>its director(s) having more experience and</w:t>
      </w:r>
      <w:r w:rsidR="002C7622" w:rsidRPr="00FD0348">
        <w:t xml:space="preserve"> </w:t>
      </w:r>
      <w:r w:rsidR="00652C8F" w:rsidRPr="00FD0348">
        <w:t>/</w:t>
      </w:r>
      <w:r w:rsidR="002C7622" w:rsidRPr="00FD0348">
        <w:t xml:space="preserve"> </w:t>
      </w:r>
      <w:r w:rsidR="00652C8F" w:rsidRPr="00FD0348">
        <w:t xml:space="preserve">or having </w:t>
      </w:r>
      <w:r w:rsidR="002C7622" w:rsidRPr="00FD0348">
        <w:t xml:space="preserve">greater knowledge of the public </w:t>
      </w:r>
      <w:r w:rsidR="00652C8F" w:rsidRPr="00FD0348">
        <w:t xml:space="preserve">interest entity’s associations. </w:t>
      </w:r>
      <w:r w:rsidR="002478A6" w:rsidRPr="00FD0348">
        <w:t xml:space="preserve">However </w:t>
      </w:r>
      <w:proofErr w:type="spellStart"/>
      <w:r w:rsidR="002478A6" w:rsidRPr="00FD0348">
        <w:t>Fich</w:t>
      </w:r>
      <w:proofErr w:type="spellEnd"/>
      <w:r w:rsidR="002478A6" w:rsidRPr="00FD0348">
        <w:t xml:space="preserve"> &amp; </w:t>
      </w:r>
      <w:proofErr w:type="spellStart"/>
      <w:r w:rsidR="002478A6" w:rsidRPr="00FD0348">
        <w:t>Shivdasani</w:t>
      </w:r>
      <w:proofErr w:type="spellEnd"/>
      <w:r w:rsidR="002478A6" w:rsidRPr="00FD0348">
        <w:t xml:space="preserve"> (2006) </w:t>
      </w:r>
      <w:r w:rsidR="00AB5E17">
        <w:t>provide</w:t>
      </w:r>
      <w:r w:rsidR="00311ACE" w:rsidRPr="00FD0348">
        <w:t xml:space="preserve"> </w:t>
      </w:r>
      <w:r w:rsidR="00735229" w:rsidRPr="00FD0348">
        <w:t xml:space="preserve">contradicting </w:t>
      </w:r>
      <w:r w:rsidR="00311ACE" w:rsidRPr="00FD0348">
        <w:t>evidence that public-interest entities with “busy boards”</w:t>
      </w:r>
      <w:r w:rsidR="00311ACE" w:rsidRPr="00FD0348">
        <w:rPr>
          <w:rStyle w:val="FootnoteReference"/>
        </w:rPr>
        <w:footnoteReference w:id="6"/>
      </w:r>
      <w:r w:rsidR="00311ACE" w:rsidRPr="00FD0348">
        <w:t xml:space="preserve"> are associated with weak</w:t>
      </w:r>
      <w:r w:rsidRPr="00FD0348">
        <w:t>er performance</w:t>
      </w:r>
      <w:r w:rsidR="00311ACE" w:rsidRPr="00FD0348">
        <w:t xml:space="preserve">, while </w:t>
      </w:r>
      <w:r w:rsidR="00652C8F" w:rsidRPr="00FD0348">
        <w:t xml:space="preserve">Ferris et al. (2003) do not find evidence that director’s holding </w:t>
      </w:r>
      <w:r w:rsidR="00A53369" w:rsidRPr="00FD0348">
        <w:t xml:space="preserve">multiple </w:t>
      </w:r>
      <w:r w:rsidR="00652C8F" w:rsidRPr="00FD0348">
        <w:t xml:space="preserve">seats on audit and/or other committees compromises the directors’ performance in monitoring the public-interest entity’s financial reporting </w:t>
      </w:r>
      <w:r w:rsidR="007B30E4" w:rsidRPr="00FD0348">
        <w:t xml:space="preserve">– </w:t>
      </w:r>
      <w:r w:rsidR="00652C8F" w:rsidRPr="00FD0348">
        <w:t>and internal control processes in any way.</w:t>
      </w:r>
      <w:r w:rsidR="007B30E4" w:rsidRPr="00FD0348">
        <w:t xml:space="preserve"> </w:t>
      </w:r>
      <w:r w:rsidR="00311ACE" w:rsidRPr="00FD0348">
        <w:t>Hwang &amp; Kim (2009) add</w:t>
      </w:r>
      <w:r w:rsidR="00AB5E17">
        <w:t>s</w:t>
      </w:r>
      <w:r w:rsidR="00311ACE" w:rsidRPr="00FD0348">
        <w:t xml:space="preserve"> another dimension to the independence of directors</w:t>
      </w:r>
      <w:r w:rsidR="00323243" w:rsidRPr="00FD0348">
        <w:t xml:space="preserve"> with the introduction of</w:t>
      </w:r>
      <w:r w:rsidR="00311ACE" w:rsidRPr="00FD0348">
        <w:t xml:space="preserve"> “social ties”</w:t>
      </w:r>
      <w:r w:rsidR="00F42ACE" w:rsidRPr="00FD0348">
        <w:rPr>
          <w:rStyle w:val="FootnoteReference"/>
        </w:rPr>
        <w:footnoteReference w:id="7"/>
      </w:r>
      <w:r w:rsidR="00323243" w:rsidRPr="00FD0348">
        <w:t>.</w:t>
      </w:r>
      <w:r w:rsidR="00751441" w:rsidRPr="00FD0348">
        <w:t xml:space="preserve"> </w:t>
      </w:r>
      <w:r w:rsidR="00323243" w:rsidRPr="00FD0348">
        <w:t>The</w:t>
      </w:r>
      <w:r w:rsidR="00751441" w:rsidRPr="00FD0348">
        <w:t xml:space="preserve"> evidence </w:t>
      </w:r>
      <w:r w:rsidR="00323243" w:rsidRPr="00FD0348">
        <w:t xml:space="preserve">provided by Hwang &amp; Kim (2009) suggests </w:t>
      </w:r>
      <w:r w:rsidR="00751441" w:rsidRPr="00FD0348">
        <w:t xml:space="preserve">that </w:t>
      </w:r>
      <w:r w:rsidR="00AF563E" w:rsidRPr="00FD0348">
        <w:t xml:space="preserve">these </w:t>
      </w:r>
      <w:r w:rsidR="00751441" w:rsidRPr="00FD0348">
        <w:t>“social ties” matter since</w:t>
      </w:r>
      <w:r w:rsidR="00311ACE" w:rsidRPr="00FD0348">
        <w:t xml:space="preserve"> </w:t>
      </w:r>
      <w:r w:rsidR="00AF563E" w:rsidRPr="00FD0348">
        <w:t xml:space="preserve">they negatively affect the way that directors monitors and discipline the CEO causing agency problems that will lead to weaker performance. </w:t>
      </w:r>
    </w:p>
    <w:p w:rsidR="007B0563" w:rsidRPr="00FD0348" w:rsidRDefault="00652C8F" w:rsidP="00470966">
      <w:pPr>
        <w:ind w:right="27"/>
      </w:pPr>
      <w:r w:rsidRPr="00FD0348">
        <w:t xml:space="preserve">The focus of </w:t>
      </w:r>
      <w:r w:rsidR="004024B4" w:rsidRPr="00FD0348">
        <w:t xml:space="preserve">my </w:t>
      </w:r>
      <w:r w:rsidR="005B33B5">
        <w:t>m</w:t>
      </w:r>
      <w:r w:rsidR="003E2CA4" w:rsidRPr="00FD0348">
        <w:t>aster’s</w:t>
      </w:r>
      <w:r w:rsidR="00BB4BCE" w:rsidRPr="00FD0348">
        <w:t xml:space="preserve"> thesis</w:t>
      </w:r>
      <w:r w:rsidRPr="00FD0348">
        <w:t xml:space="preserve"> is on the European Commission’s proposed audi</w:t>
      </w:r>
      <w:r w:rsidR="004024B4" w:rsidRPr="00FD0348">
        <w:t>t reform of</w:t>
      </w:r>
      <w:r w:rsidRPr="00FD0348">
        <w:t xml:space="preserve"> the audit committee structure</w:t>
      </w:r>
      <w:r w:rsidR="004024B4" w:rsidRPr="00FD0348">
        <w:t xml:space="preserve">. This transformation of the audit committee focuses on the improvement of two director’s characteristics: independence and expertise. </w:t>
      </w:r>
      <w:r w:rsidR="007B0563" w:rsidRPr="00FD0348">
        <w:t>Th</w:t>
      </w:r>
      <w:r w:rsidR="004024B4" w:rsidRPr="00FD0348">
        <w:t xml:space="preserve">e literature </w:t>
      </w:r>
      <w:r w:rsidR="004024B4" w:rsidRPr="00FD0348">
        <w:lastRenderedPageBreak/>
        <w:t>surrounding audit committee</w:t>
      </w:r>
      <w:r w:rsidR="007B0563" w:rsidRPr="00FD0348">
        <w:t>s</w:t>
      </w:r>
      <w:r w:rsidR="004024B4" w:rsidRPr="00FD0348">
        <w:t xml:space="preserve"> suggests that </w:t>
      </w:r>
      <w:r w:rsidR="007B0563" w:rsidRPr="00FD0348">
        <w:t>besides the independence and expertise of the audit committee director there are several characteristics available that can determine audit committee performance</w:t>
      </w:r>
      <w:r w:rsidR="00C74447" w:rsidRPr="00FD0348">
        <w:t xml:space="preserve"> such as i</w:t>
      </w:r>
      <w:r w:rsidR="00CA5414" w:rsidRPr="00FD0348">
        <w:t>ndependence</w:t>
      </w:r>
      <w:r w:rsidR="00C74447" w:rsidRPr="00FD0348">
        <w:t>, d</w:t>
      </w:r>
      <w:r w:rsidR="004024B4" w:rsidRPr="00FD0348">
        <w:t>irector’s characteristics</w:t>
      </w:r>
      <w:r w:rsidR="00C74447" w:rsidRPr="00FD0348">
        <w:t xml:space="preserve"> (I</w:t>
      </w:r>
      <w:r w:rsidR="004024B4" w:rsidRPr="00FD0348">
        <w:t>ndependence</w:t>
      </w:r>
      <w:r w:rsidR="00C74447" w:rsidRPr="00FD0348">
        <w:t>, expertise, e</w:t>
      </w:r>
      <w:r w:rsidR="00C81120" w:rsidRPr="00FD0348">
        <w:t>quity ownership</w:t>
      </w:r>
      <w:r w:rsidR="00C74447" w:rsidRPr="00FD0348">
        <w:t>, to</w:t>
      </w:r>
      <w:r w:rsidR="004024B4" w:rsidRPr="00FD0348">
        <w:t xml:space="preserve">tal board </w:t>
      </w:r>
      <w:r w:rsidR="00C74447" w:rsidRPr="00FD0348">
        <w:t>seats, o</w:t>
      </w:r>
      <w:r w:rsidR="004024B4" w:rsidRPr="00FD0348">
        <w:t>ther committee seats</w:t>
      </w:r>
      <w:r w:rsidR="00C74447" w:rsidRPr="00FD0348">
        <w:t xml:space="preserve"> and s</w:t>
      </w:r>
      <w:r w:rsidR="00B25B6E" w:rsidRPr="00FD0348">
        <w:t>ocial</w:t>
      </w:r>
      <w:r w:rsidR="004024B4" w:rsidRPr="00FD0348">
        <w:t xml:space="preserve"> ties</w:t>
      </w:r>
      <w:r w:rsidR="00C74447" w:rsidRPr="00FD0348">
        <w:t>), s</w:t>
      </w:r>
      <w:r w:rsidR="006474BF" w:rsidRPr="00FD0348">
        <w:t>ize</w:t>
      </w:r>
      <w:r w:rsidR="00C74447" w:rsidRPr="00FD0348">
        <w:t xml:space="preserve"> and m</w:t>
      </w:r>
      <w:r w:rsidR="004024B4" w:rsidRPr="00FD0348">
        <w:t>eeting frequency</w:t>
      </w:r>
      <w:r w:rsidR="008B4C62" w:rsidRPr="00FD0348">
        <w:t>.</w:t>
      </w:r>
      <w:r w:rsidR="000C6D5A" w:rsidRPr="00FD0348">
        <w:t xml:space="preserve"> </w:t>
      </w:r>
    </w:p>
    <w:p w:rsidR="007B0563" w:rsidRPr="00FD0348" w:rsidRDefault="000C6D5A" w:rsidP="00470966">
      <w:pPr>
        <w:ind w:right="27"/>
      </w:pPr>
      <w:r w:rsidRPr="00FD0348">
        <w:t>Howeve</w:t>
      </w:r>
      <w:r w:rsidR="000D7AC5" w:rsidRPr="00FD0348">
        <w:t xml:space="preserve">r </w:t>
      </w:r>
      <w:r w:rsidR="00E64CEF" w:rsidRPr="00FD0348">
        <w:t xml:space="preserve">for </w:t>
      </w:r>
      <w:r w:rsidR="000D7AC5" w:rsidRPr="00FD0348">
        <w:t xml:space="preserve">my </w:t>
      </w:r>
      <w:r w:rsidR="008A485D" w:rsidRPr="00FD0348">
        <w:t>m</w:t>
      </w:r>
      <w:r w:rsidR="0081440A" w:rsidRPr="00FD0348">
        <w:t>aster’s thesis</w:t>
      </w:r>
      <w:r w:rsidR="000D7AC5" w:rsidRPr="00FD0348">
        <w:t xml:space="preserve"> </w:t>
      </w:r>
      <w:r w:rsidR="00E64CEF" w:rsidRPr="00FD0348">
        <w:t xml:space="preserve">I </w:t>
      </w:r>
      <w:r w:rsidR="000D7AC5" w:rsidRPr="00FD0348">
        <w:t xml:space="preserve">will focus on the following characteristics to measure audit committee quality: </w:t>
      </w:r>
    </w:p>
    <w:p w:rsidR="007E26D9" w:rsidRPr="00FD0348" w:rsidRDefault="007E26D9" w:rsidP="00470966">
      <w:pPr>
        <w:pStyle w:val="ListParagraph"/>
        <w:numPr>
          <w:ilvl w:val="0"/>
          <w:numId w:val="32"/>
        </w:numPr>
        <w:ind w:right="27"/>
      </w:pPr>
      <w:r w:rsidRPr="00FD0348">
        <w:t xml:space="preserve">Audit </w:t>
      </w:r>
      <w:r w:rsidR="00C43DE1" w:rsidRPr="00FD0348">
        <w:t>c</w:t>
      </w:r>
      <w:r w:rsidR="00AE6153" w:rsidRPr="00FD0348">
        <w:t>ommittee’s /</w:t>
      </w:r>
      <w:r w:rsidRPr="00FD0348">
        <w:t xml:space="preserve"> director’s independence;</w:t>
      </w:r>
    </w:p>
    <w:p w:rsidR="007E26D9" w:rsidRPr="00FD0348" w:rsidRDefault="00A41116" w:rsidP="00470966">
      <w:pPr>
        <w:pStyle w:val="ListParagraph"/>
        <w:numPr>
          <w:ilvl w:val="0"/>
          <w:numId w:val="32"/>
        </w:numPr>
        <w:ind w:right="27"/>
      </w:pPr>
      <w:r w:rsidRPr="00FD0348">
        <w:t>D</w:t>
      </w:r>
      <w:r w:rsidR="007E26D9" w:rsidRPr="00FD0348">
        <w:t>irector’s expertise;</w:t>
      </w:r>
    </w:p>
    <w:p w:rsidR="00E64CEF" w:rsidRPr="00FD0348" w:rsidRDefault="007E26D9" w:rsidP="00470966">
      <w:pPr>
        <w:pStyle w:val="ListParagraph"/>
        <w:numPr>
          <w:ilvl w:val="0"/>
          <w:numId w:val="32"/>
        </w:numPr>
        <w:ind w:right="27"/>
      </w:pPr>
      <w:r w:rsidRPr="00FD0348">
        <w:t>Audit</w:t>
      </w:r>
      <w:r w:rsidR="00E64CEF" w:rsidRPr="00FD0348">
        <w:t xml:space="preserve"> committee size;</w:t>
      </w:r>
    </w:p>
    <w:p w:rsidR="00E64CEF" w:rsidRPr="00FD0348" w:rsidRDefault="00E64CEF" w:rsidP="00470966">
      <w:pPr>
        <w:pStyle w:val="ListParagraph"/>
        <w:numPr>
          <w:ilvl w:val="0"/>
          <w:numId w:val="32"/>
        </w:numPr>
        <w:ind w:right="27"/>
      </w:pPr>
      <w:r w:rsidRPr="00FD0348">
        <w:t>Audit committee meetings frequency.</w:t>
      </w:r>
    </w:p>
    <w:p w:rsidR="00652C8F" w:rsidRPr="00FD0348" w:rsidRDefault="006474BF" w:rsidP="00470966">
      <w:pPr>
        <w:ind w:right="27"/>
      </w:pPr>
      <w:r w:rsidRPr="00FD0348">
        <w:t xml:space="preserve">The main motive why characteristics such as equity ownership, total board </w:t>
      </w:r>
      <w:r w:rsidR="007A5346" w:rsidRPr="00FD0348">
        <w:t>seats,</w:t>
      </w:r>
      <w:r w:rsidRPr="00FD0348">
        <w:t xml:space="preserve"> other committee seats and socia</w:t>
      </w:r>
      <w:r w:rsidR="006227C2" w:rsidRPr="00FD0348">
        <w:t xml:space="preserve">l ties will not be </w:t>
      </w:r>
      <w:r w:rsidR="00AE6153" w:rsidRPr="00FD0348">
        <w:t>examined</w:t>
      </w:r>
      <w:r w:rsidR="006227C2" w:rsidRPr="00FD0348">
        <w:t xml:space="preserve"> </w:t>
      </w:r>
      <w:r w:rsidRPr="00FD0348">
        <w:t xml:space="preserve">is due to the significant amount of effort it takes to collect the data for the different public-interest entities across European Union member states </w:t>
      </w:r>
      <w:r w:rsidR="007A5346" w:rsidRPr="00FD0348">
        <w:t xml:space="preserve">since the </w:t>
      </w:r>
      <w:r w:rsidRPr="00FD0348">
        <w:t xml:space="preserve">data </w:t>
      </w:r>
      <w:r w:rsidR="007A5346" w:rsidRPr="00FD0348">
        <w:t xml:space="preserve">is </w:t>
      </w:r>
      <w:r w:rsidR="00045A59" w:rsidRPr="00FD0348">
        <w:t>unavailable</w:t>
      </w:r>
      <w:r w:rsidR="007A5346" w:rsidRPr="00FD0348">
        <w:t xml:space="preserve"> on databases</w:t>
      </w:r>
      <w:r w:rsidRPr="00FD0348">
        <w:t xml:space="preserve">. </w:t>
      </w:r>
    </w:p>
    <w:p w:rsidR="00094E8B" w:rsidRPr="00FD0348" w:rsidRDefault="00094E8B" w:rsidP="00470966">
      <w:pPr>
        <w:ind w:right="27"/>
      </w:pPr>
    </w:p>
    <w:p w:rsidR="00652C8F" w:rsidRPr="00FD0348" w:rsidRDefault="007C5D6E" w:rsidP="00470966">
      <w:pPr>
        <w:pStyle w:val="Heading2"/>
        <w:ind w:right="27"/>
      </w:pPr>
      <w:bookmarkStart w:id="10" w:name="_Toc364177652"/>
      <w:bookmarkStart w:id="11" w:name="_Toc364200631"/>
      <w:r w:rsidRPr="00FD0348">
        <w:t>E</w:t>
      </w:r>
      <w:r w:rsidR="00652C8F" w:rsidRPr="00FD0348">
        <w:t>arning</w:t>
      </w:r>
      <w:r w:rsidR="00723516" w:rsidRPr="00FD0348">
        <w:t>s</w:t>
      </w:r>
      <w:r w:rsidR="00652C8F" w:rsidRPr="00FD0348">
        <w:t xml:space="preserve"> quality</w:t>
      </w:r>
      <w:bookmarkEnd w:id="10"/>
      <w:bookmarkEnd w:id="11"/>
    </w:p>
    <w:p w:rsidR="006C480F" w:rsidRPr="00FD0348" w:rsidRDefault="00652C8F" w:rsidP="00470966">
      <w:pPr>
        <w:ind w:right="27"/>
      </w:pPr>
      <w:r w:rsidRPr="00FD0348">
        <w:t xml:space="preserve">In order to </w:t>
      </w:r>
      <w:r w:rsidR="00D944CB" w:rsidRPr="00FD0348">
        <w:t>explain the relevant background information on</w:t>
      </w:r>
      <w:r w:rsidRPr="00FD0348">
        <w:t xml:space="preserve"> earnings quality I will refer to a </w:t>
      </w:r>
      <w:r w:rsidR="00993A8C" w:rsidRPr="00FD0348">
        <w:t>paper</w:t>
      </w:r>
      <w:r w:rsidRPr="00FD0348">
        <w:t xml:space="preserve"> by </w:t>
      </w:r>
      <w:proofErr w:type="spellStart"/>
      <w:r w:rsidRPr="00FD0348">
        <w:t>Dechow</w:t>
      </w:r>
      <w:proofErr w:type="spellEnd"/>
      <w:r w:rsidRPr="00FD0348">
        <w:t xml:space="preserve">, </w:t>
      </w:r>
      <w:proofErr w:type="spellStart"/>
      <w:r w:rsidRPr="00FD0348">
        <w:t>Ge</w:t>
      </w:r>
      <w:proofErr w:type="spellEnd"/>
      <w:r w:rsidRPr="00FD0348">
        <w:t xml:space="preserve"> &amp; </w:t>
      </w:r>
      <w:proofErr w:type="spellStart"/>
      <w:r w:rsidRPr="00FD0348">
        <w:t>Schrand</w:t>
      </w:r>
      <w:proofErr w:type="spellEnd"/>
      <w:r w:rsidRPr="00FD0348">
        <w:t xml:space="preserve"> (2010), who reviewed over 300 published empirical studies of characteristics or attributes of earnings in order to understand the proxies, determinants and consequences that are related to earnings quality. </w:t>
      </w:r>
      <w:proofErr w:type="spellStart"/>
      <w:r w:rsidR="008F17F7">
        <w:t>Dechow</w:t>
      </w:r>
      <w:proofErr w:type="spellEnd"/>
      <w:r w:rsidR="008F17F7">
        <w:t xml:space="preserve"> </w:t>
      </w:r>
      <w:r w:rsidR="000E7EB7" w:rsidRPr="00FD0348">
        <w:t>et</w:t>
      </w:r>
      <w:r w:rsidR="009E1BB9" w:rsidRPr="00FD0348">
        <w:t xml:space="preserve"> al. (2010) uses Statement of Financial Accounting Concepts No. 1 to define earnings quality as follows: </w:t>
      </w:r>
    </w:p>
    <w:p w:rsidR="0020713F" w:rsidRPr="00FD0348" w:rsidRDefault="0020713F" w:rsidP="00470966">
      <w:pPr>
        <w:ind w:right="27"/>
      </w:pPr>
    </w:p>
    <w:p w:rsidR="009E1BB9" w:rsidRPr="00FD0348" w:rsidRDefault="007466CF" w:rsidP="00470966">
      <w:pPr>
        <w:pStyle w:val="IntenseQuote"/>
        <w:ind w:right="27"/>
        <w:rPr>
          <w:rStyle w:val="Emphasis"/>
          <w:caps w:val="0"/>
          <w:color w:val="4F81BD" w:themeColor="accent1"/>
          <w:spacing w:val="0"/>
        </w:rPr>
      </w:pPr>
      <w:r w:rsidRPr="00FD0348">
        <w:t>SFAS No. 1</w:t>
      </w:r>
      <w:r w:rsidRPr="00FD0348">
        <w:rPr>
          <w:rStyle w:val="Emphasis"/>
          <w:caps w:val="0"/>
          <w:color w:val="4F81BD" w:themeColor="accent1"/>
          <w:spacing w:val="0"/>
        </w:rPr>
        <w:t xml:space="preserve">: </w:t>
      </w:r>
      <w:r w:rsidR="009E1BB9" w:rsidRPr="00FD0348">
        <w:rPr>
          <w:rStyle w:val="Emphasis"/>
          <w:caps w:val="0"/>
          <w:color w:val="4F81BD" w:themeColor="accent1"/>
          <w:spacing w:val="0"/>
        </w:rPr>
        <w:t xml:space="preserve">“Higher quality earnings provide more information about the features of a firm’s financial performance that </w:t>
      </w:r>
      <w:proofErr w:type="gramStart"/>
      <w:r w:rsidR="009E1BB9" w:rsidRPr="00FD0348">
        <w:rPr>
          <w:rStyle w:val="Emphasis"/>
          <w:caps w:val="0"/>
          <w:color w:val="4F81BD" w:themeColor="accent1"/>
          <w:spacing w:val="0"/>
        </w:rPr>
        <w:t>are</w:t>
      </w:r>
      <w:proofErr w:type="gramEnd"/>
      <w:r w:rsidR="009E1BB9" w:rsidRPr="00FD0348">
        <w:rPr>
          <w:rStyle w:val="Emphasis"/>
          <w:caps w:val="0"/>
          <w:color w:val="4F81BD" w:themeColor="accent1"/>
          <w:spacing w:val="0"/>
        </w:rPr>
        <w:t xml:space="preserve"> relevant to a specific decision made by a specific decision-maker.”</w:t>
      </w:r>
    </w:p>
    <w:p w:rsidR="0020713F" w:rsidRPr="00FD0348" w:rsidRDefault="0020713F" w:rsidP="00470966">
      <w:pPr>
        <w:ind w:right="27"/>
      </w:pPr>
    </w:p>
    <w:p w:rsidR="00D73477" w:rsidRPr="00FD0348" w:rsidRDefault="00AF21E9" w:rsidP="00470966">
      <w:pPr>
        <w:ind w:right="27"/>
      </w:pPr>
      <w:r>
        <w:t>The e</w:t>
      </w:r>
      <w:r w:rsidR="009E1BB9" w:rsidRPr="00FD0348">
        <w:t xml:space="preserve">arnings quality proxies can be organized into three broad proxy categories: (1) properties of earnings, (2) investor responsiveness to earnings and (3) external indicators of earnings misstatements. </w:t>
      </w:r>
      <w:r w:rsidR="00FC1E96" w:rsidRPr="00FD0348">
        <w:t>Exhibit 1</w:t>
      </w:r>
      <w:r w:rsidR="007C799B">
        <w:t>, which can be found in the appendix,</w:t>
      </w:r>
      <w:r w:rsidR="00993A8C" w:rsidRPr="00FD0348">
        <w:t xml:space="preserve"> </w:t>
      </w:r>
      <w:r w:rsidR="00AE6153" w:rsidRPr="00FD0348">
        <w:t>presents</w:t>
      </w:r>
      <w:r w:rsidR="00C74A0C" w:rsidRPr="00FD0348">
        <w:t xml:space="preserve"> </w:t>
      </w:r>
      <w:r w:rsidR="00993A8C" w:rsidRPr="00FD0348">
        <w:t xml:space="preserve">the earnings quality proxies summarized by </w:t>
      </w:r>
      <w:proofErr w:type="spellStart"/>
      <w:r w:rsidR="00993A8C" w:rsidRPr="00FD0348">
        <w:t>Dechow</w:t>
      </w:r>
      <w:proofErr w:type="spellEnd"/>
      <w:r w:rsidR="00993A8C" w:rsidRPr="00FD0348">
        <w:t xml:space="preserve"> et al. (</w:t>
      </w:r>
      <w:r w:rsidR="00863078" w:rsidRPr="00FD0348">
        <w:t>2010) in a table organized according to the category that the proxy falls in.</w:t>
      </w:r>
      <w:r w:rsidR="00E74941" w:rsidRPr="00FD0348">
        <w:t xml:space="preserve"> </w:t>
      </w:r>
    </w:p>
    <w:p w:rsidR="00D73477" w:rsidRPr="00FD0348" w:rsidRDefault="00D73477" w:rsidP="00470966">
      <w:pPr>
        <w:ind w:right="27"/>
      </w:pPr>
      <w:r w:rsidRPr="00FD0348">
        <w:t xml:space="preserve">According to </w:t>
      </w:r>
      <w:proofErr w:type="spellStart"/>
      <w:r w:rsidRPr="00FD0348">
        <w:t>Dechow</w:t>
      </w:r>
      <w:proofErr w:type="spellEnd"/>
      <w:r w:rsidRPr="00FD0348">
        <w:t xml:space="preserve"> </w:t>
      </w:r>
      <w:r w:rsidR="000E7EB7" w:rsidRPr="00FD0348">
        <w:t>et</w:t>
      </w:r>
      <w:r w:rsidRPr="00FD0348">
        <w:t xml:space="preserve"> al. (2010) there is no single measurement of earnings quality that is superior to others due to the fact that all the </w:t>
      </w:r>
      <w:r w:rsidR="00D97EEF" w:rsidRPr="00FD0348">
        <w:t xml:space="preserve">earnings quality </w:t>
      </w:r>
      <w:r w:rsidRPr="00FD0348">
        <w:t>proxies have the reported accrual-</w:t>
      </w:r>
      <w:r w:rsidRPr="00FD0348">
        <w:lastRenderedPageBreak/>
        <w:t xml:space="preserve">based earnings number at their core. Furthermore, earnings quality is affected by the entity’s fundamental performance and by the measurement (entity’s accounting system) of this performance. </w:t>
      </w:r>
      <w:r w:rsidR="00741178">
        <w:t>M</w:t>
      </w:r>
      <w:r w:rsidRPr="00FD0348">
        <w:t>anage</w:t>
      </w:r>
      <w:r w:rsidR="00094E8B" w:rsidRPr="00FD0348">
        <w:t>ment</w:t>
      </w:r>
      <w:r w:rsidRPr="00FD0348">
        <w:t>s</w:t>
      </w:r>
      <w:r w:rsidR="00094E8B" w:rsidRPr="00FD0348">
        <w:t>’</w:t>
      </w:r>
      <w:r w:rsidRPr="00FD0348">
        <w:t xml:space="preserve"> reputation, compensation and ownership are positively affected by the entity’s performance,</w:t>
      </w:r>
      <w:r w:rsidR="00741178">
        <w:t xml:space="preserve"> for that reason</w:t>
      </w:r>
      <w:r w:rsidRPr="00FD0348">
        <w:t xml:space="preserve"> manage</w:t>
      </w:r>
      <w:r w:rsidR="00094E8B" w:rsidRPr="00FD0348">
        <w:t>ment</w:t>
      </w:r>
      <w:r w:rsidRPr="00FD0348">
        <w:t xml:space="preserve"> ha</w:t>
      </w:r>
      <w:r w:rsidR="00094E8B" w:rsidRPr="00FD0348">
        <w:t>s</w:t>
      </w:r>
      <w:r w:rsidRPr="00FD0348">
        <w:t xml:space="preserve"> strong incentives to influence </w:t>
      </w:r>
      <w:r w:rsidR="00094E8B" w:rsidRPr="00FD0348">
        <w:t xml:space="preserve">/ manipulate </w:t>
      </w:r>
      <w:r w:rsidRPr="00FD0348">
        <w:t>the entity’s accounting system (</w:t>
      </w:r>
      <w:r w:rsidR="00094E8B" w:rsidRPr="00FD0348">
        <w:t>managing</w:t>
      </w:r>
      <w:r w:rsidRPr="00FD0348">
        <w:t xml:space="preserve"> earnings). The </w:t>
      </w:r>
      <w:r w:rsidR="00094E8B" w:rsidRPr="00FD0348">
        <w:t xml:space="preserve">supervision performance of the </w:t>
      </w:r>
      <w:r w:rsidRPr="00FD0348">
        <w:t>audit committee should limit management’s opportunity or ability to influence the entity’s accounting system in order to manage earnings</w:t>
      </w:r>
      <w:r w:rsidR="001F696B" w:rsidRPr="00FD0348">
        <w:rPr>
          <w:rStyle w:val="FootnoteReference"/>
        </w:rPr>
        <w:footnoteReference w:id="8"/>
      </w:r>
      <w:r w:rsidRPr="00FD0348">
        <w:t xml:space="preserve">. </w:t>
      </w:r>
      <w:r w:rsidR="00094E8B" w:rsidRPr="00FD0348">
        <w:t>Hence</w:t>
      </w:r>
      <w:r w:rsidRPr="00FD0348">
        <w:t xml:space="preserve"> the focus of empirical studies on audit committee structures as determinant of earnings quality has been on </w:t>
      </w:r>
      <w:r w:rsidR="00C72190" w:rsidRPr="00FD0348">
        <w:t>properties of earnings and external indicators of earnings misstatements</w:t>
      </w:r>
      <w:r w:rsidR="00716EBA" w:rsidRPr="00FD0348">
        <w:t xml:space="preserve">. While </w:t>
      </w:r>
      <w:r w:rsidR="00471AF8" w:rsidRPr="00FD0348">
        <w:t xml:space="preserve">accrual based </w:t>
      </w:r>
      <w:r w:rsidRPr="00FD0348">
        <w:t>measurements</w:t>
      </w:r>
      <w:r w:rsidR="003100FD" w:rsidRPr="00FD0348">
        <w:rPr>
          <w:rStyle w:val="FootnoteReference"/>
        </w:rPr>
        <w:footnoteReference w:id="9"/>
      </w:r>
      <w:r w:rsidR="009D3D71" w:rsidRPr="00FD0348">
        <w:t xml:space="preserve"> </w:t>
      </w:r>
      <w:r w:rsidR="00716EBA" w:rsidRPr="00FD0348">
        <w:t xml:space="preserve">are </w:t>
      </w:r>
      <w:r w:rsidR="00471AF8" w:rsidRPr="00FD0348">
        <w:t xml:space="preserve">the typical approach used </w:t>
      </w:r>
      <w:r w:rsidR="00716EBA" w:rsidRPr="00FD0348">
        <w:t xml:space="preserve">by </w:t>
      </w:r>
      <w:r w:rsidR="00CE73D7" w:rsidRPr="00FD0348">
        <w:t xml:space="preserve">prior empirical </w:t>
      </w:r>
      <w:r w:rsidR="00716EBA" w:rsidRPr="00FD0348">
        <w:t xml:space="preserve">researchers (Klein 2002; </w:t>
      </w:r>
      <w:proofErr w:type="spellStart"/>
      <w:r w:rsidR="00716EBA" w:rsidRPr="00FD0348">
        <w:t>Xie</w:t>
      </w:r>
      <w:proofErr w:type="spellEnd"/>
      <w:r w:rsidR="00716EBA" w:rsidRPr="00FD0348">
        <w:t xml:space="preserve"> </w:t>
      </w:r>
      <w:r w:rsidR="000E7EB7" w:rsidRPr="00FD0348">
        <w:t>et</w:t>
      </w:r>
      <w:r w:rsidR="00716EBA" w:rsidRPr="00FD0348">
        <w:t xml:space="preserve"> al. 2003; </w:t>
      </w:r>
      <w:proofErr w:type="spellStart"/>
      <w:r w:rsidR="00716EBA" w:rsidRPr="00FD0348">
        <w:t>Carcello</w:t>
      </w:r>
      <w:proofErr w:type="spellEnd"/>
      <w:r w:rsidR="00716EBA" w:rsidRPr="00FD0348">
        <w:t xml:space="preserve"> </w:t>
      </w:r>
      <w:r w:rsidR="000E7EB7" w:rsidRPr="00FD0348">
        <w:t>et</w:t>
      </w:r>
      <w:r w:rsidR="00716EBA" w:rsidRPr="00FD0348">
        <w:t xml:space="preserve"> al. 2006; </w:t>
      </w:r>
      <w:proofErr w:type="spellStart"/>
      <w:r w:rsidR="00716EBA" w:rsidRPr="00FD0348">
        <w:t>Hooghiemstra</w:t>
      </w:r>
      <w:proofErr w:type="spellEnd"/>
      <w:r w:rsidR="00716EBA" w:rsidRPr="00FD0348">
        <w:t xml:space="preserve"> 2008)</w:t>
      </w:r>
      <w:r w:rsidR="007D2EEC" w:rsidRPr="00FD0348">
        <w:t xml:space="preserve">, </w:t>
      </w:r>
      <w:r w:rsidR="006C480F" w:rsidRPr="00FD0348">
        <w:t>the</w:t>
      </w:r>
      <w:r w:rsidR="001F696B" w:rsidRPr="00FD0348">
        <w:t xml:space="preserve"> </w:t>
      </w:r>
      <w:r w:rsidR="007D2EEC" w:rsidRPr="00FD0348">
        <w:t xml:space="preserve">focus </w:t>
      </w:r>
      <w:r w:rsidR="006C480F" w:rsidRPr="00FD0348">
        <w:t xml:space="preserve">has also been </w:t>
      </w:r>
      <w:r w:rsidR="007D2EEC" w:rsidRPr="00FD0348">
        <w:t xml:space="preserve">on benchmarking approaches </w:t>
      </w:r>
      <w:r w:rsidR="00101F2A" w:rsidRPr="00FD0348">
        <w:t xml:space="preserve">(Vafeas 2005) </w:t>
      </w:r>
      <w:r w:rsidR="007D2EEC" w:rsidRPr="00FD0348">
        <w:t xml:space="preserve">and </w:t>
      </w:r>
      <w:r w:rsidR="00997CAC">
        <w:t xml:space="preserve">external indicators of </w:t>
      </w:r>
      <w:r w:rsidR="008A485D" w:rsidRPr="00FD0348">
        <w:t xml:space="preserve">earnings </w:t>
      </w:r>
      <w:r w:rsidR="007D2EEC" w:rsidRPr="00FD0348">
        <w:t>misstatements (</w:t>
      </w:r>
      <w:proofErr w:type="spellStart"/>
      <w:r w:rsidR="00101F2A" w:rsidRPr="00FD0348">
        <w:t>Carcello</w:t>
      </w:r>
      <w:proofErr w:type="spellEnd"/>
      <w:r w:rsidR="00101F2A" w:rsidRPr="00FD0348">
        <w:t xml:space="preserve"> &amp; Neal 2000; Abbot </w:t>
      </w:r>
      <w:r w:rsidR="000E7EB7" w:rsidRPr="00FD0348">
        <w:t>et</w:t>
      </w:r>
      <w:r w:rsidR="00101F2A" w:rsidRPr="00FD0348">
        <w:t xml:space="preserve"> al. 2004</w:t>
      </w:r>
      <w:r w:rsidR="00997CAC">
        <w:t>;</w:t>
      </w:r>
      <w:r w:rsidR="00997CAC" w:rsidRPr="00997CAC">
        <w:t xml:space="preserve"> </w:t>
      </w:r>
      <w:proofErr w:type="spellStart"/>
      <w:r w:rsidR="00997CAC" w:rsidRPr="00FD0348">
        <w:t>Karamanou</w:t>
      </w:r>
      <w:proofErr w:type="spellEnd"/>
      <w:r w:rsidR="00997CAC" w:rsidRPr="00FD0348">
        <w:t xml:space="preserve"> &amp; </w:t>
      </w:r>
      <w:proofErr w:type="spellStart"/>
      <w:r w:rsidR="00997CAC" w:rsidRPr="00FD0348">
        <w:t>Vafeas</w:t>
      </w:r>
      <w:proofErr w:type="spellEnd"/>
      <w:r w:rsidR="00997CAC" w:rsidRPr="00FD0348">
        <w:t xml:space="preserve"> 2005</w:t>
      </w:r>
      <w:r w:rsidR="00101F2A" w:rsidRPr="00FD0348">
        <w:t>)</w:t>
      </w:r>
      <w:r w:rsidR="00B85C23" w:rsidRPr="00FD0348">
        <w:t xml:space="preserve"> to determine the relation</w:t>
      </w:r>
      <w:r w:rsidR="001F696B" w:rsidRPr="00FD0348">
        <w:t xml:space="preserve"> </w:t>
      </w:r>
      <w:r w:rsidR="00B85C23" w:rsidRPr="00FD0348">
        <w:t>among</w:t>
      </w:r>
      <w:r w:rsidR="001F696B" w:rsidRPr="00FD0348">
        <w:t xml:space="preserve"> audit committee </w:t>
      </w:r>
      <w:r w:rsidR="00B85C23" w:rsidRPr="00FD0348">
        <w:t>characteristics</w:t>
      </w:r>
      <w:r w:rsidR="001F696B" w:rsidRPr="00FD0348">
        <w:t xml:space="preserve"> and earnings quality. The evidence from </w:t>
      </w:r>
      <w:r w:rsidR="00094E8B" w:rsidRPr="00FD0348">
        <w:t xml:space="preserve">empirical </w:t>
      </w:r>
      <w:r w:rsidR="001F696B" w:rsidRPr="00FD0348">
        <w:t xml:space="preserve">literature </w:t>
      </w:r>
      <w:r w:rsidR="00471AF8" w:rsidRPr="00FD0348">
        <w:t xml:space="preserve">consistently suggests that audit committee performance is </w:t>
      </w:r>
      <w:r w:rsidR="000C2CD4" w:rsidRPr="00FD0348">
        <w:t>positively</w:t>
      </w:r>
      <w:r w:rsidR="00471AF8" w:rsidRPr="00FD0348">
        <w:t xml:space="preserve"> associated with earnings </w:t>
      </w:r>
      <w:r w:rsidR="000C2CD4" w:rsidRPr="00FD0348">
        <w:t>quality</w:t>
      </w:r>
      <w:r w:rsidR="00471AF8" w:rsidRPr="00FD0348">
        <w:t>.</w:t>
      </w:r>
      <w:r w:rsidRPr="00FD0348">
        <w:t xml:space="preserve"> </w:t>
      </w:r>
    </w:p>
    <w:p w:rsidR="00D03014" w:rsidRDefault="007167AF" w:rsidP="00470966">
      <w:pPr>
        <w:ind w:right="27"/>
      </w:pPr>
      <w:r>
        <w:t>The focus of my master’s thesis will be on public interest entities in different European Union member states, therefore it will be very difficult to measure earnings quality using external indicators of earnings misstatements approaches due to the fact that the</w:t>
      </w:r>
      <w:r w:rsidR="00D03014">
        <w:t xml:space="preserve"> gathering of data may take a significant amount of effort to collect </w:t>
      </w:r>
      <w:r w:rsidR="00741178">
        <w:t>because</w:t>
      </w:r>
      <w:r w:rsidR="00D03014">
        <w:t xml:space="preserve"> essential data for these approaches may be unavailable on databases </w:t>
      </w:r>
      <w:r>
        <w:t>data</w:t>
      </w:r>
      <w:r w:rsidR="004C0FE1">
        <w:t xml:space="preserve"> for certain European Union member states</w:t>
      </w:r>
      <w:r w:rsidR="00D03014">
        <w:t>.</w:t>
      </w:r>
      <w:r w:rsidR="00AF21E9">
        <w:t xml:space="preserve"> To measure earnings quality </w:t>
      </w:r>
      <w:r w:rsidR="004C0FE1">
        <w:t xml:space="preserve">I will be </w:t>
      </w:r>
      <w:r w:rsidR="00AD5BAF">
        <w:t>utilizing</w:t>
      </w:r>
      <w:r w:rsidR="004C0FE1">
        <w:t xml:space="preserve"> benchmarking approaches </w:t>
      </w:r>
      <w:r w:rsidR="00267B49">
        <w:t xml:space="preserve">instead </w:t>
      </w:r>
      <w:r w:rsidR="008367E9">
        <w:t xml:space="preserve">of </w:t>
      </w:r>
      <w:r w:rsidR="00267B49">
        <w:t xml:space="preserve">the most commonly used </w:t>
      </w:r>
      <w:r w:rsidR="00D61B1C">
        <w:t>accrual based measurements</w:t>
      </w:r>
      <w:r w:rsidR="00267B49">
        <w:t xml:space="preserve"> approach</w:t>
      </w:r>
      <w:r w:rsidR="00D61B1C">
        <w:t xml:space="preserve">. </w:t>
      </w:r>
      <w:r w:rsidR="00741178">
        <w:t>Because</w:t>
      </w:r>
      <w:r w:rsidR="00267B49">
        <w:t xml:space="preserve"> there is no earnings quality measurement that is definitively superior to others (</w:t>
      </w:r>
      <w:proofErr w:type="spellStart"/>
      <w:r w:rsidR="00B71803">
        <w:t>Dechow</w:t>
      </w:r>
      <w:proofErr w:type="spellEnd"/>
      <w:r w:rsidR="00B71803">
        <w:t xml:space="preserve"> et al. 2010)</w:t>
      </w:r>
      <w:r w:rsidR="00267B49">
        <w:t xml:space="preserve">, using an uncommonly used approach to measure earnings quality will provide evidence that will extend the current empirical literature </w:t>
      </w:r>
      <w:r w:rsidR="00334B77">
        <w:t>examining</w:t>
      </w:r>
      <w:r w:rsidR="00267B49">
        <w:t xml:space="preserve"> audit committee characteristics and earnings quality for European public interest entities.</w:t>
      </w:r>
      <w:r w:rsidR="00334B77">
        <w:t xml:space="preserve"> Furthermore, benchmarking approaches</w:t>
      </w:r>
      <w:r w:rsidR="008F17F7">
        <w:t xml:space="preserve"> </w:t>
      </w:r>
      <w:r w:rsidR="00D60C26">
        <w:t>take both mechanisms into account that management exploit to decrease earnings quality: manipulating earnings upwards and guiding analysts’ forecasts downwards.</w:t>
      </w:r>
    </w:p>
    <w:p w:rsidR="00704760" w:rsidRDefault="00CA7768" w:rsidP="00470966">
      <w:pPr>
        <w:ind w:right="27"/>
      </w:pPr>
      <w:r w:rsidRPr="00FD0348">
        <w:t>Empirical literature (</w:t>
      </w:r>
      <w:proofErr w:type="spellStart"/>
      <w:r w:rsidRPr="00FD0348">
        <w:t>Burgstahler</w:t>
      </w:r>
      <w:proofErr w:type="spellEnd"/>
      <w:r w:rsidRPr="00FD0348">
        <w:t xml:space="preserve"> &amp; </w:t>
      </w:r>
      <w:proofErr w:type="spellStart"/>
      <w:r w:rsidRPr="00FD0348">
        <w:t>Dichev</w:t>
      </w:r>
      <w:proofErr w:type="spellEnd"/>
      <w:r w:rsidRPr="00FD0348">
        <w:t xml:space="preserve"> 1997; Kinney, </w:t>
      </w:r>
      <w:proofErr w:type="spellStart"/>
      <w:r w:rsidRPr="00FD0348">
        <w:t>Burgstahler</w:t>
      </w:r>
      <w:proofErr w:type="spellEnd"/>
      <w:r w:rsidRPr="00FD0348">
        <w:t xml:space="preserve"> &amp; Martin 2002; Matsumoto 2002; Skinner &amp; Sloan 2002; </w:t>
      </w:r>
      <w:proofErr w:type="spellStart"/>
      <w:r w:rsidRPr="00FD0348">
        <w:t>Burgstahler</w:t>
      </w:r>
      <w:proofErr w:type="spellEnd"/>
      <w:r w:rsidRPr="00FD0348">
        <w:t xml:space="preserve"> &amp; Eames 2003; </w:t>
      </w:r>
      <w:proofErr w:type="spellStart"/>
      <w:r w:rsidRPr="00FD0348">
        <w:t>Burgstahler</w:t>
      </w:r>
      <w:proofErr w:type="spellEnd"/>
      <w:r w:rsidRPr="00FD0348">
        <w:t xml:space="preserve"> &amp; Eames 200</w:t>
      </w:r>
      <w:r w:rsidR="00C41645" w:rsidRPr="00FD0348">
        <w:t>6</w:t>
      </w:r>
      <w:r w:rsidRPr="00FD0348">
        <w:t>)</w:t>
      </w:r>
      <w:r w:rsidR="00476322" w:rsidRPr="00FD0348">
        <w:t xml:space="preserve"> identifies three benchmarking approaches to measure earnings quality: (</w:t>
      </w:r>
      <w:proofErr w:type="spellStart"/>
      <w:r w:rsidR="00476322" w:rsidRPr="00FD0348">
        <w:t>i</w:t>
      </w:r>
      <w:proofErr w:type="spellEnd"/>
      <w:r w:rsidR="00476322" w:rsidRPr="00FD0348">
        <w:t>) The likelihood of public interest e</w:t>
      </w:r>
      <w:r w:rsidR="00DB43EF" w:rsidRPr="00FD0348">
        <w:t xml:space="preserve">ntities </w:t>
      </w:r>
      <w:r w:rsidR="00DB43EF" w:rsidRPr="00FD0348">
        <w:lastRenderedPageBreak/>
        <w:t>reporting small profits and avoiding small losses</w:t>
      </w:r>
      <w:r w:rsidR="00476322" w:rsidRPr="00FD0348">
        <w:t xml:space="preserve">, (ii) the likelihood of public interest entities reporting small earnings increases and </w:t>
      </w:r>
      <w:r w:rsidR="00DB43EF" w:rsidRPr="00FD0348">
        <w:t xml:space="preserve">avoiding small earnings decreases, and </w:t>
      </w:r>
      <w:r w:rsidR="00476322" w:rsidRPr="00FD0348">
        <w:t xml:space="preserve">(iii) the likelihood of public interest entities </w:t>
      </w:r>
      <w:r w:rsidR="008D6E82" w:rsidRPr="00FD0348">
        <w:t xml:space="preserve">meeting </w:t>
      </w:r>
      <w:r w:rsidR="00DB43EF" w:rsidRPr="00FD0348">
        <w:t>or</w:t>
      </w:r>
      <w:r w:rsidR="008D6E82" w:rsidRPr="00FD0348">
        <w:t xml:space="preserve"> </w:t>
      </w:r>
      <w:r w:rsidR="00476322" w:rsidRPr="00FD0348">
        <w:t xml:space="preserve">barely </w:t>
      </w:r>
      <w:r w:rsidR="008D6E82" w:rsidRPr="00FD0348">
        <w:t>b</w:t>
      </w:r>
      <w:r w:rsidR="00476322" w:rsidRPr="00FD0348">
        <w:t>e</w:t>
      </w:r>
      <w:r w:rsidR="008D6E82" w:rsidRPr="00FD0348">
        <w:t>a</w:t>
      </w:r>
      <w:r w:rsidR="00476322" w:rsidRPr="00FD0348">
        <w:t>ting analysts’ earnings forecasts</w:t>
      </w:r>
      <w:r w:rsidR="00EC08EB" w:rsidRPr="00FD0348">
        <w:t xml:space="preserve">. The </w:t>
      </w:r>
      <w:r w:rsidR="00842F94" w:rsidRPr="00FD0348">
        <w:t xml:space="preserve">three </w:t>
      </w:r>
      <w:r w:rsidR="00EC08EB" w:rsidRPr="00FD0348">
        <w:t xml:space="preserve">approaches </w:t>
      </w:r>
      <w:r w:rsidR="00842F94" w:rsidRPr="00FD0348">
        <w:t>analyze</w:t>
      </w:r>
      <w:r w:rsidR="00EC08EB" w:rsidRPr="00FD0348">
        <w:t xml:space="preserve"> </w:t>
      </w:r>
      <w:r w:rsidR="00842F94" w:rsidRPr="00FD0348">
        <w:t xml:space="preserve">different benchmarking aspects: </w:t>
      </w:r>
      <w:r w:rsidR="00096F64" w:rsidRPr="00FD0348">
        <w:t xml:space="preserve">earning level, </w:t>
      </w:r>
      <w:r w:rsidR="007F39E3" w:rsidRPr="00FD0348">
        <w:t xml:space="preserve">small </w:t>
      </w:r>
      <w:r w:rsidR="00096F64" w:rsidRPr="00FD0348">
        <w:t xml:space="preserve">earnings change and analysts’ forecasts. </w:t>
      </w:r>
      <w:r w:rsidR="009D79A9" w:rsidRPr="00FD0348">
        <w:t xml:space="preserve">The earnings level benchmark focuses on public interest entities </w:t>
      </w:r>
      <w:r w:rsidR="008D6E82" w:rsidRPr="00FD0348">
        <w:t>that</w:t>
      </w:r>
      <w:r w:rsidR="009D79A9" w:rsidRPr="00FD0348">
        <w:t xml:space="preserve"> are avoiding losses </w:t>
      </w:r>
      <w:r w:rsidR="00F90725" w:rsidRPr="00FD0348">
        <w:t xml:space="preserve">in order to report positive income (profit) </w:t>
      </w:r>
      <w:r w:rsidR="009D79A9" w:rsidRPr="00FD0348">
        <w:t xml:space="preserve">and analyzes entities around the zero income level. The </w:t>
      </w:r>
      <w:r w:rsidR="007F39E3" w:rsidRPr="00FD0348">
        <w:t>small earnings change benchmark</w:t>
      </w:r>
      <w:r w:rsidR="009D79A9" w:rsidRPr="00FD0348">
        <w:t xml:space="preserve"> focuses on public interest entities </w:t>
      </w:r>
      <w:r w:rsidR="008D6E82" w:rsidRPr="00FD0348">
        <w:t>that</w:t>
      </w:r>
      <w:r w:rsidR="009D79A9" w:rsidRPr="00FD0348">
        <w:t xml:space="preserve"> are avoiding </w:t>
      </w:r>
      <w:r w:rsidR="00EB33DE" w:rsidRPr="00FD0348">
        <w:t xml:space="preserve">negative </w:t>
      </w:r>
      <w:r w:rsidR="009D79A9" w:rsidRPr="00FD0348">
        <w:t xml:space="preserve">earnings </w:t>
      </w:r>
      <w:r w:rsidR="00EB33DE" w:rsidRPr="00FD0348">
        <w:t xml:space="preserve">change in order to report </w:t>
      </w:r>
      <w:r w:rsidR="00075707" w:rsidRPr="00FD0348">
        <w:t xml:space="preserve">a marginal </w:t>
      </w:r>
      <w:r w:rsidR="009D79A9" w:rsidRPr="00FD0348">
        <w:t xml:space="preserve">earnings growth </w:t>
      </w:r>
      <w:r w:rsidR="00075707" w:rsidRPr="00FD0348">
        <w:t>for all reporting period</w:t>
      </w:r>
      <w:r w:rsidR="00AB5E17">
        <w:t>s</w:t>
      </w:r>
      <w:r w:rsidR="00075707" w:rsidRPr="00FD0348">
        <w:t xml:space="preserve"> </w:t>
      </w:r>
      <w:r w:rsidR="009D79A9" w:rsidRPr="00FD0348">
        <w:t>and analyzes entities around the zero earnings change</w:t>
      </w:r>
      <w:r w:rsidR="007466CF" w:rsidRPr="00FD0348">
        <w:t xml:space="preserve"> level</w:t>
      </w:r>
      <w:r w:rsidR="009D4351" w:rsidRPr="00FD0348">
        <w:t xml:space="preserve">. The analysts’ forecasts benchmark </w:t>
      </w:r>
      <w:r w:rsidR="00F90725" w:rsidRPr="00FD0348">
        <w:t>analyzes</w:t>
      </w:r>
      <w:r w:rsidR="009D4351" w:rsidRPr="00FD0348">
        <w:t xml:space="preserve"> public interest entities that just meet or beat the forecast by a few cents</w:t>
      </w:r>
      <w:r w:rsidR="009571BD" w:rsidRPr="00FD0348">
        <w:t xml:space="preserve"> and analyzes entities around the zero earnings surprise</w:t>
      </w:r>
      <w:r w:rsidR="007466CF" w:rsidRPr="00FD0348">
        <w:t xml:space="preserve"> level</w:t>
      </w:r>
      <w:r w:rsidR="009D4351" w:rsidRPr="00FD0348">
        <w:t>.</w:t>
      </w:r>
      <w:r w:rsidR="008D6E82" w:rsidRPr="00FD0348">
        <w:t xml:space="preserve"> </w:t>
      </w:r>
      <w:r w:rsidR="00C31703" w:rsidRPr="00FD0348">
        <w:t>The avoidance of bad news in the form of small losses, small earnings decline or negative earnings surprise</w:t>
      </w:r>
      <w:r w:rsidR="009571BD" w:rsidRPr="00FD0348">
        <w:t>s</w:t>
      </w:r>
      <w:r w:rsidR="00C31703" w:rsidRPr="00FD0348">
        <w:t xml:space="preserve"> causes an </w:t>
      </w:r>
      <w:r w:rsidR="00704760" w:rsidRPr="00FD0348">
        <w:t>irregularity in the earnings distribution around zero. This irregularity in the earnings distribution can be identified as having (</w:t>
      </w:r>
      <w:proofErr w:type="spellStart"/>
      <w:r w:rsidR="00704760" w:rsidRPr="00FD0348">
        <w:t>i</w:t>
      </w:r>
      <w:proofErr w:type="spellEnd"/>
      <w:r w:rsidR="00704760" w:rsidRPr="00FD0348">
        <w:t xml:space="preserve">) an unusually high frequency of zero income, zero earnings change, or negative earnings surprises; (ii) an unusually low frequency of small negative income (losses), small earnings decline or small negative earnings surprises; and (iii) an unusually high frequency of small positive income (profit), small earnings growth or small positive earnings surprises. </w:t>
      </w:r>
    </w:p>
    <w:p w:rsidR="00063E37" w:rsidRPr="00FD0348" w:rsidRDefault="00063E37" w:rsidP="00470966">
      <w:pPr>
        <w:ind w:right="27"/>
      </w:pPr>
      <w:r w:rsidRPr="00FD0348">
        <w:t xml:space="preserve">Empirical literature provides consistent evidence that the public-interest entities’ share price is affected when the entity reports losses, earnings declines or negative earnings surprises. </w:t>
      </w:r>
      <w:proofErr w:type="spellStart"/>
      <w:proofErr w:type="gramStart"/>
      <w:r w:rsidRPr="00FD0348">
        <w:t>DeAngelo</w:t>
      </w:r>
      <w:proofErr w:type="spellEnd"/>
      <w:r w:rsidRPr="00FD0348">
        <w:t xml:space="preserve">, </w:t>
      </w:r>
      <w:proofErr w:type="spellStart"/>
      <w:r w:rsidRPr="00FD0348">
        <w:t>DeAngelo</w:t>
      </w:r>
      <w:proofErr w:type="spellEnd"/>
      <w:r w:rsidRPr="00FD0348">
        <w:t xml:space="preserve"> &amp; Skinner (1996) present evidence that a public-interest entity</w:t>
      </w:r>
      <w:r w:rsidRPr="00FD0348">
        <w:rPr>
          <w:rFonts w:ascii="Arial" w:hAnsi="Arial" w:cs="Arial"/>
        </w:rPr>
        <w:t>’</w:t>
      </w:r>
      <w:r w:rsidRPr="00FD0348">
        <w:t xml:space="preserve">s share price will suffer a decline when they report a break in their pattern of </w:t>
      </w:r>
      <w:r w:rsidRPr="00FD0348">
        <w:rPr>
          <w:i/>
          <w:iCs/>
        </w:rPr>
        <w:t xml:space="preserve">persistent </w:t>
      </w:r>
      <w:r w:rsidRPr="00FD0348">
        <w:t>earnings growth.</w:t>
      </w:r>
      <w:proofErr w:type="gramEnd"/>
      <w:r w:rsidRPr="00FD0348">
        <w:t xml:space="preserve"> Skinner &amp; Sloan (2002) and Kinney, </w:t>
      </w:r>
      <w:proofErr w:type="spellStart"/>
      <w:r w:rsidRPr="00FD0348">
        <w:t>Burgstahler</w:t>
      </w:r>
      <w:proofErr w:type="spellEnd"/>
      <w:r w:rsidRPr="00FD0348">
        <w:t xml:space="preserve"> &amp; Martin (2002) present evidence that public-interest entities suffer significant share price decline when negative earnings surprises, even if they are small, are reported. Furthermore, </w:t>
      </w:r>
      <w:proofErr w:type="spellStart"/>
      <w:r w:rsidRPr="00FD0348">
        <w:t>Kasznik</w:t>
      </w:r>
      <w:proofErr w:type="spellEnd"/>
      <w:r w:rsidRPr="00FD0348">
        <w:t xml:space="preserve"> &amp; </w:t>
      </w:r>
      <w:proofErr w:type="spellStart"/>
      <w:r w:rsidRPr="00FD0348">
        <w:t>McNichols</w:t>
      </w:r>
      <w:proofErr w:type="spellEnd"/>
      <w:r w:rsidRPr="00FD0348">
        <w:t xml:space="preserve"> (2002) present evidence that </w:t>
      </w:r>
      <w:r w:rsidRPr="00FD0348">
        <w:rPr>
          <w:i/>
          <w:iCs/>
        </w:rPr>
        <w:t xml:space="preserve">persistently </w:t>
      </w:r>
      <w:r w:rsidRPr="00FD0348">
        <w:t xml:space="preserve">meeting or beating analysts’ forecasts leads to higher share price valuations, while meeting or beating analysts’ forecast on an </w:t>
      </w:r>
      <w:r w:rsidRPr="00FD0348">
        <w:rPr>
          <w:i/>
        </w:rPr>
        <w:t>ad hoc</w:t>
      </w:r>
      <w:r w:rsidRPr="00FD0348">
        <w:t xml:space="preserve"> basis does not. </w:t>
      </w:r>
      <w:r w:rsidR="001F4FD5">
        <w:t>With p</w:t>
      </w:r>
      <w:r w:rsidR="00F67AE6">
        <w:t xml:space="preserve">rior empirical literature suggesting that the public interest entity’s share price is negatively affected when bad news is reported. </w:t>
      </w:r>
      <w:r w:rsidR="001F4FD5">
        <w:t xml:space="preserve">Management has strong incentives to influence the entity’s fundamental performance and the entity’s accounting system to avoid reporting bad news to their stakeholders seeing as </w:t>
      </w:r>
      <w:r w:rsidR="00F67AE6">
        <w:t xml:space="preserve">the consequences of bad news (lower share prices) </w:t>
      </w:r>
      <w:r w:rsidR="001F4FD5">
        <w:t xml:space="preserve">will have negative effects on their </w:t>
      </w:r>
      <w:r>
        <w:t xml:space="preserve">reputation </w:t>
      </w:r>
      <w:r w:rsidR="001F4FD5">
        <w:t>and compensation.</w:t>
      </w:r>
    </w:p>
    <w:p w:rsidR="00B20310" w:rsidRPr="00FD0348" w:rsidRDefault="00D60C26" w:rsidP="00470966">
      <w:pPr>
        <w:ind w:right="27"/>
      </w:pPr>
      <w:r>
        <w:t>As I have already mentioned in the prior paragraphs, t</w:t>
      </w:r>
      <w:r w:rsidR="00797965" w:rsidRPr="00FD0348">
        <w:t xml:space="preserve">he theory behind the approaches </w:t>
      </w:r>
      <w:r w:rsidR="00AB4EAC" w:rsidRPr="00FD0348">
        <w:t xml:space="preserve">suggests that </w:t>
      </w:r>
      <w:r w:rsidR="00601FCC" w:rsidRPr="00FD0348">
        <w:t xml:space="preserve">the </w:t>
      </w:r>
      <w:r w:rsidR="00C62818" w:rsidRPr="00FD0348">
        <w:t xml:space="preserve">management </w:t>
      </w:r>
      <w:r w:rsidR="00601FCC" w:rsidRPr="00FD0348">
        <w:t xml:space="preserve">of public-interest entities who are </w:t>
      </w:r>
      <w:r w:rsidR="0011662F" w:rsidRPr="00FD0348">
        <w:t>avoiding bad news</w:t>
      </w:r>
      <w:r w:rsidR="00601FCC" w:rsidRPr="00FD0348">
        <w:t xml:space="preserve"> </w:t>
      </w:r>
      <w:r w:rsidR="00704760" w:rsidRPr="00FD0348">
        <w:t xml:space="preserve">can use two mechanisms that </w:t>
      </w:r>
      <w:r w:rsidR="0011662F" w:rsidRPr="00FD0348">
        <w:t>decrease</w:t>
      </w:r>
      <w:r w:rsidR="00704760" w:rsidRPr="00FD0348">
        <w:t xml:space="preserve"> earnings quality: manipulating earnings upwards or guiding analysts’ forecasts downwards. Manipulating earnings upwards</w:t>
      </w:r>
      <w:r>
        <w:t xml:space="preserve"> is done</w:t>
      </w:r>
      <w:r w:rsidR="00704760" w:rsidRPr="00FD0348">
        <w:t xml:space="preserve"> in the form of ‘real’ operating </w:t>
      </w:r>
      <w:r w:rsidR="00704760" w:rsidRPr="00FD0348">
        <w:lastRenderedPageBreak/>
        <w:t>actions</w:t>
      </w:r>
      <w:r w:rsidR="00704760" w:rsidRPr="00FD0348">
        <w:rPr>
          <w:rStyle w:val="FootnoteReference"/>
        </w:rPr>
        <w:footnoteReference w:id="10"/>
      </w:r>
      <w:r w:rsidR="00704760" w:rsidRPr="00FD0348">
        <w:t xml:space="preserve"> and</w:t>
      </w:r>
      <w:r w:rsidR="00334B77">
        <w:t xml:space="preserve"> </w:t>
      </w:r>
      <w:r w:rsidR="00704760" w:rsidRPr="00FD0348">
        <w:t>/</w:t>
      </w:r>
      <w:r w:rsidR="00334B77">
        <w:t xml:space="preserve"> </w:t>
      </w:r>
      <w:r w:rsidR="00704760" w:rsidRPr="00FD0348">
        <w:t>or ‘bookkeeping’ actions</w:t>
      </w:r>
      <w:r w:rsidR="00704760" w:rsidRPr="00FD0348">
        <w:rPr>
          <w:rStyle w:val="FootnoteReference"/>
        </w:rPr>
        <w:footnoteReference w:id="11"/>
      </w:r>
      <w:r>
        <w:t xml:space="preserve">. The upwards manipulation of earnings </w:t>
      </w:r>
      <w:r w:rsidR="00704760" w:rsidRPr="00FD0348">
        <w:t xml:space="preserve">is difficult for management due to the </w:t>
      </w:r>
      <w:r w:rsidR="0011662F" w:rsidRPr="00FD0348">
        <w:t xml:space="preserve">constant </w:t>
      </w:r>
      <w:r w:rsidR="00704760" w:rsidRPr="00FD0348">
        <w:t>supervision of auditors, board of directors and</w:t>
      </w:r>
      <w:r w:rsidR="007466CF" w:rsidRPr="00FD0348">
        <w:t xml:space="preserve"> </w:t>
      </w:r>
      <w:r w:rsidR="00704760" w:rsidRPr="00FD0348">
        <w:t>/</w:t>
      </w:r>
      <w:r w:rsidR="007466CF" w:rsidRPr="00FD0348">
        <w:t xml:space="preserve"> </w:t>
      </w:r>
      <w:r w:rsidR="00704760" w:rsidRPr="00FD0348">
        <w:t xml:space="preserve">or audit committee that will question their actions if doubtful accounting practices are discovered. Furthermore, it is unlikely that management is able to use earnings manipulation, in the form of abnormal accruals, to increase earnings upwards </w:t>
      </w:r>
      <w:r>
        <w:t xml:space="preserve">in order </w:t>
      </w:r>
      <w:r w:rsidR="00704760" w:rsidRPr="00FD0348">
        <w:t xml:space="preserve">to avoid reporting bad news in every </w:t>
      </w:r>
      <w:r w:rsidR="007466CF" w:rsidRPr="00FD0348">
        <w:t xml:space="preserve">reporting </w:t>
      </w:r>
      <w:r w:rsidR="00704760" w:rsidRPr="00FD0348">
        <w:t xml:space="preserve">period </w:t>
      </w:r>
      <w:r w:rsidR="00741178" w:rsidRPr="00FD0348">
        <w:t>because</w:t>
      </w:r>
      <w:r w:rsidR="00704760" w:rsidRPr="00FD0348">
        <w:t xml:space="preserve"> accrual</w:t>
      </w:r>
      <w:r w:rsidR="00B01773" w:rsidRPr="00FD0348">
        <w:t>s</w:t>
      </w:r>
      <w:r w:rsidR="00704760" w:rsidRPr="00FD0348">
        <w:t xml:space="preserve"> must reverse in the following periods.</w:t>
      </w:r>
      <w:r w:rsidR="0011662F" w:rsidRPr="00FD0348">
        <w:t xml:space="preserve"> </w:t>
      </w:r>
      <w:r w:rsidR="00B20310" w:rsidRPr="00FD0348">
        <w:t xml:space="preserve">Guiding analysts’ forecasts downwards requires management to adjust the public interest entity’s initial performance expectation downwards to a </w:t>
      </w:r>
      <w:r>
        <w:t xml:space="preserve">more </w:t>
      </w:r>
      <w:r w:rsidR="00B20310" w:rsidRPr="00FD0348">
        <w:t xml:space="preserve">‘beatable’ level. However setting an initial lower performance expectation is also costly for the public interest entity </w:t>
      </w:r>
      <w:r w:rsidR="00741178" w:rsidRPr="00FD0348">
        <w:t>given that</w:t>
      </w:r>
      <w:r w:rsidR="00B20310" w:rsidRPr="00FD0348">
        <w:t xml:space="preserve"> this will be reflected as lower share price for a long time span. For either of the above mentioned mechanism</w:t>
      </w:r>
      <w:r w:rsidR="0011662F" w:rsidRPr="00FD0348">
        <w:t>s</w:t>
      </w:r>
      <w:r w:rsidR="00B20310" w:rsidRPr="00FD0348">
        <w:t xml:space="preserve"> to be beneficial, the cost of manipulation (</w:t>
      </w:r>
      <w:r w:rsidR="000D5259">
        <w:t>e.g.</w:t>
      </w:r>
      <w:r w:rsidR="00B20310" w:rsidRPr="00FD0348">
        <w:t xml:space="preserve"> management’s reputation) or the cost of an initially lower performance expectation (</w:t>
      </w:r>
      <w:r w:rsidR="000D5259">
        <w:t>e.g.</w:t>
      </w:r>
      <w:r w:rsidR="00B20310" w:rsidRPr="00FD0348">
        <w:t xml:space="preserve"> lower share prices) must not surpass the cost of </w:t>
      </w:r>
      <w:r w:rsidR="0011662F" w:rsidRPr="00FD0348">
        <w:t>the bad news (</w:t>
      </w:r>
      <w:r w:rsidR="000D5259">
        <w:t xml:space="preserve">e.g. </w:t>
      </w:r>
      <w:r w:rsidR="0011662F" w:rsidRPr="00FD0348">
        <w:t xml:space="preserve">small loss, small earnings increase, </w:t>
      </w:r>
      <w:r w:rsidR="00B20310" w:rsidRPr="00FD0348">
        <w:t>negative earnings surprise</w:t>
      </w:r>
      <w:r w:rsidR="0011662F" w:rsidRPr="00FD0348">
        <w:t>)</w:t>
      </w:r>
      <w:r w:rsidR="00B20310" w:rsidRPr="00FD0348">
        <w:t xml:space="preserve">. </w:t>
      </w:r>
    </w:p>
    <w:p w:rsidR="00FC3AD6" w:rsidRDefault="000D374B" w:rsidP="00470966">
      <w:pPr>
        <w:ind w:right="27"/>
      </w:pPr>
      <w:r>
        <w:t xml:space="preserve">Several </w:t>
      </w:r>
      <w:r w:rsidR="007C6FBC" w:rsidRPr="00FD0348">
        <w:t>e</w:t>
      </w:r>
      <w:r w:rsidR="0089207E" w:rsidRPr="00FD0348">
        <w:t xml:space="preserve">mpirical </w:t>
      </w:r>
      <w:r>
        <w:t>studies</w:t>
      </w:r>
      <w:r w:rsidR="0089207E" w:rsidRPr="00FD0348">
        <w:t xml:space="preserve"> </w:t>
      </w:r>
      <w:r w:rsidR="007E35B1" w:rsidRPr="00FD0348">
        <w:t>(</w:t>
      </w:r>
      <w:proofErr w:type="spellStart"/>
      <w:r w:rsidR="007E35B1" w:rsidRPr="00FD0348">
        <w:t>Durtschi</w:t>
      </w:r>
      <w:proofErr w:type="spellEnd"/>
      <w:r w:rsidR="007E35B1" w:rsidRPr="00FD0348">
        <w:t xml:space="preserve"> &amp; Easton 2004</w:t>
      </w:r>
      <w:r>
        <w:t>, 2005, 2009</w:t>
      </w:r>
      <w:r w:rsidR="007E35B1" w:rsidRPr="00FD0348">
        <w:t>;</w:t>
      </w:r>
      <w:r w:rsidR="009F5ACF" w:rsidRPr="00FD0348">
        <w:t xml:space="preserve"> </w:t>
      </w:r>
      <w:r w:rsidR="007E35B1" w:rsidRPr="00FD0348">
        <w:t xml:space="preserve">Beaver, </w:t>
      </w:r>
      <w:proofErr w:type="spellStart"/>
      <w:r w:rsidR="007E35B1" w:rsidRPr="00FD0348">
        <w:t>McNichols</w:t>
      </w:r>
      <w:proofErr w:type="spellEnd"/>
      <w:r w:rsidR="007E35B1" w:rsidRPr="00FD0348">
        <w:t xml:space="preserve"> &amp; Nelson 2007</w:t>
      </w:r>
      <w:r>
        <w:t>)</w:t>
      </w:r>
      <w:r w:rsidR="0089207E" w:rsidRPr="00FD0348">
        <w:t xml:space="preserve"> identified that the irregularity present in the </w:t>
      </w:r>
      <w:r w:rsidR="00B263D0" w:rsidRPr="00FD0348">
        <w:t xml:space="preserve">earnings </w:t>
      </w:r>
      <w:r w:rsidR="0089207E" w:rsidRPr="00FD0348">
        <w:t xml:space="preserve">distribution </w:t>
      </w:r>
      <w:r w:rsidR="007C6FBC" w:rsidRPr="00FD0348">
        <w:t xml:space="preserve">around zero </w:t>
      </w:r>
      <w:r w:rsidR="003975E7" w:rsidRPr="00FD0348">
        <w:t>may be cause</w:t>
      </w:r>
      <w:r w:rsidR="002B0322" w:rsidRPr="00FD0348">
        <w:t>d</w:t>
      </w:r>
      <w:r w:rsidR="003975E7" w:rsidRPr="00FD0348">
        <w:t xml:space="preserve"> by </w:t>
      </w:r>
      <w:r w:rsidR="00417C42">
        <w:t xml:space="preserve">several </w:t>
      </w:r>
      <w:r w:rsidR="003975E7" w:rsidRPr="00FD0348">
        <w:t xml:space="preserve">other </w:t>
      </w:r>
      <w:r w:rsidR="00417C42">
        <w:t>alternative explanations</w:t>
      </w:r>
      <w:r w:rsidR="003975E7" w:rsidRPr="00FD0348">
        <w:t xml:space="preserve"> than earnings manipulation. Beaver</w:t>
      </w:r>
      <w:r w:rsidR="009F5ACF" w:rsidRPr="00FD0348">
        <w:t xml:space="preserve"> et al.</w:t>
      </w:r>
      <w:r w:rsidR="00615EDF" w:rsidRPr="00FD0348">
        <w:t>’s</w:t>
      </w:r>
      <w:r w:rsidR="003975E7" w:rsidRPr="00FD0348">
        <w:t xml:space="preserve"> (2007</w:t>
      </w:r>
      <w:r w:rsidR="002B0322" w:rsidRPr="00FD0348">
        <w:t xml:space="preserve">) </w:t>
      </w:r>
      <w:r w:rsidR="00615EDF" w:rsidRPr="00FD0348">
        <w:t>findings suggest</w:t>
      </w:r>
      <w:r w:rsidR="002B0322" w:rsidRPr="00FD0348">
        <w:t xml:space="preserve"> that </w:t>
      </w:r>
      <w:r w:rsidR="006B690D" w:rsidRPr="00FD0348">
        <w:t xml:space="preserve">the </w:t>
      </w:r>
      <w:r w:rsidR="002B0322" w:rsidRPr="00FD0348">
        <w:t>asymmetric effect</w:t>
      </w:r>
      <w:r w:rsidR="00B263D0" w:rsidRPr="00FD0348">
        <w:rPr>
          <w:rStyle w:val="FootnoteReference"/>
        </w:rPr>
        <w:footnoteReference w:id="12"/>
      </w:r>
      <w:r w:rsidR="002B0322" w:rsidRPr="00FD0348">
        <w:t xml:space="preserve"> of income taxes and special items </w:t>
      </w:r>
      <w:r w:rsidR="007C6FBC" w:rsidRPr="00FD0348">
        <w:t>contributes</w:t>
      </w:r>
      <w:r w:rsidR="002B0322" w:rsidRPr="00FD0348">
        <w:t xml:space="preserve"> to the irregularity present in the earnings</w:t>
      </w:r>
      <w:r w:rsidR="006B690D" w:rsidRPr="00FD0348">
        <w:t xml:space="preserve"> distribution</w:t>
      </w:r>
      <w:r w:rsidR="00943D7A" w:rsidRPr="00FD0348">
        <w:t xml:space="preserve"> </w:t>
      </w:r>
      <w:r w:rsidR="007C6FBC" w:rsidRPr="00FD0348">
        <w:t xml:space="preserve">around zero </w:t>
      </w:r>
      <w:r w:rsidR="00943D7A" w:rsidRPr="00FD0348">
        <w:t xml:space="preserve">for the earnings level of public interest entities. </w:t>
      </w:r>
      <w:r w:rsidR="007C6FBC" w:rsidRPr="00FD0348">
        <w:t>However</w:t>
      </w:r>
      <w:r w:rsidR="00943D7A" w:rsidRPr="00FD0348">
        <w:t xml:space="preserve"> their findings suggest that </w:t>
      </w:r>
      <w:r w:rsidR="00B263D0" w:rsidRPr="00FD0348">
        <w:t xml:space="preserve">income taxes and special items do not cause public interest entities to move from small loss </w:t>
      </w:r>
      <w:r w:rsidR="006B690D" w:rsidRPr="00FD0348">
        <w:t>position to</w:t>
      </w:r>
      <w:r w:rsidR="00B263D0" w:rsidRPr="00FD0348">
        <w:t xml:space="preserve"> small profit positions.</w:t>
      </w:r>
      <w:r w:rsidR="00103FAB" w:rsidRPr="00FD0348">
        <w:t xml:space="preserve"> </w:t>
      </w:r>
      <w:proofErr w:type="spellStart"/>
      <w:r w:rsidR="00957DB1" w:rsidRPr="00FD0348">
        <w:t>Durtschi</w:t>
      </w:r>
      <w:proofErr w:type="spellEnd"/>
      <w:r w:rsidR="00957DB1" w:rsidRPr="00FD0348">
        <w:t xml:space="preserve"> &amp; Easton</w:t>
      </w:r>
      <w:r w:rsidR="00417C42">
        <w:t>’s</w:t>
      </w:r>
      <w:r w:rsidR="00957DB1" w:rsidRPr="00FD0348">
        <w:t xml:space="preserve"> (</w:t>
      </w:r>
      <w:r>
        <w:t xml:space="preserve">2004, </w:t>
      </w:r>
      <w:r w:rsidR="00957DB1" w:rsidRPr="00FD0348">
        <w:t>2005</w:t>
      </w:r>
      <w:r>
        <w:t xml:space="preserve">, </w:t>
      </w:r>
      <w:proofErr w:type="gramStart"/>
      <w:r>
        <w:t>2009</w:t>
      </w:r>
      <w:proofErr w:type="gramEnd"/>
      <w:r w:rsidR="00957DB1" w:rsidRPr="00FD0348">
        <w:t xml:space="preserve">) findings suggest that the irregularities present around zero are </w:t>
      </w:r>
      <w:r w:rsidR="000B5B2E" w:rsidRPr="00FD0348">
        <w:t xml:space="preserve">caused by </w:t>
      </w:r>
      <w:r w:rsidR="00417C42">
        <w:t xml:space="preserve">other plausible explanations such as </w:t>
      </w:r>
      <w:r w:rsidR="006B7FBC" w:rsidRPr="00FD0348">
        <w:t>scaling</w:t>
      </w:r>
      <w:r w:rsidR="000B5B2E" w:rsidRPr="00FD0348">
        <w:t xml:space="preserve">, sample selection, </w:t>
      </w:r>
      <w:r w:rsidR="000502C2" w:rsidRPr="00FD0348">
        <w:t>statistical bias issues</w:t>
      </w:r>
      <w:r w:rsidR="000B5B2E" w:rsidRPr="00FD0348">
        <w:t>, or a combination of these effects.</w:t>
      </w:r>
      <w:r w:rsidR="00CE7055" w:rsidRPr="00FD0348">
        <w:t xml:space="preserve"> </w:t>
      </w:r>
      <w:r w:rsidR="000D5259">
        <w:t xml:space="preserve">The results </w:t>
      </w:r>
      <w:r w:rsidR="00885202">
        <w:t xml:space="preserve">from </w:t>
      </w:r>
      <w:proofErr w:type="spellStart"/>
      <w:r w:rsidR="00885202" w:rsidRPr="00FD0348">
        <w:t>Durtschi</w:t>
      </w:r>
      <w:proofErr w:type="spellEnd"/>
      <w:r w:rsidR="00885202" w:rsidRPr="00FD0348">
        <w:t xml:space="preserve"> &amp; Easton </w:t>
      </w:r>
      <w:r w:rsidR="00885202">
        <w:t>(</w:t>
      </w:r>
      <w:r w:rsidR="00885202" w:rsidRPr="00FD0348">
        <w:t>2004</w:t>
      </w:r>
      <w:r w:rsidR="00885202">
        <w:t>, 2005, 2009) and</w:t>
      </w:r>
      <w:r w:rsidR="00885202" w:rsidRPr="00FD0348">
        <w:t xml:space="preserve"> Beaver</w:t>
      </w:r>
      <w:r w:rsidR="00885202">
        <w:t xml:space="preserve"> et al. (</w:t>
      </w:r>
      <w:r w:rsidR="00885202" w:rsidRPr="00FD0348">
        <w:t>2007</w:t>
      </w:r>
      <w:r w:rsidR="00885202">
        <w:t xml:space="preserve">) </w:t>
      </w:r>
      <w:r w:rsidR="000D5259">
        <w:t>suggest</w:t>
      </w:r>
      <w:r w:rsidR="00885202">
        <w:t>s</w:t>
      </w:r>
      <w:r w:rsidR="000D5259">
        <w:t xml:space="preserve"> that</w:t>
      </w:r>
      <w:r w:rsidR="00C30652">
        <w:t xml:space="preserve"> when using benchmarking approaches</w:t>
      </w:r>
      <w:r w:rsidR="00814028">
        <w:t xml:space="preserve"> it is difficult to distinguish the public interest entities that are present into </w:t>
      </w:r>
      <w:r w:rsidR="008367E9">
        <w:t xml:space="preserve">the </w:t>
      </w:r>
      <w:r w:rsidR="00814028">
        <w:t>irregularit</w:t>
      </w:r>
      <w:r w:rsidR="008367E9">
        <w:t>y</w:t>
      </w:r>
      <w:r w:rsidR="00814028">
        <w:t xml:space="preserve"> </w:t>
      </w:r>
      <w:r w:rsidR="008367E9">
        <w:t xml:space="preserve">area </w:t>
      </w:r>
      <w:r w:rsidR="00814028">
        <w:t xml:space="preserve">by chance versus those </w:t>
      </w:r>
      <w:r w:rsidR="00885202">
        <w:t xml:space="preserve">that </w:t>
      </w:r>
      <w:r w:rsidR="00814028">
        <w:t>used earnings manipulation or forecast guidance</w:t>
      </w:r>
      <w:r w:rsidR="00AB5E17">
        <w:t>.</w:t>
      </w:r>
      <w:r w:rsidR="008367E9">
        <w:t xml:space="preserve"> </w:t>
      </w:r>
      <w:r w:rsidR="004C46A7" w:rsidRPr="00FD0348">
        <w:t>However,</w:t>
      </w:r>
      <w:r w:rsidR="00EB5BDF" w:rsidRPr="00FD0348">
        <w:t xml:space="preserve"> </w:t>
      </w:r>
      <w:proofErr w:type="spellStart"/>
      <w:r w:rsidR="004C46A7" w:rsidRPr="00FD0348">
        <w:t>Dechow</w:t>
      </w:r>
      <w:proofErr w:type="spellEnd"/>
      <w:r w:rsidR="004C46A7" w:rsidRPr="00FD0348">
        <w:t xml:space="preserve"> et al. (2010) sugges</w:t>
      </w:r>
      <w:r w:rsidR="00814028">
        <w:t>t</w:t>
      </w:r>
      <w:r w:rsidR="004C46A7" w:rsidRPr="00FD0348">
        <w:t xml:space="preserve"> that the avoidance of earnings surprises is more “persuasive” than the other benchmarking approaches due to the stronger evidence that analysts’ forecasts targets can be influenced. </w:t>
      </w:r>
      <w:r w:rsidR="00D92E54">
        <w:t>Furthermore</w:t>
      </w:r>
      <w:r w:rsidR="00885202">
        <w:t>, the empirical lit</w:t>
      </w:r>
      <w:r w:rsidR="00E61F65">
        <w:t>er</w:t>
      </w:r>
      <w:r w:rsidR="00885202">
        <w:t xml:space="preserve">ature reviewed by </w:t>
      </w:r>
      <w:proofErr w:type="spellStart"/>
      <w:r w:rsidR="00885202">
        <w:t>Dechow</w:t>
      </w:r>
      <w:proofErr w:type="spellEnd"/>
      <w:r w:rsidR="00885202">
        <w:t xml:space="preserve"> et al. (2010) </w:t>
      </w:r>
      <w:r w:rsidR="00C30652">
        <w:t>suggests that p</w:t>
      </w:r>
      <w:r w:rsidR="00773443">
        <w:t>ublic interest entities that meet or barely beat analysts’ forecast targets are likely doing so by manipulating</w:t>
      </w:r>
      <w:r w:rsidR="00773443">
        <w:rPr>
          <w:rStyle w:val="FootnoteReference"/>
        </w:rPr>
        <w:footnoteReference w:id="13"/>
      </w:r>
      <w:r w:rsidR="00773443">
        <w:t xml:space="preserve"> the public interest </w:t>
      </w:r>
      <w:r w:rsidR="00773443">
        <w:lastRenderedPageBreak/>
        <w:t xml:space="preserve">entity’s fundamental performance or accounting system. Matsumoto (2002) finds a relation between </w:t>
      </w:r>
      <w:r w:rsidR="00D44C05">
        <w:t>meeting and beating analysts’ forecasts and the public interest entity’s equity market incentives. Furthermore, t</w:t>
      </w:r>
      <w:r w:rsidR="00D44C05" w:rsidRPr="00FD0348">
        <w:t xml:space="preserve">he results of Matsumoto’s (2002) study suggests that both mechanisms </w:t>
      </w:r>
      <w:r w:rsidR="008367E9">
        <w:t>(</w:t>
      </w:r>
      <w:r w:rsidR="00D44C05" w:rsidRPr="00FD0348">
        <w:t>earnings manipulation and forecast guidance</w:t>
      </w:r>
      <w:r w:rsidR="008367E9">
        <w:t>)</w:t>
      </w:r>
      <w:r w:rsidR="00D44C05" w:rsidRPr="00FD0348">
        <w:t xml:space="preserve"> are associated with avoiding negative earnings surprises, but only forecast guidance is associated with avoiding negative earnings surprises after controlling for other variables</w:t>
      </w:r>
      <w:r w:rsidR="00D44C05">
        <w:rPr>
          <w:rStyle w:val="FootnoteReference"/>
        </w:rPr>
        <w:footnoteReference w:id="14"/>
      </w:r>
      <w:r w:rsidR="00D44C05" w:rsidRPr="00FD0348">
        <w:t xml:space="preserve"> that are likely associated with the probability of meeting or </w:t>
      </w:r>
      <w:r w:rsidR="00FC3AD6">
        <w:t>just beating</w:t>
      </w:r>
      <w:r w:rsidR="00D44C05" w:rsidRPr="00FD0348">
        <w:t xml:space="preserve"> analysts’ forecasts.</w:t>
      </w:r>
      <w:r w:rsidR="00D44C05">
        <w:t xml:space="preserve"> </w:t>
      </w:r>
      <w:proofErr w:type="spellStart"/>
      <w:r w:rsidR="00AC261D">
        <w:t>Donelson</w:t>
      </w:r>
      <w:proofErr w:type="spellEnd"/>
      <w:r w:rsidR="00AC261D">
        <w:t xml:space="preserve">, McInnis &amp; Mergenthaler (2012) </w:t>
      </w:r>
      <w:r w:rsidR="00FC3AD6">
        <w:t xml:space="preserve">study a sample of public interest entity </w:t>
      </w:r>
      <w:r w:rsidR="008367E9">
        <w:t xml:space="preserve">containing </w:t>
      </w:r>
      <w:r w:rsidR="00CA231E">
        <w:t xml:space="preserve">the original reported financial statement (with manipulated earnings) and the </w:t>
      </w:r>
      <w:r w:rsidR="00397EEA">
        <w:t xml:space="preserve">restated prior financial statements </w:t>
      </w:r>
      <w:r w:rsidR="00CA231E">
        <w:t xml:space="preserve">(without manipulated earnings) </w:t>
      </w:r>
      <w:r w:rsidR="00397EEA">
        <w:t>as a result of securities litigation, therefore</w:t>
      </w:r>
      <w:r w:rsidR="00FC3AD6">
        <w:t xml:space="preserve"> the amount of earnings management is measurable. </w:t>
      </w:r>
      <w:proofErr w:type="spellStart"/>
      <w:r w:rsidR="00397EEA">
        <w:t>Donelson</w:t>
      </w:r>
      <w:proofErr w:type="spellEnd"/>
      <w:r w:rsidR="00397EEA">
        <w:t xml:space="preserve"> et al.’s (2012) </w:t>
      </w:r>
      <w:r w:rsidR="00CA231E">
        <w:t>result</w:t>
      </w:r>
      <w:r w:rsidR="00CA231E">
        <w:rPr>
          <w:rStyle w:val="FootnoteReference"/>
        </w:rPr>
        <w:footnoteReference w:id="15"/>
      </w:r>
      <w:r w:rsidR="00CA231E">
        <w:t xml:space="preserve"> suggest</w:t>
      </w:r>
      <w:r w:rsidR="00397EEA">
        <w:t xml:space="preserve"> that earnings management</w:t>
      </w:r>
      <w:r w:rsidR="001552ED">
        <w:t xml:space="preserve"> and / or forecast guidance</w:t>
      </w:r>
      <w:r w:rsidR="00397EEA">
        <w:t xml:space="preserve"> seems to be the driver behind the irregularity present around zero</w:t>
      </w:r>
      <w:r w:rsidR="00985E66">
        <w:t xml:space="preserve"> and that the irregularity present for public interest entities is more visible when analyzing analysts’ forecasts</w:t>
      </w:r>
      <w:r w:rsidR="00397EEA">
        <w:t xml:space="preserve">. </w:t>
      </w:r>
    </w:p>
    <w:p w:rsidR="00F30E08" w:rsidRPr="00FD0348" w:rsidRDefault="004C46A7" w:rsidP="00470966">
      <w:pPr>
        <w:ind w:right="27"/>
      </w:pPr>
      <w:r w:rsidRPr="00FD0348">
        <w:t xml:space="preserve">My </w:t>
      </w:r>
      <w:r w:rsidR="00814028">
        <w:t>m</w:t>
      </w:r>
      <w:r w:rsidR="003E2CA4" w:rsidRPr="00FD0348">
        <w:t>aster’s</w:t>
      </w:r>
      <w:r w:rsidR="00BB4BCE" w:rsidRPr="00FD0348">
        <w:t xml:space="preserve"> thesis</w:t>
      </w:r>
      <w:r w:rsidRPr="00FD0348">
        <w:t xml:space="preserve"> will </w:t>
      </w:r>
      <w:r w:rsidR="00985E66">
        <w:t xml:space="preserve">therefore </w:t>
      </w:r>
      <w:r w:rsidRPr="00FD0348">
        <w:t xml:space="preserve">focus on the analysts’ forecasts benchmarking approach. </w:t>
      </w:r>
      <w:r w:rsidR="00885202">
        <w:t>T</w:t>
      </w:r>
      <w:r w:rsidRPr="00FD0348">
        <w:t>o test if EU public interest entities are manipulating their earnings upwards to avoid reporting bad news to their stakeholders I will also test the sample using the small earnings change benchmarking approach to determine if the results are consistent with the analysts’ forecasts benchmarking results.</w:t>
      </w:r>
    </w:p>
    <w:p w:rsidR="004D503D" w:rsidRDefault="004D503D">
      <w:pPr>
        <w:spacing w:before="200" w:after="200" w:line="276" w:lineRule="auto"/>
        <w:ind w:firstLine="0"/>
        <w:jc w:val="left"/>
        <w:rPr>
          <w:b/>
          <w:bCs/>
          <w:caps/>
          <w:color w:val="FFFFFF" w:themeColor="background1"/>
          <w:spacing w:val="15"/>
          <w:szCs w:val="22"/>
        </w:rPr>
      </w:pPr>
      <w:bookmarkStart w:id="12" w:name="_Toc364177653"/>
      <w:r>
        <w:br w:type="page"/>
      </w:r>
    </w:p>
    <w:p w:rsidR="00652C8F" w:rsidRPr="00FD0348" w:rsidRDefault="00652C8F" w:rsidP="00470966">
      <w:pPr>
        <w:pStyle w:val="Heading1"/>
        <w:ind w:right="27"/>
      </w:pPr>
      <w:bookmarkStart w:id="13" w:name="_Toc364200632"/>
      <w:r w:rsidRPr="00FD0348">
        <w:lastRenderedPageBreak/>
        <w:t xml:space="preserve">III </w:t>
      </w:r>
      <w:r w:rsidR="006E0229" w:rsidRPr="00FD0348">
        <w:t>Relevant</w:t>
      </w:r>
      <w:r w:rsidRPr="00FD0348">
        <w:t xml:space="preserve"> literature</w:t>
      </w:r>
      <w:bookmarkEnd w:id="12"/>
      <w:bookmarkEnd w:id="13"/>
    </w:p>
    <w:p w:rsidR="006C06CF" w:rsidRPr="00FD0348" w:rsidRDefault="00652C8F" w:rsidP="00470966">
      <w:pPr>
        <w:ind w:right="27"/>
      </w:pPr>
      <w:r w:rsidRPr="00FD0348">
        <w:t xml:space="preserve">In this Section I will discuss the prior empirical literature related to audit committee performance and earnings quality. After reviewing several empirical studies </w:t>
      </w:r>
      <w:r w:rsidR="00B721BE" w:rsidRPr="00FD0348">
        <w:t>investigating</w:t>
      </w:r>
      <w:r w:rsidR="004340CD" w:rsidRPr="00FD0348">
        <w:t xml:space="preserve"> </w:t>
      </w:r>
      <w:r w:rsidR="00B721BE" w:rsidRPr="00FD0348">
        <w:t xml:space="preserve">the effect of </w:t>
      </w:r>
      <w:r w:rsidR="004340CD" w:rsidRPr="00FD0348">
        <w:t>director</w:t>
      </w:r>
      <w:r w:rsidR="00B721BE" w:rsidRPr="00FD0348">
        <w:t>s’</w:t>
      </w:r>
      <w:r w:rsidR="004340CD" w:rsidRPr="00FD0348">
        <w:t xml:space="preserve"> </w:t>
      </w:r>
      <w:r w:rsidR="00B721BE" w:rsidRPr="00FD0348">
        <w:t xml:space="preserve">and </w:t>
      </w:r>
      <w:r w:rsidRPr="00FD0348">
        <w:t>audit committee</w:t>
      </w:r>
      <w:r w:rsidR="00B721BE" w:rsidRPr="00FD0348">
        <w:t>s’</w:t>
      </w:r>
      <w:r w:rsidRPr="00FD0348">
        <w:t xml:space="preserve"> </w:t>
      </w:r>
      <w:r w:rsidR="00F26F45" w:rsidRPr="00FD0348">
        <w:t>characteristics</w:t>
      </w:r>
      <w:r w:rsidRPr="00FD0348">
        <w:t xml:space="preserve"> </w:t>
      </w:r>
      <w:r w:rsidR="004340CD" w:rsidRPr="00FD0348">
        <w:t>as determinant</w:t>
      </w:r>
      <w:r w:rsidR="007E26D9" w:rsidRPr="00FD0348">
        <w:t>s</w:t>
      </w:r>
      <w:r w:rsidR="004340CD" w:rsidRPr="00FD0348">
        <w:t xml:space="preserve"> of</w:t>
      </w:r>
      <w:r w:rsidRPr="00FD0348">
        <w:t xml:space="preserve"> earnings quality, </w:t>
      </w:r>
      <w:r w:rsidR="00F26F45" w:rsidRPr="00FD0348">
        <w:t xml:space="preserve">I can conclude </w:t>
      </w:r>
      <w:r w:rsidR="00D36568" w:rsidRPr="00FD0348">
        <w:t xml:space="preserve">that </w:t>
      </w:r>
      <w:r w:rsidR="00B721BE" w:rsidRPr="00FD0348">
        <w:t xml:space="preserve">the </w:t>
      </w:r>
      <w:r w:rsidRPr="00FD0348">
        <w:t xml:space="preserve">prior </w:t>
      </w:r>
      <w:r w:rsidR="00F26F45" w:rsidRPr="00FD0348">
        <w:t>empirical literature</w:t>
      </w:r>
      <w:r w:rsidR="00731A2E" w:rsidRPr="00FD0348">
        <w:t>’s</w:t>
      </w:r>
      <w:r w:rsidR="00D36568" w:rsidRPr="00FD0348">
        <w:t xml:space="preserve"> focus has been more on</w:t>
      </w:r>
      <w:r w:rsidR="00F26F45" w:rsidRPr="00FD0348">
        <w:t xml:space="preserve"> </w:t>
      </w:r>
      <w:r w:rsidR="00D36568" w:rsidRPr="00FD0348">
        <w:t>audit committee characteristics such as independence</w:t>
      </w:r>
      <w:r w:rsidR="00931E21" w:rsidRPr="00FD0348">
        <w:t>,</w:t>
      </w:r>
      <w:r w:rsidR="00D36568" w:rsidRPr="00FD0348">
        <w:t xml:space="preserve"> meeting frequency </w:t>
      </w:r>
      <w:r w:rsidR="00931E21" w:rsidRPr="00FD0348">
        <w:t xml:space="preserve">and </w:t>
      </w:r>
      <w:r w:rsidR="00882DB5" w:rsidRPr="00FD0348">
        <w:t>ownership</w:t>
      </w:r>
      <w:r w:rsidR="00931E21" w:rsidRPr="00FD0348">
        <w:t xml:space="preserve"> </w:t>
      </w:r>
      <w:r w:rsidR="00B721BE" w:rsidRPr="00FD0348">
        <w:t xml:space="preserve">as </w:t>
      </w:r>
      <w:r w:rsidR="007E26D9" w:rsidRPr="00FD0348">
        <w:t>determinants</w:t>
      </w:r>
      <w:r w:rsidR="00B721BE" w:rsidRPr="00FD0348">
        <w:t xml:space="preserve"> </w:t>
      </w:r>
      <w:r w:rsidRPr="00FD0348">
        <w:t xml:space="preserve">of earnings quality. </w:t>
      </w:r>
      <w:r w:rsidR="00D36568" w:rsidRPr="00FD0348">
        <w:t xml:space="preserve">While the literature does focus to some extent on </w:t>
      </w:r>
      <w:r w:rsidR="00DE383F" w:rsidRPr="00FD0348">
        <w:t>director’s</w:t>
      </w:r>
      <w:r w:rsidR="00D36568" w:rsidRPr="00FD0348">
        <w:t xml:space="preserve"> expertise as determinants, t</w:t>
      </w:r>
      <w:r w:rsidR="00B721BE" w:rsidRPr="00FD0348">
        <w:t xml:space="preserve">o my knowledge there is no </w:t>
      </w:r>
      <w:r w:rsidR="006B4024" w:rsidRPr="00FD0348">
        <w:t xml:space="preserve">empirical </w:t>
      </w:r>
      <w:r w:rsidR="00B721BE" w:rsidRPr="00FD0348">
        <w:t xml:space="preserve">study investigating the effects of the audit </w:t>
      </w:r>
      <w:r w:rsidR="001442CF" w:rsidRPr="00FD0348">
        <w:t xml:space="preserve">committee </w:t>
      </w:r>
      <w:r w:rsidR="00DE383F" w:rsidRPr="00FD0348">
        <w:t>composition and expertise requirements</w:t>
      </w:r>
      <w:r w:rsidR="00B721BE" w:rsidRPr="00FD0348">
        <w:t xml:space="preserve"> </w:t>
      </w:r>
      <w:r w:rsidR="00221580" w:rsidRPr="00FD0348">
        <w:t xml:space="preserve">transformation </w:t>
      </w:r>
      <w:r w:rsidR="001442CF" w:rsidRPr="00FD0348">
        <w:t>that is being proposed by the European Commission</w:t>
      </w:r>
      <w:r w:rsidR="00DE383F" w:rsidRPr="00FD0348">
        <w:t xml:space="preserve"> in the proposed audit reform (EC 2011)</w:t>
      </w:r>
      <w:proofErr w:type="gramStart"/>
      <w:r w:rsidR="001442CF" w:rsidRPr="00FD0348">
        <w:t>.</w:t>
      </w:r>
      <w:proofErr w:type="gramEnd"/>
      <w:r w:rsidR="001442CF" w:rsidRPr="00FD0348">
        <w:t xml:space="preserve"> </w:t>
      </w:r>
    </w:p>
    <w:p w:rsidR="00114F90" w:rsidRPr="00FD0348" w:rsidRDefault="00221580" w:rsidP="00470966">
      <w:pPr>
        <w:ind w:right="27"/>
      </w:pPr>
      <w:r w:rsidRPr="00FD0348">
        <w:t xml:space="preserve">What separates my </w:t>
      </w:r>
      <w:r w:rsidR="00015288" w:rsidRPr="00FD0348">
        <w:t>m</w:t>
      </w:r>
      <w:r w:rsidR="0081440A" w:rsidRPr="00FD0348">
        <w:t>aster’s thesis</w:t>
      </w:r>
      <w:r w:rsidRPr="00FD0348">
        <w:t xml:space="preserve"> from other empirical</w:t>
      </w:r>
      <w:r w:rsidR="00EF7BFB" w:rsidRPr="00FD0348">
        <w:t xml:space="preserve"> studies is that</w:t>
      </w:r>
      <w:r w:rsidRPr="00FD0348">
        <w:t xml:space="preserve"> </w:t>
      </w:r>
      <w:r w:rsidR="005B2963" w:rsidRPr="00FD0348">
        <w:t xml:space="preserve">audit committee director qualifying as financial </w:t>
      </w:r>
      <w:r w:rsidR="00EF7BFB" w:rsidRPr="00FD0348">
        <w:t>expert</w:t>
      </w:r>
      <w:r w:rsidR="005B2963" w:rsidRPr="00FD0348">
        <w:t>s</w:t>
      </w:r>
      <w:r w:rsidR="00EF7BFB" w:rsidRPr="00FD0348">
        <w:t xml:space="preserve"> </w:t>
      </w:r>
      <w:r w:rsidRPr="00FD0348">
        <w:t xml:space="preserve">will be </w:t>
      </w:r>
      <w:r w:rsidR="006F211F" w:rsidRPr="00FD0348">
        <w:t>documented</w:t>
      </w:r>
      <w:r w:rsidR="00EF7BFB" w:rsidRPr="00FD0348">
        <w:t xml:space="preserve"> </w:t>
      </w:r>
      <w:r w:rsidRPr="00FD0348">
        <w:t xml:space="preserve">as directors with </w:t>
      </w:r>
      <w:r w:rsidR="00125E73" w:rsidRPr="00FD0348">
        <w:t xml:space="preserve">knowledge and </w:t>
      </w:r>
      <w:r w:rsidRPr="00FD0348">
        <w:t>exper</w:t>
      </w:r>
      <w:r w:rsidR="00EF7BFB" w:rsidRPr="00FD0348">
        <w:t xml:space="preserve">ience in accounting or auditing instead of directors </w:t>
      </w:r>
      <w:r w:rsidR="00DE383F" w:rsidRPr="00FD0348">
        <w:t xml:space="preserve">that are experts in accounting, auditing </w:t>
      </w:r>
      <w:r w:rsidR="005B2963" w:rsidRPr="00FD0348">
        <w:t>or</w:t>
      </w:r>
      <w:r w:rsidR="00EF7BFB" w:rsidRPr="00FD0348">
        <w:t xml:space="preserve"> non-accounting </w:t>
      </w:r>
      <w:r w:rsidR="00AC12FF" w:rsidRPr="00FD0348">
        <w:t>(</w:t>
      </w:r>
      <w:r w:rsidR="005B2963" w:rsidRPr="00FD0348">
        <w:t xml:space="preserve">such as: </w:t>
      </w:r>
      <w:r w:rsidR="00B85C23" w:rsidRPr="00FD0348">
        <w:t xml:space="preserve">block holding, </w:t>
      </w:r>
      <w:r w:rsidR="00AC12FF" w:rsidRPr="00FD0348">
        <w:t>finance, banking a</w:t>
      </w:r>
      <w:r w:rsidR="00882DB5" w:rsidRPr="00FD0348">
        <w:t>nd investment banking)</w:t>
      </w:r>
      <w:r w:rsidR="00DE383F" w:rsidRPr="00FD0348">
        <w:t xml:space="preserve"> topics</w:t>
      </w:r>
      <w:r w:rsidR="00AC12FF" w:rsidRPr="00FD0348">
        <w:t>.</w:t>
      </w:r>
      <w:r w:rsidR="006F211F" w:rsidRPr="00FD0348">
        <w:t xml:space="preserve"> </w:t>
      </w:r>
      <w:r w:rsidR="00D04943" w:rsidRPr="00FD0348">
        <w:t xml:space="preserve">Furthermore, </w:t>
      </w:r>
      <w:r w:rsidR="00114F90" w:rsidRPr="00FD0348">
        <w:t>most empirical studies examined public-interest entities in the United States that are currently using different institutional settings than those in the</w:t>
      </w:r>
      <w:r w:rsidR="00D04943" w:rsidRPr="00FD0348">
        <w:t xml:space="preserve"> European Union </w:t>
      </w:r>
      <w:r w:rsidR="00114F90" w:rsidRPr="00FD0348">
        <w:t xml:space="preserve">member states. </w:t>
      </w:r>
      <w:r w:rsidR="00D04943" w:rsidRPr="00FD0348">
        <w:t xml:space="preserve">While US public-interest entities are following the Sarbanes-Oxley act for audit committee structure requirements, the EU public-interest entities are following the </w:t>
      </w:r>
      <w:r w:rsidR="007A1E06" w:rsidRPr="00FD0348">
        <w:t>rules and regulations that are applicable in the EU member state</w:t>
      </w:r>
      <w:r w:rsidR="00D97EEF" w:rsidRPr="00FD0348">
        <w:t>s</w:t>
      </w:r>
      <w:r w:rsidR="007A1E06" w:rsidRPr="00FD0348">
        <w:t xml:space="preserve">. </w:t>
      </w:r>
      <w:r w:rsidR="00114F90" w:rsidRPr="00FD0348">
        <w:t xml:space="preserve">Therefore my </w:t>
      </w:r>
      <w:r w:rsidR="00144A7F">
        <w:t>m</w:t>
      </w:r>
      <w:r w:rsidR="0081440A" w:rsidRPr="00FD0348">
        <w:t>aster’s thesis</w:t>
      </w:r>
      <w:r w:rsidR="00114F90" w:rsidRPr="00FD0348">
        <w:t xml:space="preserve"> will contribute in extending the audit committee literature by providing evidence on EU public-interest entities</w:t>
      </w:r>
      <w:r w:rsidR="006C06CF" w:rsidRPr="00FD0348">
        <w:t xml:space="preserve"> in different EU member states</w:t>
      </w:r>
      <w:r w:rsidR="00114F90" w:rsidRPr="00FD0348">
        <w:t xml:space="preserve"> and identifying the effect that the EU</w:t>
      </w:r>
      <w:r w:rsidR="00BC42E0" w:rsidRPr="00FD0348">
        <w:t xml:space="preserve">FE </w:t>
      </w:r>
      <w:r w:rsidR="00114F90" w:rsidRPr="00FD0348">
        <w:t xml:space="preserve">will have on the audit committee performance. </w:t>
      </w:r>
      <w:r w:rsidR="00464D4C" w:rsidRPr="00FD0348">
        <w:t>Policy makers, r</w:t>
      </w:r>
      <w:r w:rsidR="00114F90" w:rsidRPr="00FD0348">
        <w:t xml:space="preserve">egulators </w:t>
      </w:r>
      <w:r w:rsidR="00464D4C" w:rsidRPr="00FD0348">
        <w:t>(</w:t>
      </w:r>
      <w:r w:rsidR="00114F90" w:rsidRPr="00FD0348">
        <w:t>such as the European Commission</w:t>
      </w:r>
      <w:r w:rsidR="00464D4C" w:rsidRPr="00FD0348">
        <w:t>), management (both executives and non-executives) and s</w:t>
      </w:r>
      <w:r w:rsidR="00D85EA9" w:rsidRPr="00FD0348">
        <w:t>take</w:t>
      </w:r>
      <w:r w:rsidR="00464D4C" w:rsidRPr="00FD0348">
        <w:t>holders</w:t>
      </w:r>
      <w:r w:rsidR="00114F90" w:rsidRPr="00FD0348">
        <w:t xml:space="preserve"> will gain important insights whether the transformation of the audit committee </w:t>
      </w:r>
      <w:r w:rsidR="00464D4C" w:rsidRPr="00FD0348">
        <w:t xml:space="preserve">structure </w:t>
      </w:r>
      <w:r w:rsidR="00114F90" w:rsidRPr="00FD0348">
        <w:t>improve</w:t>
      </w:r>
      <w:r w:rsidR="00464D4C" w:rsidRPr="00FD0348">
        <w:t>s</w:t>
      </w:r>
      <w:r w:rsidR="00114F90" w:rsidRPr="00FD0348">
        <w:t xml:space="preserve"> the supervision capability of the audit committee</w:t>
      </w:r>
      <w:r w:rsidR="00464D4C" w:rsidRPr="00FD0348">
        <w:t xml:space="preserve"> in order to attain better financial reporting </w:t>
      </w:r>
      <w:r w:rsidR="00BC42E0" w:rsidRPr="00FD0348">
        <w:t xml:space="preserve">quality </w:t>
      </w:r>
      <w:r w:rsidR="00464D4C" w:rsidRPr="00FD0348">
        <w:t>for EU public-interest entities</w:t>
      </w:r>
      <w:r w:rsidR="00114F90" w:rsidRPr="00FD0348">
        <w:t>.</w:t>
      </w:r>
    </w:p>
    <w:p w:rsidR="004D503D" w:rsidRDefault="00FC1E96" w:rsidP="001A2B08">
      <w:pPr>
        <w:ind w:right="27"/>
        <w:rPr>
          <w:caps/>
          <w:spacing w:val="15"/>
          <w:szCs w:val="22"/>
        </w:rPr>
      </w:pPr>
      <w:r w:rsidRPr="00FD0348">
        <w:t xml:space="preserve">Using the earnings quality </w:t>
      </w:r>
      <w:r w:rsidR="007E26D9" w:rsidRPr="00FD0348">
        <w:t>proxies</w:t>
      </w:r>
      <w:r w:rsidRPr="00FD0348">
        <w:t xml:space="preserve"> identified by </w:t>
      </w:r>
      <w:proofErr w:type="spellStart"/>
      <w:r w:rsidRPr="00FD0348">
        <w:t>Dechow</w:t>
      </w:r>
      <w:proofErr w:type="spellEnd"/>
      <w:r w:rsidRPr="00FD0348">
        <w:t xml:space="preserve"> et al. (2010)</w:t>
      </w:r>
      <w:r w:rsidR="007E26D9" w:rsidRPr="00FD0348">
        <w:t>,</w:t>
      </w:r>
      <w:r w:rsidRPr="00FD0348">
        <w:t xml:space="preserve"> exhibit </w:t>
      </w:r>
      <w:r w:rsidR="001C756A" w:rsidRPr="00FD0348">
        <w:t>2</w:t>
      </w:r>
      <w:r w:rsidRPr="00FD0348">
        <w:t xml:space="preserve"> </w:t>
      </w:r>
      <w:r w:rsidR="007E26D9" w:rsidRPr="00FD0348">
        <w:t>summarize</w:t>
      </w:r>
      <w:r w:rsidR="00931E21" w:rsidRPr="00FD0348">
        <w:t>s</w:t>
      </w:r>
      <w:r w:rsidR="00994CE9" w:rsidRPr="00FD0348">
        <w:t xml:space="preserve"> the objective, sample, </w:t>
      </w:r>
      <w:r w:rsidR="006A0475" w:rsidRPr="00FD0348">
        <w:t>and proxy</w:t>
      </w:r>
      <w:r w:rsidR="00994CE9" w:rsidRPr="00FD0348">
        <w:t xml:space="preserve"> </w:t>
      </w:r>
      <w:r w:rsidR="007E26D9" w:rsidRPr="00FD0348">
        <w:t>of</w:t>
      </w:r>
      <w:r w:rsidRPr="00FD0348">
        <w:t xml:space="preserve"> </w:t>
      </w:r>
      <w:r w:rsidR="00994CE9" w:rsidRPr="00FD0348">
        <w:t xml:space="preserve">the </w:t>
      </w:r>
      <w:r w:rsidR="00DE383F" w:rsidRPr="00FD0348">
        <w:t>relevant</w:t>
      </w:r>
      <w:r w:rsidR="007E26D9" w:rsidRPr="00FD0348">
        <w:t xml:space="preserve"> empirical studies on audit committee </w:t>
      </w:r>
      <w:r w:rsidR="005C730F" w:rsidRPr="00FD0348">
        <w:t>and director’</w:t>
      </w:r>
      <w:r w:rsidR="00931E21" w:rsidRPr="00FD0348">
        <w:t>s</w:t>
      </w:r>
      <w:r w:rsidR="005C730F" w:rsidRPr="00FD0348">
        <w:t xml:space="preserve"> characteristics</w:t>
      </w:r>
      <w:r w:rsidR="00B972DE" w:rsidRPr="00FD0348">
        <w:t>.</w:t>
      </w:r>
      <w:r w:rsidR="00876348" w:rsidRPr="00FD0348">
        <w:t xml:space="preserve"> </w:t>
      </w:r>
      <w:r w:rsidR="00C6601F" w:rsidRPr="00FD0348">
        <w:t xml:space="preserve">The results from the </w:t>
      </w:r>
      <w:r w:rsidR="00583D81" w:rsidRPr="00FD0348">
        <w:t xml:space="preserve">empirical studies </w:t>
      </w:r>
      <w:r w:rsidR="0062757C" w:rsidRPr="00FD0348">
        <w:t>provide</w:t>
      </w:r>
      <w:r w:rsidR="00190A30" w:rsidRPr="00FD0348">
        <w:t xml:space="preserve"> </w:t>
      </w:r>
      <w:r w:rsidR="00763ED1" w:rsidRPr="00FD0348">
        <w:t xml:space="preserve">consistent </w:t>
      </w:r>
      <w:r w:rsidR="00190A30" w:rsidRPr="00FD0348">
        <w:t xml:space="preserve">evidence </w:t>
      </w:r>
      <w:r w:rsidR="00D85EA9" w:rsidRPr="00FD0348">
        <w:t xml:space="preserve">suggesting </w:t>
      </w:r>
      <w:r w:rsidR="0091431C" w:rsidRPr="00FD0348">
        <w:t>that independence, financial literate directors</w:t>
      </w:r>
      <w:r w:rsidR="00C6601F" w:rsidRPr="00FD0348">
        <w:rPr>
          <w:rStyle w:val="FootnoteReference"/>
        </w:rPr>
        <w:footnoteReference w:id="16"/>
      </w:r>
      <w:r w:rsidR="0091431C" w:rsidRPr="00FD0348">
        <w:t xml:space="preserve"> and meeting frequency have a positive relationship with earnings quality.</w:t>
      </w:r>
      <w:r w:rsidR="0062176C" w:rsidRPr="00FD0348">
        <w:t xml:space="preserve"> Prior empirical literature studying the relationship among audit committee structures and earnings quality </w:t>
      </w:r>
      <w:r w:rsidR="00D92E54">
        <w:t>can be divided into</w:t>
      </w:r>
      <w:r w:rsidR="0062176C" w:rsidRPr="00FD0348">
        <w:t xml:space="preserve"> two </w:t>
      </w:r>
      <w:r w:rsidR="00BC4788" w:rsidRPr="00FD0348">
        <w:t>broad</w:t>
      </w:r>
      <w:r w:rsidR="0062176C" w:rsidRPr="00FD0348">
        <w:t xml:space="preserve"> proxy categories of earnings quality: (</w:t>
      </w:r>
      <w:r w:rsidR="00D92E54">
        <w:t>1</w:t>
      </w:r>
      <w:r w:rsidR="0062176C" w:rsidRPr="00FD0348">
        <w:t>) external indicators of earnings misstatements</w:t>
      </w:r>
      <w:r w:rsidR="00D92E54" w:rsidRPr="00D92E54">
        <w:t xml:space="preserve"> </w:t>
      </w:r>
      <w:r w:rsidR="00D92E54" w:rsidRPr="00FD0348">
        <w:t>and</w:t>
      </w:r>
      <w:r w:rsidR="00D92E54">
        <w:t xml:space="preserve"> </w:t>
      </w:r>
      <w:r w:rsidR="00D92E54" w:rsidRPr="00FD0348">
        <w:t>(</w:t>
      </w:r>
      <w:r w:rsidR="00D92E54">
        <w:t>2</w:t>
      </w:r>
      <w:r w:rsidR="00D92E54" w:rsidRPr="00FD0348">
        <w:t>) properties of earnings</w:t>
      </w:r>
      <w:r w:rsidR="0062176C" w:rsidRPr="00FD0348">
        <w:t>.</w:t>
      </w:r>
      <w:bookmarkStart w:id="14" w:name="_Toc364177654"/>
      <w:r w:rsidR="004D503D">
        <w:br w:type="page"/>
      </w:r>
    </w:p>
    <w:p w:rsidR="00D92E54" w:rsidRPr="00FD0348" w:rsidRDefault="00101756" w:rsidP="00470966">
      <w:pPr>
        <w:pStyle w:val="Heading2"/>
        <w:ind w:right="27"/>
      </w:pPr>
      <w:bookmarkStart w:id="15" w:name="_Toc364200633"/>
      <w:r>
        <w:lastRenderedPageBreak/>
        <w:t xml:space="preserve">Empirical literature using </w:t>
      </w:r>
      <w:r w:rsidR="00D92E54">
        <w:t>External indicators of earnings misstatements</w:t>
      </w:r>
      <w:bookmarkEnd w:id="14"/>
      <w:bookmarkEnd w:id="15"/>
    </w:p>
    <w:p w:rsidR="0062176C" w:rsidRDefault="0062176C" w:rsidP="00470966">
      <w:pPr>
        <w:ind w:right="27"/>
      </w:pPr>
      <w:r w:rsidRPr="00FD0348">
        <w:t xml:space="preserve">I have reviewed empirical studies from </w:t>
      </w:r>
      <w:proofErr w:type="spellStart"/>
      <w:r w:rsidRPr="00FD0348">
        <w:t>Carcello</w:t>
      </w:r>
      <w:proofErr w:type="spellEnd"/>
      <w:r w:rsidRPr="00FD0348">
        <w:t xml:space="preserve"> &amp; Neal (2000), Abbot, Parker &amp; Peters (2004) and </w:t>
      </w:r>
      <w:proofErr w:type="spellStart"/>
      <w:r w:rsidRPr="00FD0348">
        <w:t>Karamanou</w:t>
      </w:r>
      <w:proofErr w:type="spellEnd"/>
      <w:r w:rsidRPr="00FD0348">
        <w:t xml:space="preserve"> &amp; </w:t>
      </w:r>
      <w:proofErr w:type="spellStart"/>
      <w:r w:rsidRPr="00FD0348">
        <w:t>Vafeas</w:t>
      </w:r>
      <w:proofErr w:type="spellEnd"/>
      <w:r w:rsidRPr="00FD0348">
        <w:t xml:space="preserve"> (2005) who focused on external indicators of earnings misstatements to measure earnings quality. </w:t>
      </w:r>
      <w:proofErr w:type="spellStart"/>
      <w:r w:rsidRPr="00FD0348">
        <w:t>Carcello</w:t>
      </w:r>
      <w:proofErr w:type="spellEnd"/>
      <w:r w:rsidRPr="00FD0348">
        <w:t xml:space="preserve"> &amp; Neal (2000) investigate whether the composition of financially distressed entity’s audit committees are related to the likelihood of receiving going-concern reports from their statutory auditor. The evidence provided by </w:t>
      </w:r>
      <w:proofErr w:type="spellStart"/>
      <w:r w:rsidRPr="00FD0348">
        <w:t>Carcello</w:t>
      </w:r>
      <w:proofErr w:type="spellEnd"/>
      <w:r w:rsidRPr="00FD0348">
        <w:t xml:space="preserve"> &amp; Neal (2000) suggests that the probability that the statutory auditors will issue a going-concern report is lower for public-interest entities with a high percentage of outside / independent directors serving on the audit committee. Abbott, Parker &amp; Peters (2004) investigate whether audit committee characteristics impacts the likeliho</w:t>
      </w:r>
      <w:r w:rsidR="00C9184A">
        <w:t>od of financial restatements;</w:t>
      </w:r>
      <w:r w:rsidRPr="00FD0348">
        <w:t xml:space="preserve"> they provide empirical evidence that audit committees that are more independent, meet more frequently and include at least one financial literat</w:t>
      </w:r>
      <w:r w:rsidR="00C9184A">
        <w:t>e</w:t>
      </w:r>
      <w:r w:rsidRPr="00FD0348">
        <w:t xml:space="preserve"> director exhibit significant negative association with the likelihood of financial restatements. </w:t>
      </w:r>
      <w:proofErr w:type="spellStart"/>
      <w:r w:rsidRPr="00FD0348">
        <w:t>Karamanou</w:t>
      </w:r>
      <w:proofErr w:type="spellEnd"/>
      <w:r w:rsidRPr="00FD0348">
        <w:t xml:space="preserve"> &amp; </w:t>
      </w:r>
      <w:proofErr w:type="spellStart"/>
      <w:r w:rsidRPr="00FD0348">
        <w:t>Vafeas</w:t>
      </w:r>
      <w:proofErr w:type="spellEnd"/>
      <w:r w:rsidRPr="00FD0348">
        <w:t xml:space="preserve"> (2005) investigate the impact of corporate board and audit committees on voluntary financial disclosure practices, proxied by the likelihood of management making or updating earnings forecast</w:t>
      </w:r>
      <w:r w:rsidR="00C9184A">
        <w:t>s</w:t>
      </w:r>
      <w:r w:rsidRPr="00FD0348">
        <w:t xml:space="preserve">. The result of </w:t>
      </w:r>
      <w:proofErr w:type="spellStart"/>
      <w:r w:rsidRPr="00FD0348">
        <w:t>Karamanou</w:t>
      </w:r>
      <w:proofErr w:type="spellEnd"/>
      <w:r w:rsidRPr="00FD0348">
        <w:t xml:space="preserve"> &amp; </w:t>
      </w:r>
      <w:proofErr w:type="spellStart"/>
      <w:r w:rsidRPr="00FD0348">
        <w:t>Vafeas</w:t>
      </w:r>
      <w:proofErr w:type="spellEnd"/>
      <w:r w:rsidRPr="00FD0348">
        <w:t xml:space="preserve"> (2005) suggest that public interest entities employing </w:t>
      </w:r>
      <w:r w:rsidR="00C9184A">
        <w:t xml:space="preserve">have </w:t>
      </w:r>
      <w:r w:rsidRPr="00FD0348">
        <w:t xml:space="preserve">“more effective corporate boards and audit committees, managers are more likely to make or update earnings forecast, and their forecast is less likely to be precise, it is more accurate, and it elicits a more favorable market response”. </w:t>
      </w:r>
      <w:proofErr w:type="spellStart"/>
      <w:r w:rsidRPr="00FD0348">
        <w:t>Karamanou</w:t>
      </w:r>
      <w:proofErr w:type="spellEnd"/>
      <w:r w:rsidRPr="00FD0348">
        <w:t xml:space="preserve"> &amp; </w:t>
      </w:r>
      <w:proofErr w:type="spellStart"/>
      <w:r w:rsidRPr="00FD0348">
        <w:t>Vafeas</w:t>
      </w:r>
      <w:proofErr w:type="spellEnd"/>
      <w:r w:rsidRPr="00FD0348">
        <w:t xml:space="preserve"> (2005) define the audit committee as being more effective when it’s more independent, employs at least one financial expert and meets more frequently. </w:t>
      </w:r>
    </w:p>
    <w:p w:rsidR="00D92E54" w:rsidRDefault="00D92E54" w:rsidP="00470966">
      <w:pPr>
        <w:ind w:right="27"/>
      </w:pPr>
    </w:p>
    <w:p w:rsidR="00D92E54" w:rsidRPr="009136C5" w:rsidRDefault="00101756" w:rsidP="00470966">
      <w:pPr>
        <w:pStyle w:val="Heading2"/>
        <w:ind w:right="27"/>
      </w:pPr>
      <w:bookmarkStart w:id="16" w:name="_Toc364177655"/>
      <w:bookmarkStart w:id="17" w:name="_Toc364200634"/>
      <w:r w:rsidRPr="009136C5">
        <w:rPr>
          <w:rStyle w:val="Emphasis"/>
          <w:caps/>
          <w:color w:val="auto"/>
          <w:spacing w:val="15"/>
        </w:rPr>
        <w:t xml:space="preserve">empirical literature using </w:t>
      </w:r>
      <w:r w:rsidR="00D92E54" w:rsidRPr="009136C5">
        <w:t>Properties of earnings</w:t>
      </w:r>
      <w:bookmarkEnd w:id="16"/>
      <w:bookmarkEnd w:id="17"/>
    </w:p>
    <w:p w:rsidR="00E87289" w:rsidRDefault="00C20B7D" w:rsidP="00470966">
      <w:pPr>
        <w:ind w:right="27"/>
      </w:pPr>
      <w:r w:rsidRPr="00FD0348">
        <w:t xml:space="preserve">I have </w:t>
      </w:r>
      <w:r w:rsidR="00BC4788" w:rsidRPr="00FD0348">
        <w:t xml:space="preserve">also </w:t>
      </w:r>
      <w:r w:rsidRPr="00FD0348">
        <w:t xml:space="preserve">reviewed several empirical studies (Klein 2002; </w:t>
      </w:r>
      <w:proofErr w:type="spellStart"/>
      <w:r w:rsidRPr="00FD0348">
        <w:t>Xie</w:t>
      </w:r>
      <w:proofErr w:type="spellEnd"/>
      <w:r w:rsidRPr="00FD0348">
        <w:t xml:space="preserve"> et al. 2003; </w:t>
      </w:r>
      <w:proofErr w:type="spellStart"/>
      <w:r w:rsidR="00BC4788" w:rsidRPr="00FD0348">
        <w:t>Vafeas</w:t>
      </w:r>
      <w:proofErr w:type="spellEnd"/>
      <w:r w:rsidR="00BC4788" w:rsidRPr="00FD0348">
        <w:t xml:space="preserve"> 2005; </w:t>
      </w:r>
      <w:proofErr w:type="spellStart"/>
      <w:r w:rsidRPr="00FD0348">
        <w:t>Carcello</w:t>
      </w:r>
      <w:proofErr w:type="spellEnd"/>
      <w:r w:rsidRPr="00FD0348">
        <w:t xml:space="preserve"> et al. 2006; </w:t>
      </w:r>
      <w:proofErr w:type="spellStart"/>
      <w:r w:rsidRPr="00FD0348">
        <w:t>Hooghiemstra</w:t>
      </w:r>
      <w:proofErr w:type="spellEnd"/>
      <w:r w:rsidRPr="00FD0348">
        <w:t xml:space="preserve"> 2008) </w:t>
      </w:r>
      <w:r w:rsidR="00BC4788" w:rsidRPr="00FD0348">
        <w:t xml:space="preserve">that focused on properties of earnings as </w:t>
      </w:r>
      <w:r w:rsidR="000E047A" w:rsidRPr="00FD0348">
        <w:t xml:space="preserve">their </w:t>
      </w:r>
      <w:r w:rsidR="00BC4788" w:rsidRPr="00FD0348">
        <w:t>earnings quality proxy.</w:t>
      </w:r>
      <w:r w:rsidR="00D76552" w:rsidRPr="00FD0348">
        <w:t xml:space="preserve"> The properties of earnings literature can be split into studies that used </w:t>
      </w:r>
      <w:r w:rsidR="00101756">
        <w:t xml:space="preserve">(a) </w:t>
      </w:r>
      <w:r w:rsidR="00D76552" w:rsidRPr="00FD0348">
        <w:t xml:space="preserve">accrual based measurements and </w:t>
      </w:r>
      <w:r w:rsidR="00101756">
        <w:t xml:space="preserve">(b) </w:t>
      </w:r>
      <w:r w:rsidR="00D76552" w:rsidRPr="00FD0348">
        <w:t xml:space="preserve">benchmarking approaches. </w:t>
      </w:r>
    </w:p>
    <w:p w:rsidR="004D503D" w:rsidRDefault="004D503D" w:rsidP="00470966">
      <w:pPr>
        <w:ind w:right="27"/>
      </w:pPr>
    </w:p>
    <w:p w:rsidR="00101756" w:rsidRPr="009136C5" w:rsidRDefault="00101756" w:rsidP="00470966">
      <w:pPr>
        <w:ind w:right="27"/>
        <w:rPr>
          <w:rStyle w:val="IntenseEmphasis"/>
        </w:rPr>
      </w:pPr>
      <w:r w:rsidRPr="009136C5">
        <w:rPr>
          <w:rStyle w:val="IntenseEmphasis"/>
        </w:rPr>
        <w:t>Accrual based measurement approaches</w:t>
      </w:r>
    </w:p>
    <w:p w:rsidR="004F6EC5" w:rsidRPr="00FD0348" w:rsidRDefault="00D76552" w:rsidP="00470966">
      <w:pPr>
        <w:ind w:right="27"/>
      </w:pPr>
      <w:r w:rsidRPr="00FD0348">
        <w:t xml:space="preserve">First I will discuss the empirical studies (Klein 2002; </w:t>
      </w:r>
      <w:proofErr w:type="spellStart"/>
      <w:r w:rsidRPr="00FD0348">
        <w:t>Xie</w:t>
      </w:r>
      <w:proofErr w:type="spellEnd"/>
      <w:r w:rsidRPr="00FD0348">
        <w:t xml:space="preserve"> et al. 2003; </w:t>
      </w:r>
      <w:proofErr w:type="spellStart"/>
      <w:r w:rsidRPr="00FD0348">
        <w:t>Carcello</w:t>
      </w:r>
      <w:proofErr w:type="spellEnd"/>
      <w:r w:rsidRPr="00FD0348">
        <w:t xml:space="preserve"> et al. 2006; </w:t>
      </w:r>
      <w:proofErr w:type="spellStart"/>
      <w:r w:rsidRPr="00FD0348">
        <w:t>Hooghiemstra</w:t>
      </w:r>
      <w:proofErr w:type="spellEnd"/>
      <w:r w:rsidRPr="00FD0348">
        <w:t xml:space="preserve"> 2008) </w:t>
      </w:r>
      <w:r w:rsidR="00795DE1" w:rsidRPr="00FD0348">
        <w:t>us</w:t>
      </w:r>
      <w:r w:rsidRPr="00FD0348">
        <w:t>ing</w:t>
      </w:r>
      <w:r w:rsidR="00795DE1" w:rsidRPr="00FD0348">
        <w:t xml:space="preserve"> </w:t>
      </w:r>
      <w:r w:rsidR="001758B8" w:rsidRPr="00FD0348">
        <w:t xml:space="preserve">accrual based measurements </w:t>
      </w:r>
      <w:r w:rsidR="00795DE1" w:rsidRPr="00FD0348">
        <w:t xml:space="preserve">to proxy </w:t>
      </w:r>
      <w:r w:rsidR="001758B8" w:rsidRPr="00FD0348">
        <w:t>for</w:t>
      </w:r>
      <w:r w:rsidR="00C20B7D" w:rsidRPr="00FD0348">
        <w:t xml:space="preserve"> earnings quality. </w:t>
      </w:r>
      <w:r w:rsidR="00795DE1" w:rsidRPr="00FD0348">
        <w:t xml:space="preserve">The </w:t>
      </w:r>
      <w:r w:rsidR="00F32F48" w:rsidRPr="00FD0348">
        <w:t>objectives from prior empirical studies investigate</w:t>
      </w:r>
      <w:r w:rsidR="00994CE9" w:rsidRPr="00FD0348">
        <w:t xml:space="preserve"> the </w:t>
      </w:r>
      <w:r w:rsidR="00795DE1" w:rsidRPr="00FD0348">
        <w:t xml:space="preserve">impact of </w:t>
      </w:r>
      <w:r w:rsidR="00994CE9" w:rsidRPr="00FD0348">
        <w:t>different a</w:t>
      </w:r>
      <w:r w:rsidR="00795DE1" w:rsidRPr="00FD0348">
        <w:t xml:space="preserve">udit committee </w:t>
      </w:r>
      <w:r w:rsidR="00795DE1" w:rsidRPr="00FD0348">
        <w:lastRenderedPageBreak/>
        <w:t>characteristics</w:t>
      </w:r>
      <w:r w:rsidR="00994CE9" w:rsidRPr="00FD0348">
        <w:t>’</w:t>
      </w:r>
      <w:r w:rsidR="00795DE1" w:rsidRPr="00FD0348">
        <w:t xml:space="preserve"> </w:t>
      </w:r>
      <w:r w:rsidR="00994CE9" w:rsidRPr="00FD0348">
        <w:t>combinations</w:t>
      </w:r>
      <w:r w:rsidR="00FA187E" w:rsidRPr="00FD0348">
        <w:rPr>
          <w:rStyle w:val="FootnoteReference"/>
        </w:rPr>
        <w:footnoteReference w:id="17"/>
      </w:r>
      <w:r w:rsidR="00994CE9" w:rsidRPr="00FD0348">
        <w:t xml:space="preserve"> </w:t>
      </w:r>
      <w:r w:rsidR="00795DE1" w:rsidRPr="00FD0348">
        <w:t xml:space="preserve">on earnings manipulation (Klein 2002; </w:t>
      </w:r>
      <w:proofErr w:type="spellStart"/>
      <w:r w:rsidR="00795DE1" w:rsidRPr="00FD0348">
        <w:t>Xie</w:t>
      </w:r>
      <w:proofErr w:type="spellEnd"/>
      <w:r w:rsidR="00795DE1" w:rsidRPr="00FD0348">
        <w:t xml:space="preserve"> et al. 2003; </w:t>
      </w:r>
      <w:proofErr w:type="spellStart"/>
      <w:r w:rsidR="00795DE1" w:rsidRPr="00FD0348">
        <w:t>Hooghiemstra</w:t>
      </w:r>
      <w:proofErr w:type="spellEnd"/>
      <w:r w:rsidR="00795DE1" w:rsidRPr="00FD0348">
        <w:t xml:space="preserve"> </w:t>
      </w:r>
      <w:r w:rsidR="006A0475" w:rsidRPr="00FD0348">
        <w:t xml:space="preserve">et al. </w:t>
      </w:r>
      <w:r w:rsidR="00F32F48">
        <w:t xml:space="preserve">2008). </w:t>
      </w:r>
      <w:r w:rsidR="00994CE9" w:rsidRPr="00FD0348">
        <w:t>Furthermore, t</w:t>
      </w:r>
      <w:r w:rsidR="00C20B7D" w:rsidRPr="00FD0348">
        <w:t xml:space="preserve">he earnings quality measurements </w:t>
      </w:r>
      <w:r w:rsidR="001758B8" w:rsidRPr="00FD0348">
        <w:t xml:space="preserve">for the above mentioned empirical studies </w:t>
      </w:r>
      <w:r w:rsidR="00C20B7D" w:rsidRPr="00FD0348">
        <w:t>vary from Jones (1991) model, modified Jones model (</w:t>
      </w:r>
      <w:proofErr w:type="spellStart"/>
      <w:r w:rsidR="00C20B7D" w:rsidRPr="00FD0348">
        <w:t>Dechow</w:t>
      </w:r>
      <w:proofErr w:type="spellEnd"/>
      <w:r w:rsidR="00C20B7D" w:rsidRPr="00FD0348">
        <w:t xml:space="preserve"> et al. 1995)</w:t>
      </w:r>
      <w:r w:rsidR="00C6601F" w:rsidRPr="00FD0348">
        <w:t xml:space="preserve"> and performance matched (Kothari et al. </w:t>
      </w:r>
      <w:r w:rsidR="001758B8" w:rsidRPr="00FD0348">
        <w:t>2005).</w:t>
      </w:r>
      <w:r w:rsidR="00C6601F" w:rsidRPr="00FD0348">
        <w:t xml:space="preserve"> </w:t>
      </w:r>
      <w:r w:rsidR="00F2379D" w:rsidRPr="00FD0348">
        <w:t>T</w:t>
      </w:r>
      <w:r w:rsidR="00C6601F" w:rsidRPr="00FD0348">
        <w:t>he results suggest that e</w:t>
      </w:r>
      <w:r w:rsidR="00C20B7D" w:rsidRPr="00FD0348">
        <w:t xml:space="preserve">arnings quality is higher when the audit committee </w:t>
      </w:r>
      <w:r w:rsidR="004F6EC5" w:rsidRPr="00FD0348">
        <w:t xml:space="preserve">is more independent, employs more financial literate directors and meets more frequently. </w:t>
      </w:r>
    </w:p>
    <w:p w:rsidR="00101756" w:rsidRPr="009136C5" w:rsidRDefault="00101756" w:rsidP="00470966">
      <w:pPr>
        <w:ind w:right="27"/>
        <w:rPr>
          <w:rStyle w:val="IntenseEmphasis"/>
        </w:rPr>
      </w:pPr>
      <w:r w:rsidRPr="009136C5">
        <w:rPr>
          <w:rStyle w:val="IntenseEmphasis"/>
        </w:rPr>
        <w:t>Benchmarking approaches</w:t>
      </w:r>
    </w:p>
    <w:p w:rsidR="004F6EC5" w:rsidRPr="00FD0348" w:rsidRDefault="00101756" w:rsidP="00470966">
      <w:pPr>
        <w:ind w:right="27"/>
      </w:pPr>
      <w:r>
        <w:t>For my master’s thesis I will be using benchmarking approaches to measure earnings quality, therefore my methodology will be very similar to</w:t>
      </w:r>
      <w:r w:rsidR="00E87289" w:rsidRPr="00FD0348">
        <w:t xml:space="preserve"> the study of Vafeas (2005</w:t>
      </w:r>
      <w:r>
        <w:t>). Vafeas</w:t>
      </w:r>
      <w:r w:rsidR="00A62B0F" w:rsidRPr="00FD0348">
        <w:t xml:space="preserve"> (2005) studies the relationship between corporate board – and audit committee characteristics with earnings quality and uses two benchmarking approaches</w:t>
      </w:r>
      <w:r w:rsidR="00B65CB1" w:rsidRPr="00FD0348">
        <w:t>, (1) the likelihood of meeting or barely beating analysts’ forecasts and (2) the likelihood of small earnings increases,</w:t>
      </w:r>
      <w:r w:rsidR="00A62B0F" w:rsidRPr="00FD0348">
        <w:t xml:space="preserve"> to </w:t>
      </w:r>
      <w:r>
        <w:t>proxy for</w:t>
      </w:r>
      <w:r w:rsidR="00A62B0F" w:rsidRPr="00FD0348">
        <w:t xml:space="preserve"> earnings quality.</w:t>
      </w:r>
      <w:r w:rsidR="0016580B" w:rsidRPr="00FD0348">
        <w:t xml:space="preserve"> The audit committee characteristics employed as explanatory variable in Vafeas’ (2005) model include: “percentage of committee insiders, percentage of active business executives, percentage of members with other audit committee experience, audit committee size, audit committee meetings, stock ownership of committee members, mean tenure per committee member, mean directorships per committee member, mean committee memberships per committee member, inside ownership, percentage of board outsiders, and board size”.</w:t>
      </w:r>
      <w:r w:rsidR="00B65CB1" w:rsidRPr="00FD0348">
        <w:t xml:space="preserve"> Furthermore, Vafeas</w:t>
      </w:r>
      <w:r w:rsidR="00C8464E" w:rsidRPr="00FD0348">
        <w:t>’</w:t>
      </w:r>
      <w:r w:rsidR="00B65CB1" w:rsidRPr="00FD0348">
        <w:t xml:space="preserve"> (2005) </w:t>
      </w:r>
      <w:r w:rsidR="00C8464E" w:rsidRPr="00FD0348">
        <w:t xml:space="preserve">model includes fixed effects for time and </w:t>
      </w:r>
      <w:r w:rsidR="00B65CB1" w:rsidRPr="00FD0348">
        <w:t>includes five control variables: loss dummy, a litigation risk dummy,</w:t>
      </w:r>
      <w:r w:rsidR="00C8464E" w:rsidRPr="00FD0348">
        <w:t xml:space="preserve"> entity</w:t>
      </w:r>
      <w:r w:rsidR="00B65CB1" w:rsidRPr="00FD0348">
        <w:t xml:space="preserve"> size </w:t>
      </w:r>
      <w:r w:rsidR="00C8464E" w:rsidRPr="00FD0348">
        <w:t>(</w:t>
      </w:r>
      <w:proofErr w:type="spellStart"/>
      <w:r w:rsidR="00B65CB1" w:rsidRPr="00FD0348">
        <w:t>proxied</w:t>
      </w:r>
      <w:proofErr w:type="spellEnd"/>
      <w:r w:rsidR="00B65CB1" w:rsidRPr="00FD0348">
        <w:t xml:space="preserve"> by </w:t>
      </w:r>
      <w:proofErr w:type="spellStart"/>
      <w:r w:rsidR="00C8464E" w:rsidRPr="00FD0348">
        <w:t>Ln</w:t>
      </w:r>
      <w:proofErr w:type="spellEnd"/>
      <w:r w:rsidR="00C8464E" w:rsidRPr="00FD0348">
        <w:t xml:space="preserve"> </w:t>
      </w:r>
      <w:r w:rsidR="00B65CB1" w:rsidRPr="00FD0348">
        <w:t>equity capitalization</w:t>
      </w:r>
      <w:r w:rsidR="00C8464E" w:rsidRPr="00FD0348">
        <w:t>)</w:t>
      </w:r>
      <w:r w:rsidR="00B65CB1" w:rsidRPr="00FD0348">
        <w:t xml:space="preserve">, institutional holdings, and </w:t>
      </w:r>
      <w:r w:rsidR="00C8464E" w:rsidRPr="00FD0348">
        <w:t>entity</w:t>
      </w:r>
      <w:r w:rsidR="00B65CB1" w:rsidRPr="00FD0348">
        <w:t xml:space="preserve"> growth </w:t>
      </w:r>
      <w:r w:rsidR="00C8464E" w:rsidRPr="00FD0348">
        <w:t>(</w:t>
      </w:r>
      <w:r w:rsidR="00B65CB1" w:rsidRPr="00FD0348">
        <w:t>proxied by the market-to-book ratio</w:t>
      </w:r>
      <w:r w:rsidR="00C8464E" w:rsidRPr="00FD0348">
        <w:t>)</w:t>
      </w:r>
      <w:r w:rsidR="00B65CB1" w:rsidRPr="00FD0348">
        <w:t xml:space="preserve">. </w:t>
      </w:r>
      <w:r w:rsidR="003A7AFE" w:rsidRPr="00FD0348">
        <w:t xml:space="preserve">Vafeas (2005) examines a time-span of seven years from 1994 to 2000 and the </w:t>
      </w:r>
      <w:r w:rsidR="00B65CB1" w:rsidRPr="00FD0348">
        <w:t xml:space="preserve">sample consists </w:t>
      </w:r>
      <w:r w:rsidR="003A7AFE" w:rsidRPr="00FD0348">
        <w:t xml:space="preserve">out of public interest entities that are listed on the 1995 fortune 500 </w:t>
      </w:r>
      <w:proofErr w:type="gramStart"/>
      <w:r w:rsidR="003A7AFE" w:rsidRPr="00FD0348">
        <w:t>survey</w:t>
      </w:r>
      <w:proofErr w:type="gramEnd"/>
      <w:r w:rsidR="003A7AFE" w:rsidRPr="00FD0348">
        <w:t xml:space="preserve">. </w:t>
      </w:r>
      <w:r w:rsidR="004F6EC5" w:rsidRPr="00FD0348">
        <w:t xml:space="preserve">The evidence from Vafeas (2005) suggests that </w:t>
      </w:r>
      <w:r>
        <w:t xml:space="preserve">audit committees employ </w:t>
      </w:r>
      <w:r w:rsidR="004F6EC5" w:rsidRPr="00FD0348">
        <w:t xml:space="preserve">more independent </w:t>
      </w:r>
      <w:r>
        <w:t xml:space="preserve">directors </w:t>
      </w:r>
      <w:r w:rsidR="004F6EC5" w:rsidRPr="00FD0348">
        <w:t xml:space="preserve">and </w:t>
      </w:r>
      <w:r>
        <w:t>meets frequently a</w:t>
      </w:r>
      <w:r w:rsidR="004F6EC5" w:rsidRPr="00FD0348">
        <w:t xml:space="preserve">re associated with higher earnings quality. Vafeas (2005) used benchmarking approaches </w:t>
      </w:r>
      <w:r w:rsidR="009136C5">
        <w:t>to measure</w:t>
      </w:r>
      <w:r w:rsidR="004F6EC5" w:rsidRPr="00FD0348">
        <w:t xml:space="preserve"> earnings quality and his results are consistent with the reviewed empirical literature using accrual based measurements </w:t>
      </w:r>
      <w:r w:rsidR="009136C5">
        <w:t xml:space="preserve">and external indicators of earnings misstatements </w:t>
      </w:r>
      <w:r w:rsidR="004F6EC5" w:rsidRPr="00FD0348">
        <w:t>as</w:t>
      </w:r>
      <w:r w:rsidR="009136C5">
        <w:t xml:space="preserve"> earnings quality measurements</w:t>
      </w:r>
      <w:r w:rsidR="004F6EC5" w:rsidRPr="00FD0348">
        <w:t>.</w:t>
      </w:r>
    </w:p>
    <w:p w:rsidR="00C8464E" w:rsidRPr="00FD0348" w:rsidRDefault="00C8464E" w:rsidP="00470966">
      <w:pPr>
        <w:ind w:right="27"/>
      </w:pPr>
      <w:r w:rsidRPr="00FD0348">
        <w:t xml:space="preserve">What separates my master’s thesis from Vafeas’ (2005) study is the different classification of director’s expertise, </w:t>
      </w:r>
      <w:r w:rsidR="008F0828" w:rsidRPr="00FD0348">
        <w:t xml:space="preserve">model, </w:t>
      </w:r>
      <w:r w:rsidRPr="00FD0348">
        <w:t xml:space="preserve">time-span and sample. </w:t>
      </w:r>
      <w:r w:rsidR="0030444C" w:rsidRPr="00FD0348">
        <w:t xml:space="preserve">For my master’s thesis I am classifying the financial expert of the audit committee as a director with knowledge and experience in either accounting or auditing as recommended by the European Commission in the proposed audit reform (EC 2011), while Vafeas (2005) classifies the financial expert in his study as business executives and directors who serve on the audit committee of another public interest entity. </w:t>
      </w:r>
      <w:r w:rsidR="00A26C65" w:rsidRPr="00FD0348">
        <w:lastRenderedPageBreak/>
        <w:t xml:space="preserve">Furthermore, I will be examining public interest entities </w:t>
      </w:r>
      <w:r w:rsidR="008F0828" w:rsidRPr="00FD0348">
        <w:t xml:space="preserve">from different European Union member states during 2008-2011, while Vafeas (2005) studied US public interest entities during 1994-2000. My model is somewhat different with that of Vafeas (2005) </w:t>
      </w:r>
      <w:r w:rsidR="00741178" w:rsidRPr="00FD0348">
        <w:t>because</w:t>
      </w:r>
      <w:r w:rsidR="00690261" w:rsidRPr="00FD0348">
        <w:t xml:space="preserve"> </w:t>
      </w:r>
      <w:r w:rsidR="008F0828" w:rsidRPr="00FD0348">
        <w:t xml:space="preserve">I am only focusing on the effects of </w:t>
      </w:r>
      <w:r w:rsidR="00D036B2" w:rsidRPr="00FD0348">
        <w:t xml:space="preserve">the audit committee </w:t>
      </w:r>
      <w:r w:rsidR="00690261" w:rsidRPr="00FD0348">
        <w:t xml:space="preserve">characteristics instead of corporate board – and audit committee characteristics. </w:t>
      </w:r>
      <w:r w:rsidR="00DD5E88" w:rsidRPr="00FD0348">
        <w:t>The data on c</w:t>
      </w:r>
      <w:r w:rsidR="00D036B2" w:rsidRPr="00FD0348">
        <w:t>ertain audit committee characteristics (such as tenure, ownership, total audit committee se</w:t>
      </w:r>
      <w:r w:rsidR="00DD5E88" w:rsidRPr="00FD0348">
        <w:t xml:space="preserve">ats and other committee seats) </w:t>
      </w:r>
      <w:r w:rsidR="00D036B2" w:rsidRPr="00FD0348">
        <w:t xml:space="preserve">are difficult to obtain for EU public interest entities due to </w:t>
      </w:r>
      <w:r w:rsidR="00DD5E88" w:rsidRPr="00FD0348">
        <w:t>data</w:t>
      </w:r>
      <w:r w:rsidR="00D036B2" w:rsidRPr="00FD0348">
        <w:t xml:space="preserve"> unavailability on databases,</w:t>
      </w:r>
      <w:r w:rsidR="008F0828" w:rsidRPr="00FD0348">
        <w:t xml:space="preserve"> </w:t>
      </w:r>
      <w:r w:rsidR="00D036B2" w:rsidRPr="00FD0348">
        <w:t>t</w:t>
      </w:r>
      <w:r w:rsidR="008F0828" w:rsidRPr="00FD0348">
        <w:t xml:space="preserve">herefore </w:t>
      </w:r>
      <w:r w:rsidR="00D036B2" w:rsidRPr="00FD0348">
        <w:t xml:space="preserve">my model </w:t>
      </w:r>
      <w:r w:rsidR="008F0828" w:rsidRPr="00FD0348">
        <w:t xml:space="preserve">will not employ corporate board </w:t>
      </w:r>
      <w:r w:rsidR="00DD5E88" w:rsidRPr="00FD0348">
        <w:t xml:space="preserve">– </w:t>
      </w:r>
      <w:r w:rsidR="00D036B2" w:rsidRPr="00FD0348">
        <w:t>and certain audit committee characteristics used by Vafeas (2005).</w:t>
      </w:r>
      <w:r w:rsidR="008F0828" w:rsidRPr="00FD0348">
        <w:t xml:space="preserve"> </w:t>
      </w:r>
    </w:p>
    <w:p w:rsidR="00965281" w:rsidRDefault="0063703A" w:rsidP="00470966">
      <w:pPr>
        <w:ind w:right="27"/>
      </w:pPr>
      <w:r w:rsidRPr="00FD0348">
        <w:t xml:space="preserve">In sum the reviewed empirical literature provides </w:t>
      </w:r>
      <w:r w:rsidR="00583D81" w:rsidRPr="00FD0348">
        <w:t xml:space="preserve">the following </w:t>
      </w:r>
      <w:r w:rsidR="0062757C" w:rsidRPr="00FD0348">
        <w:t xml:space="preserve">relationships </w:t>
      </w:r>
      <w:r w:rsidR="00BC42E0" w:rsidRPr="00FD0348">
        <w:t>among</w:t>
      </w:r>
      <w:r w:rsidR="0062757C" w:rsidRPr="00FD0348">
        <w:t xml:space="preserve"> </w:t>
      </w:r>
      <w:r w:rsidRPr="00FD0348">
        <w:t xml:space="preserve">audit committee characteristics and </w:t>
      </w:r>
      <w:r w:rsidR="007E23BE" w:rsidRPr="00FD0348">
        <w:t>earnings quality</w:t>
      </w:r>
      <w:r w:rsidR="00583D81" w:rsidRPr="00FD0348">
        <w:t>:</w:t>
      </w:r>
      <w:r w:rsidRPr="00FD0348">
        <w:t xml:space="preserve"> </w:t>
      </w:r>
      <w:r w:rsidR="007E23BE" w:rsidRPr="00FD0348">
        <w:t xml:space="preserve">Earnings quality is higher </w:t>
      </w:r>
      <w:r w:rsidR="00CB49A9" w:rsidRPr="00FD0348">
        <w:t xml:space="preserve">when </w:t>
      </w:r>
      <w:r w:rsidR="007E23BE" w:rsidRPr="00FD0348">
        <w:t>the audit committee consists out</w:t>
      </w:r>
      <w:r w:rsidR="00CB49A9" w:rsidRPr="00FD0348">
        <w:t xml:space="preserve"> </w:t>
      </w:r>
      <w:r w:rsidR="007E23BE" w:rsidRPr="00FD0348">
        <w:t xml:space="preserve">of </w:t>
      </w:r>
      <w:r w:rsidR="009D5CE0" w:rsidRPr="00FD0348">
        <w:t xml:space="preserve">more directors </w:t>
      </w:r>
      <w:r w:rsidR="00686FB5" w:rsidRPr="00FD0348">
        <w:t>who</w:t>
      </w:r>
      <w:r w:rsidR="009D5CE0" w:rsidRPr="00FD0348">
        <w:t xml:space="preserve"> are indepen</w:t>
      </w:r>
      <w:r w:rsidR="00CB49A9" w:rsidRPr="00FD0348">
        <w:t>dent</w:t>
      </w:r>
      <w:r w:rsidR="009D5CE0" w:rsidRPr="00FD0348">
        <w:t xml:space="preserve"> or</w:t>
      </w:r>
      <w:r w:rsidR="00CB49A9" w:rsidRPr="00FD0348">
        <w:t xml:space="preserve"> financial </w:t>
      </w:r>
      <w:r w:rsidR="006F6D1A" w:rsidRPr="00FD0348">
        <w:t>literate</w:t>
      </w:r>
      <w:r w:rsidR="0056259B" w:rsidRPr="00FD0348">
        <w:t xml:space="preserve"> (Klein 2002; </w:t>
      </w:r>
      <w:proofErr w:type="spellStart"/>
      <w:r w:rsidR="0056259B" w:rsidRPr="00FD0348">
        <w:t>Xie</w:t>
      </w:r>
      <w:proofErr w:type="spellEnd"/>
      <w:r w:rsidR="0056259B" w:rsidRPr="00FD0348">
        <w:t xml:space="preserve"> </w:t>
      </w:r>
      <w:r w:rsidR="000E7EB7" w:rsidRPr="00FD0348">
        <w:t>et</w:t>
      </w:r>
      <w:r w:rsidR="0056259B" w:rsidRPr="00FD0348">
        <w:t xml:space="preserve"> al 2003; </w:t>
      </w:r>
      <w:r w:rsidR="000C3ACA" w:rsidRPr="00FD0348">
        <w:t>Vafeas 2005</w:t>
      </w:r>
      <w:r w:rsidR="0056259B" w:rsidRPr="00FD0348">
        <w:t>)</w:t>
      </w:r>
      <w:r w:rsidR="00CB49A9" w:rsidRPr="00FD0348">
        <w:t>.</w:t>
      </w:r>
      <w:r w:rsidR="006F6D1A" w:rsidRPr="00FD0348">
        <w:t xml:space="preserve"> </w:t>
      </w:r>
      <w:r w:rsidR="009D5CE0" w:rsidRPr="00FD0348">
        <w:t xml:space="preserve">Furthermore, </w:t>
      </w:r>
      <w:proofErr w:type="spellStart"/>
      <w:r w:rsidR="009D5CE0" w:rsidRPr="00FD0348">
        <w:t>Carcello</w:t>
      </w:r>
      <w:proofErr w:type="spellEnd"/>
      <w:r w:rsidR="000E1272" w:rsidRPr="00FD0348">
        <w:t>, Klein &amp;</w:t>
      </w:r>
      <w:r w:rsidR="009D5CE0" w:rsidRPr="00FD0348">
        <w:t xml:space="preserve"> </w:t>
      </w:r>
      <w:r w:rsidR="000E1272" w:rsidRPr="00FD0348">
        <w:t>Neil</w:t>
      </w:r>
      <w:r w:rsidR="009D5CE0" w:rsidRPr="00FD0348">
        <w:t xml:space="preserve"> (2006) suggest that audit committees are more effective </w:t>
      </w:r>
      <w:r w:rsidR="00C64F68" w:rsidRPr="00FD0348">
        <w:t xml:space="preserve">in limiting earnings manipulation </w:t>
      </w:r>
      <w:r w:rsidR="009D5CE0" w:rsidRPr="00FD0348">
        <w:t>when the f</w:t>
      </w:r>
      <w:r w:rsidR="006F6D1A" w:rsidRPr="00FD0348">
        <w:t xml:space="preserve">inancial literate directors </w:t>
      </w:r>
      <w:r w:rsidR="00D85EA9" w:rsidRPr="00FD0348">
        <w:t xml:space="preserve">(either in accounting or non-accounting) </w:t>
      </w:r>
      <w:r w:rsidR="006F6D1A" w:rsidRPr="00FD0348">
        <w:t>are independent</w:t>
      </w:r>
      <w:r w:rsidR="004C40F1" w:rsidRPr="00FD0348">
        <w:t>.</w:t>
      </w:r>
      <w:r w:rsidR="00C64F68" w:rsidRPr="00FD0348">
        <w:t xml:space="preserve"> </w:t>
      </w:r>
      <w:r w:rsidR="004C40F1" w:rsidRPr="00FD0348">
        <w:t>In</w:t>
      </w:r>
      <w:r w:rsidR="00C64F68" w:rsidRPr="00FD0348">
        <w:t xml:space="preserve"> addition</w:t>
      </w:r>
      <w:r w:rsidR="00C7717D" w:rsidRPr="00FD0348">
        <w:t xml:space="preserve"> </w:t>
      </w:r>
      <w:proofErr w:type="spellStart"/>
      <w:r w:rsidR="00C7717D" w:rsidRPr="00FD0348">
        <w:t>Hooghiemstra</w:t>
      </w:r>
      <w:proofErr w:type="spellEnd"/>
      <w:r w:rsidR="00C7717D" w:rsidRPr="00FD0348">
        <w:t xml:space="preserve"> et al.</w:t>
      </w:r>
      <w:r w:rsidR="005B2963" w:rsidRPr="00FD0348">
        <w:t>’s</w:t>
      </w:r>
      <w:r w:rsidR="00C7717D" w:rsidRPr="00FD0348">
        <w:t xml:space="preserve"> </w:t>
      </w:r>
      <w:r w:rsidR="005B2963" w:rsidRPr="00FD0348">
        <w:t>(</w:t>
      </w:r>
      <w:r w:rsidR="00C7717D" w:rsidRPr="00FD0348">
        <w:t>2008</w:t>
      </w:r>
      <w:r w:rsidR="005B2963" w:rsidRPr="00FD0348">
        <w:t>)</w:t>
      </w:r>
      <w:r w:rsidR="00C7717D" w:rsidRPr="00FD0348">
        <w:t xml:space="preserve"> study </w:t>
      </w:r>
      <w:proofErr w:type="gramStart"/>
      <w:r w:rsidR="00C7717D" w:rsidRPr="00FD0348">
        <w:t>suggest</w:t>
      </w:r>
      <w:proofErr w:type="gramEnd"/>
      <w:r w:rsidR="00C7717D" w:rsidRPr="00FD0348">
        <w:t xml:space="preserve"> that audit committee</w:t>
      </w:r>
      <w:r w:rsidR="00C64F68" w:rsidRPr="00FD0348">
        <w:t>’s</w:t>
      </w:r>
      <w:r w:rsidR="00C7717D" w:rsidRPr="00FD0348">
        <w:t xml:space="preserve"> independence limits the occurrence of earnings manipulation.</w:t>
      </w:r>
      <w:r w:rsidR="004F6EC5" w:rsidRPr="00FD0348">
        <w:t xml:space="preserve"> </w:t>
      </w:r>
      <w:r w:rsidR="00C64F68" w:rsidRPr="00FD0348">
        <w:t>The frequency in which the a</w:t>
      </w:r>
      <w:r w:rsidR="0056259B" w:rsidRPr="00FD0348">
        <w:t>udit committee meet</w:t>
      </w:r>
      <w:r w:rsidR="00C64F68" w:rsidRPr="00FD0348">
        <w:t>s</w:t>
      </w:r>
      <w:r w:rsidR="0056259B" w:rsidRPr="00FD0348">
        <w:t xml:space="preserve"> is associated with higher </w:t>
      </w:r>
      <w:r w:rsidR="007E23BE" w:rsidRPr="00FD0348">
        <w:t>earnings quality</w:t>
      </w:r>
      <w:r w:rsidR="00C9184A">
        <w:t>:</w:t>
      </w:r>
      <w:r w:rsidR="00C64F68" w:rsidRPr="00FD0348">
        <w:t xml:space="preserve"> empirical evidence</w:t>
      </w:r>
      <w:r w:rsidR="0056259B" w:rsidRPr="00FD0348">
        <w:t xml:space="preserve"> (</w:t>
      </w:r>
      <w:proofErr w:type="spellStart"/>
      <w:r w:rsidR="0056259B" w:rsidRPr="00FD0348">
        <w:t>Xie</w:t>
      </w:r>
      <w:proofErr w:type="spellEnd"/>
      <w:r w:rsidR="0056259B" w:rsidRPr="00FD0348">
        <w:t xml:space="preserve"> </w:t>
      </w:r>
      <w:r w:rsidR="000E7EB7" w:rsidRPr="00FD0348">
        <w:t>et</w:t>
      </w:r>
      <w:r w:rsidR="0056259B" w:rsidRPr="00FD0348">
        <w:t xml:space="preserve"> al. 2003; </w:t>
      </w:r>
      <w:proofErr w:type="spellStart"/>
      <w:r w:rsidR="0056259B" w:rsidRPr="00FD0348">
        <w:t>Vafeas</w:t>
      </w:r>
      <w:proofErr w:type="spellEnd"/>
      <w:r w:rsidR="0056259B" w:rsidRPr="00FD0348">
        <w:t xml:space="preserve"> 2005; </w:t>
      </w:r>
      <w:proofErr w:type="spellStart"/>
      <w:r w:rsidR="0056259B" w:rsidRPr="00FD0348">
        <w:t>Hooghiemstra</w:t>
      </w:r>
      <w:proofErr w:type="spellEnd"/>
      <w:r w:rsidR="0056259B" w:rsidRPr="00FD0348">
        <w:t xml:space="preserve"> </w:t>
      </w:r>
      <w:r w:rsidR="000E7EB7" w:rsidRPr="00FD0348">
        <w:t>et</w:t>
      </w:r>
      <w:r w:rsidR="0056259B" w:rsidRPr="00FD0348">
        <w:t xml:space="preserve"> al. 2008)</w:t>
      </w:r>
      <w:r w:rsidR="00C64F68" w:rsidRPr="00FD0348">
        <w:t xml:space="preserve"> suggests that meeting frequency is associated with lower levels of earnings manipulation</w:t>
      </w:r>
      <w:r w:rsidR="0056259B" w:rsidRPr="00FD0348">
        <w:t>.</w:t>
      </w:r>
      <w:r w:rsidR="00C64F68" w:rsidRPr="00FD0348">
        <w:t xml:space="preserve"> </w:t>
      </w:r>
      <w:proofErr w:type="spellStart"/>
      <w:r w:rsidR="004F6EC5" w:rsidRPr="00FD0348">
        <w:t>Xie</w:t>
      </w:r>
      <w:proofErr w:type="spellEnd"/>
      <w:r w:rsidR="004F6EC5" w:rsidRPr="00FD0348">
        <w:t xml:space="preserve"> et al.’s 2003 study provides evidence suggesting that the size of the audit committee is not a reasonable proxy to determine audit committee performance due to the trade-offs (non-linear effect) that large audit committee size has on the audit committee’s performance, which is consistent with the findings from </w:t>
      </w:r>
      <w:proofErr w:type="spellStart"/>
      <w:r w:rsidR="004F6EC5" w:rsidRPr="00FD0348">
        <w:t>Yermack</w:t>
      </w:r>
      <w:proofErr w:type="spellEnd"/>
      <w:r w:rsidR="004F6EC5" w:rsidRPr="00FD0348">
        <w:t xml:space="preserve"> (1996) that large committees lose performance due to higher decision makings – and coordination costs. The frequency in which the audit committee meets is associated with higher earnings quality, empirical evidence (</w:t>
      </w:r>
      <w:proofErr w:type="spellStart"/>
      <w:r w:rsidR="004F6EC5" w:rsidRPr="00FD0348">
        <w:t>Xie</w:t>
      </w:r>
      <w:proofErr w:type="spellEnd"/>
      <w:r w:rsidR="004F6EC5" w:rsidRPr="00FD0348">
        <w:t xml:space="preserve"> et al. 2003; </w:t>
      </w:r>
      <w:proofErr w:type="spellStart"/>
      <w:r w:rsidR="004F6EC5" w:rsidRPr="00FD0348">
        <w:t>Hooghiemstra</w:t>
      </w:r>
      <w:proofErr w:type="spellEnd"/>
      <w:r w:rsidR="004F6EC5" w:rsidRPr="00FD0348">
        <w:t xml:space="preserve"> et al. 2008) suggests that meeting frequency is associated with lower levels of earnings manipulation.</w:t>
      </w:r>
    </w:p>
    <w:p w:rsidR="00965281" w:rsidRDefault="00965281" w:rsidP="00470966">
      <w:pPr>
        <w:spacing w:before="200" w:after="200"/>
        <w:ind w:right="27" w:firstLine="0"/>
        <w:jc w:val="left"/>
      </w:pPr>
      <w:r>
        <w:br w:type="page"/>
      </w:r>
    </w:p>
    <w:tbl>
      <w:tblPr>
        <w:tblW w:w="9143" w:type="dxa"/>
        <w:tblInd w:w="100" w:type="dxa"/>
        <w:tblLook w:val="04A0"/>
      </w:tblPr>
      <w:tblGrid>
        <w:gridCol w:w="1357"/>
        <w:gridCol w:w="1621"/>
        <w:gridCol w:w="1299"/>
        <w:gridCol w:w="996"/>
        <w:gridCol w:w="1488"/>
        <w:gridCol w:w="398"/>
        <w:gridCol w:w="398"/>
        <w:gridCol w:w="398"/>
        <w:gridCol w:w="398"/>
        <w:gridCol w:w="398"/>
        <w:gridCol w:w="398"/>
      </w:tblGrid>
      <w:tr w:rsidR="00762C78" w:rsidRPr="00FD0348" w:rsidTr="00965281">
        <w:trPr>
          <w:trHeight w:val="315"/>
        </w:trPr>
        <w:tc>
          <w:tcPr>
            <w:tcW w:w="1357" w:type="dxa"/>
            <w:tcBorders>
              <w:top w:val="nil"/>
              <w:left w:val="nil"/>
              <w:bottom w:val="double" w:sz="6"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b/>
                <w:bCs/>
                <w:color w:val="000000"/>
                <w:sz w:val="14"/>
                <w:szCs w:val="14"/>
                <w:lang w:bidi="ar-SA"/>
              </w:rPr>
            </w:pPr>
            <w:r w:rsidRPr="00FD0348">
              <w:rPr>
                <w:rFonts w:ascii="Calibri" w:eastAsia="Times New Roman" w:hAnsi="Calibri" w:cs="Times New Roman"/>
                <w:b/>
                <w:bCs/>
                <w:color w:val="000000"/>
                <w:sz w:val="14"/>
                <w:szCs w:val="14"/>
                <w:lang w:bidi="ar-SA"/>
              </w:rPr>
              <w:lastRenderedPageBreak/>
              <w:t xml:space="preserve">Exhibit 2. </w:t>
            </w:r>
          </w:p>
        </w:tc>
        <w:tc>
          <w:tcPr>
            <w:tcW w:w="1621" w:type="dxa"/>
            <w:tcBorders>
              <w:top w:val="nil"/>
              <w:left w:val="nil"/>
              <w:bottom w:val="double" w:sz="6"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1299" w:type="dxa"/>
            <w:tcBorders>
              <w:top w:val="nil"/>
              <w:left w:val="nil"/>
              <w:bottom w:val="double" w:sz="6"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996" w:type="dxa"/>
            <w:tcBorders>
              <w:top w:val="nil"/>
              <w:left w:val="nil"/>
              <w:bottom w:val="double" w:sz="6"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1488"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315"/>
        </w:trPr>
        <w:tc>
          <w:tcPr>
            <w:tcW w:w="7158" w:type="dxa"/>
            <w:gridSpan w:val="6"/>
            <w:tcBorders>
              <w:top w:val="double" w:sz="6" w:space="0" w:color="auto"/>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Panel A. Empirical Studies focusing on audit committee / director characteristics as determinants of earnings quality </w:t>
            </w:r>
          </w:p>
        </w:tc>
        <w:tc>
          <w:tcPr>
            <w:tcW w:w="397" w:type="dxa"/>
            <w:tcBorders>
              <w:top w:val="nil"/>
              <w:left w:val="nil"/>
              <w:bottom w:val="single" w:sz="4"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225"/>
        </w:trPr>
        <w:tc>
          <w:tcPr>
            <w:tcW w:w="1357" w:type="dxa"/>
            <w:vMerge w:val="restart"/>
            <w:tcBorders>
              <w:top w:val="nil"/>
              <w:left w:val="nil"/>
              <w:bottom w:val="single" w:sz="4" w:space="0" w:color="000000"/>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Authors</w:t>
            </w:r>
          </w:p>
        </w:tc>
        <w:tc>
          <w:tcPr>
            <w:tcW w:w="1621" w:type="dxa"/>
            <w:vMerge w:val="restart"/>
            <w:tcBorders>
              <w:top w:val="nil"/>
              <w:left w:val="nil"/>
              <w:bottom w:val="single" w:sz="4" w:space="0" w:color="000000"/>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Objective of study</w:t>
            </w:r>
          </w:p>
        </w:tc>
        <w:tc>
          <w:tcPr>
            <w:tcW w:w="1299" w:type="dxa"/>
            <w:vMerge w:val="restart"/>
            <w:tcBorders>
              <w:top w:val="nil"/>
              <w:left w:val="nil"/>
              <w:bottom w:val="single" w:sz="4" w:space="0" w:color="000000"/>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Sample</w:t>
            </w:r>
          </w:p>
        </w:tc>
        <w:tc>
          <w:tcPr>
            <w:tcW w:w="2484" w:type="dxa"/>
            <w:gridSpan w:val="2"/>
            <w:vMerge w:val="restart"/>
            <w:tcBorders>
              <w:top w:val="nil"/>
              <w:left w:val="nil"/>
              <w:bottom w:val="single" w:sz="4" w:space="0" w:color="000000"/>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Proxy</w:t>
            </w:r>
          </w:p>
        </w:tc>
        <w:tc>
          <w:tcPr>
            <w:tcW w:w="2382" w:type="dxa"/>
            <w:gridSpan w:val="6"/>
            <w:tcBorders>
              <w:top w:val="nil"/>
              <w:left w:val="nil"/>
              <w:bottom w:val="nil"/>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Characteristics</w:t>
            </w:r>
          </w:p>
        </w:tc>
      </w:tr>
      <w:tr w:rsidR="00762C78" w:rsidRPr="00FD0348" w:rsidTr="00965281">
        <w:trPr>
          <w:trHeight w:val="171"/>
        </w:trPr>
        <w:tc>
          <w:tcPr>
            <w:tcW w:w="135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621"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299"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2484" w:type="dxa"/>
            <w:gridSpan w:val="2"/>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val="restart"/>
            <w:tcBorders>
              <w:top w:val="nil"/>
              <w:left w:val="nil"/>
              <w:bottom w:val="single" w:sz="4" w:space="0" w:color="000000"/>
              <w:right w:val="nil"/>
            </w:tcBorders>
            <w:shd w:val="clear" w:color="auto" w:fill="auto"/>
            <w:noWrap/>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Independence</w:t>
            </w:r>
          </w:p>
        </w:tc>
        <w:tc>
          <w:tcPr>
            <w:tcW w:w="397" w:type="dxa"/>
            <w:vMerge w:val="restart"/>
            <w:tcBorders>
              <w:top w:val="nil"/>
              <w:left w:val="nil"/>
              <w:bottom w:val="single" w:sz="4" w:space="0" w:color="000000"/>
              <w:right w:val="nil"/>
            </w:tcBorders>
            <w:shd w:val="clear" w:color="auto" w:fill="auto"/>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Meeting Frequency</w:t>
            </w:r>
          </w:p>
        </w:tc>
        <w:tc>
          <w:tcPr>
            <w:tcW w:w="397" w:type="dxa"/>
            <w:vMerge w:val="restart"/>
            <w:tcBorders>
              <w:top w:val="nil"/>
              <w:left w:val="nil"/>
              <w:bottom w:val="single" w:sz="4" w:space="0" w:color="000000"/>
              <w:right w:val="nil"/>
            </w:tcBorders>
            <w:shd w:val="clear" w:color="auto" w:fill="auto"/>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Size</w:t>
            </w:r>
          </w:p>
        </w:tc>
        <w:tc>
          <w:tcPr>
            <w:tcW w:w="397" w:type="dxa"/>
            <w:vMerge w:val="restart"/>
            <w:tcBorders>
              <w:top w:val="nil"/>
              <w:left w:val="nil"/>
              <w:bottom w:val="single" w:sz="4" w:space="0" w:color="000000"/>
              <w:right w:val="nil"/>
            </w:tcBorders>
            <w:shd w:val="clear" w:color="auto" w:fill="auto"/>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Expertise</w:t>
            </w:r>
          </w:p>
        </w:tc>
        <w:tc>
          <w:tcPr>
            <w:tcW w:w="397" w:type="dxa"/>
            <w:vMerge w:val="restart"/>
            <w:tcBorders>
              <w:top w:val="nil"/>
              <w:left w:val="nil"/>
              <w:bottom w:val="single" w:sz="4" w:space="0" w:color="000000"/>
              <w:right w:val="nil"/>
            </w:tcBorders>
            <w:shd w:val="clear" w:color="auto" w:fill="auto"/>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Ownership</w:t>
            </w:r>
          </w:p>
        </w:tc>
        <w:tc>
          <w:tcPr>
            <w:tcW w:w="397" w:type="dxa"/>
            <w:vMerge w:val="restart"/>
            <w:tcBorders>
              <w:top w:val="nil"/>
              <w:left w:val="nil"/>
              <w:bottom w:val="single" w:sz="4" w:space="0" w:color="000000"/>
              <w:right w:val="nil"/>
            </w:tcBorders>
            <w:shd w:val="clear" w:color="auto" w:fill="auto"/>
            <w:textDirection w:val="btLr"/>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Total / Other Seats</w:t>
            </w:r>
          </w:p>
        </w:tc>
      </w:tr>
      <w:tr w:rsidR="00762C78" w:rsidRPr="00FD0348" w:rsidTr="00965281">
        <w:trPr>
          <w:trHeight w:val="300"/>
        </w:trPr>
        <w:tc>
          <w:tcPr>
            <w:tcW w:w="6761" w:type="dxa"/>
            <w:gridSpan w:val="5"/>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sz w:val="14"/>
                <w:szCs w:val="14"/>
                <w:u w:val="single"/>
                <w:lang w:bidi="ar-SA"/>
              </w:rPr>
            </w:pPr>
            <w:r w:rsidRPr="00FD0348">
              <w:rPr>
                <w:rFonts w:ascii="Calibri" w:eastAsia="Times New Roman" w:hAnsi="Calibri" w:cs="Times New Roman"/>
                <w:sz w:val="14"/>
                <w:szCs w:val="14"/>
                <w:u w:val="single"/>
                <w:lang w:bidi="ar-SA"/>
              </w:rPr>
              <w:t>Properties of earnings</w:t>
            </w: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r>
      <w:tr w:rsidR="00762C78" w:rsidRPr="00FD0348" w:rsidTr="00965281">
        <w:trPr>
          <w:trHeight w:val="162"/>
        </w:trPr>
        <w:tc>
          <w:tcPr>
            <w:tcW w:w="135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621"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299"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996"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488" w:type="dxa"/>
            <w:tcBorders>
              <w:top w:val="nil"/>
              <w:left w:val="nil"/>
              <w:bottom w:val="nil"/>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r>
      <w:tr w:rsidR="00762C78" w:rsidRPr="00FD0348" w:rsidTr="00965281">
        <w:trPr>
          <w:trHeight w:val="300"/>
        </w:trPr>
        <w:tc>
          <w:tcPr>
            <w:tcW w:w="2978" w:type="dxa"/>
            <w:gridSpan w:val="2"/>
            <w:tcBorders>
              <w:top w:val="nil"/>
              <w:left w:val="nil"/>
              <w:bottom w:val="nil"/>
              <w:right w:val="nil"/>
            </w:tcBorders>
            <w:shd w:val="clear" w:color="auto" w:fill="auto"/>
            <w:noWrap/>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u w:val="single"/>
                <w:lang w:bidi="ar-SA"/>
              </w:rPr>
            </w:pPr>
            <w:r w:rsidRPr="00FD0348">
              <w:rPr>
                <w:rFonts w:ascii="Calibri" w:eastAsia="Times New Roman" w:hAnsi="Calibri" w:cs="Times New Roman"/>
                <w:color w:val="000000"/>
                <w:sz w:val="14"/>
                <w:szCs w:val="14"/>
                <w:u w:val="single"/>
                <w:lang w:bidi="ar-SA"/>
              </w:rPr>
              <w:t>Accrual based measurements:</w:t>
            </w:r>
          </w:p>
        </w:tc>
        <w:tc>
          <w:tcPr>
            <w:tcW w:w="1299"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996"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488" w:type="dxa"/>
            <w:tcBorders>
              <w:top w:val="nil"/>
              <w:left w:val="nil"/>
              <w:bottom w:val="nil"/>
              <w:right w:val="nil"/>
            </w:tcBorders>
            <w:shd w:val="clear" w:color="auto" w:fill="auto"/>
            <w:noWrap/>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r>
      <w:tr w:rsidR="00762C78" w:rsidRPr="00FD0348" w:rsidTr="00965281">
        <w:trPr>
          <w:trHeight w:val="270"/>
        </w:trPr>
        <w:tc>
          <w:tcPr>
            <w:tcW w:w="1357" w:type="dxa"/>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Klein (2002)</w:t>
            </w:r>
          </w:p>
        </w:tc>
        <w:tc>
          <w:tcPr>
            <w:tcW w:w="1621" w:type="dxa"/>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committee's effects on EM</w:t>
            </w:r>
          </w:p>
        </w:tc>
        <w:tc>
          <w:tcPr>
            <w:tcW w:w="1299" w:type="dxa"/>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S&amp;P500 entities listed in 1992–1993</w:t>
            </w:r>
          </w:p>
        </w:tc>
        <w:tc>
          <w:tcPr>
            <w:tcW w:w="2484" w:type="dxa"/>
            <w:gridSpan w:val="2"/>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 Jones (1991) Model</w:t>
            </w: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r>
      <w:tr w:rsidR="00762C78" w:rsidRPr="00FD0348" w:rsidTr="00965281">
        <w:trPr>
          <w:trHeight w:val="300"/>
        </w:trPr>
        <w:tc>
          <w:tcPr>
            <w:tcW w:w="135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621"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299"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2484" w:type="dxa"/>
            <w:gridSpan w:val="2"/>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555"/>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Xie</w:t>
            </w:r>
            <w:proofErr w:type="spellEnd"/>
            <w:r w:rsidRPr="00FD0348">
              <w:rPr>
                <w:rFonts w:ascii="Calibri" w:eastAsia="Times New Roman" w:hAnsi="Calibri" w:cs="Times New Roman"/>
                <w:color w:val="000000"/>
                <w:sz w:val="14"/>
                <w:szCs w:val="14"/>
                <w:lang w:bidi="ar-SA"/>
              </w:rPr>
              <w:t xml:space="preserve">, Davidson &amp; </w:t>
            </w:r>
            <w:proofErr w:type="spellStart"/>
            <w:r w:rsidRPr="00FD0348">
              <w:rPr>
                <w:rFonts w:ascii="Calibri" w:eastAsia="Times New Roman" w:hAnsi="Calibri" w:cs="Times New Roman"/>
                <w:color w:val="000000"/>
                <w:sz w:val="14"/>
                <w:szCs w:val="14"/>
                <w:lang w:bidi="ar-SA"/>
              </w:rPr>
              <w:t>DaDalt</w:t>
            </w:r>
            <w:proofErr w:type="spellEnd"/>
            <w:r w:rsidRPr="00FD0348">
              <w:rPr>
                <w:rFonts w:ascii="Calibri" w:eastAsia="Times New Roman" w:hAnsi="Calibri" w:cs="Times New Roman"/>
                <w:color w:val="000000"/>
                <w:sz w:val="14"/>
                <w:szCs w:val="14"/>
                <w:lang w:bidi="ar-SA"/>
              </w:rPr>
              <w:t xml:space="preserve"> (2003)</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committee's effects on EM</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110 S&amp;P 500 listed entities in 1996</w:t>
            </w:r>
          </w:p>
        </w:tc>
        <w:tc>
          <w:tcPr>
            <w:tcW w:w="2484" w:type="dxa"/>
            <w:gridSpan w:val="2"/>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 Jones (1991) Model</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600"/>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Carcello</w:t>
            </w:r>
            <w:proofErr w:type="spellEnd"/>
            <w:r w:rsidRPr="00FD0348">
              <w:rPr>
                <w:rFonts w:ascii="Calibri" w:eastAsia="Times New Roman" w:hAnsi="Calibri" w:cs="Times New Roman"/>
                <w:color w:val="000000"/>
                <w:sz w:val="14"/>
                <w:szCs w:val="14"/>
                <w:lang w:bidi="ar-SA"/>
              </w:rPr>
              <w:t xml:space="preserve">, Klein &amp; Neil (2006) </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 financial expertise on EM</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350 US non financial entities in 2003</w:t>
            </w:r>
          </w:p>
        </w:tc>
        <w:tc>
          <w:tcPr>
            <w:tcW w:w="2484" w:type="dxa"/>
            <w:gridSpan w:val="2"/>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Performance matched (Kothari et al. 2005)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615"/>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Hooghiemstra</w:t>
            </w:r>
            <w:proofErr w:type="spellEnd"/>
            <w:r w:rsidRPr="00FD0348">
              <w:rPr>
                <w:rFonts w:ascii="Calibri" w:eastAsia="Times New Roman" w:hAnsi="Calibri" w:cs="Times New Roman"/>
                <w:color w:val="000000"/>
                <w:sz w:val="14"/>
                <w:szCs w:val="14"/>
                <w:lang w:bidi="ar-SA"/>
              </w:rPr>
              <w:t xml:space="preserve">, </w:t>
            </w:r>
            <w:proofErr w:type="spellStart"/>
            <w:r w:rsidRPr="00FD0348">
              <w:rPr>
                <w:rFonts w:ascii="Calibri" w:eastAsia="Times New Roman" w:hAnsi="Calibri" w:cs="Times New Roman"/>
                <w:color w:val="000000"/>
                <w:sz w:val="14"/>
                <w:szCs w:val="14"/>
                <w:lang w:bidi="ar-SA"/>
              </w:rPr>
              <w:t>Lammerink</w:t>
            </w:r>
            <w:proofErr w:type="spellEnd"/>
            <w:r w:rsidRPr="00FD0348">
              <w:rPr>
                <w:rFonts w:ascii="Calibri" w:eastAsia="Times New Roman" w:hAnsi="Calibri" w:cs="Times New Roman"/>
                <w:color w:val="000000"/>
                <w:sz w:val="14"/>
                <w:szCs w:val="14"/>
                <w:lang w:bidi="ar-SA"/>
              </w:rPr>
              <w:t xml:space="preserve"> &amp; </w:t>
            </w:r>
            <w:proofErr w:type="spellStart"/>
            <w:r w:rsidRPr="00FD0348">
              <w:rPr>
                <w:rFonts w:ascii="Calibri" w:eastAsia="Times New Roman" w:hAnsi="Calibri" w:cs="Times New Roman"/>
                <w:color w:val="000000"/>
                <w:sz w:val="14"/>
                <w:szCs w:val="14"/>
                <w:lang w:bidi="ar-SA"/>
              </w:rPr>
              <w:t>Marra</w:t>
            </w:r>
            <w:proofErr w:type="spellEnd"/>
            <w:r w:rsidRPr="00FD0348">
              <w:rPr>
                <w:rFonts w:ascii="Calibri" w:eastAsia="Times New Roman" w:hAnsi="Calibri" w:cs="Times New Roman"/>
                <w:color w:val="000000"/>
                <w:sz w:val="14"/>
                <w:szCs w:val="14"/>
                <w:lang w:bidi="ar-SA"/>
              </w:rPr>
              <w:t xml:space="preserve"> (2008)</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committee's effects on EM</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108 Dutch listed entities in 2004</w:t>
            </w:r>
          </w:p>
        </w:tc>
        <w:tc>
          <w:tcPr>
            <w:tcW w:w="2484" w:type="dxa"/>
            <w:gridSpan w:val="2"/>
            <w:tcBorders>
              <w:top w:val="single" w:sz="4" w:space="0" w:color="auto"/>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 Jones (1991) Model</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225"/>
        </w:trPr>
        <w:tc>
          <w:tcPr>
            <w:tcW w:w="2978" w:type="dxa"/>
            <w:gridSpan w:val="2"/>
            <w:tcBorders>
              <w:top w:val="nil"/>
              <w:left w:val="nil"/>
              <w:bottom w:val="nil"/>
              <w:right w:val="nil"/>
            </w:tcBorders>
            <w:shd w:val="clear" w:color="auto" w:fill="auto"/>
            <w:noWrap/>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u w:val="single"/>
                <w:lang w:bidi="ar-SA"/>
              </w:rPr>
            </w:pPr>
            <w:r w:rsidRPr="00FD0348">
              <w:rPr>
                <w:rFonts w:ascii="Calibri" w:eastAsia="Times New Roman" w:hAnsi="Calibri" w:cs="Times New Roman"/>
                <w:color w:val="000000"/>
                <w:sz w:val="14"/>
                <w:szCs w:val="14"/>
                <w:u w:val="single"/>
                <w:lang w:bidi="ar-SA"/>
              </w:rPr>
              <w:t>Target beating or benchmarking:</w:t>
            </w:r>
          </w:p>
        </w:tc>
        <w:tc>
          <w:tcPr>
            <w:tcW w:w="1299"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996"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488"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r>
      <w:tr w:rsidR="00762C78" w:rsidRPr="00FD0348" w:rsidTr="00965281">
        <w:trPr>
          <w:trHeight w:val="630"/>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Vafeas (2005)</w:t>
            </w:r>
          </w:p>
        </w:tc>
        <w:tc>
          <w:tcPr>
            <w:tcW w:w="1621" w:type="dxa"/>
            <w:tcBorders>
              <w:top w:val="nil"/>
              <w:left w:val="nil"/>
              <w:bottom w:val="single" w:sz="4" w:space="0" w:color="auto"/>
              <w:right w:val="nil"/>
            </w:tcBorders>
            <w:shd w:val="clear" w:color="auto" w:fill="auto"/>
            <w:vAlign w:val="bottom"/>
            <w:hideMark/>
          </w:tcPr>
          <w:p w:rsidR="00762C78" w:rsidRPr="00FD0348" w:rsidRDefault="00CF4DF7"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Examining</w:t>
            </w:r>
            <w:r w:rsidR="00762C78" w:rsidRPr="00FD0348">
              <w:rPr>
                <w:rFonts w:ascii="Calibri" w:eastAsia="Times New Roman" w:hAnsi="Calibri" w:cs="Times New Roman"/>
                <w:color w:val="000000"/>
                <w:sz w:val="14"/>
                <w:szCs w:val="14"/>
                <w:lang w:bidi="ar-SA"/>
              </w:rPr>
              <w:t xml:space="preserve"> the relationship between audit committee and EQ</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Entities on the 1995 fortune 500 survey</w:t>
            </w:r>
          </w:p>
        </w:tc>
        <w:tc>
          <w:tcPr>
            <w:tcW w:w="2484" w:type="dxa"/>
            <w:gridSpan w:val="2"/>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Likelihood of a small earnings increase and the likelihood of meeting or just beating analyst's expectation.</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r>
      <w:tr w:rsidR="00762C78" w:rsidRPr="00FD0348" w:rsidTr="00965281">
        <w:trPr>
          <w:trHeight w:val="255"/>
        </w:trPr>
        <w:tc>
          <w:tcPr>
            <w:tcW w:w="6761" w:type="dxa"/>
            <w:gridSpan w:val="5"/>
            <w:tcBorders>
              <w:top w:val="single" w:sz="4" w:space="0" w:color="auto"/>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r w:rsidRPr="00FD0348">
              <w:rPr>
                <w:rFonts w:ascii="Calibri" w:eastAsia="Times New Roman" w:hAnsi="Calibri" w:cs="Times New Roman"/>
                <w:color w:val="000000"/>
                <w:sz w:val="14"/>
                <w:szCs w:val="14"/>
                <w:u w:val="single"/>
                <w:lang w:bidi="ar-SA"/>
              </w:rPr>
              <w:t>External indicators of earnings misstatements</w:t>
            </w: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c>
          <w:tcPr>
            <w:tcW w:w="397" w:type="dxa"/>
            <w:tcBorders>
              <w:top w:val="nil"/>
              <w:left w:val="nil"/>
              <w:bottom w:val="nil"/>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u w:val="single"/>
                <w:lang w:bidi="ar-SA"/>
              </w:rPr>
            </w:pPr>
          </w:p>
        </w:tc>
      </w:tr>
      <w:tr w:rsidR="00762C78" w:rsidRPr="00FD0348" w:rsidTr="00965281">
        <w:trPr>
          <w:trHeight w:val="780"/>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Carcello</w:t>
            </w:r>
            <w:proofErr w:type="spellEnd"/>
            <w:r w:rsidRPr="00FD0348">
              <w:rPr>
                <w:rFonts w:ascii="Calibri" w:eastAsia="Times New Roman" w:hAnsi="Calibri" w:cs="Times New Roman"/>
                <w:color w:val="000000"/>
                <w:sz w:val="14"/>
                <w:szCs w:val="14"/>
                <w:lang w:bidi="ar-SA"/>
              </w:rPr>
              <w:t xml:space="preserve"> &amp; Neal (2000)</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committees on going-concern reports.</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Entities  experiencing financial distress during 1994</w:t>
            </w:r>
          </w:p>
        </w:tc>
        <w:tc>
          <w:tcPr>
            <w:tcW w:w="2484" w:type="dxa"/>
            <w:gridSpan w:val="2"/>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AAERs identified by SEC: Likelihood of receiving going-concern reports from the auditor</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690"/>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Abbot, Parker &amp; Peters (2004)</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audit committee on financial restatements</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88 US listed firms with restatements between 1991-1999</w:t>
            </w:r>
          </w:p>
        </w:tc>
        <w:tc>
          <w:tcPr>
            <w:tcW w:w="2484" w:type="dxa"/>
            <w:gridSpan w:val="2"/>
            <w:tcBorders>
              <w:top w:val="single" w:sz="4" w:space="0" w:color="auto"/>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Likelihood of financial Restatements</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825"/>
        </w:trPr>
        <w:tc>
          <w:tcPr>
            <w:tcW w:w="135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Karamanou</w:t>
            </w:r>
            <w:proofErr w:type="spellEnd"/>
            <w:r w:rsidRPr="00FD0348">
              <w:rPr>
                <w:rFonts w:ascii="Calibri" w:eastAsia="Times New Roman" w:hAnsi="Calibri" w:cs="Times New Roman"/>
                <w:color w:val="000000"/>
                <w:sz w:val="14"/>
                <w:szCs w:val="14"/>
                <w:lang w:bidi="ar-SA"/>
              </w:rPr>
              <w:t xml:space="preserve"> &amp; </w:t>
            </w:r>
            <w:proofErr w:type="spellStart"/>
            <w:r w:rsidRPr="00FD0348">
              <w:rPr>
                <w:rFonts w:ascii="Calibri" w:eastAsia="Times New Roman" w:hAnsi="Calibri" w:cs="Times New Roman"/>
                <w:color w:val="000000"/>
                <w:sz w:val="14"/>
                <w:szCs w:val="14"/>
                <w:lang w:bidi="ar-SA"/>
              </w:rPr>
              <w:t>Vafeas</w:t>
            </w:r>
            <w:proofErr w:type="spellEnd"/>
            <w:r w:rsidRPr="00FD0348">
              <w:rPr>
                <w:rFonts w:ascii="Calibri" w:eastAsia="Times New Roman" w:hAnsi="Calibri" w:cs="Times New Roman"/>
                <w:color w:val="000000"/>
                <w:sz w:val="14"/>
                <w:szCs w:val="14"/>
                <w:lang w:bidi="ar-SA"/>
              </w:rPr>
              <w:t xml:space="preserve"> (2005)</w:t>
            </w:r>
          </w:p>
        </w:tc>
        <w:tc>
          <w:tcPr>
            <w:tcW w:w="1621"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Impact of audit </w:t>
            </w:r>
            <w:r w:rsidR="00CF4DF7" w:rsidRPr="00FD0348">
              <w:rPr>
                <w:rFonts w:ascii="Calibri" w:eastAsia="Times New Roman" w:hAnsi="Calibri" w:cs="Times New Roman"/>
                <w:color w:val="000000"/>
                <w:sz w:val="14"/>
                <w:szCs w:val="14"/>
                <w:lang w:bidi="ar-SA"/>
              </w:rPr>
              <w:t>committees</w:t>
            </w:r>
            <w:r w:rsidRPr="00FD0348">
              <w:rPr>
                <w:rFonts w:ascii="Calibri" w:eastAsia="Times New Roman" w:hAnsi="Calibri" w:cs="Times New Roman"/>
                <w:color w:val="000000"/>
                <w:sz w:val="14"/>
                <w:szCs w:val="14"/>
                <w:lang w:bidi="ar-SA"/>
              </w:rPr>
              <w:t xml:space="preserve"> on voluntary financial disclosure practices</w:t>
            </w:r>
          </w:p>
        </w:tc>
        <w:tc>
          <w:tcPr>
            <w:tcW w:w="1299"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Entities on the 1995 fortune 500 survey</w:t>
            </w:r>
          </w:p>
        </w:tc>
        <w:tc>
          <w:tcPr>
            <w:tcW w:w="2484" w:type="dxa"/>
            <w:gridSpan w:val="2"/>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Likelihood of management to make or update </w:t>
            </w:r>
            <w:proofErr w:type="gramStart"/>
            <w:r w:rsidRPr="00FD0348">
              <w:rPr>
                <w:rFonts w:ascii="Calibri" w:eastAsia="Times New Roman" w:hAnsi="Calibri" w:cs="Times New Roman"/>
                <w:color w:val="000000"/>
                <w:sz w:val="14"/>
                <w:szCs w:val="14"/>
                <w:lang w:bidi="ar-SA"/>
              </w:rPr>
              <w:t>an earnings</w:t>
            </w:r>
            <w:proofErr w:type="gramEnd"/>
            <w:r w:rsidRPr="00FD0348">
              <w:rPr>
                <w:rFonts w:ascii="Calibri" w:eastAsia="Times New Roman" w:hAnsi="Calibri" w:cs="Times New Roman"/>
                <w:color w:val="000000"/>
                <w:sz w:val="14"/>
                <w:szCs w:val="14"/>
                <w:lang w:bidi="ar-SA"/>
              </w:rPr>
              <w:t xml:space="preserve"> forecast.</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97" w:type="dxa"/>
            <w:tcBorders>
              <w:top w:val="nil"/>
              <w:left w:val="nil"/>
              <w:bottom w:val="double" w:sz="6"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r>
      <w:tr w:rsidR="00762C78" w:rsidRPr="00FD0348" w:rsidTr="00965281">
        <w:trPr>
          <w:trHeight w:val="315"/>
        </w:trPr>
        <w:tc>
          <w:tcPr>
            <w:tcW w:w="9143" w:type="dxa"/>
            <w:gridSpan w:val="11"/>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Panel B. Studies focusing on audit committee characteristics, director's expertise and earnings quality</w:t>
            </w:r>
          </w:p>
        </w:tc>
      </w:tr>
      <w:tr w:rsidR="00762C78" w:rsidRPr="00FD0348" w:rsidTr="00965281">
        <w:trPr>
          <w:trHeight w:val="225"/>
        </w:trPr>
        <w:tc>
          <w:tcPr>
            <w:tcW w:w="1357" w:type="dxa"/>
            <w:tcBorders>
              <w:top w:val="nil"/>
              <w:left w:val="nil"/>
              <w:bottom w:val="single" w:sz="4" w:space="0" w:color="auto"/>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Authors</w:t>
            </w:r>
          </w:p>
        </w:tc>
        <w:tc>
          <w:tcPr>
            <w:tcW w:w="1621" w:type="dxa"/>
            <w:tcBorders>
              <w:top w:val="nil"/>
              <w:left w:val="nil"/>
              <w:bottom w:val="single" w:sz="4" w:space="0" w:color="auto"/>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Objective of study</w:t>
            </w:r>
          </w:p>
        </w:tc>
        <w:tc>
          <w:tcPr>
            <w:tcW w:w="1299" w:type="dxa"/>
            <w:tcBorders>
              <w:top w:val="nil"/>
              <w:left w:val="nil"/>
              <w:bottom w:val="single" w:sz="4" w:space="0" w:color="auto"/>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Sample</w:t>
            </w:r>
          </w:p>
        </w:tc>
        <w:tc>
          <w:tcPr>
            <w:tcW w:w="3278" w:type="dxa"/>
            <w:gridSpan w:val="4"/>
            <w:tcBorders>
              <w:top w:val="single" w:sz="4" w:space="0" w:color="auto"/>
              <w:left w:val="nil"/>
              <w:bottom w:val="single" w:sz="4" w:space="0" w:color="auto"/>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Results</w:t>
            </w:r>
          </w:p>
        </w:tc>
        <w:tc>
          <w:tcPr>
            <w:tcW w:w="1588" w:type="dxa"/>
            <w:gridSpan w:val="4"/>
            <w:tcBorders>
              <w:top w:val="nil"/>
              <w:left w:val="nil"/>
              <w:bottom w:val="nil"/>
              <w:right w:val="nil"/>
            </w:tcBorders>
            <w:shd w:val="clear" w:color="auto" w:fill="auto"/>
            <w:noWrap/>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Characteristics</w:t>
            </w:r>
          </w:p>
        </w:tc>
      </w:tr>
      <w:tr w:rsidR="00762C78" w:rsidRPr="00FD0348" w:rsidTr="00965281">
        <w:trPr>
          <w:trHeight w:val="1455"/>
        </w:trPr>
        <w:tc>
          <w:tcPr>
            <w:tcW w:w="1357" w:type="dxa"/>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Blue Ribbon Committee (BRC) (1999)</w:t>
            </w:r>
          </w:p>
        </w:tc>
        <w:tc>
          <w:tcPr>
            <w:tcW w:w="1621" w:type="dxa"/>
            <w:vMerge w:val="restart"/>
            <w:tcBorders>
              <w:top w:val="nil"/>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Examination of audit committee structures to improve financial reporting quality</w:t>
            </w:r>
          </w:p>
        </w:tc>
        <w:tc>
          <w:tcPr>
            <w:tcW w:w="1299" w:type="dxa"/>
            <w:tcBorders>
              <w:top w:val="nil"/>
              <w:left w:val="nil"/>
              <w:bottom w:val="nil"/>
              <w:right w:val="nil"/>
            </w:tcBorders>
            <w:shd w:val="clear" w:color="auto" w:fill="auto"/>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278" w:type="dxa"/>
            <w:gridSpan w:val="4"/>
            <w:vMerge w:val="restart"/>
            <w:tcBorders>
              <w:top w:val="single" w:sz="4" w:space="0" w:color="auto"/>
              <w:left w:val="nil"/>
              <w:bottom w:val="single" w:sz="4" w:space="0" w:color="000000"/>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The BRC highlights that following characteristics strengthens audit committee performance: Independence, meeting </w:t>
            </w:r>
            <w:r w:rsidR="00CF4DF7" w:rsidRPr="00FD0348">
              <w:rPr>
                <w:rFonts w:ascii="Calibri" w:eastAsia="Times New Roman" w:hAnsi="Calibri" w:cs="Times New Roman"/>
                <w:color w:val="000000"/>
                <w:sz w:val="14"/>
                <w:szCs w:val="14"/>
                <w:lang w:bidi="ar-SA"/>
              </w:rPr>
              <w:t>frequency</w:t>
            </w:r>
            <w:r w:rsidRPr="00FD0348">
              <w:rPr>
                <w:rFonts w:ascii="Calibri" w:eastAsia="Times New Roman" w:hAnsi="Calibri" w:cs="Times New Roman"/>
                <w:color w:val="000000"/>
                <w:sz w:val="14"/>
                <w:szCs w:val="14"/>
                <w:lang w:bidi="ar-SA"/>
              </w:rPr>
              <w:t>, size and expertise</w:t>
            </w:r>
          </w:p>
        </w:tc>
        <w:tc>
          <w:tcPr>
            <w:tcW w:w="397" w:type="dxa"/>
            <w:tcBorders>
              <w:top w:val="nil"/>
              <w:left w:val="nil"/>
              <w:bottom w:val="single" w:sz="4" w:space="0" w:color="auto"/>
              <w:right w:val="nil"/>
            </w:tcBorders>
            <w:shd w:val="clear" w:color="auto" w:fill="auto"/>
            <w:textDirection w:val="btLr"/>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Independence</w:t>
            </w:r>
          </w:p>
        </w:tc>
        <w:tc>
          <w:tcPr>
            <w:tcW w:w="397" w:type="dxa"/>
            <w:tcBorders>
              <w:top w:val="nil"/>
              <w:left w:val="nil"/>
              <w:bottom w:val="single" w:sz="4" w:space="0" w:color="auto"/>
              <w:right w:val="nil"/>
            </w:tcBorders>
            <w:shd w:val="clear" w:color="auto" w:fill="auto"/>
            <w:textDirection w:val="btLr"/>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Meeting Frequency</w:t>
            </w:r>
          </w:p>
        </w:tc>
        <w:tc>
          <w:tcPr>
            <w:tcW w:w="397" w:type="dxa"/>
            <w:tcBorders>
              <w:top w:val="nil"/>
              <w:left w:val="nil"/>
              <w:bottom w:val="single" w:sz="4" w:space="0" w:color="auto"/>
              <w:right w:val="nil"/>
            </w:tcBorders>
            <w:shd w:val="clear" w:color="auto" w:fill="auto"/>
            <w:textDirection w:val="btLr"/>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Size</w:t>
            </w:r>
          </w:p>
        </w:tc>
        <w:tc>
          <w:tcPr>
            <w:tcW w:w="397" w:type="dxa"/>
            <w:tcBorders>
              <w:top w:val="nil"/>
              <w:left w:val="nil"/>
              <w:bottom w:val="single" w:sz="4" w:space="0" w:color="auto"/>
              <w:right w:val="nil"/>
            </w:tcBorders>
            <w:shd w:val="clear" w:color="auto" w:fill="auto"/>
            <w:textDirection w:val="btLr"/>
            <w:vAlign w:val="center"/>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Expertise</w:t>
            </w:r>
          </w:p>
        </w:tc>
      </w:tr>
      <w:tr w:rsidR="00762C78" w:rsidRPr="00FD0348" w:rsidTr="00965281">
        <w:trPr>
          <w:trHeight w:val="300"/>
        </w:trPr>
        <w:tc>
          <w:tcPr>
            <w:tcW w:w="1357"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621" w:type="dxa"/>
            <w:vMerge/>
            <w:tcBorders>
              <w:top w:val="nil"/>
              <w:left w:val="nil"/>
              <w:bottom w:val="single" w:sz="4" w:space="0" w:color="000000"/>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w:t>
            </w:r>
          </w:p>
        </w:tc>
        <w:tc>
          <w:tcPr>
            <w:tcW w:w="3278" w:type="dxa"/>
            <w:gridSpan w:val="4"/>
            <w:vMerge/>
            <w:tcBorders>
              <w:top w:val="nil"/>
              <w:left w:val="nil"/>
              <w:bottom w:val="single" w:sz="4" w:space="0" w:color="auto"/>
              <w:right w:val="nil"/>
            </w:tcBorders>
            <w:vAlign w:val="center"/>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r>
      <w:tr w:rsidR="00762C78" w:rsidRPr="00FD0348" w:rsidTr="00965281">
        <w:trPr>
          <w:trHeight w:val="915"/>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McDaniel, Martin &amp; </w:t>
            </w:r>
            <w:proofErr w:type="spellStart"/>
            <w:r w:rsidRPr="00FD0348">
              <w:rPr>
                <w:rFonts w:ascii="Calibri" w:eastAsia="Times New Roman" w:hAnsi="Calibri" w:cs="Times New Roman"/>
                <w:color w:val="000000"/>
                <w:sz w:val="14"/>
                <w:szCs w:val="14"/>
                <w:lang w:bidi="ar-SA"/>
              </w:rPr>
              <w:t>Maines</w:t>
            </w:r>
            <w:proofErr w:type="spellEnd"/>
            <w:r w:rsidRPr="00FD0348">
              <w:rPr>
                <w:rFonts w:ascii="Calibri" w:eastAsia="Times New Roman" w:hAnsi="Calibri" w:cs="Times New Roman"/>
                <w:color w:val="000000"/>
                <w:sz w:val="14"/>
                <w:szCs w:val="14"/>
                <w:lang w:bidi="ar-SA"/>
              </w:rPr>
              <w:t xml:space="preserve"> (2002)</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Impact of financial experts' judgment on financial reporting quality</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Survey of 20 financial experts and 18 financial literates</w:t>
            </w:r>
          </w:p>
        </w:tc>
        <w:tc>
          <w:tcPr>
            <w:tcW w:w="4072" w:type="dxa"/>
            <w:gridSpan w:val="6"/>
            <w:tcBorders>
              <w:top w:val="single" w:sz="4" w:space="0" w:color="auto"/>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ACFE is likely to change the structure and focus of audit committee discussions about financial reporting quality and may affect the committee’s overall assessment of the quality of a company’s financial report</w:t>
            </w: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
        </w:tc>
        <w:tc>
          <w:tcPr>
            <w:tcW w:w="39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r>
      <w:tr w:rsidR="00762C78" w:rsidRPr="00FD0348" w:rsidTr="00965281">
        <w:trPr>
          <w:trHeight w:val="675"/>
        </w:trPr>
        <w:tc>
          <w:tcPr>
            <w:tcW w:w="1357"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Carcello</w:t>
            </w:r>
            <w:proofErr w:type="spellEnd"/>
            <w:r w:rsidRPr="00FD0348">
              <w:rPr>
                <w:rFonts w:ascii="Calibri" w:eastAsia="Times New Roman" w:hAnsi="Calibri" w:cs="Times New Roman"/>
                <w:color w:val="000000"/>
                <w:sz w:val="14"/>
                <w:szCs w:val="14"/>
                <w:lang w:bidi="ar-SA"/>
              </w:rPr>
              <w:t xml:space="preserve"> Hollingsworth &amp; Neal (2006)</w:t>
            </w:r>
          </w:p>
        </w:tc>
        <w:tc>
          <w:tcPr>
            <w:tcW w:w="1621"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Closer examination of the audit committee financial experts</w:t>
            </w:r>
          </w:p>
        </w:tc>
        <w:tc>
          <w:tcPr>
            <w:tcW w:w="1299" w:type="dxa"/>
            <w:tcBorders>
              <w:top w:val="nil"/>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 100 entities in 2003</w:t>
            </w:r>
          </w:p>
        </w:tc>
        <w:tc>
          <w:tcPr>
            <w:tcW w:w="4072" w:type="dxa"/>
            <w:gridSpan w:val="6"/>
            <w:tcBorders>
              <w:top w:val="single" w:sz="4" w:space="0" w:color="auto"/>
              <w:left w:val="nil"/>
              <w:bottom w:val="single" w:sz="4" w:space="0" w:color="auto"/>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Transparency of the disclosure regarding the ACFE background is limited. Most ACFEs do not have a background in accounting or finance</w:t>
            </w: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p>
        </w:tc>
        <w:tc>
          <w:tcPr>
            <w:tcW w:w="397" w:type="dxa"/>
            <w:tcBorders>
              <w:top w:val="nil"/>
              <w:left w:val="nil"/>
              <w:bottom w:val="single" w:sz="4" w:space="0" w:color="auto"/>
              <w:right w:val="nil"/>
            </w:tcBorders>
            <w:shd w:val="clear" w:color="auto" w:fill="auto"/>
            <w:noWrap/>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X</w:t>
            </w:r>
          </w:p>
        </w:tc>
      </w:tr>
      <w:tr w:rsidR="00762C78" w:rsidRPr="00FD0348" w:rsidTr="00965281">
        <w:trPr>
          <w:trHeight w:val="675"/>
        </w:trPr>
        <w:tc>
          <w:tcPr>
            <w:tcW w:w="1357" w:type="dxa"/>
            <w:tcBorders>
              <w:top w:val="nil"/>
              <w:left w:val="nil"/>
              <w:bottom w:val="nil"/>
              <w:right w:val="nil"/>
            </w:tcBorders>
            <w:shd w:val="clear" w:color="auto" w:fill="auto"/>
            <w:vAlign w:val="bottom"/>
            <w:hideMark/>
          </w:tcPr>
          <w:p w:rsidR="00762C78" w:rsidRPr="00FD0348" w:rsidRDefault="00762C78" w:rsidP="00470966">
            <w:pPr>
              <w:spacing w:before="0" w:line="240" w:lineRule="auto"/>
              <w:ind w:right="27" w:firstLine="0"/>
              <w:jc w:val="left"/>
              <w:rPr>
                <w:rFonts w:ascii="Calibri" w:eastAsia="Times New Roman" w:hAnsi="Calibri" w:cs="Times New Roman"/>
                <w:color w:val="000000"/>
                <w:sz w:val="14"/>
                <w:szCs w:val="14"/>
                <w:lang w:bidi="ar-SA"/>
              </w:rPr>
            </w:pPr>
            <w:proofErr w:type="spellStart"/>
            <w:r w:rsidRPr="00FD0348">
              <w:rPr>
                <w:rFonts w:ascii="Calibri" w:eastAsia="Times New Roman" w:hAnsi="Calibri" w:cs="Times New Roman"/>
                <w:color w:val="000000"/>
                <w:sz w:val="14"/>
                <w:szCs w:val="14"/>
                <w:lang w:bidi="ar-SA"/>
              </w:rPr>
              <w:t>Dechow</w:t>
            </w:r>
            <w:proofErr w:type="spellEnd"/>
            <w:r w:rsidRPr="00FD0348">
              <w:rPr>
                <w:rFonts w:ascii="Calibri" w:eastAsia="Times New Roman" w:hAnsi="Calibri" w:cs="Times New Roman"/>
                <w:color w:val="000000"/>
                <w:sz w:val="14"/>
                <w:szCs w:val="14"/>
                <w:lang w:bidi="ar-SA"/>
              </w:rPr>
              <w:t xml:space="preserve">, </w:t>
            </w:r>
            <w:proofErr w:type="spellStart"/>
            <w:r w:rsidRPr="00FD0348">
              <w:rPr>
                <w:rFonts w:ascii="Calibri" w:eastAsia="Times New Roman" w:hAnsi="Calibri" w:cs="Times New Roman"/>
                <w:color w:val="000000"/>
                <w:sz w:val="14"/>
                <w:szCs w:val="14"/>
                <w:lang w:bidi="ar-SA"/>
              </w:rPr>
              <w:t>Ge</w:t>
            </w:r>
            <w:proofErr w:type="spellEnd"/>
            <w:r w:rsidRPr="00FD0348">
              <w:rPr>
                <w:rFonts w:ascii="Calibri" w:eastAsia="Times New Roman" w:hAnsi="Calibri" w:cs="Times New Roman"/>
                <w:color w:val="000000"/>
                <w:sz w:val="14"/>
                <w:szCs w:val="14"/>
                <w:lang w:bidi="ar-SA"/>
              </w:rPr>
              <w:t xml:space="preserve"> &amp; </w:t>
            </w:r>
            <w:proofErr w:type="spellStart"/>
            <w:r w:rsidRPr="00FD0348">
              <w:rPr>
                <w:rFonts w:ascii="Calibri" w:eastAsia="Times New Roman" w:hAnsi="Calibri" w:cs="Times New Roman"/>
                <w:color w:val="000000"/>
                <w:sz w:val="14"/>
                <w:szCs w:val="14"/>
                <w:lang w:bidi="ar-SA"/>
              </w:rPr>
              <w:t>Schrand</w:t>
            </w:r>
            <w:proofErr w:type="spellEnd"/>
            <w:r w:rsidRPr="00FD0348">
              <w:rPr>
                <w:rFonts w:ascii="Calibri" w:eastAsia="Times New Roman" w:hAnsi="Calibri" w:cs="Times New Roman"/>
                <w:color w:val="000000"/>
                <w:sz w:val="14"/>
                <w:szCs w:val="14"/>
                <w:lang w:bidi="ar-SA"/>
              </w:rPr>
              <w:t xml:space="preserve"> (2010)</w:t>
            </w:r>
          </w:p>
        </w:tc>
        <w:tc>
          <w:tcPr>
            <w:tcW w:w="1621" w:type="dxa"/>
            <w:tcBorders>
              <w:top w:val="nil"/>
              <w:left w:val="nil"/>
              <w:bottom w:val="nil"/>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Review of EQ proxies, determinants and consequences.</w:t>
            </w:r>
          </w:p>
        </w:tc>
        <w:tc>
          <w:tcPr>
            <w:tcW w:w="1299" w:type="dxa"/>
            <w:tcBorders>
              <w:top w:val="nil"/>
              <w:left w:val="nil"/>
              <w:bottom w:val="nil"/>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300+ published empirical studies </w:t>
            </w:r>
          </w:p>
        </w:tc>
        <w:tc>
          <w:tcPr>
            <w:tcW w:w="4866" w:type="dxa"/>
            <w:gridSpan w:val="8"/>
            <w:tcBorders>
              <w:top w:val="single" w:sz="4" w:space="0" w:color="auto"/>
              <w:left w:val="nil"/>
              <w:bottom w:val="nil"/>
              <w:right w:val="nil"/>
            </w:tcBorders>
            <w:shd w:val="clear" w:color="auto" w:fill="auto"/>
            <w:vAlign w:val="bottom"/>
            <w:hideMark/>
          </w:tcPr>
          <w:p w:rsidR="00762C78" w:rsidRPr="00FD0348" w:rsidRDefault="00762C78"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 xml:space="preserve">There is no single measurement of EQ that is superior to </w:t>
            </w:r>
            <w:r w:rsidR="00CF4DF7" w:rsidRPr="00FD0348">
              <w:rPr>
                <w:rFonts w:ascii="Calibri" w:eastAsia="Times New Roman" w:hAnsi="Calibri" w:cs="Times New Roman"/>
                <w:color w:val="000000"/>
                <w:sz w:val="14"/>
                <w:szCs w:val="14"/>
                <w:lang w:bidi="ar-SA"/>
              </w:rPr>
              <w:t xml:space="preserve">others. </w:t>
            </w:r>
            <w:r w:rsidRPr="00FD0348">
              <w:rPr>
                <w:rFonts w:ascii="Calibri" w:eastAsia="Times New Roman" w:hAnsi="Calibri" w:cs="Times New Roman"/>
                <w:color w:val="000000"/>
                <w:sz w:val="14"/>
                <w:szCs w:val="14"/>
                <w:lang w:bidi="ar-SA"/>
              </w:rPr>
              <w:t xml:space="preserve">EQ proxies are affected by both the firm’s fundamental earnings process and by the measurement of that process. </w:t>
            </w:r>
          </w:p>
        </w:tc>
      </w:tr>
    </w:tbl>
    <w:p w:rsidR="00E42B25" w:rsidRPr="00FD0348" w:rsidRDefault="00E42B25" w:rsidP="00470966">
      <w:pPr>
        <w:ind w:right="27"/>
      </w:pPr>
    </w:p>
    <w:p w:rsidR="009136C5" w:rsidRDefault="009136C5" w:rsidP="00470966">
      <w:pPr>
        <w:spacing w:before="200" w:after="200" w:line="276" w:lineRule="auto"/>
        <w:ind w:right="27" w:firstLine="0"/>
        <w:jc w:val="left"/>
        <w:rPr>
          <w:b/>
          <w:bCs/>
          <w:caps/>
          <w:color w:val="FFFFFF" w:themeColor="background1"/>
          <w:spacing w:val="15"/>
          <w:szCs w:val="22"/>
        </w:rPr>
      </w:pPr>
      <w:r>
        <w:br w:type="page"/>
      </w:r>
    </w:p>
    <w:p w:rsidR="00652C8F" w:rsidRPr="00FD0348" w:rsidRDefault="00652C8F" w:rsidP="00470966">
      <w:pPr>
        <w:pStyle w:val="Heading1"/>
        <w:ind w:right="27"/>
      </w:pPr>
      <w:bookmarkStart w:id="18" w:name="_Toc364177656"/>
      <w:bookmarkStart w:id="19" w:name="_Toc364200635"/>
      <w:r w:rsidRPr="00FD0348">
        <w:lastRenderedPageBreak/>
        <w:t>V Hypothesis development</w:t>
      </w:r>
      <w:bookmarkEnd w:id="18"/>
      <w:bookmarkEnd w:id="19"/>
    </w:p>
    <w:p w:rsidR="00125E73" w:rsidRPr="00FD0348" w:rsidRDefault="00652C8F" w:rsidP="00470966">
      <w:pPr>
        <w:ind w:right="27"/>
      </w:pPr>
      <w:r w:rsidRPr="00FD0348">
        <w:t>The European Commission has proposed in 2011 to reform the audit</w:t>
      </w:r>
      <w:r w:rsidR="00585212" w:rsidRPr="00FD0348">
        <w:t xml:space="preserve"> profession </w:t>
      </w:r>
      <w:r w:rsidR="00125E73" w:rsidRPr="00FD0348">
        <w:t>in order to re-establish trust and market confidence in the European Union</w:t>
      </w:r>
      <w:r w:rsidRPr="00FD0348">
        <w:t xml:space="preserve">. Not only will the audit reform introduce a new chapter in how auditors will perform their tasks in the European Union member states, but the audit reform will also bring changes to the </w:t>
      </w:r>
      <w:r w:rsidR="00661940" w:rsidRPr="00FD0348">
        <w:t>audit committee structure</w:t>
      </w:r>
      <w:r w:rsidRPr="00FD0348">
        <w:t xml:space="preserve">. </w:t>
      </w:r>
      <w:r w:rsidR="000642DF" w:rsidRPr="00FD0348">
        <w:t>T</w:t>
      </w:r>
      <w:r w:rsidRPr="00FD0348">
        <w:t xml:space="preserve">he goal of </w:t>
      </w:r>
      <w:r w:rsidR="000642DF" w:rsidRPr="00FD0348">
        <w:t xml:space="preserve">my </w:t>
      </w:r>
      <w:r w:rsidR="00015288" w:rsidRPr="00FD0348">
        <w:t>m</w:t>
      </w:r>
      <w:r w:rsidR="003E2CA4" w:rsidRPr="00FD0348">
        <w:t>aster’s</w:t>
      </w:r>
      <w:r w:rsidR="00BB4BCE" w:rsidRPr="00FD0348">
        <w:t xml:space="preserve"> thesis</w:t>
      </w:r>
      <w:r w:rsidRPr="00FD0348">
        <w:t xml:space="preserve"> is to </w:t>
      </w:r>
      <w:r w:rsidR="000642DF" w:rsidRPr="00FD0348">
        <w:t xml:space="preserve">provide evidence </w:t>
      </w:r>
      <w:r w:rsidRPr="00FD0348">
        <w:t xml:space="preserve">whether the new requirements </w:t>
      </w:r>
      <w:r w:rsidR="00125E73" w:rsidRPr="00FD0348">
        <w:t xml:space="preserve">proposed by the European Commission </w:t>
      </w:r>
      <w:r w:rsidRPr="00FD0348">
        <w:t xml:space="preserve">will </w:t>
      </w:r>
      <w:r w:rsidR="00585212" w:rsidRPr="00FD0348">
        <w:t xml:space="preserve">improve </w:t>
      </w:r>
      <w:r w:rsidR="00125E73" w:rsidRPr="00FD0348">
        <w:t xml:space="preserve">the </w:t>
      </w:r>
      <w:r w:rsidR="00661940" w:rsidRPr="00FD0348">
        <w:t>audit committee’s monitoring capabilities</w:t>
      </w:r>
      <w:r w:rsidR="00125E73" w:rsidRPr="00FD0348">
        <w:t>.</w:t>
      </w:r>
      <w:r w:rsidR="006760F3" w:rsidRPr="00FD0348">
        <w:t xml:space="preserve"> </w:t>
      </w:r>
      <w:r w:rsidRPr="00FD0348">
        <w:t>The new structure will require that audit committees cons</w:t>
      </w:r>
      <w:r w:rsidR="00015288" w:rsidRPr="00FD0348">
        <w:t>ist</w:t>
      </w:r>
      <w:r w:rsidRPr="00FD0348">
        <w:t xml:space="preserve"> </w:t>
      </w:r>
      <w:r w:rsidR="00661940" w:rsidRPr="00FD0348">
        <w:t xml:space="preserve">fully </w:t>
      </w:r>
      <w:r w:rsidRPr="00FD0348">
        <w:t xml:space="preserve">out of independent directors of which at least one director has to have knowledge and experience in auditing and another director </w:t>
      </w:r>
      <w:r w:rsidR="000A0554" w:rsidRPr="00FD0348">
        <w:t xml:space="preserve">that </w:t>
      </w:r>
      <w:r w:rsidRPr="00FD0348">
        <w:t>has to have knowledge and experience in either accounting or auditing.</w:t>
      </w:r>
      <w:r w:rsidR="005E51DC" w:rsidRPr="00FD0348">
        <w:t xml:space="preserve"> </w:t>
      </w:r>
      <w:r w:rsidR="00EC17D5" w:rsidRPr="00FD0348">
        <w:t>I expect that the</w:t>
      </w:r>
      <w:r w:rsidR="0062757C" w:rsidRPr="00FD0348">
        <w:t xml:space="preserve"> proposed changes to the composition and expertise requirement</w:t>
      </w:r>
      <w:r w:rsidR="00562658" w:rsidRPr="00FD0348">
        <w:t>s</w:t>
      </w:r>
      <w:r w:rsidR="0062757C" w:rsidRPr="00FD0348">
        <w:t xml:space="preserve"> will i</w:t>
      </w:r>
      <w:r w:rsidR="008F58F4" w:rsidRPr="00FD0348">
        <w:t>mprove</w:t>
      </w:r>
      <w:r w:rsidR="0062757C" w:rsidRPr="00FD0348">
        <w:t xml:space="preserve"> the </w:t>
      </w:r>
      <w:r w:rsidR="00661940" w:rsidRPr="00FD0348">
        <w:t xml:space="preserve">audit committee’s </w:t>
      </w:r>
      <w:r w:rsidR="0062757C" w:rsidRPr="00FD0348">
        <w:t xml:space="preserve">monitoring capabilities </w:t>
      </w:r>
      <w:r w:rsidR="00741178" w:rsidRPr="00FD0348">
        <w:t>because</w:t>
      </w:r>
      <w:r w:rsidR="008F58F4" w:rsidRPr="00FD0348">
        <w:t xml:space="preserve"> evidence from </w:t>
      </w:r>
      <w:r w:rsidR="006760F3" w:rsidRPr="00FD0348">
        <w:t>empirical</w:t>
      </w:r>
      <w:r w:rsidR="008F58F4" w:rsidRPr="00FD0348">
        <w:t xml:space="preserve"> literature </w:t>
      </w:r>
      <w:r w:rsidR="00FE6918" w:rsidRPr="00FD0348">
        <w:t>(</w:t>
      </w:r>
      <w:proofErr w:type="spellStart"/>
      <w:r w:rsidR="00FE6918" w:rsidRPr="00FD0348">
        <w:t>Xie</w:t>
      </w:r>
      <w:proofErr w:type="spellEnd"/>
      <w:r w:rsidR="00FE6918" w:rsidRPr="00FD0348">
        <w:t xml:space="preserve"> et al. 2003; </w:t>
      </w:r>
      <w:proofErr w:type="spellStart"/>
      <w:r w:rsidR="00FE6918" w:rsidRPr="00FD0348">
        <w:t>Vafeas</w:t>
      </w:r>
      <w:proofErr w:type="spellEnd"/>
      <w:r w:rsidR="00FE6918" w:rsidRPr="00FD0348">
        <w:t xml:space="preserve"> 2005; </w:t>
      </w:r>
      <w:proofErr w:type="spellStart"/>
      <w:r w:rsidR="00FE6918" w:rsidRPr="00FD0348">
        <w:t>Carcello</w:t>
      </w:r>
      <w:proofErr w:type="spellEnd"/>
      <w:r w:rsidR="00FE6918" w:rsidRPr="00FD0348">
        <w:t xml:space="preserve"> </w:t>
      </w:r>
      <w:r w:rsidR="000E7EB7" w:rsidRPr="00FD0348">
        <w:t>et</w:t>
      </w:r>
      <w:r w:rsidR="00FE6918" w:rsidRPr="00FD0348">
        <w:t xml:space="preserve"> al. 2006) </w:t>
      </w:r>
      <w:r w:rsidR="008F58F4" w:rsidRPr="00FD0348">
        <w:t xml:space="preserve">suggests that </w:t>
      </w:r>
      <w:r w:rsidR="00F336C1" w:rsidRPr="00FD0348">
        <w:t>audit committee</w:t>
      </w:r>
      <w:r w:rsidR="00FE6918" w:rsidRPr="00FD0348">
        <w:t xml:space="preserve"> </w:t>
      </w:r>
      <w:r w:rsidR="006760F3" w:rsidRPr="00FD0348">
        <w:t xml:space="preserve">structures </w:t>
      </w:r>
      <w:r w:rsidR="00F336C1" w:rsidRPr="00FD0348">
        <w:t>with</w:t>
      </w:r>
      <w:r w:rsidR="00FE6918" w:rsidRPr="00FD0348">
        <w:t xml:space="preserve"> </w:t>
      </w:r>
      <w:r w:rsidR="008F58F4" w:rsidRPr="00FD0348">
        <w:t xml:space="preserve">directors who are independent and </w:t>
      </w:r>
      <w:r w:rsidR="00557E23" w:rsidRPr="00FD0348">
        <w:t>have accounting</w:t>
      </w:r>
      <w:r w:rsidR="00B972DE" w:rsidRPr="00FD0348">
        <w:t xml:space="preserve"> </w:t>
      </w:r>
      <w:r w:rsidR="00557E23" w:rsidRPr="00FD0348">
        <w:t>/</w:t>
      </w:r>
      <w:r w:rsidR="00B972DE" w:rsidRPr="00FD0348">
        <w:t xml:space="preserve"> </w:t>
      </w:r>
      <w:r w:rsidR="00557E23" w:rsidRPr="00FD0348">
        <w:t xml:space="preserve">auditing expertise </w:t>
      </w:r>
      <w:r w:rsidR="00FE6918" w:rsidRPr="00FD0348">
        <w:t xml:space="preserve">are </w:t>
      </w:r>
      <w:r w:rsidR="00562658" w:rsidRPr="00FD0348">
        <w:t>associated</w:t>
      </w:r>
      <w:r w:rsidR="00FE6918" w:rsidRPr="00FD0348">
        <w:t xml:space="preserve"> </w:t>
      </w:r>
      <w:r w:rsidR="00562658" w:rsidRPr="00FD0348">
        <w:t>with</w:t>
      </w:r>
      <w:r w:rsidR="00FE6918" w:rsidRPr="00FD0348">
        <w:t xml:space="preserve"> higher earnings quality.</w:t>
      </w:r>
      <w:r w:rsidR="00BC70C3" w:rsidRPr="00FD0348">
        <w:t xml:space="preserve"> </w:t>
      </w:r>
    </w:p>
    <w:p w:rsidR="00BD2BC9" w:rsidRPr="00FD0348" w:rsidRDefault="00BD2BC9" w:rsidP="00470966">
      <w:pPr>
        <w:ind w:right="27"/>
      </w:pPr>
      <w:r w:rsidRPr="00FD0348">
        <w:t xml:space="preserve">The </w:t>
      </w:r>
      <w:r w:rsidR="00951D36" w:rsidRPr="00FD0348">
        <w:t>relation</w:t>
      </w:r>
      <w:r w:rsidRPr="00FD0348">
        <w:t xml:space="preserve"> between the audit committee characteristics and earnings quality will be examined using two benchmarking approaches</w:t>
      </w:r>
      <w:r w:rsidR="0045406E" w:rsidRPr="00FD0348">
        <w:t>:</w:t>
      </w:r>
      <w:r w:rsidR="00121EFE" w:rsidRPr="00FD0348">
        <w:t xml:space="preserve"> the</w:t>
      </w:r>
      <w:r w:rsidR="0045406E" w:rsidRPr="00FD0348">
        <w:t xml:space="preserve"> </w:t>
      </w:r>
      <w:r w:rsidR="00951D36" w:rsidRPr="00FD0348">
        <w:t>likelihood of public-interest entities meeting or barely beating analysts’ earnings forecasts (</w:t>
      </w:r>
      <w:r w:rsidR="0048046E" w:rsidRPr="00FD0348">
        <w:t>negative earnings surprise avoidance</w:t>
      </w:r>
      <w:r w:rsidR="00951D36" w:rsidRPr="00FD0348">
        <w:t>)</w:t>
      </w:r>
      <w:r w:rsidR="00CE43FE" w:rsidRPr="00FD0348">
        <w:t xml:space="preserve"> </w:t>
      </w:r>
      <w:r w:rsidR="00951D36" w:rsidRPr="00FD0348">
        <w:t xml:space="preserve">and </w:t>
      </w:r>
      <w:r w:rsidR="0045406E" w:rsidRPr="00FD0348">
        <w:t>the likelihood of a public-interest entity reporting small earnings increases.</w:t>
      </w:r>
      <w:r w:rsidR="007133C5" w:rsidRPr="00FD0348">
        <w:t xml:space="preserve"> </w:t>
      </w:r>
      <w:r w:rsidR="0047026A" w:rsidRPr="00FD0348">
        <w:t xml:space="preserve">The literature suggests that </w:t>
      </w:r>
      <w:r w:rsidR="00AB2E45" w:rsidRPr="00FD0348">
        <w:t>p</w:t>
      </w:r>
      <w:r w:rsidR="001C6C77" w:rsidRPr="00FD0348">
        <w:t>ublic-</w:t>
      </w:r>
      <w:r w:rsidR="007133C5" w:rsidRPr="00FD0348">
        <w:t xml:space="preserve">interest entities </w:t>
      </w:r>
      <w:r w:rsidR="00951D36" w:rsidRPr="00FD0348">
        <w:t xml:space="preserve">that are meeting or barely beating analysts’ earnings forecast or </w:t>
      </w:r>
      <w:r w:rsidR="007133C5" w:rsidRPr="00FD0348">
        <w:t>repor</w:t>
      </w:r>
      <w:r w:rsidR="0094779C" w:rsidRPr="00FD0348">
        <w:t xml:space="preserve">ting small earnings increases </w:t>
      </w:r>
      <w:r w:rsidR="0047026A" w:rsidRPr="00FD0348">
        <w:t xml:space="preserve">are </w:t>
      </w:r>
      <w:r w:rsidR="00951D36" w:rsidRPr="00FD0348">
        <w:t xml:space="preserve">likely </w:t>
      </w:r>
      <w:r w:rsidR="0047026A" w:rsidRPr="00FD0348">
        <w:t>able to do so by manipulating their earnings</w:t>
      </w:r>
      <w:r w:rsidR="007F39E3" w:rsidRPr="00FD0348">
        <w:t xml:space="preserve"> upwards </w:t>
      </w:r>
      <w:r w:rsidR="00951D36" w:rsidRPr="00FD0348">
        <w:t>and</w:t>
      </w:r>
      <w:r w:rsidR="00121EFE" w:rsidRPr="00FD0348">
        <w:t xml:space="preserve"> </w:t>
      </w:r>
      <w:r w:rsidR="00951D36" w:rsidRPr="00FD0348">
        <w:t>/</w:t>
      </w:r>
      <w:r w:rsidR="00121EFE" w:rsidRPr="00FD0348">
        <w:t xml:space="preserve"> </w:t>
      </w:r>
      <w:r w:rsidR="007F39E3" w:rsidRPr="00FD0348">
        <w:t>or guiding analysts’ forecasts downwards</w:t>
      </w:r>
      <w:r w:rsidR="00466B42" w:rsidRPr="00FD0348">
        <w:t xml:space="preserve">, </w:t>
      </w:r>
      <w:r w:rsidR="000D7161" w:rsidRPr="00FD0348">
        <w:t>thus</w:t>
      </w:r>
      <w:r w:rsidR="0047026A" w:rsidRPr="00FD0348">
        <w:t xml:space="preserve"> </w:t>
      </w:r>
      <w:r w:rsidR="00466B42" w:rsidRPr="00FD0348">
        <w:t xml:space="preserve">providing their stakeholders with a financial statement with low </w:t>
      </w:r>
      <w:r w:rsidR="00661940" w:rsidRPr="00FD0348">
        <w:t xml:space="preserve">earnings </w:t>
      </w:r>
      <w:r w:rsidR="00466B42" w:rsidRPr="00FD0348">
        <w:t xml:space="preserve">quality. </w:t>
      </w:r>
      <w:proofErr w:type="spellStart"/>
      <w:r w:rsidR="001552ED">
        <w:t>Donelson</w:t>
      </w:r>
      <w:proofErr w:type="spellEnd"/>
      <w:r w:rsidR="001552ED">
        <w:t xml:space="preserve"> et al.’s 2012 results suggest that the irregularity present around zero</w:t>
      </w:r>
      <w:r w:rsidR="001552ED" w:rsidRPr="00FD0348">
        <w:t xml:space="preserve"> </w:t>
      </w:r>
      <w:r w:rsidR="001552ED">
        <w:t xml:space="preserve">is observable when analyzing </w:t>
      </w:r>
      <w:r w:rsidR="001A2B08">
        <w:t xml:space="preserve">the sample using the </w:t>
      </w:r>
      <w:r w:rsidR="001552ED">
        <w:t xml:space="preserve">small earnings </w:t>
      </w:r>
      <w:r w:rsidR="001A2B08">
        <w:t>change benchmarking approach</w:t>
      </w:r>
      <w:r w:rsidR="001552ED">
        <w:t xml:space="preserve">, but is more visible when </w:t>
      </w:r>
      <w:r w:rsidR="001A2B08">
        <w:t>analyzing analysts’ earnings forecasts</w:t>
      </w:r>
      <w:r w:rsidR="001552ED">
        <w:t xml:space="preserve">. </w:t>
      </w:r>
      <w:r w:rsidR="0094779C" w:rsidRPr="00FD0348">
        <w:t>T</w:t>
      </w:r>
      <w:r w:rsidR="0047026A" w:rsidRPr="00FD0348">
        <w:t xml:space="preserve">he audit committee is </w:t>
      </w:r>
      <w:r w:rsidR="0094779C" w:rsidRPr="00FD0348">
        <w:t>responsible in monitoring</w:t>
      </w:r>
      <w:r w:rsidR="0047026A" w:rsidRPr="00FD0348">
        <w:t xml:space="preserve"> the financial reporting – and internal control processes</w:t>
      </w:r>
      <w:r w:rsidR="00863693" w:rsidRPr="00FD0348">
        <w:t xml:space="preserve">, </w:t>
      </w:r>
      <w:r w:rsidR="0094779C" w:rsidRPr="00FD0348">
        <w:t xml:space="preserve">therefore </w:t>
      </w:r>
      <w:r w:rsidR="00863693" w:rsidRPr="00FD0348">
        <w:t xml:space="preserve">the </w:t>
      </w:r>
      <w:r w:rsidR="000C7AC6" w:rsidRPr="00FD0348">
        <w:t>prevention</w:t>
      </w:r>
      <w:r w:rsidR="000D7161" w:rsidRPr="00FD0348">
        <w:t xml:space="preserve"> of</w:t>
      </w:r>
      <w:r w:rsidR="00466B42" w:rsidRPr="00FD0348">
        <w:t xml:space="preserve"> </w:t>
      </w:r>
      <w:r w:rsidR="00951D36" w:rsidRPr="00FD0348">
        <w:t xml:space="preserve">earnings surprises and </w:t>
      </w:r>
      <w:r w:rsidR="00863693" w:rsidRPr="00FD0348">
        <w:t xml:space="preserve">small earnings increases will be </w:t>
      </w:r>
      <w:r w:rsidR="00466B42" w:rsidRPr="00FD0348">
        <w:t>higher</w:t>
      </w:r>
      <w:r w:rsidR="00863693" w:rsidRPr="00FD0348">
        <w:t xml:space="preserve"> for the audit committee structures that are the most effective in limiting the occurrence of earnings manipulation</w:t>
      </w:r>
      <w:r w:rsidR="00AB703C" w:rsidRPr="00FD0348">
        <w:t xml:space="preserve"> or forecast guidance</w:t>
      </w:r>
      <w:r w:rsidR="00863693" w:rsidRPr="00FD0348">
        <w:t>.</w:t>
      </w:r>
      <w:r w:rsidR="00466B42" w:rsidRPr="00FD0348">
        <w:t xml:space="preserve"> </w:t>
      </w:r>
      <w:r w:rsidR="000D7161" w:rsidRPr="00FD0348">
        <w:t xml:space="preserve">For that reason </w:t>
      </w:r>
      <w:r w:rsidR="00466B42" w:rsidRPr="00FD0348">
        <w:t>I expect that the audit committee performa</w:t>
      </w:r>
      <w:r w:rsidR="000D7161" w:rsidRPr="00FD0348">
        <w:t xml:space="preserve">nce is inversely related to the likelihood that a public-interest entity will report </w:t>
      </w:r>
      <w:r w:rsidR="00951D36" w:rsidRPr="00FD0348">
        <w:t xml:space="preserve">earnings surprises or </w:t>
      </w:r>
      <w:r w:rsidR="000D7161" w:rsidRPr="00FD0348">
        <w:t>small earnings increase</w:t>
      </w:r>
      <w:r w:rsidR="00951D36" w:rsidRPr="00FD0348">
        <w:t>s</w:t>
      </w:r>
      <w:r w:rsidR="00466B42" w:rsidRPr="00FD0348">
        <w:t>.</w:t>
      </w:r>
    </w:p>
    <w:p w:rsidR="00EF3BEC" w:rsidRPr="00FD0348" w:rsidRDefault="00EF3BEC" w:rsidP="00470966">
      <w:pPr>
        <w:ind w:right="27"/>
      </w:pPr>
    </w:p>
    <w:p w:rsidR="00652C8F" w:rsidRPr="00FD0348" w:rsidRDefault="00652C8F" w:rsidP="00470966">
      <w:pPr>
        <w:ind w:right="27"/>
        <w:rPr>
          <w:rStyle w:val="SubtleEmphasis"/>
        </w:rPr>
      </w:pPr>
      <w:r w:rsidRPr="00FD0348">
        <w:rPr>
          <w:rStyle w:val="IntenseEmphasis"/>
        </w:rPr>
        <w:t>Main Hypothesis (H1):</w:t>
      </w:r>
      <w:r w:rsidRPr="00FD0348">
        <w:t xml:space="preserve"> </w:t>
      </w:r>
      <w:r w:rsidR="003D2F94" w:rsidRPr="00FD0348">
        <w:rPr>
          <w:rStyle w:val="SubtleEmphasis"/>
        </w:rPr>
        <w:t>The likelihood of EU p</w:t>
      </w:r>
      <w:r w:rsidRPr="00FD0348">
        <w:rPr>
          <w:rStyle w:val="SubtleEmphasis"/>
        </w:rPr>
        <w:t>ublic-interest entities</w:t>
      </w:r>
      <w:r w:rsidR="003D2F94" w:rsidRPr="00FD0348">
        <w:rPr>
          <w:rStyle w:val="SubtleEmphasis"/>
        </w:rPr>
        <w:t xml:space="preserve"> </w:t>
      </w:r>
      <w:r w:rsidR="00951D36" w:rsidRPr="00FD0348">
        <w:rPr>
          <w:rStyle w:val="SubtleEmphasis"/>
        </w:rPr>
        <w:t xml:space="preserve">meeting or barely beating analysts’ earnings forecasts or </w:t>
      </w:r>
      <w:r w:rsidR="003D2F94" w:rsidRPr="00FD0348">
        <w:rPr>
          <w:rStyle w:val="SubtleEmphasis"/>
        </w:rPr>
        <w:t xml:space="preserve">reporting small earnings increases </w:t>
      </w:r>
      <w:r w:rsidR="003E027F" w:rsidRPr="00FD0348">
        <w:rPr>
          <w:rStyle w:val="SubtleEmphasis"/>
        </w:rPr>
        <w:t xml:space="preserve">will be </w:t>
      </w:r>
      <w:r w:rsidR="0094779C" w:rsidRPr="00FD0348">
        <w:rPr>
          <w:rStyle w:val="SubtleEmphasis"/>
        </w:rPr>
        <w:t xml:space="preserve">negatively associated </w:t>
      </w:r>
      <w:r w:rsidR="003E027F" w:rsidRPr="00FD0348">
        <w:rPr>
          <w:rStyle w:val="SubtleEmphasis"/>
        </w:rPr>
        <w:t>with</w:t>
      </w:r>
      <w:r w:rsidRPr="00FD0348">
        <w:rPr>
          <w:rStyle w:val="SubtleEmphasis"/>
        </w:rPr>
        <w:t xml:space="preserve"> audit committee</w:t>
      </w:r>
      <w:r w:rsidR="0094779C" w:rsidRPr="00FD0348">
        <w:rPr>
          <w:rStyle w:val="SubtleEmphasis"/>
        </w:rPr>
        <w:t>s</w:t>
      </w:r>
      <w:r w:rsidRPr="00FD0348">
        <w:rPr>
          <w:rStyle w:val="SubtleEmphasis"/>
        </w:rPr>
        <w:t xml:space="preserve"> that are currently meeting the proposed European Commission’s audit committee </w:t>
      </w:r>
      <w:r w:rsidR="003E027F" w:rsidRPr="00FD0348">
        <w:rPr>
          <w:rStyle w:val="SubtleEmphasis"/>
        </w:rPr>
        <w:t xml:space="preserve">composition and expertise </w:t>
      </w:r>
      <w:r w:rsidRPr="00FD0348">
        <w:rPr>
          <w:rStyle w:val="SubtleEmphasis"/>
        </w:rPr>
        <w:t>requirements.</w:t>
      </w:r>
    </w:p>
    <w:p w:rsidR="005C66F6" w:rsidRPr="00FD0348" w:rsidRDefault="005C66F6" w:rsidP="00470966">
      <w:pPr>
        <w:ind w:right="27"/>
      </w:pPr>
    </w:p>
    <w:p w:rsidR="00652C8F" w:rsidRPr="00FD0348" w:rsidRDefault="0058696B" w:rsidP="00470966">
      <w:pPr>
        <w:ind w:right="27"/>
      </w:pPr>
      <w:r w:rsidRPr="00FD0348">
        <w:lastRenderedPageBreak/>
        <w:t xml:space="preserve">Besides the audit committee </w:t>
      </w:r>
      <w:r w:rsidR="00B01773" w:rsidRPr="00FD0348">
        <w:t>composition and expertise requirements</w:t>
      </w:r>
      <w:r w:rsidR="00E85E76" w:rsidRPr="00FD0348">
        <w:t xml:space="preserve"> that have been</w:t>
      </w:r>
      <w:r w:rsidRPr="00FD0348">
        <w:t xml:space="preserve"> the </w:t>
      </w:r>
      <w:r w:rsidR="00E85E76" w:rsidRPr="00FD0348">
        <w:t xml:space="preserve">focus of </w:t>
      </w:r>
      <w:r w:rsidRPr="00FD0348">
        <w:t xml:space="preserve">the proposed audit reform (EC 2011), there are other audit committee characteristics that </w:t>
      </w:r>
      <w:r w:rsidR="000E2E73">
        <w:t xml:space="preserve">can influence </w:t>
      </w:r>
      <w:r w:rsidRPr="00FD0348">
        <w:t xml:space="preserve">the </w:t>
      </w:r>
      <w:r w:rsidR="000E2E73">
        <w:t>monitoring capabilities</w:t>
      </w:r>
      <w:r w:rsidRPr="00FD0348">
        <w:t xml:space="preserve"> of the audit committee. </w:t>
      </w:r>
      <w:r w:rsidR="00652C8F" w:rsidRPr="00FD0348">
        <w:t xml:space="preserve">Prior empirical </w:t>
      </w:r>
      <w:r w:rsidRPr="00FD0348">
        <w:t>literature on audit committee performance</w:t>
      </w:r>
      <w:r w:rsidR="00652C8F" w:rsidRPr="00FD0348">
        <w:t xml:space="preserve"> (Klein 2002; </w:t>
      </w:r>
      <w:proofErr w:type="spellStart"/>
      <w:r w:rsidR="00652C8F" w:rsidRPr="00FD0348">
        <w:t>Xie</w:t>
      </w:r>
      <w:proofErr w:type="spellEnd"/>
      <w:r w:rsidR="00652C8F" w:rsidRPr="00FD0348">
        <w:t xml:space="preserve"> </w:t>
      </w:r>
      <w:r w:rsidR="000E7EB7" w:rsidRPr="00FD0348">
        <w:t>et</w:t>
      </w:r>
      <w:r w:rsidR="00652C8F" w:rsidRPr="00FD0348">
        <w:t xml:space="preserve"> al. 2003; </w:t>
      </w:r>
      <w:proofErr w:type="spellStart"/>
      <w:r w:rsidR="00652C8F" w:rsidRPr="00FD0348">
        <w:t>Vafeas</w:t>
      </w:r>
      <w:proofErr w:type="spellEnd"/>
      <w:r w:rsidR="00652C8F" w:rsidRPr="00FD0348">
        <w:t xml:space="preserve"> 2005; </w:t>
      </w:r>
      <w:proofErr w:type="spellStart"/>
      <w:r w:rsidR="00652C8F" w:rsidRPr="00FD0348">
        <w:t>Hooghiemstra</w:t>
      </w:r>
      <w:proofErr w:type="spellEnd"/>
      <w:r w:rsidR="00652C8F" w:rsidRPr="00FD0348">
        <w:t xml:space="preserve"> </w:t>
      </w:r>
      <w:r w:rsidR="000E7EB7" w:rsidRPr="00FD0348">
        <w:t>et</w:t>
      </w:r>
      <w:r w:rsidR="00652C8F" w:rsidRPr="00FD0348">
        <w:t xml:space="preserve"> al. 2008) </w:t>
      </w:r>
      <w:r w:rsidR="00326B8D">
        <w:t xml:space="preserve">has identified links between earnings quality and </w:t>
      </w:r>
      <w:r w:rsidR="00B119C4">
        <w:t xml:space="preserve">certain </w:t>
      </w:r>
      <w:r w:rsidR="00326B8D">
        <w:t>audit committee characteristics, such as meeting frequency and independency</w:t>
      </w:r>
      <w:r w:rsidRPr="00FD0348">
        <w:t>.</w:t>
      </w:r>
      <w:r w:rsidR="00652C8F" w:rsidRPr="00FD0348">
        <w:t xml:space="preserve"> </w:t>
      </w:r>
      <w:r w:rsidR="000C1FA0">
        <w:t xml:space="preserve">The independency </w:t>
      </w:r>
      <w:r w:rsidR="00AB5F1F">
        <w:t xml:space="preserve">– </w:t>
      </w:r>
      <w:r w:rsidR="000C1FA0">
        <w:t xml:space="preserve">and the meeting frequency of the audit committee </w:t>
      </w:r>
      <w:r w:rsidR="00B036AA">
        <w:t>are positively associated with earnings quality.</w:t>
      </w:r>
      <w:r w:rsidR="00AB5F1F">
        <w:t xml:space="preserve"> </w:t>
      </w:r>
      <w:r w:rsidR="00297F0B">
        <w:t xml:space="preserve">Additionally, the focus of prior empirical literature has been on public interest entities from one country, whereas my master’s thesis studies public interest entities from different European Union member states. Therefore I will also test if the links between independency and meeting frequency with earnings quality hold </w:t>
      </w:r>
      <w:r w:rsidR="0028427E" w:rsidRPr="00FD0348">
        <w:t>in a European setting</w:t>
      </w:r>
      <w:r w:rsidR="0028427E">
        <w:t xml:space="preserve"> </w:t>
      </w:r>
      <w:r w:rsidR="00297F0B">
        <w:t xml:space="preserve">for </w:t>
      </w:r>
      <w:r w:rsidR="00C46736" w:rsidRPr="00FD0348">
        <w:t xml:space="preserve">the </w:t>
      </w:r>
      <w:r w:rsidR="00652C8F" w:rsidRPr="00FD0348">
        <w:t>following hypothes</w:t>
      </w:r>
      <w:r w:rsidR="000C1FA0">
        <w:t>e</w:t>
      </w:r>
      <w:r w:rsidR="00652C8F" w:rsidRPr="00FD0348">
        <w:t>s:</w:t>
      </w:r>
    </w:p>
    <w:p w:rsidR="005C66F6" w:rsidRPr="00FD0348" w:rsidRDefault="005C66F6" w:rsidP="00470966">
      <w:pPr>
        <w:ind w:right="27"/>
      </w:pPr>
    </w:p>
    <w:p w:rsidR="00652C8F" w:rsidRPr="00FD0348" w:rsidRDefault="00652C8F" w:rsidP="00470966">
      <w:pPr>
        <w:ind w:right="27"/>
        <w:rPr>
          <w:i/>
        </w:rPr>
      </w:pPr>
      <w:r w:rsidRPr="00FD0348">
        <w:rPr>
          <w:rStyle w:val="IntenseEmphasis"/>
        </w:rPr>
        <w:t xml:space="preserve">Hypothesis </w:t>
      </w:r>
      <w:r w:rsidR="000C1FA0">
        <w:rPr>
          <w:rStyle w:val="IntenseEmphasis"/>
        </w:rPr>
        <w:t>2</w:t>
      </w:r>
      <w:r w:rsidRPr="00FD0348">
        <w:rPr>
          <w:rStyle w:val="IntenseEmphasis"/>
        </w:rPr>
        <w:t xml:space="preserve"> (H2):</w:t>
      </w:r>
      <w:r w:rsidRPr="00FD0348">
        <w:t xml:space="preserve"> </w:t>
      </w:r>
      <w:r w:rsidR="00951D36" w:rsidRPr="00FD0348">
        <w:rPr>
          <w:rStyle w:val="SubtleEmphasis"/>
        </w:rPr>
        <w:t xml:space="preserve">The likelihood of EU public-interest entities meeting or barely beating analysts’ earnings forecasts or reporting small earnings increases </w:t>
      </w:r>
      <w:r w:rsidR="00E163AD" w:rsidRPr="00FD0348">
        <w:rPr>
          <w:rStyle w:val="SubtleEmphasis"/>
        </w:rPr>
        <w:t>will be negatively associated with the a</w:t>
      </w:r>
      <w:r w:rsidRPr="00FD0348">
        <w:rPr>
          <w:rStyle w:val="SubtleEmphasis"/>
        </w:rPr>
        <w:t>udit committee’s meeting frequency</w:t>
      </w:r>
      <w:r w:rsidR="00E163AD" w:rsidRPr="00FD0348">
        <w:rPr>
          <w:rStyle w:val="SubtleEmphasis"/>
        </w:rPr>
        <w:t>.</w:t>
      </w:r>
    </w:p>
    <w:p w:rsidR="005C66F6" w:rsidRPr="00FD0348" w:rsidRDefault="005C66F6" w:rsidP="00470966">
      <w:pPr>
        <w:ind w:right="27"/>
      </w:pPr>
    </w:p>
    <w:p w:rsidR="00652C8F" w:rsidRPr="00FD0348" w:rsidRDefault="00652C8F" w:rsidP="00470966">
      <w:pPr>
        <w:ind w:right="27"/>
        <w:rPr>
          <w:i/>
        </w:rPr>
      </w:pPr>
      <w:r w:rsidRPr="00FD0348">
        <w:rPr>
          <w:rStyle w:val="IntenseEmphasis"/>
        </w:rPr>
        <w:t xml:space="preserve">Hypothesis </w:t>
      </w:r>
      <w:r w:rsidR="000C1FA0">
        <w:rPr>
          <w:rStyle w:val="IntenseEmphasis"/>
        </w:rPr>
        <w:t>3</w:t>
      </w:r>
      <w:r w:rsidRPr="00FD0348">
        <w:rPr>
          <w:rStyle w:val="IntenseEmphasis"/>
        </w:rPr>
        <w:t xml:space="preserve"> (H3):</w:t>
      </w:r>
      <w:r w:rsidRPr="00FD0348">
        <w:t xml:space="preserve"> </w:t>
      </w:r>
      <w:r w:rsidR="00951D36" w:rsidRPr="00FD0348">
        <w:rPr>
          <w:rStyle w:val="SubtleEmphasis"/>
        </w:rPr>
        <w:t xml:space="preserve">The likelihood of EU public-interest entities meeting or barely beating analysts’ earnings forecasts or reporting small earnings increases </w:t>
      </w:r>
      <w:r w:rsidR="009E1E28" w:rsidRPr="00FD0348">
        <w:rPr>
          <w:rStyle w:val="SubtleEmphasis"/>
        </w:rPr>
        <w:t xml:space="preserve">will be negatively associated with the independence of the audit committee. </w:t>
      </w:r>
    </w:p>
    <w:p w:rsidR="00EF7B34" w:rsidRPr="00FD0348" w:rsidRDefault="00652C8F" w:rsidP="00470966">
      <w:pPr>
        <w:ind w:right="27"/>
      </w:pPr>
      <w:r w:rsidRPr="00FD0348">
        <w:br w:type="page"/>
      </w:r>
    </w:p>
    <w:p w:rsidR="00652C8F" w:rsidRPr="00FD0348" w:rsidRDefault="00652C8F" w:rsidP="00470966">
      <w:pPr>
        <w:pStyle w:val="Heading1"/>
        <w:ind w:right="27"/>
      </w:pPr>
      <w:bookmarkStart w:id="20" w:name="_Toc364177657"/>
      <w:bookmarkStart w:id="21" w:name="_Toc364200636"/>
      <w:r w:rsidRPr="00FD0348">
        <w:lastRenderedPageBreak/>
        <w:t>V Research methodology</w:t>
      </w:r>
      <w:bookmarkEnd w:id="20"/>
      <w:bookmarkEnd w:id="21"/>
    </w:p>
    <w:p w:rsidR="00652C8F" w:rsidRPr="00FD0348" w:rsidRDefault="00652C8F" w:rsidP="00470966">
      <w:pPr>
        <w:ind w:right="27"/>
      </w:pPr>
      <w:r w:rsidRPr="00FD0348">
        <w:t xml:space="preserve">This section contains the </w:t>
      </w:r>
      <w:r w:rsidR="001065AC" w:rsidRPr="00FD0348">
        <w:t>approach</w:t>
      </w:r>
      <w:r w:rsidRPr="00FD0348">
        <w:t xml:space="preserve"> use</w:t>
      </w:r>
      <w:r w:rsidR="001065AC" w:rsidRPr="00FD0348">
        <w:t>d</w:t>
      </w:r>
      <w:r w:rsidRPr="00FD0348">
        <w:t xml:space="preserve"> to test </w:t>
      </w:r>
      <w:r w:rsidR="001065AC" w:rsidRPr="00FD0348">
        <w:t>the</w:t>
      </w:r>
      <w:r w:rsidRPr="00FD0348">
        <w:t xml:space="preserve"> hypothes</w:t>
      </w:r>
      <w:r w:rsidR="008A6116" w:rsidRPr="00FD0348">
        <w:t>e</w:t>
      </w:r>
      <w:r w:rsidRPr="00FD0348">
        <w:t xml:space="preserve">s. </w:t>
      </w:r>
      <w:r w:rsidR="00EF7B34" w:rsidRPr="00FD0348">
        <w:t>F</w:t>
      </w:r>
      <w:r w:rsidRPr="00FD0348">
        <w:t>irst</w:t>
      </w:r>
      <w:r w:rsidR="00EF7B34" w:rsidRPr="00FD0348">
        <w:t>, I will</w:t>
      </w:r>
      <w:r w:rsidRPr="00FD0348">
        <w:t xml:space="preserve"> describe the sample &amp; data and thereafter the </w:t>
      </w:r>
      <w:r w:rsidR="001065AC" w:rsidRPr="00FD0348">
        <w:t>methodology</w:t>
      </w:r>
      <w:r w:rsidR="006A0C9A" w:rsidRPr="00FD0348">
        <w:t xml:space="preserve"> applied </w:t>
      </w:r>
      <w:r w:rsidRPr="00FD0348">
        <w:t xml:space="preserve">to obtain the main results </w:t>
      </w:r>
      <w:r w:rsidR="001065AC" w:rsidRPr="00FD0348">
        <w:t xml:space="preserve">of the </w:t>
      </w:r>
      <w:r w:rsidR="00C9184A">
        <w:t>m</w:t>
      </w:r>
      <w:r w:rsidR="003E2CA4" w:rsidRPr="00FD0348">
        <w:t>aster’s</w:t>
      </w:r>
      <w:r w:rsidR="00BB4BCE" w:rsidRPr="00FD0348">
        <w:t xml:space="preserve"> thesis</w:t>
      </w:r>
      <w:r w:rsidR="00121EFE" w:rsidRPr="00FD0348">
        <w:t>.</w:t>
      </w:r>
    </w:p>
    <w:p w:rsidR="00121EFE" w:rsidRPr="00FD0348" w:rsidRDefault="00121EFE" w:rsidP="00470966">
      <w:pPr>
        <w:ind w:right="27"/>
      </w:pPr>
    </w:p>
    <w:p w:rsidR="00652C8F" w:rsidRPr="00FD0348" w:rsidRDefault="00652C8F" w:rsidP="00470966">
      <w:pPr>
        <w:pStyle w:val="Heading2"/>
        <w:ind w:right="27"/>
      </w:pPr>
      <w:bookmarkStart w:id="22" w:name="_Toc364177658"/>
      <w:bookmarkStart w:id="23" w:name="_Toc364200637"/>
      <w:r w:rsidRPr="00FD0348">
        <w:t>Sample &amp; Data</w:t>
      </w:r>
      <w:bookmarkEnd w:id="22"/>
      <w:bookmarkEnd w:id="23"/>
    </w:p>
    <w:p w:rsidR="00444018" w:rsidRPr="00FD0348" w:rsidRDefault="000C7AC6" w:rsidP="00470966">
      <w:pPr>
        <w:ind w:right="27"/>
      </w:pPr>
      <w:r w:rsidRPr="00FD0348">
        <w:t>My initial sample consist ou</w:t>
      </w:r>
      <w:r w:rsidR="005811BF" w:rsidRPr="00FD0348">
        <w:t xml:space="preserve">t of EU </w:t>
      </w:r>
      <w:r w:rsidRPr="00FD0348">
        <w:t xml:space="preserve">public interest entities </w:t>
      </w:r>
      <w:r w:rsidR="005811BF" w:rsidRPr="00FD0348">
        <w:t xml:space="preserve">that are listed on the </w:t>
      </w:r>
      <w:r w:rsidR="007D67C7" w:rsidRPr="00FD0348">
        <w:t>Thompson One</w:t>
      </w:r>
      <w:r w:rsidR="007D67C7" w:rsidRPr="00FD0348">
        <w:rPr>
          <w:rStyle w:val="FootnoteReference"/>
        </w:rPr>
        <w:footnoteReference w:id="18"/>
      </w:r>
      <w:r w:rsidR="007D67C7" w:rsidRPr="00FD0348">
        <w:t xml:space="preserve"> </w:t>
      </w:r>
      <w:r w:rsidR="005811BF" w:rsidRPr="00FD0348">
        <w:t xml:space="preserve">(T1) database </w:t>
      </w:r>
      <w:r w:rsidRPr="00FD0348">
        <w:t xml:space="preserve">with a turn over </w:t>
      </w:r>
      <w:r w:rsidR="005811BF" w:rsidRPr="00FD0348">
        <w:t xml:space="preserve">greater than 5 billion US dollars in year-end 2011. </w:t>
      </w:r>
      <w:r w:rsidR="00652C8F" w:rsidRPr="00FD0348">
        <w:t xml:space="preserve">Financial institutions (GIC codes 4000) and utility companies (GIC code 5510) are excluded from the initial sample because the special regulatory environment </w:t>
      </w:r>
      <w:r w:rsidR="006703DC" w:rsidRPr="00FD0348">
        <w:t xml:space="preserve">present in these industries </w:t>
      </w:r>
      <w:r w:rsidR="00652C8F" w:rsidRPr="00FD0348">
        <w:t xml:space="preserve">influences the public-interest entity’s corporate governance and as a result the role of the audit committee. </w:t>
      </w:r>
    </w:p>
    <w:p w:rsidR="006703DC" w:rsidRPr="00FD0348" w:rsidRDefault="007D67C7" w:rsidP="00470966">
      <w:pPr>
        <w:ind w:right="27"/>
      </w:pPr>
      <w:r w:rsidRPr="00FD0348">
        <w:t xml:space="preserve">From Thompson One (T1) </w:t>
      </w:r>
      <w:r w:rsidRPr="00FD0348">
        <w:rPr>
          <w:rStyle w:val="FootnoteReference"/>
        </w:rPr>
        <w:t xml:space="preserve"> </w:t>
      </w:r>
      <w:r w:rsidRPr="00FD0348">
        <w:t>I was able to collect an initial sample of 230 public-interest entities spread across 19 European Union member states</w:t>
      </w:r>
      <w:r w:rsidR="00D07EEC" w:rsidRPr="00FD0348">
        <w:t>.</w:t>
      </w:r>
      <w:r w:rsidR="00652C8F" w:rsidRPr="00FD0348">
        <w:t xml:space="preserve"> </w:t>
      </w:r>
      <w:r w:rsidR="004C40F1" w:rsidRPr="00FD0348">
        <w:t>I obtained financial data for the years 2008-2011 from DATASTREAM using the public-interest entity’s SEDOL obtained from the initial sample in Thompson One (T1). From the initial sample 8 public-interest entities are eliminated due to data unavailability in DATASTREAM</w:t>
      </w:r>
      <w:r w:rsidR="001065AC" w:rsidRPr="00FD0348">
        <w:t>.</w:t>
      </w:r>
      <w:r w:rsidR="00652C8F" w:rsidRPr="00FD0348">
        <w:t xml:space="preserve"> </w:t>
      </w:r>
      <w:r w:rsidR="004D01C3" w:rsidRPr="00FD0348">
        <w:t>Data</w:t>
      </w:r>
      <w:r w:rsidR="001065AC" w:rsidRPr="00FD0348">
        <w:t xml:space="preserve"> on </w:t>
      </w:r>
      <w:r w:rsidR="00880110" w:rsidRPr="00FD0348">
        <w:t>analyst</w:t>
      </w:r>
      <w:r w:rsidR="001065AC" w:rsidRPr="00FD0348">
        <w:t>s’</w:t>
      </w:r>
      <w:r w:rsidR="00880110" w:rsidRPr="00FD0348">
        <w:t xml:space="preserve"> forecast</w:t>
      </w:r>
      <w:r w:rsidR="004D01C3" w:rsidRPr="00FD0348">
        <w:t>s</w:t>
      </w:r>
      <w:r w:rsidR="00880110" w:rsidRPr="00FD0348">
        <w:t xml:space="preserve"> </w:t>
      </w:r>
      <w:r w:rsidR="001065AC" w:rsidRPr="00FD0348">
        <w:t xml:space="preserve">and the corresponding actual earnings per share (EPS) </w:t>
      </w:r>
      <w:r w:rsidR="00880110" w:rsidRPr="00FD0348">
        <w:t xml:space="preserve">data was collected using </w:t>
      </w:r>
      <w:r w:rsidR="004D01C3" w:rsidRPr="00FD0348">
        <w:t>Institutional Brokers Estimate System (</w:t>
      </w:r>
      <w:r w:rsidR="00880110" w:rsidRPr="00FD0348">
        <w:t>I/B/E/S</w:t>
      </w:r>
      <w:r w:rsidR="004D01C3" w:rsidRPr="00FD0348">
        <w:t>).</w:t>
      </w:r>
      <w:r w:rsidR="00121EFE" w:rsidRPr="00FD0348">
        <w:t xml:space="preserve"> </w:t>
      </w:r>
      <w:r w:rsidR="004D01C3" w:rsidRPr="00FD0348">
        <w:t>The</w:t>
      </w:r>
      <w:r w:rsidR="00880110" w:rsidRPr="00FD0348">
        <w:t xml:space="preserve"> </w:t>
      </w:r>
      <w:r w:rsidR="00652C8F" w:rsidRPr="00FD0348">
        <w:t>information on the audit committee characteristics</w:t>
      </w:r>
      <w:r w:rsidR="00FA2869" w:rsidRPr="00FD0348">
        <w:t>, such as independency, composition and meeting frequency,</w:t>
      </w:r>
      <w:r w:rsidR="00652C8F" w:rsidRPr="00FD0348">
        <w:t xml:space="preserve"> was </w:t>
      </w:r>
      <w:r w:rsidR="007A35C5" w:rsidRPr="00FD0348">
        <w:t xml:space="preserve">obtained manually </w:t>
      </w:r>
      <w:r w:rsidR="00652C8F" w:rsidRPr="00FD0348">
        <w:t xml:space="preserve">from the public-interest entity’s </w:t>
      </w:r>
      <w:r w:rsidR="001B192A" w:rsidRPr="00FD0348">
        <w:t>200</w:t>
      </w:r>
      <w:r w:rsidR="00121EFE" w:rsidRPr="00FD0348">
        <w:t>8</w:t>
      </w:r>
      <w:r w:rsidR="001B192A" w:rsidRPr="00FD0348">
        <w:t xml:space="preserve"> </w:t>
      </w:r>
      <w:r w:rsidR="00F218F3" w:rsidRPr="00FD0348">
        <w:t>and 201</w:t>
      </w:r>
      <w:r w:rsidR="00121EFE" w:rsidRPr="00FD0348">
        <w:t>1</w:t>
      </w:r>
      <w:r w:rsidR="00F218F3" w:rsidRPr="00FD0348">
        <w:t xml:space="preserve"> </w:t>
      </w:r>
      <w:r w:rsidR="001B192A" w:rsidRPr="00FD0348">
        <w:t xml:space="preserve">annual report. </w:t>
      </w:r>
      <w:r w:rsidR="00B414BF" w:rsidRPr="00FD0348">
        <w:t>I</w:t>
      </w:r>
      <w:r w:rsidR="006703DC" w:rsidRPr="00FD0348">
        <w:t xml:space="preserve"> </w:t>
      </w:r>
      <w:r w:rsidR="00B414BF" w:rsidRPr="00FD0348">
        <w:t xml:space="preserve">gathered the </w:t>
      </w:r>
      <w:r w:rsidR="006703DC" w:rsidRPr="00FD0348">
        <w:t xml:space="preserve">public interest entity’s </w:t>
      </w:r>
      <w:r w:rsidR="00B414BF" w:rsidRPr="00FD0348">
        <w:t xml:space="preserve">annual reports for 2008 and 2011 from company.info or from the public interest entity’s web site. </w:t>
      </w:r>
      <w:r w:rsidR="00741178">
        <w:t>B</w:t>
      </w:r>
      <w:r w:rsidR="00741178" w:rsidRPr="00FD0348">
        <w:t>ecause</w:t>
      </w:r>
      <w:r w:rsidR="002A355E" w:rsidRPr="00FD0348">
        <w:t xml:space="preserve"> the audit committee data has to be hand collected</w:t>
      </w:r>
      <w:r w:rsidR="00741178">
        <w:t>,</w:t>
      </w:r>
      <w:r w:rsidR="002A355E" w:rsidRPr="00FD0348">
        <w:t xml:space="preserve"> I collect</w:t>
      </w:r>
      <w:r w:rsidR="002C5DEF" w:rsidRPr="00FD0348">
        <w:t>ed</w:t>
      </w:r>
      <w:r w:rsidR="002A355E" w:rsidRPr="00FD0348">
        <w:t xml:space="preserve"> audit committee data </w:t>
      </w:r>
      <w:r w:rsidR="00880110" w:rsidRPr="00FD0348">
        <w:t xml:space="preserve">for </w:t>
      </w:r>
      <w:r w:rsidR="002A355E" w:rsidRPr="00FD0348">
        <w:t>the year</w:t>
      </w:r>
      <w:r w:rsidR="00880110" w:rsidRPr="00FD0348">
        <w:t>s</w:t>
      </w:r>
      <w:r w:rsidR="002A355E" w:rsidRPr="00FD0348">
        <w:t xml:space="preserve"> 2008</w:t>
      </w:r>
      <w:r w:rsidR="008143BB" w:rsidRPr="00FD0348">
        <w:t xml:space="preserve"> and 2011</w:t>
      </w:r>
      <w:r w:rsidR="002A355E" w:rsidRPr="00FD0348">
        <w:t>.</w:t>
      </w:r>
      <w:r w:rsidR="00FE2D9E" w:rsidRPr="00FD0348">
        <w:t xml:space="preserve"> </w:t>
      </w:r>
      <w:r w:rsidR="004C40F1" w:rsidRPr="00FD0348">
        <w:t>After collecting the audit committee data another 17 public interest entities were eliminated from the sample due to data unavailability</w:t>
      </w:r>
      <w:r w:rsidR="004C40F1" w:rsidRPr="00FD0348">
        <w:rPr>
          <w:rStyle w:val="FootnoteReference"/>
        </w:rPr>
        <w:footnoteReference w:id="19"/>
      </w:r>
      <w:r w:rsidR="004C40F1" w:rsidRPr="00FD0348">
        <w:t xml:space="preserve">, leaving my </w:t>
      </w:r>
      <w:r w:rsidR="00444018" w:rsidRPr="00FD0348">
        <w:t>m</w:t>
      </w:r>
      <w:r w:rsidR="003E2CA4" w:rsidRPr="00FD0348">
        <w:t>aster’s</w:t>
      </w:r>
      <w:r w:rsidR="00BB4BCE" w:rsidRPr="00FD0348">
        <w:t xml:space="preserve"> thesis</w:t>
      </w:r>
      <w:r w:rsidR="004C40F1" w:rsidRPr="00FD0348">
        <w:t xml:space="preserve"> with a final sample consisting out of 205 public-interest entities </w:t>
      </w:r>
      <w:r w:rsidR="001E04A1" w:rsidRPr="00FD0348">
        <w:t>spread across</w:t>
      </w:r>
      <w:r w:rsidR="004C40F1" w:rsidRPr="00FD0348">
        <w:t xml:space="preserve"> 17 European Union member states. Public interest entities are allowed to exit </w:t>
      </w:r>
      <w:r w:rsidR="009B3D1B" w:rsidRPr="00FD0348">
        <w:t xml:space="preserve">the sample </w:t>
      </w:r>
      <w:r w:rsidR="004C40F1" w:rsidRPr="00FD0348">
        <w:t xml:space="preserve">creating an unbalanced sample of data ranging from 194 </w:t>
      </w:r>
      <w:r w:rsidR="009B3D1B" w:rsidRPr="00FD0348">
        <w:t xml:space="preserve">public interest </w:t>
      </w:r>
      <w:r w:rsidR="004C40F1" w:rsidRPr="00FD0348">
        <w:t xml:space="preserve">entities in 2008 and 193 </w:t>
      </w:r>
      <w:r w:rsidR="009B3D1B" w:rsidRPr="00FD0348">
        <w:t xml:space="preserve">public interest </w:t>
      </w:r>
      <w:r w:rsidR="004C40F1" w:rsidRPr="00FD0348">
        <w:t>entities in 2011</w:t>
      </w:r>
      <w:r w:rsidR="0023403F" w:rsidRPr="00FD0348">
        <w:t xml:space="preserve"> with audit committee characteristics data</w:t>
      </w:r>
      <w:r w:rsidR="004C40F1" w:rsidRPr="00FD0348">
        <w:t xml:space="preserve">. </w:t>
      </w:r>
      <w:r w:rsidR="006703DC" w:rsidRPr="00FD0348">
        <w:t>A table of the sample construction is presented in e</w:t>
      </w:r>
      <w:r w:rsidR="002C5DEF" w:rsidRPr="00FD0348">
        <w:t>xhibit 3</w:t>
      </w:r>
      <w:r w:rsidR="006703DC" w:rsidRPr="00FD0348">
        <w:t>, while a list of the public interest entities that represent the 2008 and 2011 sample can be found in the appendix.</w:t>
      </w:r>
      <w:r w:rsidR="002C5DEF" w:rsidRPr="00FD0348">
        <w:t xml:space="preserve"> </w:t>
      </w:r>
    </w:p>
    <w:p w:rsidR="00D730C0" w:rsidRDefault="00D730C0" w:rsidP="00470966">
      <w:pPr>
        <w:spacing w:before="200" w:after="200"/>
        <w:ind w:right="27" w:firstLine="0"/>
        <w:jc w:val="left"/>
      </w:pPr>
      <w:r>
        <w:br w:type="page"/>
      </w:r>
    </w:p>
    <w:tbl>
      <w:tblPr>
        <w:tblW w:w="9040" w:type="dxa"/>
        <w:tblInd w:w="108" w:type="dxa"/>
        <w:tblLook w:val="04A0"/>
      </w:tblPr>
      <w:tblGrid>
        <w:gridCol w:w="345"/>
        <w:gridCol w:w="2742"/>
        <w:gridCol w:w="289"/>
        <w:gridCol w:w="414"/>
        <w:gridCol w:w="3140"/>
        <w:gridCol w:w="1111"/>
        <w:gridCol w:w="1053"/>
      </w:tblGrid>
      <w:tr w:rsidR="002C5DEF" w:rsidRPr="00D730C0" w:rsidTr="00D730C0">
        <w:trPr>
          <w:trHeight w:val="162"/>
        </w:trPr>
        <w:tc>
          <w:tcPr>
            <w:tcW w:w="9040" w:type="dxa"/>
            <w:gridSpan w:val="7"/>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left"/>
              <w:rPr>
                <w:rFonts w:ascii="Calibri" w:eastAsia="Times New Roman" w:hAnsi="Calibri" w:cs="Arial"/>
                <w:sz w:val="20"/>
                <w:lang w:bidi="ar-SA"/>
              </w:rPr>
            </w:pPr>
            <w:r w:rsidRPr="00D730C0">
              <w:rPr>
                <w:rFonts w:ascii="Calibri" w:eastAsia="Times New Roman" w:hAnsi="Calibri" w:cs="Arial"/>
                <w:sz w:val="20"/>
                <w:lang w:bidi="ar-SA"/>
              </w:rPr>
              <w:lastRenderedPageBreak/>
              <w:t>Exhibit 3. Sample</w:t>
            </w:r>
          </w:p>
        </w:tc>
      </w:tr>
      <w:tr w:rsidR="002C5DEF" w:rsidRPr="00D730C0" w:rsidTr="00D730C0">
        <w:trPr>
          <w:trHeight w:val="162"/>
        </w:trPr>
        <w:tc>
          <w:tcPr>
            <w:tcW w:w="6930" w:type="dxa"/>
            <w:gridSpan w:val="5"/>
            <w:tcBorders>
              <w:top w:val="nil"/>
              <w:left w:val="nil"/>
              <w:bottom w:val="single" w:sz="8" w:space="0" w:color="auto"/>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sz w:val="20"/>
                <w:lang w:bidi="ar-SA"/>
              </w:rPr>
              <w:t>Criteria</w:t>
            </w:r>
          </w:p>
        </w:tc>
        <w:tc>
          <w:tcPr>
            <w:tcW w:w="1084" w:type="dxa"/>
            <w:tcBorders>
              <w:top w:val="nil"/>
              <w:left w:val="nil"/>
              <w:bottom w:val="single" w:sz="8" w:space="0" w:color="auto"/>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sz w:val="20"/>
                <w:lang w:bidi="ar-SA"/>
              </w:rPr>
              <w:t>Eliminated</w:t>
            </w:r>
          </w:p>
        </w:tc>
        <w:tc>
          <w:tcPr>
            <w:tcW w:w="1026" w:type="dxa"/>
            <w:tcBorders>
              <w:top w:val="nil"/>
              <w:left w:val="nil"/>
              <w:bottom w:val="single" w:sz="8" w:space="0" w:color="auto"/>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sz w:val="20"/>
                <w:lang w:bidi="ar-SA"/>
              </w:rPr>
              <w:t>Sample</w:t>
            </w:r>
          </w:p>
        </w:tc>
      </w:tr>
      <w:tr w:rsidR="002C5DEF" w:rsidRPr="00D730C0" w:rsidTr="00D730C0">
        <w:trPr>
          <w:trHeight w:val="162"/>
        </w:trPr>
        <w:tc>
          <w:tcPr>
            <w:tcW w:w="31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b/>
                <w:bCs/>
                <w:color w:val="000000"/>
                <w:sz w:val="20"/>
                <w:lang w:bidi="ar-SA"/>
              </w:rPr>
            </w:pPr>
            <w:r w:rsidRPr="00D730C0">
              <w:rPr>
                <w:rFonts w:ascii="Calibri" w:eastAsia="Times New Roman" w:hAnsi="Calibri" w:cs="Arial"/>
                <w:b/>
                <w:bCs/>
                <w:color w:val="000000"/>
                <w:sz w:val="20"/>
                <w:lang w:bidi="ar-SA"/>
              </w:rPr>
              <w:t>1</w:t>
            </w:r>
          </w:p>
        </w:tc>
        <w:tc>
          <w:tcPr>
            <w:tcW w:w="2742" w:type="dxa"/>
            <w:tcBorders>
              <w:top w:val="single" w:sz="8" w:space="0" w:color="auto"/>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All Entities</w:t>
            </w:r>
          </w:p>
        </w:tc>
        <w:tc>
          <w:tcPr>
            <w:tcW w:w="26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 </w:t>
            </w:r>
          </w:p>
        </w:tc>
        <w:tc>
          <w:tcPr>
            <w:tcW w:w="414"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 </w:t>
            </w:r>
          </w:p>
        </w:tc>
        <w:tc>
          <w:tcPr>
            <w:tcW w:w="318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 </w:t>
            </w:r>
          </w:p>
        </w:tc>
        <w:tc>
          <w:tcPr>
            <w:tcW w:w="1084"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000000"/>
                <w:sz w:val="20"/>
                <w:lang w:bidi="ar-SA"/>
              </w:rPr>
              <w:t> </w:t>
            </w:r>
          </w:p>
        </w:tc>
        <w:tc>
          <w:tcPr>
            <w:tcW w:w="1026"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000000"/>
                <w:sz w:val="20"/>
                <w:lang w:bidi="ar-SA"/>
              </w:rPr>
              <w:t>1,219,523</w:t>
            </w:r>
          </w:p>
        </w:tc>
      </w:tr>
      <w:tr w:rsidR="002C5DEF" w:rsidRPr="00D730C0" w:rsidTr="00D730C0">
        <w:trPr>
          <w:trHeight w:val="162"/>
        </w:trPr>
        <w:tc>
          <w:tcPr>
            <w:tcW w:w="31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b/>
                <w:bCs/>
                <w:color w:val="000000"/>
                <w:sz w:val="20"/>
                <w:lang w:bidi="ar-SA"/>
              </w:rPr>
            </w:pPr>
            <w:r w:rsidRPr="00D730C0">
              <w:rPr>
                <w:rFonts w:ascii="Calibri" w:eastAsia="Times New Roman" w:hAnsi="Calibri" w:cs="Arial"/>
                <w:b/>
                <w:bCs/>
                <w:color w:val="000000"/>
                <w:sz w:val="20"/>
                <w:lang w:bidi="ar-SA"/>
              </w:rPr>
              <w:t>2</w:t>
            </w:r>
          </w:p>
        </w:tc>
        <w:tc>
          <w:tcPr>
            <w:tcW w:w="6612" w:type="dxa"/>
            <w:gridSpan w:val="4"/>
            <w:vMerge w:val="restart"/>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Country: AUT, BGR, BEL, CHE, CYP, CZE, DEU, DNK, ESP, EST, FIN, FRA, GRC, HUN, IRL, ITA, LVA, LTU, LUX, MLT, NLD, NOR, POL, PRT, ROU, SVN, SVK &amp; SWE</w:t>
            </w:r>
          </w:p>
        </w:tc>
        <w:tc>
          <w:tcPr>
            <w:tcW w:w="1084" w:type="dxa"/>
            <w:vMerge w:val="restart"/>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color w:val="FF0000"/>
                <w:sz w:val="20"/>
                <w:lang w:bidi="ar-SA"/>
              </w:rPr>
              <w:t>(985,324)</w:t>
            </w:r>
          </w:p>
        </w:tc>
        <w:tc>
          <w:tcPr>
            <w:tcW w:w="1026" w:type="dxa"/>
            <w:vMerge w:val="restart"/>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000000"/>
                <w:sz w:val="20"/>
                <w:lang w:bidi="ar-SA"/>
              </w:rPr>
              <w:t>234,199</w:t>
            </w:r>
          </w:p>
        </w:tc>
      </w:tr>
      <w:tr w:rsidR="002C5DEF" w:rsidRPr="00D730C0" w:rsidTr="00D730C0">
        <w:trPr>
          <w:trHeight w:val="162"/>
        </w:trPr>
        <w:tc>
          <w:tcPr>
            <w:tcW w:w="318" w:type="dxa"/>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p>
        </w:tc>
        <w:tc>
          <w:tcPr>
            <w:tcW w:w="6612" w:type="dxa"/>
            <w:gridSpan w:val="4"/>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p>
        </w:tc>
        <w:tc>
          <w:tcPr>
            <w:tcW w:w="1084" w:type="dxa"/>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sz w:val="20"/>
                <w:lang w:bidi="ar-SA"/>
              </w:rPr>
            </w:pPr>
          </w:p>
        </w:tc>
        <w:tc>
          <w:tcPr>
            <w:tcW w:w="1026" w:type="dxa"/>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p>
        </w:tc>
      </w:tr>
      <w:tr w:rsidR="002C5DEF" w:rsidRPr="00D730C0" w:rsidTr="00D730C0">
        <w:trPr>
          <w:trHeight w:val="162"/>
        </w:trPr>
        <w:tc>
          <w:tcPr>
            <w:tcW w:w="31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b/>
                <w:bCs/>
                <w:color w:val="000000"/>
                <w:sz w:val="20"/>
                <w:lang w:bidi="ar-SA"/>
              </w:rPr>
            </w:pPr>
            <w:r w:rsidRPr="00D730C0">
              <w:rPr>
                <w:rFonts w:ascii="Calibri" w:eastAsia="Times New Roman" w:hAnsi="Calibri" w:cs="Arial"/>
                <w:b/>
                <w:bCs/>
                <w:color w:val="000000"/>
                <w:sz w:val="20"/>
                <w:lang w:bidi="ar-SA"/>
              </w:rPr>
              <w:t>3</w:t>
            </w:r>
          </w:p>
        </w:tc>
        <w:tc>
          <w:tcPr>
            <w:tcW w:w="6612" w:type="dxa"/>
            <w:gridSpan w:val="4"/>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Sales USD &gt;= 5000</w:t>
            </w:r>
          </w:p>
        </w:tc>
        <w:tc>
          <w:tcPr>
            <w:tcW w:w="1084" w:type="dxa"/>
            <w:tcBorders>
              <w:top w:val="nil"/>
              <w:left w:val="nil"/>
              <w:bottom w:val="nil"/>
              <w:right w:val="nil"/>
            </w:tcBorders>
            <w:shd w:val="clear" w:color="auto" w:fill="auto"/>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color w:val="FF0000"/>
                <w:sz w:val="20"/>
                <w:lang w:bidi="ar-SA"/>
              </w:rPr>
              <w:t>(233,209)</w:t>
            </w:r>
          </w:p>
        </w:tc>
        <w:tc>
          <w:tcPr>
            <w:tcW w:w="1026"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000000"/>
                <w:sz w:val="20"/>
                <w:lang w:bidi="ar-SA"/>
              </w:rPr>
              <w:t>990</w:t>
            </w:r>
          </w:p>
        </w:tc>
      </w:tr>
      <w:tr w:rsidR="002C5DEF" w:rsidRPr="00D730C0" w:rsidTr="00D730C0">
        <w:trPr>
          <w:trHeight w:val="162"/>
        </w:trPr>
        <w:tc>
          <w:tcPr>
            <w:tcW w:w="31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b/>
                <w:bCs/>
                <w:color w:val="000000"/>
                <w:sz w:val="20"/>
                <w:lang w:bidi="ar-SA"/>
              </w:rPr>
            </w:pPr>
            <w:r w:rsidRPr="00D730C0">
              <w:rPr>
                <w:rFonts w:ascii="Calibri" w:eastAsia="Times New Roman" w:hAnsi="Calibri" w:cs="Arial"/>
                <w:b/>
                <w:bCs/>
                <w:color w:val="000000"/>
                <w:sz w:val="20"/>
                <w:lang w:bidi="ar-SA"/>
              </w:rPr>
              <w:t>4</w:t>
            </w:r>
          </w:p>
        </w:tc>
        <w:tc>
          <w:tcPr>
            <w:tcW w:w="6612" w:type="dxa"/>
            <w:gridSpan w:val="4"/>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GICS = 10, 15, 20, 25, 30, 35, 45 &amp; 50</w:t>
            </w:r>
          </w:p>
        </w:tc>
        <w:tc>
          <w:tcPr>
            <w:tcW w:w="1084"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FF0000"/>
                <w:sz w:val="20"/>
                <w:lang w:bidi="ar-SA"/>
              </w:rPr>
              <w:t>(760)</w:t>
            </w:r>
          </w:p>
        </w:tc>
        <w:tc>
          <w:tcPr>
            <w:tcW w:w="1026"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000000"/>
                <w:sz w:val="20"/>
                <w:lang w:bidi="ar-SA"/>
              </w:rPr>
              <w:t>230</w:t>
            </w:r>
          </w:p>
        </w:tc>
      </w:tr>
      <w:tr w:rsidR="002C5DEF" w:rsidRPr="00D730C0" w:rsidTr="00D730C0">
        <w:trPr>
          <w:trHeight w:val="162"/>
        </w:trPr>
        <w:tc>
          <w:tcPr>
            <w:tcW w:w="318"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b/>
                <w:bCs/>
                <w:color w:val="000000"/>
                <w:sz w:val="20"/>
                <w:lang w:bidi="ar-SA"/>
              </w:rPr>
            </w:pPr>
            <w:r w:rsidRPr="00D730C0">
              <w:rPr>
                <w:rFonts w:ascii="Calibri" w:eastAsia="Times New Roman" w:hAnsi="Calibri" w:cs="Arial"/>
                <w:b/>
                <w:bCs/>
                <w:color w:val="000000"/>
                <w:sz w:val="20"/>
                <w:lang w:bidi="ar-SA"/>
              </w:rPr>
              <w:t>5</w:t>
            </w:r>
          </w:p>
        </w:tc>
        <w:tc>
          <w:tcPr>
            <w:tcW w:w="6612" w:type="dxa"/>
            <w:gridSpan w:val="4"/>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r w:rsidRPr="00D730C0">
              <w:rPr>
                <w:rFonts w:ascii="Calibri" w:eastAsia="Times New Roman" w:hAnsi="Calibri" w:cs="Arial"/>
                <w:color w:val="000000"/>
                <w:sz w:val="20"/>
                <w:lang w:bidi="ar-SA"/>
              </w:rPr>
              <w:t>Financial data available on DATASTREAM</w:t>
            </w:r>
          </w:p>
        </w:tc>
        <w:tc>
          <w:tcPr>
            <w:tcW w:w="1084" w:type="dxa"/>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FF0000"/>
                <w:sz w:val="20"/>
                <w:lang w:bidi="ar-SA"/>
              </w:rPr>
              <w:t>(8)</w:t>
            </w:r>
          </w:p>
        </w:tc>
        <w:tc>
          <w:tcPr>
            <w:tcW w:w="1026" w:type="dxa"/>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sz w:val="20"/>
                <w:lang w:bidi="ar-SA"/>
              </w:rPr>
              <w:t>222</w:t>
            </w:r>
          </w:p>
        </w:tc>
      </w:tr>
      <w:tr w:rsidR="002C5DEF" w:rsidRPr="00D730C0" w:rsidTr="00D730C0">
        <w:trPr>
          <w:trHeight w:val="162"/>
        </w:trPr>
        <w:tc>
          <w:tcPr>
            <w:tcW w:w="318" w:type="dxa"/>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b/>
                <w:bCs/>
                <w:sz w:val="20"/>
                <w:lang w:bidi="ar-SA"/>
              </w:rPr>
            </w:pPr>
            <w:r w:rsidRPr="00D730C0">
              <w:rPr>
                <w:rFonts w:ascii="Calibri" w:eastAsia="Times New Roman" w:hAnsi="Calibri" w:cs="Arial"/>
                <w:b/>
                <w:bCs/>
                <w:sz w:val="20"/>
                <w:lang w:bidi="ar-SA"/>
              </w:rPr>
              <w:t>6</w:t>
            </w:r>
          </w:p>
        </w:tc>
        <w:tc>
          <w:tcPr>
            <w:tcW w:w="6612" w:type="dxa"/>
            <w:gridSpan w:val="4"/>
            <w:vMerge w:val="restart"/>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left"/>
              <w:rPr>
                <w:rFonts w:ascii="Calibri" w:eastAsia="Times New Roman" w:hAnsi="Calibri" w:cs="Arial"/>
                <w:sz w:val="20"/>
                <w:lang w:bidi="ar-SA"/>
              </w:rPr>
            </w:pPr>
            <w:r w:rsidRPr="00D730C0">
              <w:rPr>
                <w:rFonts w:ascii="Calibri" w:eastAsia="Times New Roman" w:hAnsi="Calibri" w:cs="Arial"/>
                <w:sz w:val="20"/>
                <w:lang w:bidi="ar-SA"/>
              </w:rPr>
              <w:t>Audit Committee data available on public interest entity's annual report or website</w:t>
            </w:r>
          </w:p>
        </w:tc>
        <w:tc>
          <w:tcPr>
            <w:tcW w:w="1084" w:type="dxa"/>
            <w:vMerge w:val="restart"/>
            <w:tcBorders>
              <w:top w:val="nil"/>
              <w:left w:val="nil"/>
              <w:bottom w:val="nil"/>
              <w:right w:val="nil"/>
            </w:tcBorders>
            <w:shd w:val="clear" w:color="000000" w:fill="FFFFFF"/>
            <w:hideMark/>
          </w:tcPr>
          <w:p w:rsidR="002C5DEF" w:rsidRPr="00D730C0" w:rsidRDefault="002C5DEF" w:rsidP="00470966">
            <w:pPr>
              <w:spacing w:before="0" w:line="240" w:lineRule="auto"/>
              <w:ind w:right="27" w:firstLine="0"/>
              <w:jc w:val="center"/>
              <w:rPr>
                <w:rFonts w:ascii="Calibri" w:eastAsia="Times New Roman" w:hAnsi="Calibri" w:cs="Arial"/>
                <w:color w:val="000000"/>
                <w:sz w:val="20"/>
                <w:lang w:bidi="ar-SA"/>
              </w:rPr>
            </w:pPr>
            <w:r w:rsidRPr="00D730C0">
              <w:rPr>
                <w:rFonts w:ascii="Calibri" w:eastAsia="Times New Roman" w:hAnsi="Calibri" w:cs="Arial"/>
                <w:color w:val="FF0000"/>
                <w:sz w:val="20"/>
                <w:lang w:bidi="ar-SA"/>
              </w:rPr>
              <w:t>(17)</w:t>
            </w:r>
          </w:p>
        </w:tc>
        <w:tc>
          <w:tcPr>
            <w:tcW w:w="1026" w:type="dxa"/>
            <w:vMerge w:val="restart"/>
            <w:tcBorders>
              <w:top w:val="nil"/>
              <w:left w:val="nil"/>
              <w:bottom w:val="nil"/>
              <w:right w:val="nil"/>
            </w:tcBorders>
            <w:shd w:val="clear" w:color="000000" w:fill="FFFFFF"/>
            <w:noWrap/>
            <w:hideMark/>
          </w:tcPr>
          <w:p w:rsidR="002C5DEF" w:rsidRPr="00D730C0" w:rsidRDefault="002C5DEF" w:rsidP="00470966">
            <w:pPr>
              <w:spacing w:before="0" w:line="240" w:lineRule="auto"/>
              <w:ind w:right="27" w:firstLine="0"/>
              <w:jc w:val="center"/>
              <w:rPr>
                <w:rFonts w:ascii="Calibri" w:eastAsia="Times New Roman" w:hAnsi="Calibri" w:cs="Arial"/>
                <w:sz w:val="20"/>
                <w:lang w:bidi="ar-SA"/>
              </w:rPr>
            </w:pPr>
            <w:r w:rsidRPr="00D730C0">
              <w:rPr>
                <w:rFonts w:ascii="Calibri" w:eastAsia="Times New Roman" w:hAnsi="Calibri" w:cs="Arial"/>
                <w:sz w:val="20"/>
                <w:lang w:bidi="ar-SA"/>
              </w:rPr>
              <w:t>205</w:t>
            </w:r>
          </w:p>
        </w:tc>
      </w:tr>
      <w:tr w:rsidR="002C5DEF" w:rsidRPr="00D730C0" w:rsidTr="00D730C0">
        <w:trPr>
          <w:trHeight w:val="162"/>
        </w:trPr>
        <w:tc>
          <w:tcPr>
            <w:tcW w:w="318" w:type="dxa"/>
            <w:tcBorders>
              <w:top w:val="nil"/>
              <w:left w:val="nil"/>
              <w:bottom w:val="nil"/>
              <w:right w:val="nil"/>
            </w:tcBorders>
            <w:shd w:val="clear" w:color="auto" w:fill="auto"/>
            <w:noWrap/>
            <w:hideMark/>
          </w:tcPr>
          <w:p w:rsidR="002C5DEF" w:rsidRPr="00D730C0" w:rsidRDefault="002C5DEF" w:rsidP="00470966">
            <w:pPr>
              <w:spacing w:before="0" w:line="240" w:lineRule="auto"/>
              <w:ind w:right="27" w:firstLine="0"/>
              <w:jc w:val="left"/>
              <w:rPr>
                <w:rFonts w:ascii="Arial" w:eastAsia="Times New Roman" w:hAnsi="Arial" w:cs="Arial"/>
                <w:sz w:val="20"/>
                <w:lang w:bidi="ar-SA"/>
              </w:rPr>
            </w:pPr>
          </w:p>
        </w:tc>
        <w:tc>
          <w:tcPr>
            <w:tcW w:w="6612" w:type="dxa"/>
            <w:gridSpan w:val="4"/>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sz w:val="20"/>
                <w:lang w:bidi="ar-SA"/>
              </w:rPr>
            </w:pPr>
          </w:p>
        </w:tc>
        <w:tc>
          <w:tcPr>
            <w:tcW w:w="1084" w:type="dxa"/>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color w:val="000000"/>
                <w:sz w:val="20"/>
                <w:lang w:bidi="ar-SA"/>
              </w:rPr>
            </w:pPr>
          </w:p>
        </w:tc>
        <w:tc>
          <w:tcPr>
            <w:tcW w:w="1026" w:type="dxa"/>
            <w:vMerge/>
            <w:tcBorders>
              <w:top w:val="nil"/>
              <w:left w:val="nil"/>
              <w:bottom w:val="nil"/>
              <w:right w:val="nil"/>
            </w:tcBorders>
            <w:vAlign w:val="center"/>
            <w:hideMark/>
          </w:tcPr>
          <w:p w:rsidR="002C5DEF" w:rsidRPr="00D730C0" w:rsidRDefault="002C5DEF" w:rsidP="00470966">
            <w:pPr>
              <w:spacing w:before="0" w:line="240" w:lineRule="auto"/>
              <w:ind w:right="27" w:firstLine="0"/>
              <w:jc w:val="left"/>
              <w:rPr>
                <w:rFonts w:ascii="Calibri" w:eastAsia="Times New Roman" w:hAnsi="Calibri" w:cs="Arial"/>
                <w:sz w:val="20"/>
                <w:lang w:bidi="ar-SA"/>
              </w:rPr>
            </w:pPr>
          </w:p>
        </w:tc>
      </w:tr>
    </w:tbl>
    <w:p w:rsidR="00517E99" w:rsidRPr="00FD0348" w:rsidRDefault="00517E99" w:rsidP="00470966">
      <w:pPr>
        <w:ind w:right="27"/>
      </w:pPr>
    </w:p>
    <w:p w:rsidR="00861724" w:rsidRPr="00FD0348" w:rsidRDefault="00FE2D9E" w:rsidP="00470966">
      <w:pPr>
        <w:ind w:right="27"/>
      </w:pPr>
      <w:r w:rsidRPr="00FD0348">
        <w:t>Due to the changes in audit committee composition (</w:t>
      </w:r>
      <w:r w:rsidR="000D5259">
        <w:t>e.g.</w:t>
      </w:r>
      <w:r w:rsidRPr="00FD0348">
        <w:t xml:space="preserve"> new directors) a short time-span is chosen to investigate whether the composition and expertise of the audit committee in the year 2008</w:t>
      </w:r>
      <w:r w:rsidR="008143BB" w:rsidRPr="00FD0348">
        <w:t xml:space="preserve"> and 2011</w:t>
      </w:r>
      <w:r w:rsidRPr="00FD0348">
        <w:t xml:space="preserve"> will affect earnings quality.</w:t>
      </w:r>
      <w:r w:rsidR="002A355E" w:rsidRPr="00FD0348">
        <w:t xml:space="preserve"> </w:t>
      </w:r>
      <w:r w:rsidR="004C40F1" w:rsidRPr="00FD0348">
        <w:t>Thus</w:t>
      </w:r>
      <w:r w:rsidR="002A355E" w:rsidRPr="00FD0348">
        <w:t xml:space="preserve">, I </w:t>
      </w:r>
      <w:r w:rsidR="00BC5918" w:rsidRPr="00FD0348">
        <w:t xml:space="preserve">extend the </w:t>
      </w:r>
      <w:r w:rsidR="007A35C5" w:rsidRPr="00FD0348">
        <w:t>sample period</w:t>
      </w:r>
      <w:r w:rsidR="00BC5918" w:rsidRPr="00FD0348">
        <w:t xml:space="preserve"> one </w:t>
      </w:r>
      <w:r w:rsidR="000A1E5F" w:rsidRPr="00FD0348">
        <w:t>annual reporting period</w:t>
      </w:r>
      <w:r w:rsidR="008143BB" w:rsidRPr="00FD0348">
        <w:t xml:space="preserve"> </w:t>
      </w:r>
      <w:r w:rsidR="00C40444" w:rsidRPr="00FD0348">
        <w:t xml:space="preserve">forward of 2008 and </w:t>
      </w:r>
      <w:r w:rsidR="008143BB" w:rsidRPr="00FD0348">
        <w:t>one</w:t>
      </w:r>
      <w:r w:rsidR="00BC5918" w:rsidRPr="00FD0348">
        <w:t xml:space="preserve"> </w:t>
      </w:r>
      <w:r w:rsidR="000A1E5F" w:rsidRPr="00FD0348">
        <w:t>annual reporting period</w:t>
      </w:r>
      <w:r w:rsidR="00BC5918" w:rsidRPr="00FD0348">
        <w:t xml:space="preserve"> </w:t>
      </w:r>
      <w:r w:rsidR="00C40444" w:rsidRPr="00FD0348">
        <w:t xml:space="preserve">prior </w:t>
      </w:r>
      <w:r w:rsidR="008143BB" w:rsidRPr="00FD0348">
        <w:t>of 2011,</w:t>
      </w:r>
      <w:r w:rsidR="00BC5918" w:rsidRPr="00FD0348">
        <w:t xml:space="preserve"> creating a </w:t>
      </w:r>
      <w:r w:rsidR="00C40444" w:rsidRPr="00FD0348">
        <w:t>four</w:t>
      </w:r>
      <w:r w:rsidR="00BC5918" w:rsidRPr="00FD0348">
        <w:t xml:space="preserve"> year sample period </w:t>
      </w:r>
      <w:r w:rsidR="00880110" w:rsidRPr="00FD0348">
        <w:t>from 200</w:t>
      </w:r>
      <w:r w:rsidR="00C40444" w:rsidRPr="00FD0348">
        <w:t>8</w:t>
      </w:r>
      <w:r w:rsidR="00880110" w:rsidRPr="00FD0348">
        <w:t xml:space="preserve"> to 201</w:t>
      </w:r>
      <w:r w:rsidR="00C40444" w:rsidRPr="00FD0348">
        <w:t>1</w:t>
      </w:r>
      <w:r w:rsidR="00407021" w:rsidRPr="00FD0348">
        <w:t xml:space="preserve">. </w:t>
      </w:r>
      <w:r w:rsidR="006703DC" w:rsidRPr="00FD0348">
        <w:t xml:space="preserve">I have not collected audit committee characteristics data for the </w:t>
      </w:r>
      <w:r w:rsidR="009B3D1B" w:rsidRPr="00FD0348">
        <w:t>extended period</w:t>
      </w:r>
      <w:r w:rsidR="006703DC" w:rsidRPr="00FD0348">
        <w:t>, but</w:t>
      </w:r>
      <w:r w:rsidR="00670EE4" w:rsidRPr="00FD0348">
        <w:t xml:space="preserve"> employ</w:t>
      </w:r>
      <w:r w:rsidR="006703DC" w:rsidRPr="00FD0348">
        <w:t>ed</w:t>
      </w:r>
      <w:r w:rsidR="00670EE4" w:rsidRPr="00FD0348">
        <w:t xml:space="preserve"> the same audit committee characteristics </w:t>
      </w:r>
      <w:r w:rsidR="0067747C" w:rsidRPr="00FD0348">
        <w:t>for the year 2009 as the year 200</w:t>
      </w:r>
      <w:r w:rsidR="00121EFE" w:rsidRPr="00FD0348">
        <w:t>8, and likewise for the year 2010</w:t>
      </w:r>
      <w:r w:rsidR="0067747C" w:rsidRPr="00FD0348">
        <w:t xml:space="preserve"> </w:t>
      </w:r>
      <w:r w:rsidR="00121EFE" w:rsidRPr="00FD0348">
        <w:t>and</w:t>
      </w:r>
      <w:r w:rsidR="00670EE4" w:rsidRPr="00FD0348">
        <w:t xml:space="preserve"> 2011. </w:t>
      </w:r>
    </w:p>
    <w:p w:rsidR="00861724" w:rsidRPr="00FD0348" w:rsidRDefault="00FA2869" w:rsidP="00470966">
      <w:pPr>
        <w:ind w:right="27"/>
      </w:pPr>
      <w:r w:rsidRPr="00FD0348">
        <w:t xml:space="preserve">The data for the audit committee </w:t>
      </w:r>
      <w:r w:rsidR="006A3AD1" w:rsidRPr="00FD0348">
        <w:t>characteristics</w:t>
      </w:r>
      <w:r w:rsidRPr="00FD0348">
        <w:t xml:space="preserve">, such as independency and expertise, was obtained by searching for the director’s </w:t>
      </w:r>
      <w:r w:rsidR="005E1FD3" w:rsidRPr="00FD0348">
        <w:t>credentials</w:t>
      </w:r>
      <w:r w:rsidRPr="00FD0348">
        <w:t xml:space="preserve"> on </w:t>
      </w:r>
      <w:r w:rsidR="00861724" w:rsidRPr="00FD0348">
        <w:t xml:space="preserve">the </w:t>
      </w:r>
      <w:r w:rsidR="001E3683" w:rsidRPr="00FD0348">
        <w:t xml:space="preserve">public interest entity’s annual report / website or on </w:t>
      </w:r>
      <w:r w:rsidR="00861724" w:rsidRPr="00FD0348">
        <w:t xml:space="preserve">Bloomberg’s Business Week website </w:t>
      </w:r>
      <w:hyperlink r:id="rId13" w:history="1">
        <w:r w:rsidR="00861724" w:rsidRPr="00FD0348">
          <w:rPr>
            <w:rStyle w:val="Hyperlink"/>
          </w:rPr>
          <w:t>investing.businessweek.com</w:t>
        </w:r>
      </w:hyperlink>
      <w:r w:rsidR="00861724" w:rsidRPr="00FD0348">
        <w:t xml:space="preserve">. </w:t>
      </w:r>
      <w:r w:rsidR="00D073D7" w:rsidRPr="00FD0348">
        <w:t>As suggested by the proposed European Commission’s audit reform (EC2011),</w:t>
      </w:r>
      <w:r w:rsidR="00861724" w:rsidRPr="00FD0348">
        <w:t xml:space="preserve"> </w:t>
      </w:r>
      <w:r w:rsidR="005E1FD3" w:rsidRPr="00FD0348">
        <w:t xml:space="preserve">audit committee </w:t>
      </w:r>
      <w:r w:rsidR="00861724" w:rsidRPr="00FD0348">
        <w:t xml:space="preserve">directors </w:t>
      </w:r>
      <w:r w:rsidR="009B3D1B" w:rsidRPr="00FD0348">
        <w:t>classif</w:t>
      </w:r>
      <w:r w:rsidR="00D073D7" w:rsidRPr="00FD0348">
        <w:t>y</w:t>
      </w:r>
      <w:r w:rsidR="00861724" w:rsidRPr="00FD0348">
        <w:t xml:space="preserve"> </w:t>
      </w:r>
      <w:r w:rsidR="00D073D7" w:rsidRPr="00FD0348">
        <w:t>for EUFE when they are independent and either have</w:t>
      </w:r>
      <w:r w:rsidR="00861724" w:rsidRPr="00FD0348">
        <w:t xml:space="preserve"> experience and knowledge in auditing </w:t>
      </w:r>
      <w:r w:rsidR="007A4D09" w:rsidRPr="00FD0348">
        <w:t xml:space="preserve">(EUFE-Auditing) </w:t>
      </w:r>
      <w:r w:rsidR="00861724" w:rsidRPr="00FD0348">
        <w:t>or accounting</w:t>
      </w:r>
      <w:r w:rsidR="007A4D09" w:rsidRPr="00FD0348">
        <w:t xml:space="preserve"> (EUFE-Accounting)</w:t>
      </w:r>
      <w:r w:rsidR="00D073D7" w:rsidRPr="00FD0348">
        <w:t>.</w:t>
      </w:r>
      <w:r w:rsidR="00861724" w:rsidRPr="00FD0348">
        <w:t xml:space="preserve"> Directors classifying for the </w:t>
      </w:r>
      <w:r w:rsidR="007A4D09" w:rsidRPr="00FD0348">
        <w:t>EUFE-Auditing</w:t>
      </w:r>
      <w:r w:rsidR="00861724" w:rsidRPr="00FD0348">
        <w:t xml:space="preserve"> </w:t>
      </w:r>
      <w:r w:rsidR="00767626" w:rsidRPr="00FD0348">
        <w:t>must</w:t>
      </w:r>
      <w:r w:rsidR="00861724" w:rsidRPr="00FD0348">
        <w:t xml:space="preserve"> </w:t>
      </w:r>
      <w:r w:rsidR="00120B57" w:rsidRPr="00FD0348">
        <w:t>have</w:t>
      </w:r>
      <w:r w:rsidR="004D01C3" w:rsidRPr="00FD0348">
        <w:t xml:space="preserve"> held a position as</w:t>
      </w:r>
      <w:r w:rsidR="00861724" w:rsidRPr="00FD0348">
        <w:t xml:space="preserve"> senior</w:t>
      </w:r>
      <w:r w:rsidR="004D01C3" w:rsidRPr="00FD0348">
        <w:t xml:space="preserve"> staff</w:t>
      </w:r>
      <w:r w:rsidR="00861724" w:rsidRPr="00FD0348">
        <w:t>, manager or partner in the auditing or assurance d</w:t>
      </w:r>
      <w:r w:rsidR="00767626" w:rsidRPr="00FD0348">
        <w:t>epartment of an accounting firm</w:t>
      </w:r>
      <w:r w:rsidR="00120B57" w:rsidRPr="00FD0348">
        <w:t>,</w:t>
      </w:r>
      <w:r w:rsidR="00767626" w:rsidRPr="00FD0348">
        <w:t xml:space="preserve"> </w:t>
      </w:r>
      <w:r w:rsidR="00861724" w:rsidRPr="00FD0348">
        <w:t xml:space="preserve">served as the Chief Financial Officer or </w:t>
      </w:r>
      <w:r w:rsidR="004D01C3" w:rsidRPr="00FD0348">
        <w:t xml:space="preserve">internal </w:t>
      </w:r>
      <w:r w:rsidR="001F19DB" w:rsidRPr="00FD0348">
        <w:t>auditor/</w:t>
      </w:r>
      <w:r w:rsidR="00861724" w:rsidRPr="00FD0348">
        <w:t xml:space="preserve">controller for a public-interest entity </w:t>
      </w:r>
      <w:r w:rsidR="00767626" w:rsidRPr="00FD0348">
        <w:t>and</w:t>
      </w:r>
      <w:r w:rsidR="00861724" w:rsidRPr="00FD0348">
        <w:t xml:space="preserve"> holds a Chartered Accountant, Certified Public Accountant or similar </w:t>
      </w:r>
      <w:r w:rsidR="001F19DB" w:rsidRPr="00FD0348">
        <w:t>background</w:t>
      </w:r>
      <w:r w:rsidR="00861724" w:rsidRPr="00FD0348">
        <w:t>.</w:t>
      </w:r>
      <w:r w:rsidR="005E1FD3" w:rsidRPr="00FD0348">
        <w:t xml:space="preserve"> </w:t>
      </w:r>
      <w:r w:rsidR="00861724" w:rsidRPr="00FD0348">
        <w:t xml:space="preserve">Directors classifying for the </w:t>
      </w:r>
      <w:r w:rsidR="007A4D09" w:rsidRPr="00FD0348">
        <w:t>EUFE-Accounting</w:t>
      </w:r>
      <w:r w:rsidR="00861724" w:rsidRPr="00FD0348">
        <w:t xml:space="preserve"> expertise must ha</w:t>
      </w:r>
      <w:r w:rsidR="00767626" w:rsidRPr="00FD0348">
        <w:t>d</w:t>
      </w:r>
      <w:r w:rsidR="00861724" w:rsidRPr="00FD0348">
        <w:t xml:space="preserve"> served as the Chief Executive Officer for a public-interest entities or other similar position and holds a degree in </w:t>
      </w:r>
      <w:r w:rsidR="001F19DB" w:rsidRPr="00FD0348">
        <w:t xml:space="preserve">accountancy, </w:t>
      </w:r>
      <w:r w:rsidR="00B82CCB" w:rsidRPr="00FD0348">
        <w:t xml:space="preserve">MBA, </w:t>
      </w:r>
      <w:r w:rsidR="00861724" w:rsidRPr="00FD0348">
        <w:t xml:space="preserve">business administration, business economics or other similar </w:t>
      </w:r>
      <w:r w:rsidR="00121EFE" w:rsidRPr="00FD0348">
        <w:t>background</w:t>
      </w:r>
      <w:r w:rsidR="00861724" w:rsidRPr="00FD0348">
        <w:t>.</w:t>
      </w:r>
    </w:p>
    <w:p w:rsidR="006703DC" w:rsidRPr="00FD0348" w:rsidRDefault="006703DC" w:rsidP="00470966">
      <w:pPr>
        <w:ind w:right="27"/>
      </w:pPr>
    </w:p>
    <w:p w:rsidR="001A2B08" w:rsidRDefault="001A2B08">
      <w:pPr>
        <w:spacing w:before="200" w:after="200" w:line="276" w:lineRule="auto"/>
        <w:ind w:firstLine="0"/>
        <w:jc w:val="left"/>
        <w:rPr>
          <w:caps/>
          <w:spacing w:val="15"/>
          <w:szCs w:val="22"/>
        </w:rPr>
      </w:pPr>
      <w:bookmarkStart w:id="24" w:name="_Toc364177659"/>
      <w:r>
        <w:br w:type="page"/>
      </w:r>
    </w:p>
    <w:p w:rsidR="00652C8F" w:rsidRPr="00FD0348" w:rsidRDefault="00652C8F" w:rsidP="00470966">
      <w:pPr>
        <w:pStyle w:val="Heading2"/>
        <w:ind w:right="27"/>
      </w:pPr>
      <w:bookmarkStart w:id="25" w:name="_Toc364200638"/>
      <w:r w:rsidRPr="00FD0348">
        <w:lastRenderedPageBreak/>
        <w:t>Methodology</w:t>
      </w:r>
      <w:bookmarkEnd w:id="24"/>
      <w:bookmarkEnd w:id="25"/>
    </w:p>
    <w:p w:rsidR="000700C6" w:rsidRPr="00FD0348" w:rsidRDefault="00DF6DEF" w:rsidP="00470966">
      <w:pPr>
        <w:ind w:right="27"/>
      </w:pPr>
      <w:r w:rsidRPr="00FD0348">
        <w:t xml:space="preserve">I will employ </w:t>
      </w:r>
      <w:r w:rsidR="009C599D" w:rsidRPr="00FD0348">
        <w:t>two</w:t>
      </w:r>
      <w:r w:rsidR="00C40444" w:rsidRPr="00FD0348">
        <w:t xml:space="preserve"> </w:t>
      </w:r>
      <w:r w:rsidR="00630E62" w:rsidRPr="00FD0348">
        <w:t xml:space="preserve">logistic </w:t>
      </w:r>
      <w:r w:rsidRPr="00FD0348">
        <w:t>regression model</w:t>
      </w:r>
      <w:r w:rsidR="009C599D" w:rsidRPr="00FD0348">
        <w:t>s</w:t>
      </w:r>
      <w:r w:rsidRPr="00FD0348">
        <w:t xml:space="preserve"> to capture the relationship between the audit committee characteristics and earnings quality</w:t>
      </w:r>
      <w:r w:rsidR="00630E62" w:rsidRPr="00FD0348">
        <w:t xml:space="preserve">. </w:t>
      </w:r>
    </w:p>
    <w:p w:rsidR="000700C6" w:rsidRPr="00FD0348" w:rsidRDefault="000700C6" w:rsidP="00470966">
      <w:pPr>
        <w:tabs>
          <w:tab w:val="left" w:pos="-2790"/>
        </w:tabs>
        <w:ind w:right="27"/>
      </w:pPr>
    </w:p>
    <w:p w:rsidR="000700C6" w:rsidRDefault="000700C6" w:rsidP="00470966">
      <w:pPr>
        <w:tabs>
          <w:tab w:val="left" w:pos="-2790"/>
        </w:tabs>
        <w:ind w:right="27"/>
      </w:pPr>
      <w:r w:rsidRPr="00FD0348">
        <w:t xml:space="preserve">The model employed for my </w:t>
      </w:r>
      <w:r w:rsidR="00C9184A">
        <w:t>m</w:t>
      </w:r>
      <w:r w:rsidRPr="00FD0348">
        <w:t>aster’s thesis is the following:</w:t>
      </w:r>
    </w:p>
    <w:p w:rsidR="001A2B08" w:rsidRPr="00FD0348" w:rsidRDefault="001A2B08" w:rsidP="00470966">
      <w:pPr>
        <w:tabs>
          <w:tab w:val="left" w:pos="-2790"/>
        </w:tabs>
        <w:ind w:right="27"/>
      </w:pPr>
    </w:p>
    <w:p w:rsidR="000700C6" w:rsidRDefault="000700C6" w:rsidP="00470966">
      <w:pPr>
        <w:tabs>
          <w:tab w:val="left" w:pos="-7290"/>
          <w:tab w:val="left" w:pos="8370"/>
        </w:tabs>
        <w:ind w:right="27"/>
      </w:pPr>
      <w:r w:rsidRPr="00FD0348">
        <w:t>P (1 = low earnings quality) = α +</w:t>
      </w:r>
      <w:r w:rsidR="00D730C0">
        <w:t xml:space="preserve"> </w:t>
      </w:r>
      <w:r w:rsidRPr="00FD0348">
        <w:t>β</w:t>
      </w:r>
      <w:r w:rsidRPr="00FD0348">
        <w:rPr>
          <w:vertAlign w:val="subscript"/>
        </w:rPr>
        <w:t xml:space="preserve">1 </w:t>
      </w:r>
      <w:r w:rsidRPr="00FD0348">
        <w:t>Independent dummy + β</w:t>
      </w:r>
      <w:r w:rsidRPr="00FD0348">
        <w:rPr>
          <w:vertAlign w:val="subscript"/>
        </w:rPr>
        <w:t>2</w:t>
      </w:r>
      <w:r w:rsidRPr="00FD0348">
        <w:t xml:space="preserve"> #EUFE + β</w:t>
      </w:r>
      <w:r w:rsidRPr="00FD0348">
        <w:rPr>
          <w:vertAlign w:val="subscript"/>
        </w:rPr>
        <w:t>3</w:t>
      </w:r>
      <w:r w:rsidRPr="00FD0348">
        <w:t xml:space="preserve"> AC size + </w:t>
      </w:r>
      <w:r w:rsidR="00D730C0">
        <w:br/>
      </w:r>
      <w:r w:rsidRPr="00FD0348">
        <w:t>β</w:t>
      </w:r>
      <w:r w:rsidRPr="00FD0348">
        <w:rPr>
          <w:vertAlign w:val="subscript"/>
        </w:rPr>
        <w:t>4</w:t>
      </w:r>
      <w:r w:rsidRPr="00FD0348">
        <w:t xml:space="preserve"> AC meetings + β</w:t>
      </w:r>
      <w:r w:rsidRPr="00FD0348">
        <w:rPr>
          <w:vertAlign w:val="subscript"/>
        </w:rPr>
        <w:t>5</w:t>
      </w:r>
      <w:r w:rsidRPr="00FD0348">
        <w:t xml:space="preserve"> Audit reform dummy + δ</w:t>
      </w:r>
      <w:r w:rsidRPr="00FD0348">
        <w:rPr>
          <w:vertAlign w:val="subscript"/>
        </w:rPr>
        <w:t>1</w:t>
      </w:r>
      <w:r w:rsidRPr="00FD0348">
        <w:t xml:space="preserve"> Loss dummy + δ</w:t>
      </w:r>
      <w:r w:rsidRPr="00FD0348">
        <w:rPr>
          <w:vertAlign w:val="subscript"/>
        </w:rPr>
        <w:t>2</w:t>
      </w:r>
      <w:r w:rsidRPr="00FD0348">
        <w:t xml:space="preserve"> Litigation risk dummy + </w:t>
      </w:r>
      <w:r w:rsidR="00D730C0">
        <w:br/>
      </w:r>
      <w:r w:rsidRPr="00FD0348">
        <w:t>δ</w:t>
      </w:r>
      <w:r w:rsidRPr="00FD0348">
        <w:rPr>
          <w:vertAlign w:val="subscript"/>
        </w:rPr>
        <w:t>3</w:t>
      </w:r>
      <w:r w:rsidRPr="00FD0348">
        <w:t xml:space="preserve"> Entity size (MV) + δ</w:t>
      </w:r>
      <w:r w:rsidRPr="00FD0348">
        <w:rPr>
          <w:vertAlign w:val="subscript"/>
        </w:rPr>
        <w:t>4</w:t>
      </w:r>
      <w:r w:rsidRPr="00FD0348">
        <w:t xml:space="preserve"> Entity growth + δ</w:t>
      </w:r>
      <w:r w:rsidRPr="00FD0348">
        <w:rPr>
          <w:vertAlign w:val="subscript"/>
        </w:rPr>
        <w:t>5</w:t>
      </w:r>
      <w:r w:rsidRPr="00FD0348">
        <w:t xml:space="preserve"> CGV SCORE + ε</w:t>
      </w:r>
      <w:r w:rsidRPr="00FD0348">
        <w:tab/>
        <w:t>(1)</w:t>
      </w:r>
    </w:p>
    <w:p w:rsidR="004D503D" w:rsidRPr="00FD0348" w:rsidRDefault="004D503D" w:rsidP="00470966">
      <w:pPr>
        <w:tabs>
          <w:tab w:val="left" w:pos="-7290"/>
          <w:tab w:val="left" w:pos="8370"/>
        </w:tabs>
        <w:ind w:right="27"/>
      </w:pPr>
    </w:p>
    <w:p w:rsidR="000700C6" w:rsidRPr="00FD0348" w:rsidRDefault="000700C6" w:rsidP="00470966">
      <w:pPr>
        <w:ind w:right="27"/>
        <w:rPr>
          <w:rStyle w:val="IntenseEmphasis"/>
        </w:rPr>
      </w:pPr>
      <w:r w:rsidRPr="00FD0348">
        <w:rPr>
          <w:rStyle w:val="IntenseEmphasis"/>
        </w:rPr>
        <w:t>Dependent variables</w:t>
      </w:r>
    </w:p>
    <w:p w:rsidR="001E04A1" w:rsidRPr="00FD0348" w:rsidRDefault="00DF6DEF" w:rsidP="00470966">
      <w:pPr>
        <w:ind w:right="27"/>
      </w:pPr>
      <w:r w:rsidRPr="00FD0348">
        <w:t>The earnings quality</w:t>
      </w:r>
      <w:r w:rsidR="00DC3091" w:rsidRPr="00FD0348">
        <w:t xml:space="preserve"> </w:t>
      </w:r>
      <w:r w:rsidR="004D01C3" w:rsidRPr="00FD0348">
        <w:t>prox</w:t>
      </w:r>
      <w:r w:rsidR="00C40444" w:rsidRPr="00FD0348">
        <w:t>y</w:t>
      </w:r>
      <w:r w:rsidR="007D6038" w:rsidRPr="00FD0348">
        <w:t xml:space="preserve"> used as dependent </w:t>
      </w:r>
      <w:r w:rsidR="004D01C3" w:rsidRPr="00FD0348">
        <w:t>variable</w:t>
      </w:r>
      <w:r w:rsidRPr="00FD0348">
        <w:t xml:space="preserve"> capture</w:t>
      </w:r>
      <w:r w:rsidR="00B44B9A" w:rsidRPr="00FD0348">
        <w:t>s</w:t>
      </w:r>
      <w:r w:rsidRPr="00FD0348">
        <w:t xml:space="preserve"> the likelihood </w:t>
      </w:r>
      <w:r w:rsidR="00D35976" w:rsidRPr="00FD0348">
        <w:t xml:space="preserve">of </w:t>
      </w:r>
      <w:r w:rsidR="00B44B9A" w:rsidRPr="00FD0348">
        <w:t xml:space="preserve">public interest entities </w:t>
      </w:r>
      <w:r w:rsidR="00D35976" w:rsidRPr="00FD0348">
        <w:t xml:space="preserve">avoiding earnings surprises and </w:t>
      </w:r>
      <w:r w:rsidR="00B44B9A" w:rsidRPr="00FD0348">
        <w:t xml:space="preserve">the likelihood of </w:t>
      </w:r>
      <w:r w:rsidR="00D35976" w:rsidRPr="00FD0348">
        <w:t xml:space="preserve">small earnings </w:t>
      </w:r>
      <w:r w:rsidR="00B44B9A" w:rsidRPr="00FD0348">
        <w:t>increases</w:t>
      </w:r>
      <w:r w:rsidR="008D2FBE" w:rsidRPr="00FD0348">
        <w:t xml:space="preserve"> (scaled by beginning of the year market value of common equity)</w:t>
      </w:r>
      <w:r w:rsidR="00D35976" w:rsidRPr="00FD0348">
        <w:t>.</w:t>
      </w:r>
    </w:p>
    <w:p w:rsidR="001E04A1" w:rsidRDefault="004B7433" w:rsidP="00470966">
      <w:pPr>
        <w:ind w:right="27"/>
      </w:pPr>
      <w:r w:rsidRPr="00FD0348">
        <w:t>The earnings quality proxy is set to 1 for public interest entities that are likely avoiding earnings surprises or small earnings increases, and 0 otherwise. Public interest entities avoid earnings surprises if they meet or beat the mean analysts’ forecast by two cents, measured as the latest forecast prior to the announcement of quarterly earnings. A small earnings increase is a positive earnings change (profit) of up to two percent of previous year’s net income before extraordinary items / preferred dividends divided by beginning-of-the-year market value of common equity.</w:t>
      </w:r>
    </w:p>
    <w:p w:rsidR="004D503D" w:rsidRPr="00FD0348" w:rsidRDefault="004D503D" w:rsidP="00470966">
      <w:pPr>
        <w:ind w:right="27"/>
      </w:pPr>
    </w:p>
    <w:p w:rsidR="000700C6" w:rsidRPr="00FD0348" w:rsidRDefault="000700C6" w:rsidP="00470966">
      <w:pPr>
        <w:ind w:right="27"/>
        <w:rPr>
          <w:rStyle w:val="IntenseEmphasis"/>
        </w:rPr>
      </w:pPr>
      <w:r w:rsidRPr="00FD0348">
        <w:rPr>
          <w:rStyle w:val="IntenseEmphasis"/>
        </w:rPr>
        <w:t>Explanatory variables</w:t>
      </w:r>
    </w:p>
    <w:p w:rsidR="004B7433" w:rsidRPr="00FD0348" w:rsidRDefault="004B7433" w:rsidP="00470966">
      <w:pPr>
        <w:ind w:right="27"/>
      </w:pPr>
      <w:r w:rsidRPr="00FD0348">
        <w:t>The audit committee characteristics used as explanatory variables in the models are: a independent dummy, total directors qualifying as EUFE that are serving on the audit committee, audit committee size, audit committee meeting frequency score and a audit reform dummy.</w:t>
      </w:r>
    </w:p>
    <w:p w:rsidR="004B7433" w:rsidRDefault="004B7433" w:rsidP="00470966">
      <w:pPr>
        <w:ind w:right="27"/>
      </w:pPr>
      <w:r w:rsidRPr="00FD0348">
        <w:t>The independent dummy is set to 1 for audit committees with 100% independent / outside directors, and 0 otherwise. The audit committee meeting frequency score is computed in the following way: meetings that are scheduled to be held onsite are given one full point and meetings that are held offsite (ad hoc meetings such as phone conferences) are given half point</w:t>
      </w:r>
      <w:r w:rsidRPr="00FD0348">
        <w:rPr>
          <w:i/>
        </w:rPr>
        <w:t xml:space="preserve">. </w:t>
      </w:r>
      <w:r w:rsidRPr="00FD0348">
        <w:t xml:space="preserve">By adding up these points a public-interest entity will have their total audit committee meeting frequency score. The reason offsite meetings are rewarded with a lower score is due to the productivity that can be achieved with such meeting in comparison with an onsite meeting. The audit reform dummy indicates whether the public interest entity is meeting the European Commission’s proposed audit </w:t>
      </w:r>
      <w:r w:rsidRPr="00FD0348">
        <w:lastRenderedPageBreak/>
        <w:t>committee composition and expertise requirements (EC 2011) and is set to 1 for audit committees that are fully (100%) independent and has either two directors with knowledge and experience in auditing or one director with knowledge and experience in accounting and another in auditing, and 0 otherwise.</w:t>
      </w:r>
    </w:p>
    <w:p w:rsidR="004D503D" w:rsidRPr="00FD0348" w:rsidRDefault="004D503D" w:rsidP="00470966">
      <w:pPr>
        <w:ind w:right="27"/>
      </w:pPr>
    </w:p>
    <w:p w:rsidR="000700C6" w:rsidRPr="00FD0348" w:rsidRDefault="000700C6" w:rsidP="00470966">
      <w:pPr>
        <w:ind w:right="27"/>
        <w:rPr>
          <w:rStyle w:val="IntenseEmphasis"/>
        </w:rPr>
      </w:pPr>
      <w:r w:rsidRPr="00FD0348">
        <w:rPr>
          <w:rStyle w:val="IntenseEmphasis"/>
        </w:rPr>
        <w:t>Control variables</w:t>
      </w:r>
    </w:p>
    <w:p w:rsidR="002C05E6" w:rsidRPr="00FD0348" w:rsidRDefault="00AF25FE" w:rsidP="00470966">
      <w:pPr>
        <w:ind w:right="27"/>
      </w:pPr>
      <w:r w:rsidRPr="00FD0348">
        <w:t xml:space="preserve">The </w:t>
      </w:r>
      <w:r w:rsidR="00FB387C" w:rsidRPr="00FD0348">
        <w:t xml:space="preserve">two logistic regression </w:t>
      </w:r>
      <w:r w:rsidRPr="00FD0348">
        <w:t>model</w:t>
      </w:r>
      <w:r w:rsidR="00FB387C" w:rsidRPr="00FD0348">
        <w:t>s</w:t>
      </w:r>
      <w:r w:rsidRPr="00FD0348">
        <w:t xml:space="preserve"> </w:t>
      </w:r>
      <w:r w:rsidR="00FB387C" w:rsidRPr="00FD0348">
        <w:t xml:space="preserve">employed to capture the relationship between the audit committee characteristics and earnings quality </w:t>
      </w:r>
      <w:r w:rsidRPr="00FD0348">
        <w:t xml:space="preserve">will </w:t>
      </w:r>
      <w:r w:rsidR="00E76D0B" w:rsidRPr="00FD0348">
        <w:t xml:space="preserve">also </w:t>
      </w:r>
      <w:r w:rsidR="00FB387C" w:rsidRPr="00FD0348">
        <w:t>include</w:t>
      </w:r>
      <w:r w:rsidRPr="00FD0348">
        <w:t xml:space="preserve"> </w:t>
      </w:r>
      <w:r w:rsidR="00FB387C" w:rsidRPr="00FD0348">
        <w:t xml:space="preserve">five </w:t>
      </w:r>
      <w:r w:rsidR="00B42F1A" w:rsidRPr="00FD0348">
        <w:t>control variables</w:t>
      </w:r>
      <w:r w:rsidR="00FB387C" w:rsidRPr="00FD0348">
        <w:t>.</w:t>
      </w:r>
      <w:r w:rsidR="006D3E11" w:rsidRPr="00FD0348">
        <w:t xml:space="preserve"> </w:t>
      </w:r>
      <w:r w:rsidR="00FB387C" w:rsidRPr="00FD0348">
        <w:t>F</w:t>
      </w:r>
      <w:r w:rsidRPr="00FD0348">
        <w:t xml:space="preserve">ollowing the </w:t>
      </w:r>
      <w:r w:rsidR="00FB387C" w:rsidRPr="00FD0348">
        <w:t xml:space="preserve">research models from </w:t>
      </w:r>
      <w:r w:rsidR="00B42F1A" w:rsidRPr="00FD0348">
        <w:t>Matsumoto (2002)</w:t>
      </w:r>
      <w:r w:rsidR="006F0DF8" w:rsidRPr="00FD0348">
        <w:t xml:space="preserve"> and Vafeas (2005)</w:t>
      </w:r>
      <w:r w:rsidRPr="00FD0348">
        <w:t xml:space="preserve"> I will include </w:t>
      </w:r>
      <w:r w:rsidR="008C75A3" w:rsidRPr="00FD0348">
        <w:t xml:space="preserve">the following </w:t>
      </w:r>
      <w:r w:rsidRPr="00FD0348">
        <w:t xml:space="preserve">five control variables </w:t>
      </w:r>
      <w:r w:rsidR="00D64208" w:rsidRPr="00FD0348">
        <w:t xml:space="preserve">to proxy for losses, high litigation risk industries, size, growth opportunities and the </w:t>
      </w:r>
      <w:r w:rsidR="00B01773" w:rsidRPr="00FD0348">
        <w:t>level</w:t>
      </w:r>
      <w:r w:rsidR="00D64208" w:rsidRPr="00FD0348">
        <w:t xml:space="preserve"> of the public interest entity’s corporate governance </w:t>
      </w:r>
      <w:r w:rsidR="00B01773" w:rsidRPr="00FD0348">
        <w:t xml:space="preserve">structure </w:t>
      </w:r>
      <w:r w:rsidRPr="00FD0348">
        <w:t>in the model</w:t>
      </w:r>
      <w:r w:rsidR="000419EA" w:rsidRPr="00FD0348">
        <w:t xml:space="preserve">: </w:t>
      </w:r>
      <w:r w:rsidR="002A08A3" w:rsidRPr="00FD0348">
        <w:t xml:space="preserve">a </w:t>
      </w:r>
      <w:r w:rsidR="000419EA" w:rsidRPr="00FD0348">
        <w:t xml:space="preserve">loss dummy, </w:t>
      </w:r>
      <w:r w:rsidR="002A08A3" w:rsidRPr="00FD0348">
        <w:t xml:space="preserve">a </w:t>
      </w:r>
      <w:r w:rsidR="000419EA" w:rsidRPr="00FD0348">
        <w:t xml:space="preserve">litigation risk dummy, </w:t>
      </w:r>
      <w:r w:rsidR="004E0BD7" w:rsidRPr="00FD0348">
        <w:t>entity</w:t>
      </w:r>
      <w:r w:rsidR="000419EA" w:rsidRPr="00FD0348">
        <w:t xml:space="preserve"> size, </w:t>
      </w:r>
      <w:r w:rsidR="004E0BD7" w:rsidRPr="00FD0348">
        <w:t>entity</w:t>
      </w:r>
      <w:r w:rsidR="000419EA" w:rsidRPr="00FD0348">
        <w:t xml:space="preserve"> growth </w:t>
      </w:r>
      <w:r w:rsidR="003E38DA" w:rsidRPr="00FD0348">
        <w:t>and</w:t>
      </w:r>
      <w:r w:rsidR="006F0DF8" w:rsidRPr="00FD0348">
        <w:t xml:space="preserve"> corporate governance score</w:t>
      </w:r>
      <w:r w:rsidR="008C3F0E" w:rsidRPr="00FD0348">
        <w:t xml:space="preserve"> (CGV Score)</w:t>
      </w:r>
      <w:r w:rsidR="003E38DA" w:rsidRPr="00FD0348">
        <w:t>.</w:t>
      </w:r>
      <w:r w:rsidR="008C75A3" w:rsidRPr="00FD0348">
        <w:t xml:space="preserve"> </w:t>
      </w:r>
    </w:p>
    <w:p w:rsidR="002C05E6" w:rsidRPr="00FD0348" w:rsidRDefault="009D4537" w:rsidP="00470966">
      <w:pPr>
        <w:ind w:right="27"/>
      </w:pPr>
      <w:r w:rsidRPr="00FD0348">
        <w:t>First, t</w:t>
      </w:r>
      <w:r w:rsidR="00D64208" w:rsidRPr="00FD0348">
        <w:t xml:space="preserve">he public interest entity’s performance is likely to influence managements’ desires to manage earnings when losses are incurred. </w:t>
      </w:r>
      <w:r w:rsidR="0038263F" w:rsidRPr="00FD0348">
        <w:t xml:space="preserve">Prior empirical studies </w:t>
      </w:r>
      <w:r w:rsidR="000700C6" w:rsidRPr="00FD0348">
        <w:t xml:space="preserve">from </w:t>
      </w:r>
      <w:proofErr w:type="spellStart"/>
      <w:r w:rsidR="0038263F" w:rsidRPr="00FD0348">
        <w:t>Degeorge</w:t>
      </w:r>
      <w:proofErr w:type="spellEnd"/>
      <w:r w:rsidR="0038263F" w:rsidRPr="00FD0348">
        <w:t xml:space="preserve">, Patel &amp; </w:t>
      </w:r>
      <w:proofErr w:type="spellStart"/>
      <w:r w:rsidR="0038263F" w:rsidRPr="00FD0348">
        <w:t>Zeckhauser</w:t>
      </w:r>
      <w:proofErr w:type="spellEnd"/>
      <w:r w:rsidR="0038263F" w:rsidRPr="00FD0348">
        <w:t xml:space="preserve"> </w:t>
      </w:r>
      <w:r w:rsidR="000700C6" w:rsidRPr="00FD0348">
        <w:t>(</w:t>
      </w:r>
      <w:r w:rsidR="0038263F" w:rsidRPr="00FD0348">
        <w:t>1999</w:t>
      </w:r>
      <w:r w:rsidR="000700C6" w:rsidRPr="00FD0348">
        <w:t>),</w:t>
      </w:r>
      <w:r w:rsidR="0038263F" w:rsidRPr="00FD0348">
        <w:t xml:space="preserve"> Brown </w:t>
      </w:r>
      <w:r w:rsidR="000700C6" w:rsidRPr="00FD0348">
        <w:t>(</w:t>
      </w:r>
      <w:r w:rsidR="0038263F" w:rsidRPr="00FD0348">
        <w:t>2001</w:t>
      </w:r>
      <w:r w:rsidR="000700C6" w:rsidRPr="00FD0348">
        <w:t>) and</w:t>
      </w:r>
      <w:r w:rsidR="0038263F" w:rsidRPr="00FD0348">
        <w:t xml:space="preserve"> Matsumoto </w:t>
      </w:r>
      <w:r w:rsidR="000700C6" w:rsidRPr="00FD0348">
        <w:t>(</w:t>
      </w:r>
      <w:r w:rsidR="0038263F" w:rsidRPr="00FD0348">
        <w:t xml:space="preserve">2002) suggest that earnings surprises avoidance and </w:t>
      </w:r>
      <w:r w:rsidR="00FB387C" w:rsidRPr="00FD0348">
        <w:t xml:space="preserve">reporting </w:t>
      </w:r>
      <w:r w:rsidR="0038263F" w:rsidRPr="00FD0348">
        <w:t xml:space="preserve">small earnings increases </w:t>
      </w:r>
      <w:r w:rsidR="000700C6" w:rsidRPr="00FD0348">
        <w:t>becomes</w:t>
      </w:r>
      <w:r w:rsidR="0038263F" w:rsidRPr="00FD0348">
        <w:t xml:space="preserve"> less important for management of public interest entities that incur losses. </w:t>
      </w:r>
      <w:r w:rsidR="000700C6" w:rsidRPr="00FD0348">
        <w:t xml:space="preserve">I control for losses by using a loss dummy, which </w:t>
      </w:r>
      <w:r w:rsidRPr="00FD0348">
        <w:t>is set to 1 for public interest entities with negative earnings (losses), and 0 otherwise.</w:t>
      </w:r>
    </w:p>
    <w:p w:rsidR="002C05E6" w:rsidRPr="00FD0348" w:rsidRDefault="009D4537" w:rsidP="00470966">
      <w:pPr>
        <w:ind w:right="27"/>
      </w:pPr>
      <w:r w:rsidRPr="00FD0348">
        <w:t>Second, m</w:t>
      </w:r>
      <w:r w:rsidR="00FB387C" w:rsidRPr="00FD0348">
        <w:t xml:space="preserve">anagement of public interest entities in high litigation risk industries </w:t>
      </w:r>
      <w:r w:rsidR="00785094" w:rsidRPr="00FD0348">
        <w:t xml:space="preserve">are more likely </w:t>
      </w:r>
      <w:r w:rsidR="00516591" w:rsidRPr="00FD0348">
        <w:t xml:space="preserve">using forecast guidance in order to </w:t>
      </w:r>
      <w:r w:rsidR="00785094" w:rsidRPr="00FD0348">
        <w:t>keep analysts’</w:t>
      </w:r>
      <w:r w:rsidR="00516591" w:rsidRPr="00FD0348">
        <w:t xml:space="preserve"> expectations low</w:t>
      </w:r>
      <w:r w:rsidR="00785094" w:rsidRPr="00FD0348">
        <w:t xml:space="preserve"> </w:t>
      </w:r>
      <w:r w:rsidRPr="00FD0348">
        <w:t xml:space="preserve">to </w:t>
      </w:r>
      <w:r w:rsidR="00516591" w:rsidRPr="00FD0348">
        <w:t>decrease</w:t>
      </w:r>
      <w:r w:rsidRPr="00FD0348">
        <w:t xml:space="preserve"> the risk of stake</w:t>
      </w:r>
      <w:r w:rsidR="00785094" w:rsidRPr="00FD0348">
        <w:t>holder lawsuits</w:t>
      </w:r>
      <w:r w:rsidRPr="00FD0348">
        <w:t xml:space="preserve"> (Matsumoto 2002). </w:t>
      </w:r>
      <w:r w:rsidR="000700C6" w:rsidRPr="00FD0348">
        <w:t xml:space="preserve">I control for high litigation risk industry by using a </w:t>
      </w:r>
      <w:r w:rsidRPr="00FD0348">
        <w:t>litigation risk dummy</w:t>
      </w:r>
      <w:r w:rsidR="000700C6" w:rsidRPr="00FD0348">
        <w:t>,</w:t>
      </w:r>
      <w:r w:rsidRPr="00FD0348">
        <w:t xml:space="preserve"> </w:t>
      </w:r>
      <w:r w:rsidR="000700C6" w:rsidRPr="00FD0348">
        <w:t xml:space="preserve">which </w:t>
      </w:r>
      <w:r w:rsidRPr="00FD0348">
        <w:t xml:space="preserve">is set to 1 for public interest entities </w:t>
      </w:r>
      <w:r w:rsidR="00B01773" w:rsidRPr="00FD0348">
        <w:t xml:space="preserve">operating </w:t>
      </w:r>
      <w:r w:rsidRPr="00FD0348">
        <w:t>in high risk industries such as biotech (SIC: 2833-2836), computers (</w:t>
      </w:r>
      <w:r w:rsidR="000700C6" w:rsidRPr="00FD0348">
        <w:t xml:space="preserve">SIC: </w:t>
      </w:r>
      <w:r w:rsidRPr="00FD0348">
        <w:t>3570-3577 and 7370-7374), electronics (</w:t>
      </w:r>
      <w:r w:rsidR="000700C6" w:rsidRPr="00FD0348">
        <w:t xml:space="preserve">SIC: </w:t>
      </w:r>
      <w:r w:rsidRPr="00FD0348">
        <w:t>3600-3674) and retailing (</w:t>
      </w:r>
      <w:r w:rsidR="000700C6" w:rsidRPr="00FD0348">
        <w:t xml:space="preserve">SIC: </w:t>
      </w:r>
      <w:r w:rsidRPr="00FD0348">
        <w:t>5200-5961), and 0 otherwise.</w:t>
      </w:r>
      <w:r w:rsidR="002C05E6" w:rsidRPr="00FD0348">
        <w:t xml:space="preserve"> </w:t>
      </w:r>
    </w:p>
    <w:p w:rsidR="00FB387C" w:rsidRPr="00FD0348" w:rsidRDefault="00516591" w:rsidP="00470966">
      <w:pPr>
        <w:ind w:right="27"/>
      </w:pPr>
      <w:r w:rsidRPr="00FD0348">
        <w:t xml:space="preserve">Third, </w:t>
      </w:r>
      <w:r w:rsidR="00B01773" w:rsidRPr="00FD0348">
        <w:t>a</w:t>
      </w:r>
      <w:r w:rsidR="005E4D45" w:rsidRPr="00FD0348">
        <w:t xml:space="preserve">udit committee characteristics </w:t>
      </w:r>
      <w:r w:rsidR="00B01773" w:rsidRPr="00FD0348">
        <w:t xml:space="preserve">and performance </w:t>
      </w:r>
      <w:r w:rsidR="005E4D45" w:rsidRPr="00FD0348">
        <w:t>may vary due to the size of the public interest entities</w:t>
      </w:r>
      <w:r w:rsidRPr="00FD0348">
        <w:t>. Thus</w:t>
      </w:r>
      <w:r w:rsidR="005E4D45" w:rsidRPr="00FD0348">
        <w:t>,</w:t>
      </w:r>
      <w:r w:rsidRPr="00FD0348">
        <w:t xml:space="preserve"> I control for </w:t>
      </w:r>
      <w:r w:rsidR="002C05E6" w:rsidRPr="00FD0348">
        <w:t xml:space="preserve">public interest entity’s size </w:t>
      </w:r>
      <w:r w:rsidRPr="00FD0348">
        <w:t>by using the</w:t>
      </w:r>
      <w:r w:rsidR="002C05E6" w:rsidRPr="00FD0348">
        <w:t xml:space="preserve"> log </w:t>
      </w:r>
      <w:r w:rsidRPr="00FD0348">
        <w:t xml:space="preserve">of the </w:t>
      </w:r>
      <w:r w:rsidR="002C05E6" w:rsidRPr="00FD0348">
        <w:t>market value</w:t>
      </w:r>
      <w:r w:rsidRPr="00FD0348">
        <w:t xml:space="preserve"> of equity</w:t>
      </w:r>
      <w:r w:rsidR="002C05E6" w:rsidRPr="00FD0348">
        <w:t>.</w:t>
      </w:r>
    </w:p>
    <w:p w:rsidR="00C50B71" w:rsidRPr="00FD0348" w:rsidRDefault="005E4D45" w:rsidP="00470966">
      <w:pPr>
        <w:ind w:right="27"/>
      </w:pPr>
      <w:r w:rsidRPr="00FD0348">
        <w:t xml:space="preserve">Fourth, </w:t>
      </w:r>
      <w:r w:rsidR="00C50B71" w:rsidRPr="00FD0348">
        <w:t xml:space="preserve">Collins </w:t>
      </w:r>
      <w:r w:rsidR="0038263F" w:rsidRPr="00FD0348">
        <w:t>&amp;</w:t>
      </w:r>
      <w:r w:rsidR="00C50B71" w:rsidRPr="00FD0348">
        <w:t xml:space="preserve"> Kothari (1989) </w:t>
      </w:r>
      <w:r w:rsidR="00C32D01" w:rsidRPr="00FD0348">
        <w:t>present evidence showing that</w:t>
      </w:r>
      <w:r w:rsidR="00C50B71" w:rsidRPr="00FD0348">
        <w:t xml:space="preserve"> the market reaction to earnings announcements is greater for public interest entities with high growth opportunities. Therefore</w:t>
      </w:r>
      <w:r w:rsidR="00B01773" w:rsidRPr="00FD0348">
        <w:t>,</w:t>
      </w:r>
      <w:r w:rsidR="00C50B71" w:rsidRPr="00FD0348">
        <w:t xml:space="preserve"> management of high-growth public interest </w:t>
      </w:r>
      <w:r w:rsidR="00C32D01" w:rsidRPr="00FD0348">
        <w:t>entity</w:t>
      </w:r>
      <w:r w:rsidR="00C50B71" w:rsidRPr="00FD0348">
        <w:t xml:space="preserve"> </w:t>
      </w:r>
      <w:r w:rsidR="00C32D01" w:rsidRPr="00FD0348">
        <w:t>has</w:t>
      </w:r>
      <w:r w:rsidR="00C50B71" w:rsidRPr="00FD0348">
        <w:t xml:space="preserve"> strong incentive to </w:t>
      </w:r>
      <w:r w:rsidR="00C32D01" w:rsidRPr="00FD0348">
        <w:t>manage earnings</w:t>
      </w:r>
      <w:r w:rsidR="0038263F" w:rsidRPr="00FD0348">
        <w:t xml:space="preserve"> in order to avoid negative earnings surprises and </w:t>
      </w:r>
      <w:r w:rsidR="00D64208" w:rsidRPr="00FD0348">
        <w:t xml:space="preserve">report </w:t>
      </w:r>
      <w:r w:rsidR="0038263F" w:rsidRPr="00FD0348">
        <w:t>small earnings increases</w:t>
      </w:r>
      <w:r w:rsidR="00C50B71" w:rsidRPr="00FD0348">
        <w:t>.</w:t>
      </w:r>
      <w:r w:rsidR="009D4537" w:rsidRPr="00FD0348">
        <w:t xml:space="preserve"> </w:t>
      </w:r>
      <w:r w:rsidR="002C05E6" w:rsidRPr="00FD0348">
        <w:t>A public interest entity’s g</w:t>
      </w:r>
      <w:r w:rsidR="009D4537" w:rsidRPr="00FD0348">
        <w:t xml:space="preserve">rowth </w:t>
      </w:r>
      <w:r w:rsidR="002C05E6" w:rsidRPr="00FD0348">
        <w:t>opportunity</w:t>
      </w:r>
      <w:r w:rsidR="009D4537" w:rsidRPr="00FD0348">
        <w:t xml:space="preserve"> is proxied by market-to-book ratio.</w:t>
      </w:r>
    </w:p>
    <w:p w:rsidR="005E4D45" w:rsidRPr="00FD0348" w:rsidRDefault="005E4D45" w:rsidP="00470966">
      <w:pPr>
        <w:ind w:right="27"/>
      </w:pPr>
      <w:r w:rsidRPr="00FD0348">
        <w:t>Finally, t</w:t>
      </w:r>
      <w:r w:rsidR="00892C8B" w:rsidRPr="00FD0348">
        <w:t>he c</w:t>
      </w:r>
      <w:r w:rsidR="00675CBF" w:rsidRPr="00FD0348">
        <w:t>orporate governance score (CG</w:t>
      </w:r>
      <w:r w:rsidR="008C3F0E" w:rsidRPr="00FD0348">
        <w:t xml:space="preserve">V </w:t>
      </w:r>
      <w:r w:rsidR="00675CBF" w:rsidRPr="00FD0348">
        <w:t>S</w:t>
      </w:r>
      <w:r w:rsidR="008C3F0E" w:rsidRPr="00FD0348">
        <w:t>core</w:t>
      </w:r>
      <w:r w:rsidR="00E76D0B" w:rsidRPr="00FD0348">
        <w:t xml:space="preserve">) </w:t>
      </w:r>
      <w:r w:rsidR="00892C8B" w:rsidRPr="00FD0348">
        <w:t xml:space="preserve">measures an </w:t>
      </w:r>
      <w:r w:rsidR="00675CBF" w:rsidRPr="00FD0348">
        <w:t xml:space="preserve">entity's </w:t>
      </w:r>
      <w:r w:rsidR="00414962" w:rsidRPr="00FD0348">
        <w:t xml:space="preserve">internal control </w:t>
      </w:r>
      <w:r w:rsidR="00675CBF" w:rsidRPr="00FD0348">
        <w:t>systems and processes. Public interest entities with high CG</w:t>
      </w:r>
      <w:r w:rsidR="008C3F0E" w:rsidRPr="00FD0348">
        <w:t xml:space="preserve">V </w:t>
      </w:r>
      <w:r w:rsidR="00675CBF" w:rsidRPr="00FD0348">
        <w:t>S</w:t>
      </w:r>
      <w:r w:rsidR="008C3F0E" w:rsidRPr="00FD0348">
        <w:t>core</w:t>
      </w:r>
      <w:r w:rsidR="00675CBF" w:rsidRPr="00FD0348">
        <w:t xml:space="preserve"> </w:t>
      </w:r>
      <w:r w:rsidR="0090179B" w:rsidRPr="00FD0348">
        <w:t>have</w:t>
      </w:r>
      <w:r w:rsidR="00675CBF" w:rsidRPr="00FD0348">
        <w:t xml:space="preserve"> </w:t>
      </w:r>
      <w:r w:rsidR="0090179B" w:rsidRPr="00FD0348">
        <w:t xml:space="preserve">a </w:t>
      </w:r>
      <w:r w:rsidR="00675CBF" w:rsidRPr="00FD0348">
        <w:t xml:space="preserve">better corporate governance </w:t>
      </w:r>
      <w:r w:rsidR="00675CBF" w:rsidRPr="00FD0348">
        <w:lastRenderedPageBreak/>
        <w:t xml:space="preserve">structure which </w:t>
      </w:r>
      <w:r w:rsidR="00B44B9A" w:rsidRPr="00FD0348">
        <w:t>ensures</w:t>
      </w:r>
      <w:r w:rsidR="00892C8B" w:rsidRPr="00FD0348">
        <w:t xml:space="preserve"> that its board members and executives act in the best interests of its long term s</w:t>
      </w:r>
      <w:r w:rsidR="0090179B" w:rsidRPr="00FD0348">
        <w:t>take</w:t>
      </w:r>
      <w:r w:rsidR="00892C8B" w:rsidRPr="00FD0348">
        <w:t xml:space="preserve">holders. </w:t>
      </w:r>
      <w:r w:rsidR="000700C6" w:rsidRPr="00FD0348">
        <w:t xml:space="preserve">It may be the case that </w:t>
      </w:r>
      <w:r w:rsidR="00F85494" w:rsidRPr="00FD0348">
        <w:t xml:space="preserve">public interest entities with better </w:t>
      </w:r>
      <w:r w:rsidR="000700C6" w:rsidRPr="00FD0348">
        <w:t xml:space="preserve">corporate governance </w:t>
      </w:r>
      <w:r w:rsidR="00F85494" w:rsidRPr="00FD0348">
        <w:t>structures are more effective in limiting the occurrence of earnings manipulations. Th</w:t>
      </w:r>
      <w:r w:rsidR="00684CF4" w:rsidRPr="00FD0348">
        <w:t xml:space="preserve">us, limits the likelihood of public interest entities avoiding </w:t>
      </w:r>
      <w:r w:rsidR="00F85494" w:rsidRPr="00FD0348">
        <w:t>earnings surprises and reporting small earnings increases</w:t>
      </w:r>
      <w:r w:rsidR="00684CF4" w:rsidRPr="00FD0348">
        <w:t xml:space="preserve">. </w:t>
      </w:r>
      <w:r w:rsidR="00F85494" w:rsidRPr="00FD0348">
        <w:t>I obtained the data for the corporate governance score from DATASTREAM</w:t>
      </w:r>
      <w:r w:rsidR="00F85494" w:rsidRPr="00FD0348">
        <w:rPr>
          <w:rStyle w:val="FootnoteReference"/>
        </w:rPr>
        <w:footnoteReference w:id="20"/>
      </w:r>
      <w:r w:rsidR="00F85494" w:rsidRPr="00FD0348">
        <w:t>.</w:t>
      </w:r>
    </w:p>
    <w:p w:rsidR="00206689" w:rsidRPr="00FD0348" w:rsidRDefault="00741178" w:rsidP="00470966">
      <w:pPr>
        <w:tabs>
          <w:tab w:val="left" w:pos="-2790"/>
        </w:tabs>
        <w:ind w:right="27"/>
      </w:pPr>
      <w:r>
        <w:t>A</w:t>
      </w:r>
      <w:r w:rsidR="003F68A0" w:rsidRPr="00FD0348">
        <w:t xml:space="preserve"> short time span is chosen to examine the </w:t>
      </w:r>
      <w:r w:rsidR="00B01773" w:rsidRPr="00FD0348">
        <w:t xml:space="preserve">relationship among </w:t>
      </w:r>
      <w:r w:rsidR="003F68A0" w:rsidRPr="00FD0348">
        <w:t>the audit committee characteristics</w:t>
      </w:r>
      <w:r w:rsidR="00B01773" w:rsidRPr="00FD0348">
        <w:t xml:space="preserve"> and control variables with the likelihood of low earnings quality</w:t>
      </w:r>
      <w:r w:rsidR="003F68A0" w:rsidRPr="00FD0348">
        <w:t xml:space="preserve">, </w:t>
      </w:r>
      <w:r>
        <w:t xml:space="preserve">additionally </w:t>
      </w:r>
      <w:r w:rsidR="003F68A0" w:rsidRPr="00FD0348">
        <w:t xml:space="preserve">my </w:t>
      </w:r>
      <w:r w:rsidR="002A08A3" w:rsidRPr="00FD0348">
        <w:t>model</w:t>
      </w:r>
      <w:r w:rsidR="003F68A0" w:rsidRPr="00FD0348">
        <w:t>s</w:t>
      </w:r>
      <w:r w:rsidR="002A08A3" w:rsidRPr="00FD0348">
        <w:t xml:space="preserve"> employ a random effect for public interest entities, but fixed effects for time (year </w:t>
      </w:r>
      <w:r w:rsidR="000700C6" w:rsidRPr="00FD0348">
        <w:t xml:space="preserve">– </w:t>
      </w:r>
      <w:r w:rsidR="009C599D" w:rsidRPr="00FD0348">
        <w:t>and quarter dummies) and</w:t>
      </w:r>
      <w:r w:rsidR="002A08A3" w:rsidRPr="00FD0348">
        <w:t xml:space="preserve"> country</w:t>
      </w:r>
      <w:r w:rsidR="001E04A1" w:rsidRPr="00FD0348">
        <w:rPr>
          <w:rStyle w:val="FootnoteReference"/>
        </w:rPr>
        <w:footnoteReference w:id="21"/>
      </w:r>
      <w:r w:rsidR="002A08A3" w:rsidRPr="00FD0348">
        <w:t xml:space="preserve"> </w:t>
      </w:r>
      <w:r w:rsidR="0034220A" w:rsidRPr="00FD0348">
        <w:t>(</w:t>
      </w:r>
      <w:r w:rsidR="009502B4" w:rsidRPr="00FD0348">
        <w:t xml:space="preserve">ISO </w:t>
      </w:r>
      <w:r w:rsidR="0034220A" w:rsidRPr="00FD0348">
        <w:t xml:space="preserve">country code </w:t>
      </w:r>
      <w:r w:rsidR="002A08A3" w:rsidRPr="00FD0348">
        <w:t>dummies).</w:t>
      </w:r>
      <w:r w:rsidR="009502B4" w:rsidRPr="00FD0348">
        <w:t xml:space="preserve"> </w:t>
      </w:r>
      <w:r w:rsidR="00F8511E" w:rsidRPr="00FD0348">
        <w:t>The two models are estimated using the final sample of 205 public inter</w:t>
      </w:r>
      <w:r w:rsidR="006D158F" w:rsidRPr="00FD0348">
        <w:t>est entities</w:t>
      </w:r>
      <w:r w:rsidR="00F92981" w:rsidRPr="00FD0348">
        <w:t xml:space="preserve">. Public interest entities are allowed to enter or exit the sample as they merge, go bankrupt, start doing business or cease to exist. Thus, the sample </w:t>
      </w:r>
      <w:r w:rsidR="00F8511E" w:rsidRPr="00FD0348">
        <w:t>contain</w:t>
      </w:r>
      <w:r w:rsidR="00F92981" w:rsidRPr="00FD0348">
        <w:t>s</w:t>
      </w:r>
      <w:r w:rsidR="00130587" w:rsidRPr="00FD0348">
        <w:t xml:space="preserve"> an unbalanced number of observations for</w:t>
      </w:r>
      <w:r w:rsidR="00F92981" w:rsidRPr="00FD0348">
        <w:t xml:space="preserve"> </w:t>
      </w:r>
      <w:r w:rsidR="00130587" w:rsidRPr="00FD0348">
        <w:t>the</w:t>
      </w:r>
      <w:r w:rsidR="00F92981" w:rsidRPr="00FD0348">
        <w:t xml:space="preserve"> four year time-span, ranging</w:t>
      </w:r>
      <w:r w:rsidR="00F8511E" w:rsidRPr="00FD0348">
        <w:t xml:space="preserve"> 1359 observations for </w:t>
      </w:r>
      <w:r w:rsidR="006D158F" w:rsidRPr="00FD0348">
        <w:t xml:space="preserve">the model capturing </w:t>
      </w:r>
      <w:r w:rsidR="0048046E" w:rsidRPr="00FD0348">
        <w:t>negative earnings surprise avoidance</w:t>
      </w:r>
      <w:r w:rsidR="004A322D" w:rsidRPr="00FD0348">
        <w:t xml:space="preserve"> </w:t>
      </w:r>
      <w:r w:rsidR="00F8511E" w:rsidRPr="00FD0348">
        <w:t xml:space="preserve">and 593 observations for </w:t>
      </w:r>
      <w:r w:rsidR="006D158F" w:rsidRPr="00FD0348">
        <w:t>the model capturing</w:t>
      </w:r>
      <w:r w:rsidR="004A322D" w:rsidRPr="00FD0348">
        <w:t xml:space="preserve"> </w:t>
      </w:r>
      <w:r w:rsidR="00F8511E" w:rsidRPr="00FD0348">
        <w:t xml:space="preserve">small earnings </w:t>
      </w:r>
      <w:r w:rsidR="009B7C6D" w:rsidRPr="00FD0348">
        <w:t>increases</w:t>
      </w:r>
      <w:r w:rsidR="00F8511E" w:rsidRPr="00FD0348">
        <w:t>.</w:t>
      </w:r>
      <w:r w:rsidR="00206689" w:rsidRPr="00FD0348">
        <w:br w:type="page"/>
      </w:r>
    </w:p>
    <w:p w:rsidR="00652C8F" w:rsidRPr="00FD0348" w:rsidRDefault="00652C8F" w:rsidP="00470966">
      <w:pPr>
        <w:pStyle w:val="Heading1"/>
        <w:ind w:right="27"/>
      </w:pPr>
      <w:bookmarkStart w:id="26" w:name="_Toc364177660"/>
      <w:bookmarkStart w:id="27" w:name="_Toc364200639"/>
      <w:r w:rsidRPr="00FD0348">
        <w:lastRenderedPageBreak/>
        <w:t>VI Results</w:t>
      </w:r>
      <w:bookmarkEnd w:id="26"/>
      <w:bookmarkEnd w:id="27"/>
    </w:p>
    <w:p w:rsidR="00E20502" w:rsidRPr="00FD0348" w:rsidRDefault="0056543A" w:rsidP="00470966">
      <w:pPr>
        <w:ind w:right="27"/>
      </w:pPr>
      <w:r w:rsidRPr="00FD0348">
        <w:t xml:space="preserve">First, I </w:t>
      </w:r>
      <w:r w:rsidR="007C6CCE" w:rsidRPr="00FD0348">
        <w:t>observe</w:t>
      </w:r>
      <w:r w:rsidRPr="00FD0348">
        <w:t xml:space="preserve"> the audit committee characteristics for the years 2008 and 2011</w:t>
      </w:r>
      <w:r w:rsidR="00D24CCA" w:rsidRPr="00FD0348">
        <w:t xml:space="preserve"> to understand </w:t>
      </w:r>
      <w:r w:rsidR="00E20502" w:rsidRPr="00FD0348">
        <w:t>audit committee structures, director’s expertise, meeting frequency and how many audit committees are meeting the EC 2011 audit reform requirements.</w:t>
      </w:r>
    </w:p>
    <w:p w:rsidR="00E20502" w:rsidRPr="00FD0348" w:rsidRDefault="006B05A8" w:rsidP="00470966">
      <w:pPr>
        <w:ind w:right="27"/>
      </w:pPr>
      <w:r w:rsidRPr="00FD0348">
        <w:t xml:space="preserve">Second, I </w:t>
      </w:r>
      <w:r w:rsidR="007C6CCE" w:rsidRPr="00FD0348">
        <w:t>study</w:t>
      </w:r>
      <w:r w:rsidR="00682055" w:rsidRPr="00FD0348">
        <w:t xml:space="preserve"> the relation</w:t>
      </w:r>
      <w:r w:rsidRPr="00FD0348">
        <w:t xml:space="preserve"> </w:t>
      </w:r>
      <w:r w:rsidR="00682055" w:rsidRPr="00FD0348">
        <w:t>among</w:t>
      </w:r>
      <w:r w:rsidRPr="00FD0348">
        <w:t xml:space="preserve"> </w:t>
      </w:r>
      <w:r w:rsidR="00E22F46" w:rsidRPr="00FD0348">
        <w:t xml:space="preserve">the </w:t>
      </w:r>
      <w:r w:rsidRPr="00FD0348">
        <w:t xml:space="preserve">audit committee characteristics and </w:t>
      </w:r>
      <w:r w:rsidR="007C6CCE" w:rsidRPr="00FD0348">
        <w:t xml:space="preserve">control variables to the likelihood </w:t>
      </w:r>
      <w:r w:rsidR="00E22F46" w:rsidRPr="00FD0348">
        <w:t xml:space="preserve">of low earnings quality, proxied by the likelihood of avoiding earnings surprises and the likelihood of </w:t>
      </w:r>
      <w:r w:rsidR="009B7C6D" w:rsidRPr="00FD0348">
        <w:t>small earnings increases</w:t>
      </w:r>
      <w:r w:rsidR="00E22F46" w:rsidRPr="00FD0348">
        <w:t xml:space="preserve">. </w:t>
      </w:r>
    </w:p>
    <w:p w:rsidR="00CA621A" w:rsidRPr="00FD0348" w:rsidRDefault="00D24CCA" w:rsidP="00470966">
      <w:pPr>
        <w:ind w:right="27"/>
      </w:pPr>
      <w:r w:rsidRPr="00FD0348">
        <w:t xml:space="preserve">Finally I will </w:t>
      </w:r>
      <w:r w:rsidR="00361521" w:rsidRPr="00FD0348">
        <w:t xml:space="preserve">perform additional tests </w:t>
      </w:r>
      <w:r w:rsidR="00E22EB7" w:rsidRPr="00FD0348">
        <w:t>by</w:t>
      </w:r>
      <w:r w:rsidR="00D128DF" w:rsidRPr="00FD0348">
        <w:t xml:space="preserve"> </w:t>
      </w:r>
      <w:r w:rsidR="00E20502" w:rsidRPr="00FD0348">
        <w:t>splitting the</w:t>
      </w:r>
      <w:r w:rsidR="00A725FF" w:rsidRPr="00FD0348">
        <w:t xml:space="preserve"> </w:t>
      </w:r>
      <w:r w:rsidR="00E20502" w:rsidRPr="00FD0348">
        <w:t>total number</w:t>
      </w:r>
      <w:r w:rsidR="00A725FF" w:rsidRPr="00FD0348">
        <w:t xml:space="preserve"> of EU</w:t>
      </w:r>
      <w:r w:rsidR="00E22EB7" w:rsidRPr="00FD0348">
        <w:t>FE</w:t>
      </w:r>
      <w:r w:rsidR="00A725FF" w:rsidRPr="00FD0348">
        <w:t xml:space="preserve"> serving on the audit commi</w:t>
      </w:r>
      <w:r w:rsidR="00E20502" w:rsidRPr="00FD0348">
        <w:t xml:space="preserve">ttee in </w:t>
      </w:r>
      <w:r w:rsidR="007A4D09" w:rsidRPr="00FD0348">
        <w:t>EUFE-Auditing</w:t>
      </w:r>
      <w:r w:rsidR="00E22EB7" w:rsidRPr="00FD0348">
        <w:t xml:space="preserve"> and </w:t>
      </w:r>
      <w:r w:rsidR="007A4D09" w:rsidRPr="00FD0348">
        <w:t>EUFE-Accounting</w:t>
      </w:r>
      <w:r w:rsidR="001E3683" w:rsidRPr="00FD0348">
        <w:t>, and using different methods of scaling</w:t>
      </w:r>
      <w:r w:rsidR="00E22EB7" w:rsidRPr="00FD0348">
        <w:t>.</w:t>
      </w:r>
    </w:p>
    <w:p w:rsidR="00A40333" w:rsidRPr="00FD0348" w:rsidRDefault="00A40333" w:rsidP="00470966">
      <w:pPr>
        <w:ind w:right="27"/>
      </w:pPr>
    </w:p>
    <w:p w:rsidR="00CA621A" w:rsidRPr="00FD0348" w:rsidRDefault="00CA621A" w:rsidP="00470966">
      <w:pPr>
        <w:pStyle w:val="Heading2"/>
        <w:ind w:right="27"/>
      </w:pPr>
      <w:bookmarkStart w:id="28" w:name="_Toc364177661"/>
      <w:bookmarkStart w:id="29" w:name="_Toc364200640"/>
      <w:r w:rsidRPr="00FD0348">
        <w:t>The trend in EU audit committee characteristics</w:t>
      </w:r>
      <w:bookmarkEnd w:id="28"/>
      <w:bookmarkEnd w:id="29"/>
    </w:p>
    <w:p w:rsidR="00676E74" w:rsidRPr="00FD0348" w:rsidRDefault="00CF7937" w:rsidP="00470966">
      <w:pPr>
        <w:ind w:right="27"/>
      </w:pPr>
      <w:r w:rsidRPr="00FD0348">
        <w:t xml:space="preserve">The </w:t>
      </w:r>
      <w:r w:rsidR="00047DB0" w:rsidRPr="00FD0348">
        <w:t xml:space="preserve">trend in </w:t>
      </w:r>
      <w:r w:rsidRPr="00FD0348">
        <w:t xml:space="preserve">audit committee characteristics for </w:t>
      </w:r>
      <w:r w:rsidR="00F735D2" w:rsidRPr="00FD0348">
        <w:t xml:space="preserve">my sample of </w:t>
      </w:r>
      <w:r w:rsidRPr="00FD0348">
        <w:t xml:space="preserve">EU public interest entities </w:t>
      </w:r>
      <w:r w:rsidR="008755EB" w:rsidRPr="00FD0348">
        <w:t>are presented</w:t>
      </w:r>
      <w:r w:rsidRPr="00FD0348">
        <w:t xml:space="preserve"> in table 1 for the year</w:t>
      </w:r>
      <w:r w:rsidR="006301DA" w:rsidRPr="00FD0348">
        <w:t>s</w:t>
      </w:r>
      <w:r w:rsidRPr="00FD0348">
        <w:t xml:space="preserve"> 2008 and 2011. </w:t>
      </w:r>
      <w:r w:rsidR="00676E74" w:rsidRPr="00FD0348">
        <w:t>Whereas, table 2</w:t>
      </w:r>
      <w:r w:rsidR="00F85150" w:rsidRPr="00FD0348">
        <w:t xml:space="preserve">, </w:t>
      </w:r>
      <w:r w:rsidR="008755EB" w:rsidRPr="00FD0348">
        <w:t xml:space="preserve">presents </w:t>
      </w:r>
      <w:r w:rsidR="00676E74" w:rsidRPr="00FD0348">
        <w:t xml:space="preserve">the observations of audit committee characteristics such as </w:t>
      </w:r>
      <w:r w:rsidR="00FB7BE7" w:rsidRPr="00FD0348">
        <w:t>percentage of outside</w:t>
      </w:r>
      <w:r w:rsidR="004205B4" w:rsidRPr="00FD0348">
        <w:t xml:space="preserve"> </w:t>
      </w:r>
      <w:r w:rsidR="00FB7BE7" w:rsidRPr="00FD0348">
        <w:t>/</w:t>
      </w:r>
      <w:r w:rsidR="004205B4" w:rsidRPr="00FD0348">
        <w:t xml:space="preserve"> </w:t>
      </w:r>
      <w:r w:rsidR="00FB7BE7" w:rsidRPr="00FD0348">
        <w:t xml:space="preserve">independent directors, </w:t>
      </w:r>
      <w:r w:rsidR="00676E74" w:rsidRPr="00FD0348">
        <w:t>audit committee size, total</w:t>
      </w:r>
      <w:r w:rsidR="00FB7BE7" w:rsidRPr="00FD0348">
        <w:t xml:space="preserve"> </w:t>
      </w:r>
      <w:r w:rsidR="00F74414" w:rsidRPr="00FD0348">
        <w:t>/</w:t>
      </w:r>
      <w:r w:rsidR="00FB7BE7" w:rsidRPr="00FD0348">
        <w:t xml:space="preserve"> percentage</w:t>
      </w:r>
      <w:r w:rsidR="00676E74" w:rsidRPr="00FD0348">
        <w:t xml:space="preserve"> EU</w:t>
      </w:r>
      <w:r w:rsidR="00E22EB7" w:rsidRPr="00FD0348">
        <w:t>FE</w:t>
      </w:r>
      <w:r w:rsidR="00676E74" w:rsidRPr="00FD0348">
        <w:t xml:space="preserve">, meeting frequency score and director’s expertise for the years 2008 and 2011. </w:t>
      </w:r>
    </w:p>
    <w:p w:rsidR="00FF421D" w:rsidRPr="00FD0348" w:rsidRDefault="00621D3C" w:rsidP="00470966">
      <w:pPr>
        <w:ind w:right="27"/>
      </w:pPr>
      <w:r w:rsidRPr="00FD0348">
        <w:t xml:space="preserve">First, </w:t>
      </w:r>
      <w:r w:rsidR="006301DA" w:rsidRPr="00FD0348">
        <w:t>I observe an increase</w:t>
      </w:r>
      <w:r w:rsidR="00A3414C" w:rsidRPr="00FD0348">
        <w:t xml:space="preserve"> </w:t>
      </w:r>
      <w:r w:rsidR="006301DA" w:rsidRPr="00FD0348">
        <w:t>in the audit committee size</w:t>
      </w:r>
      <w:r w:rsidR="0080653E" w:rsidRPr="00FD0348">
        <w:t xml:space="preserve"> from 3.8</w:t>
      </w:r>
      <w:r w:rsidR="006D158F" w:rsidRPr="00FD0348">
        <w:t>6</w:t>
      </w:r>
      <w:r w:rsidR="0080653E" w:rsidRPr="00FD0348">
        <w:t xml:space="preserve"> to 4.0</w:t>
      </w:r>
      <w:r w:rsidR="006301DA" w:rsidRPr="00FD0348">
        <w:t>3 (</w:t>
      </w:r>
      <w:r w:rsidR="006301DA" w:rsidRPr="00FD0348">
        <w:rPr>
          <w:i/>
        </w:rPr>
        <w:t>t</w:t>
      </w:r>
      <w:r w:rsidR="006301DA" w:rsidRPr="00FD0348">
        <w:t xml:space="preserve"> = </w:t>
      </w:r>
      <w:r w:rsidR="00BE0D32" w:rsidRPr="00FD0348">
        <w:t>1.41</w:t>
      </w:r>
      <w:r w:rsidR="006301DA" w:rsidRPr="00FD0348">
        <w:t xml:space="preserve">; </w:t>
      </w:r>
      <w:r w:rsidR="006301DA" w:rsidRPr="00FD0348">
        <w:rPr>
          <w:i/>
        </w:rPr>
        <w:t>p</w:t>
      </w:r>
      <w:r w:rsidR="006301DA" w:rsidRPr="00FD0348">
        <w:t xml:space="preserve"> = 0.08</w:t>
      </w:r>
      <w:r w:rsidR="00FD0C01" w:rsidRPr="00FD0348">
        <w:t>0</w:t>
      </w:r>
      <w:r w:rsidR="006301DA" w:rsidRPr="00FD0348">
        <w:t>)</w:t>
      </w:r>
      <w:r w:rsidR="00A3414C" w:rsidRPr="00FD0348">
        <w:t xml:space="preserve">. While the </w:t>
      </w:r>
      <w:r w:rsidR="00A1063C" w:rsidRPr="00FD0348">
        <w:t>increase</w:t>
      </w:r>
      <w:r w:rsidR="00A3414C" w:rsidRPr="00FD0348">
        <w:t xml:space="preserve"> in audit committee size is not significant</w:t>
      </w:r>
      <w:r w:rsidR="004F1CDF" w:rsidRPr="00FD0348">
        <w:t xml:space="preserve"> at the </w:t>
      </w:r>
      <w:r w:rsidR="00A1063C" w:rsidRPr="00FD0348">
        <w:t>five</w:t>
      </w:r>
      <w:r w:rsidR="004F1CDF" w:rsidRPr="00FD0348">
        <w:t xml:space="preserve"> percent level</w:t>
      </w:r>
      <w:r w:rsidR="00A3414C" w:rsidRPr="00FD0348">
        <w:t>, the number of EU</w:t>
      </w:r>
      <w:r w:rsidR="00E22EB7" w:rsidRPr="00FD0348">
        <w:t xml:space="preserve">FE </w:t>
      </w:r>
      <w:r w:rsidR="00A3414C" w:rsidRPr="00FD0348">
        <w:t xml:space="preserve">serving on the audit committees experienced a </w:t>
      </w:r>
      <w:r w:rsidR="00D37631" w:rsidRPr="00FD0348">
        <w:t xml:space="preserve">highly </w:t>
      </w:r>
      <w:r w:rsidR="00A3414C" w:rsidRPr="00FD0348">
        <w:t>significant increase from 1.62 in 2008 to 1.93 in 2011 (</w:t>
      </w:r>
      <w:r w:rsidR="00A3414C" w:rsidRPr="00FD0348">
        <w:rPr>
          <w:i/>
        </w:rPr>
        <w:t>t</w:t>
      </w:r>
      <w:r w:rsidR="00A3414C" w:rsidRPr="00FD0348">
        <w:t xml:space="preserve"> = </w:t>
      </w:r>
      <w:r w:rsidR="00BE0D32" w:rsidRPr="00FD0348">
        <w:t>3.52</w:t>
      </w:r>
      <w:r w:rsidR="00A3414C" w:rsidRPr="00FD0348">
        <w:t xml:space="preserve">; </w:t>
      </w:r>
      <w:r w:rsidR="00A3414C" w:rsidRPr="00FD0348">
        <w:rPr>
          <w:i/>
        </w:rPr>
        <w:t>p</w:t>
      </w:r>
      <w:r w:rsidR="00A3414C" w:rsidRPr="00FD0348">
        <w:t xml:space="preserve"> = 0.000). </w:t>
      </w:r>
      <w:r w:rsidRPr="00FD0348">
        <w:t>Also</w:t>
      </w:r>
      <w:r w:rsidR="00183912" w:rsidRPr="00FD0348">
        <w:t xml:space="preserve">, </w:t>
      </w:r>
      <w:r w:rsidR="00FD0C01" w:rsidRPr="00FD0348">
        <w:t>the increase in EU</w:t>
      </w:r>
      <w:r w:rsidR="00E22EB7" w:rsidRPr="00FD0348">
        <w:t>FE</w:t>
      </w:r>
      <w:r w:rsidR="00FD0C01" w:rsidRPr="00FD0348">
        <w:t xml:space="preserve"> is highly significant when looking at the EU</w:t>
      </w:r>
      <w:r w:rsidR="00E22EB7" w:rsidRPr="00FD0348">
        <w:t>FE</w:t>
      </w:r>
      <w:r w:rsidR="00FD0C01" w:rsidRPr="00FD0348">
        <w:t xml:space="preserve"> as a percentage of </w:t>
      </w:r>
      <w:r w:rsidRPr="00FD0348">
        <w:t xml:space="preserve">the </w:t>
      </w:r>
      <w:r w:rsidR="00FD0C01" w:rsidRPr="00FD0348">
        <w:t>audit committee s</w:t>
      </w:r>
      <w:r w:rsidRPr="00FD0348">
        <w:t>ize</w:t>
      </w:r>
      <w:r w:rsidR="00FD0C01" w:rsidRPr="00FD0348">
        <w:t xml:space="preserve"> (</w:t>
      </w:r>
      <w:r w:rsidR="00FD0C01" w:rsidRPr="00FD0348">
        <w:rPr>
          <w:i/>
        </w:rPr>
        <w:t>t</w:t>
      </w:r>
      <w:r w:rsidR="00FD0C01" w:rsidRPr="00FD0348">
        <w:t xml:space="preserve"> = </w:t>
      </w:r>
      <w:r w:rsidR="00BE0D32" w:rsidRPr="00FD0348">
        <w:t>7.45</w:t>
      </w:r>
      <w:r w:rsidR="00FD0C01" w:rsidRPr="00FD0348">
        <w:t xml:space="preserve">; </w:t>
      </w:r>
      <w:r w:rsidR="00FD0C01" w:rsidRPr="00FD0348">
        <w:rPr>
          <w:i/>
        </w:rPr>
        <w:t>p</w:t>
      </w:r>
      <w:r w:rsidR="00FD0C01" w:rsidRPr="00FD0348">
        <w:t xml:space="preserve"> = 0.000). </w:t>
      </w:r>
    </w:p>
    <w:p w:rsidR="009D21B6" w:rsidRDefault="00E22EB7" w:rsidP="00470966">
      <w:pPr>
        <w:ind w:right="27"/>
      </w:pPr>
      <w:r w:rsidRPr="00FD0348">
        <w:t>My sample of EU public interest entities suggest</w:t>
      </w:r>
      <w:r w:rsidR="006D158F" w:rsidRPr="00FD0348">
        <w:t>s</w:t>
      </w:r>
      <w:r w:rsidRPr="00FD0348">
        <w:t xml:space="preserve"> a highly significant increase in the number and percentage of EUFE serving on the audit committee from 2008 to 2011. </w:t>
      </w:r>
      <w:r w:rsidR="006D158F" w:rsidRPr="00FD0348">
        <w:t>Furthermore, w</w:t>
      </w:r>
      <w:r w:rsidRPr="00FD0348">
        <w:t xml:space="preserve">hen comparing the changes for directors with knowledge and experience in accounting and auditing, the audit committee composition experienced a highly significant increase in </w:t>
      </w:r>
      <w:r w:rsidR="007A4D09" w:rsidRPr="00FD0348">
        <w:t>EUFE-Auditing</w:t>
      </w:r>
      <w:r w:rsidRPr="00FD0348">
        <w:t xml:space="preserve"> from 0.59 in 2008 to 0.83 in 2011(</w:t>
      </w:r>
      <w:r w:rsidRPr="00FD0348">
        <w:rPr>
          <w:i/>
        </w:rPr>
        <w:t>t</w:t>
      </w:r>
      <w:r w:rsidRPr="00FD0348">
        <w:t xml:space="preserve"> = 3.01; </w:t>
      </w:r>
      <w:r w:rsidRPr="00FD0348">
        <w:rPr>
          <w:i/>
        </w:rPr>
        <w:t>p</w:t>
      </w:r>
      <w:r w:rsidRPr="00FD0348">
        <w:t xml:space="preserve"> = 0.001). Whereas </w:t>
      </w:r>
      <w:r w:rsidR="007A4D09" w:rsidRPr="00FD0348">
        <w:t>EUFE-Accounting</w:t>
      </w:r>
      <w:r w:rsidRPr="00FD0348">
        <w:t xml:space="preserve"> had no significant changes from 1.03 in 2008 to 1.10 in 2011 (</w:t>
      </w:r>
      <w:r w:rsidRPr="00FD0348">
        <w:rPr>
          <w:i/>
        </w:rPr>
        <w:t>t</w:t>
      </w:r>
      <w:r w:rsidRPr="00FD0348">
        <w:t xml:space="preserve"> = 0.86; </w:t>
      </w:r>
      <w:r w:rsidRPr="00FD0348">
        <w:rPr>
          <w:i/>
        </w:rPr>
        <w:t>p</w:t>
      </w:r>
      <w:r w:rsidRPr="00FD0348">
        <w:t xml:space="preserve"> = 0.175). </w:t>
      </w:r>
      <w:r w:rsidR="00820270" w:rsidRPr="00FD0348">
        <w:t xml:space="preserve">The </w:t>
      </w:r>
      <w:r w:rsidR="00DD265B" w:rsidRPr="00FD0348">
        <w:t xml:space="preserve">change in the composition of EUFE suggests that </w:t>
      </w:r>
      <w:r w:rsidR="00820270" w:rsidRPr="00FD0348">
        <w:t>that many public intere</w:t>
      </w:r>
      <w:r w:rsidR="00DD265B" w:rsidRPr="00FD0348">
        <w:t xml:space="preserve">st entities were already focusing on increasing the monitoring capabilities of the audit committees by employing more directors with knowledge and experience in auditing. </w:t>
      </w:r>
    </w:p>
    <w:p w:rsidR="009D21B6" w:rsidRDefault="009D21B6" w:rsidP="00470966">
      <w:pPr>
        <w:spacing w:before="200" w:after="200" w:line="276" w:lineRule="auto"/>
        <w:ind w:right="27" w:firstLine="0"/>
        <w:jc w:val="left"/>
      </w:pPr>
      <w:r>
        <w:br w:type="page"/>
      </w:r>
    </w:p>
    <w:tbl>
      <w:tblPr>
        <w:tblW w:w="4400" w:type="dxa"/>
        <w:tblInd w:w="100" w:type="dxa"/>
        <w:tblLook w:val="04A0"/>
      </w:tblPr>
      <w:tblGrid>
        <w:gridCol w:w="1180"/>
        <w:gridCol w:w="860"/>
        <w:gridCol w:w="700"/>
        <w:gridCol w:w="700"/>
        <w:gridCol w:w="960"/>
      </w:tblGrid>
      <w:tr w:rsidR="00F54416" w:rsidRPr="00FD0348" w:rsidTr="00F54416">
        <w:trPr>
          <w:trHeight w:val="570"/>
        </w:trPr>
        <w:tc>
          <w:tcPr>
            <w:tcW w:w="4400" w:type="dxa"/>
            <w:gridSpan w:val="5"/>
            <w:tcBorders>
              <w:top w:val="nil"/>
              <w:left w:val="nil"/>
              <w:bottom w:val="single" w:sz="8" w:space="0" w:color="auto"/>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lastRenderedPageBreak/>
              <w:t>Table 1. Trend in audit committee characteristics among the years 2008 &amp; 2011</w:t>
            </w:r>
          </w:p>
        </w:tc>
      </w:tr>
      <w:tr w:rsidR="00F54416" w:rsidRPr="00FD0348" w:rsidTr="00F54416">
        <w:trPr>
          <w:trHeight w:val="240"/>
        </w:trPr>
        <w:tc>
          <w:tcPr>
            <w:tcW w:w="2040" w:type="dxa"/>
            <w:gridSpan w:val="2"/>
            <w:vMerge w:val="restart"/>
            <w:tcBorders>
              <w:top w:val="single" w:sz="8" w:space="0" w:color="auto"/>
              <w:left w:val="nil"/>
              <w:bottom w:val="single" w:sz="4" w:space="0" w:color="000000"/>
              <w:right w:val="nil"/>
            </w:tcBorders>
            <w:shd w:val="clear" w:color="auto" w:fill="auto"/>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committee characteristic</w:t>
            </w:r>
          </w:p>
        </w:tc>
        <w:tc>
          <w:tcPr>
            <w:tcW w:w="700" w:type="dxa"/>
            <w:vMerge w:val="restart"/>
            <w:tcBorders>
              <w:top w:val="nil"/>
              <w:left w:val="nil"/>
              <w:bottom w:val="single" w:sz="4" w:space="0" w:color="000000"/>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2008</w:t>
            </w:r>
          </w:p>
        </w:tc>
        <w:tc>
          <w:tcPr>
            <w:tcW w:w="700" w:type="dxa"/>
            <w:vMerge w:val="restart"/>
            <w:tcBorders>
              <w:top w:val="nil"/>
              <w:left w:val="nil"/>
              <w:bottom w:val="single" w:sz="4" w:space="0" w:color="000000"/>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2011</w:t>
            </w:r>
          </w:p>
        </w:tc>
        <w:tc>
          <w:tcPr>
            <w:tcW w:w="960" w:type="dxa"/>
            <w:tcBorders>
              <w:top w:val="nil"/>
              <w:left w:val="nil"/>
              <w:bottom w:val="nil"/>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i/>
                <w:iCs/>
                <w:color w:val="000000"/>
                <w:sz w:val="16"/>
                <w:szCs w:val="16"/>
                <w:lang w:bidi="ar-SA"/>
              </w:rPr>
              <w:t>t</w:t>
            </w:r>
            <w:r w:rsidRPr="00FD0348">
              <w:rPr>
                <w:rFonts w:ascii="Calibri" w:eastAsia="Times New Roman" w:hAnsi="Calibri" w:cs="Times New Roman"/>
                <w:color w:val="000000"/>
                <w:sz w:val="16"/>
                <w:szCs w:val="16"/>
                <w:lang w:bidi="ar-SA"/>
              </w:rPr>
              <w:t xml:space="preserve">-test </w:t>
            </w:r>
          </w:p>
        </w:tc>
      </w:tr>
      <w:tr w:rsidR="00F54416" w:rsidRPr="00FD0348" w:rsidTr="00F54416">
        <w:trPr>
          <w:trHeight w:val="240"/>
        </w:trPr>
        <w:tc>
          <w:tcPr>
            <w:tcW w:w="2040" w:type="dxa"/>
            <w:gridSpan w:val="2"/>
            <w:vMerge/>
            <w:tcBorders>
              <w:top w:val="single" w:sz="8" w:space="0" w:color="auto"/>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70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70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60" w:type="dxa"/>
            <w:tcBorders>
              <w:top w:val="nil"/>
              <w:left w:val="nil"/>
              <w:bottom w:val="single" w:sz="4" w:space="0" w:color="auto"/>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independence directors</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0.91</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0.90</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-0.54</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(.293)</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0.19</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0.19</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194</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committee size</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3.86</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4.03</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1.41</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3.5</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(.080)</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1.147</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1.231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194</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EUFE</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1.62</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3.52</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0.81</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0.92</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192</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EUFE</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0.44</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0.64</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7.45</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0.33</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0.67</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0.22</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192</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EUFE - Auditing</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0.59</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0.83</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3.01</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(.001)</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0.72</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0.85</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192</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EUFE - Accounting</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1.03</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1.10</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0.86</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(0.175)</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0.69</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0.84</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193</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192</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1180" w:type="dxa"/>
            <w:vMerge w:val="restart"/>
            <w:tcBorders>
              <w:top w:val="nil"/>
              <w:left w:val="nil"/>
              <w:bottom w:val="single" w:sz="4" w:space="0" w:color="000000"/>
              <w:right w:val="nil"/>
            </w:tcBorders>
            <w:shd w:val="clear" w:color="auto" w:fill="auto"/>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Meeting frequency score</w:t>
            </w: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5.39</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5.71</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1.00</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Median</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4.0</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5.0</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(0.160)</w:t>
            </w: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Std Dev</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3.09</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2.59</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r>
      <w:tr w:rsidR="00F54416" w:rsidRPr="00FD0348" w:rsidTr="00F54416">
        <w:trPr>
          <w:trHeight w:val="240"/>
        </w:trPr>
        <w:tc>
          <w:tcPr>
            <w:tcW w:w="1180" w:type="dxa"/>
            <w:vMerge/>
            <w:tcBorders>
              <w:top w:val="nil"/>
              <w:left w:val="nil"/>
              <w:bottom w:val="single" w:sz="4" w:space="0" w:color="000000"/>
              <w:right w:val="nil"/>
            </w:tcBorders>
            <w:vAlign w:val="center"/>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161</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175</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4400" w:type="dxa"/>
            <w:gridSpan w:val="5"/>
            <w:tcBorders>
              <w:top w:val="single" w:sz="4" w:space="0" w:color="auto"/>
              <w:left w:val="nil"/>
              <w:bottom w:val="nil"/>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Full independent audit committees</w:t>
            </w:r>
          </w:p>
        </w:tc>
      </w:tr>
      <w:tr w:rsidR="00F54416" w:rsidRPr="00FD0348" w:rsidTr="00F54416">
        <w:trPr>
          <w:trHeight w:val="240"/>
        </w:trPr>
        <w:tc>
          <w:tcPr>
            <w:tcW w:w="1180" w:type="dxa"/>
            <w:tcBorders>
              <w:top w:val="nil"/>
              <w:left w:val="nil"/>
              <w:bottom w:val="single" w:sz="4" w:space="0" w:color="auto"/>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860" w:type="dxa"/>
            <w:tcBorders>
              <w:top w:val="nil"/>
              <w:left w:val="nil"/>
              <w:bottom w:val="single" w:sz="4" w:space="0" w:color="auto"/>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154</w:t>
            </w:r>
          </w:p>
        </w:tc>
        <w:tc>
          <w:tcPr>
            <w:tcW w:w="70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145</w:t>
            </w:r>
          </w:p>
        </w:tc>
        <w:tc>
          <w:tcPr>
            <w:tcW w:w="960"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r>
      <w:tr w:rsidR="00F54416" w:rsidRPr="00FD0348" w:rsidTr="00F54416">
        <w:trPr>
          <w:trHeight w:val="240"/>
        </w:trPr>
        <w:tc>
          <w:tcPr>
            <w:tcW w:w="4400" w:type="dxa"/>
            <w:gridSpan w:val="5"/>
            <w:tcBorders>
              <w:top w:val="single" w:sz="4" w:space="0" w:color="auto"/>
              <w:left w:val="nil"/>
              <w:bottom w:val="nil"/>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committees meeting EC 2011 requirements</w:t>
            </w:r>
          </w:p>
        </w:tc>
      </w:tr>
      <w:tr w:rsidR="00F54416" w:rsidRPr="00FD0348" w:rsidTr="00F54416">
        <w:trPr>
          <w:trHeight w:val="240"/>
        </w:trPr>
        <w:tc>
          <w:tcPr>
            <w:tcW w:w="1180" w:type="dxa"/>
            <w:tcBorders>
              <w:top w:val="nil"/>
              <w:left w:val="nil"/>
              <w:bottom w:val="nil"/>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860" w:type="dxa"/>
            <w:tcBorders>
              <w:top w:val="nil"/>
              <w:left w:val="nil"/>
              <w:bottom w:val="nil"/>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67</w:t>
            </w:r>
          </w:p>
        </w:tc>
        <w:tc>
          <w:tcPr>
            <w:tcW w:w="70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69</w:t>
            </w:r>
          </w:p>
        </w:tc>
        <w:tc>
          <w:tcPr>
            <w:tcW w:w="960"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r>
    </w:tbl>
    <w:p w:rsidR="009D21B6" w:rsidRDefault="009D21B6" w:rsidP="00470966">
      <w:pPr>
        <w:ind w:right="27"/>
      </w:pPr>
    </w:p>
    <w:p w:rsidR="009D21B6" w:rsidRDefault="009D21B6" w:rsidP="00470966">
      <w:pPr>
        <w:spacing w:before="200" w:after="200" w:line="276" w:lineRule="auto"/>
        <w:ind w:right="27" w:firstLine="0"/>
        <w:jc w:val="left"/>
      </w:pPr>
      <w:r>
        <w:br w:type="page"/>
      </w:r>
    </w:p>
    <w:p w:rsidR="00D911A7" w:rsidRDefault="00D911A7" w:rsidP="00470966">
      <w:pPr>
        <w:ind w:right="27"/>
      </w:pPr>
    </w:p>
    <w:tbl>
      <w:tblPr>
        <w:tblW w:w="7540" w:type="dxa"/>
        <w:tblInd w:w="100" w:type="dxa"/>
        <w:tblLook w:val="04A0"/>
      </w:tblPr>
      <w:tblGrid>
        <w:gridCol w:w="3040"/>
        <w:gridCol w:w="500"/>
        <w:gridCol w:w="517"/>
        <w:gridCol w:w="500"/>
        <w:gridCol w:w="500"/>
        <w:gridCol w:w="500"/>
        <w:gridCol w:w="500"/>
        <w:gridCol w:w="500"/>
        <w:gridCol w:w="500"/>
        <w:gridCol w:w="517"/>
      </w:tblGrid>
      <w:tr w:rsidR="00D911A7" w:rsidRPr="00FD0348" w:rsidTr="00277E77">
        <w:trPr>
          <w:trHeight w:val="255"/>
        </w:trPr>
        <w:tc>
          <w:tcPr>
            <w:tcW w:w="7540" w:type="dxa"/>
            <w:gridSpan w:val="10"/>
            <w:tcBorders>
              <w:top w:val="nil"/>
              <w:left w:val="nil"/>
              <w:bottom w:val="single" w:sz="8"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Table 2. Audit committee characteristics</w:t>
            </w:r>
          </w:p>
        </w:tc>
      </w:tr>
      <w:tr w:rsidR="00D911A7" w:rsidRPr="00FD0348" w:rsidTr="00277E77">
        <w:trPr>
          <w:trHeight w:val="240"/>
        </w:trPr>
        <w:tc>
          <w:tcPr>
            <w:tcW w:w="304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5</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w:t>
            </w:r>
          </w:p>
        </w:tc>
        <w:tc>
          <w:tcPr>
            <w:tcW w:w="500" w:type="dxa"/>
            <w:tcBorders>
              <w:top w:val="nil"/>
              <w:left w:val="nil"/>
              <w:bottom w:val="single" w:sz="4" w:space="0" w:color="auto"/>
              <w:right w:val="nil"/>
            </w:tcBorders>
            <w:shd w:val="clear" w:color="000000" w:fill="FFFFFF"/>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n</w:t>
            </w:r>
          </w:p>
        </w:tc>
      </w:tr>
      <w:tr w:rsidR="00D911A7" w:rsidRPr="00FD0348" w:rsidTr="00277E77">
        <w:trPr>
          <w:trHeight w:val="240"/>
        </w:trPr>
        <w:tc>
          <w:tcPr>
            <w:tcW w:w="304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4000" w:type="dxa"/>
            <w:gridSpan w:val="8"/>
            <w:tcBorders>
              <w:top w:val="single" w:sz="4" w:space="0" w:color="auto"/>
              <w:left w:val="nil"/>
              <w:bottom w:val="nil"/>
              <w:right w:val="single" w:sz="4" w:space="0" w:color="000000"/>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2008</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 </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size</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93</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50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27</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17</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194</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EUFE</w:t>
            </w:r>
          </w:p>
        </w:tc>
        <w:tc>
          <w:tcPr>
            <w:tcW w:w="500" w:type="dxa"/>
            <w:tcBorders>
              <w:top w:val="nil"/>
              <w:left w:val="nil"/>
              <w:bottom w:val="nil"/>
              <w:right w:val="nil"/>
            </w:tcBorders>
            <w:shd w:val="clear" w:color="000000" w:fill="C5D9F1"/>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95</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71</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18</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193</w:t>
            </w:r>
          </w:p>
        </w:tc>
      </w:tr>
      <w:tr w:rsidR="00D911A7" w:rsidRPr="00FD0348" w:rsidTr="00277E77">
        <w:trPr>
          <w:trHeight w:val="240"/>
        </w:trPr>
        <w:tc>
          <w:tcPr>
            <w:tcW w:w="304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meeting frequency score</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12</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48</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25</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20</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35</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161</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4000" w:type="dxa"/>
            <w:gridSpan w:val="8"/>
            <w:tcBorders>
              <w:top w:val="single" w:sz="4" w:space="0" w:color="auto"/>
              <w:left w:val="nil"/>
              <w:bottom w:val="nil"/>
              <w:right w:val="single" w:sz="4" w:space="0" w:color="000000"/>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2011</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 </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size</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82</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63</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22</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193</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EUFE</w:t>
            </w:r>
          </w:p>
        </w:tc>
        <w:tc>
          <w:tcPr>
            <w:tcW w:w="500" w:type="dxa"/>
            <w:tcBorders>
              <w:top w:val="nil"/>
              <w:left w:val="nil"/>
              <w:bottom w:val="nil"/>
              <w:right w:val="nil"/>
            </w:tcBorders>
            <w:shd w:val="clear" w:color="000000" w:fill="C5D9F1"/>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71</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72</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40</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5</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192</w:t>
            </w:r>
          </w:p>
        </w:tc>
      </w:tr>
      <w:tr w:rsidR="00D911A7" w:rsidRPr="00FD0348" w:rsidTr="00277E77">
        <w:trPr>
          <w:trHeight w:val="240"/>
        </w:trPr>
        <w:tc>
          <w:tcPr>
            <w:tcW w:w="304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AC with n meeting frequency score</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9</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44</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43</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27</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45</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175</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r>
      <w:tr w:rsidR="00D911A7" w:rsidRPr="00FD0348" w:rsidTr="00277E77">
        <w:trPr>
          <w:trHeight w:val="600"/>
        </w:trPr>
        <w:tc>
          <w:tcPr>
            <w:tcW w:w="304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4500" w:type="dxa"/>
            <w:gridSpan w:val="9"/>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Audit Committees with n financial expert with knowledge and experience in auditing</w:t>
            </w:r>
          </w:p>
        </w:tc>
      </w:tr>
      <w:tr w:rsidR="00D911A7" w:rsidRPr="00FD0348" w:rsidTr="00277E77">
        <w:trPr>
          <w:trHeight w:val="240"/>
        </w:trPr>
        <w:tc>
          <w:tcPr>
            <w:tcW w:w="304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5</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w:t>
            </w:r>
          </w:p>
        </w:tc>
        <w:tc>
          <w:tcPr>
            <w:tcW w:w="50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n</w:t>
            </w:r>
          </w:p>
        </w:tc>
      </w:tr>
      <w:tr w:rsidR="00D911A7" w:rsidRPr="00FD0348" w:rsidTr="00277E77">
        <w:trPr>
          <w:trHeight w:val="240"/>
        </w:trPr>
        <w:tc>
          <w:tcPr>
            <w:tcW w:w="304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auto" w:fill="auto"/>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3500" w:type="dxa"/>
            <w:gridSpan w:val="7"/>
            <w:tcBorders>
              <w:top w:val="single" w:sz="4" w:space="0" w:color="auto"/>
              <w:left w:val="nil"/>
              <w:bottom w:val="nil"/>
              <w:right w:val="single" w:sz="4" w:space="0" w:color="000000"/>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2008</w:t>
            </w:r>
          </w:p>
        </w:tc>
        <w:tc>
          <w:tcPr>
            <w:tcW w:w="500" w:type="dxa"/>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r>
      <w:tr w:rsidR="00D911A7" w:rsidRPr="00FD0348" w:rsidTr="00277E77">
        <w:trPr>
          <w:trHeight w:val="300"/>
        </w:trPr>
        <w:tc>
          <w:tcPr>
            <w:tcW w:w="3040" w:type="dxa"/>
            <w:vMerge w:val="restart"/>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Audit Committees with n financial expert with knowledge and experience in accounting</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C5D9F1"/>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14</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38</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76</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39</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117</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18</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14</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33</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single" w:sz="4" w:space="0" w:color="auto"/>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single" w:sz="4" w:space="0" w:color="auto"/>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single" w:sz="4" w:space="0" w:color="auto"/>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5</w:t>
            </w:r>
          </w:p>
        </w:tc>
      </w:tr>
      <w:tr w:rsidR="00D911A7" w:rsidRPr="00FD0348" w:rsidTr="00277E77">
        <w:trPr>
          <w:trHeight w:val="240"/>
        </w:trPr>
        <w:tc>
          <w:tcPr>
            <w:tcW w:w="3040" w:type="dxa"/>
            <w:tcBorders>
              <w:top w:val="nil"/>
              <w:left w:val="nil"/>
              <w:bottom w:val="single" w:sz="4" w:space="0" w:color="auto"/>
              <w:right w:val="nil"/>
            </w:tcBorders>
            <w:shd w:val="clear" w:color="000000" w:fill="FFFFFF"/>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n</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100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75</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17</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193</w:t>
            </w:r>
          </w:p>
        </w:tc>
      </w:tr>
      <w:tr w:rsidR="00D911A7" w:rsidRPr="00FD0348" w:rsidTr="00277E77">
        <w:trPr>
          <w:trHeight w:val="240"/>
        </w:trPr>
        <w:tc>
          <w:tcPr>
            <w:tcW w:w="304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auto" w:fill="auto"/>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3500" w:type="dxa"/>
            <w:gridSpan w:val="7"/>
            <w:tcBorders>
              <w:top w:val="single" w:sz="4" w:space="0" w:color="auto"/>
              <w:left w:val="nil"/>
              <w:bottom w:val="nil"/>
              <w:right w:val="single" w:sz="4" w:space="0" w:color="000000"/>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u w:val="single"/>
                <w:lang w:bidi="ar-SA"/>
              </w:rPr>
            </w:pPr>
            <w:r w:rsidRPr="00FD0348">
              <w:rPr>
                <w:rFonts w:ascii="Calibri" w:eastAsia="Times New Roman" w:hAnsi="Calibri" w:cs="Times New Roman"/>
                <w:color w:val="000000"/>
                <w:sz w:val="18"/>
                <w:szCs w:val="18"/>
                <w:u w:val="single"/>
                <w:lang w:bidi="ar-SA"/>
              </w:rPr>
              <w:t>2011</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r>
      <w:tr w:rsidR="00D911A7" w:rsidRPr="00FD0348" w:rsidTr="00277E77">
        <w:trPr>
          <w:trHeight w:val="300"/>
        </w:trPr>
        <w:tc>
          <w:tcPr>
            <w:tcW w:w="3040" w:type="dxa"/>
            <w:vMerge w:val="restart"/>
            <w:tcBorders>
              <w:top w:val="nil"/>
              <w:left w:val="nil"/>
              <w:bottom w:val="nil"/>
              <w:right w:val="nil"/>
            </w:tcBorders>
            <w:shd w:val="clear" w:color="000000" w:fill="FFFFFF"/>
            <w:vAlign w:val="center"/>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Audit Committees with n financial expert with knowledge and experience in accounting</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C5D9F1"/>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25</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12</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46</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2DDD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46</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37</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10</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94</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nil"/>
              <w:right w:val="nil"/>
            </w:tcBorders>
            <w:shd w:val="clear" w:color="000000" w:fill="D7E4BC"/>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23</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17</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42</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3</w:t>
            </w:r>
          </w:p>
        </w:tc>
        <w:tc>
          <w:tcPr>
            <w:tcW w:w="500" w:type="dxa"/>
            <w:tcBorders>
              <w:top w:val="nil"/>
              <w:left w:val="nil"/>
              <w:bottom w:val="nil"/>
              <w:right w:val="nil"/>
            </w:tcBorders>
            <w:shd w:val="clear" w:color="000000" w:fill="CCC0DA"/>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6</w:t>
            </w:r>
          </w:p>
        </w:tc>
        <w:tc>
          <w:tcPr>
            <w:tcW w:w="500" w:type="dxa"/>
            <w:tcBorders>
              <w:top w:val="nil"/>
              <w:left w:val="nil"/>
              <w:bottom w:val="nil"/>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nil"/>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8</w:t>
            </w:r>
          </w:p>
        </w:tc>
      </w:tr>
      <w:tr w:rsidR="00D911A7" w:rsidRPr="00FD0348" w:rsidTr="00277E77">
        <w:trPr>
          <w:trHeight w:val="240"/>
        </w:trPr>
        <w:tc>
          <w:tcPr>
            <w:tcW w:w="3040" w:type="dxa"/>
            <w:vMerge/>
            <w:tcBorders>
              <w:top w:val="nil"/>
              <w:left w:val="nil"/>
              <w:bottom w:val="nil"/>
              <w:right w:val="nil"/>
            </w:tcBorders>
            <w:vAlign w:val="center"/>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4</w:t>
            </w:r>
          </w:p>
        </w:tc>
        <w:tc>
          <w:tcPr>
            <w:tcW w:w="500" w:type="dxa"/>
            <w:tcBorders>
              <w:top w:val="nil"/>
              <w:left w:val="nil"/>
              <w:bottom w:val="single" w:sz="4" w:space="0" w:color="auto"/>
              <w:right w:val="nil"/>
            </w:tcBorders>
            <w:shd w:val="clear" w:color="000000" w:fill="B6DDE8"/>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single" w:sz="4" w:space="0" w:color="auto"/>
              <w:right w:val="nil"/>
            </w:tcBorders>
            <w:shd w:val="clear" w:color="000000" w:fill="FCD5B4"/>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single" w:sz="4" w:space="0" w:color="auto"/>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w:t>
            </w:r>
          </w:p>
        </w:tc>
      </w:tr>
      <w:tr w:rsidR="00D911A7" w:rsidRPr="00FD0348" w:rsidTr="00277E77">
        <w:trPr>
          <w:trHeight w:val="240"/>
        </w:trPr>
        <w:tc>
          <w:tcPr>
            <w:tcW w:w="304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lef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 </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n</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76</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83</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23</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9</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single" w:sz="4" w:space="0" w:color="auto"/>
            </w:tcBorders>
            <w:shd w:val="clear" w:color="000000" w:fill="FFFFFF"/>
            <w:noWrap/>
            <w:vAlign w:val="bottom"/>
            <w:hideMark/>
          </w:tcPr>
          <w:p w:rsidR="00D911A7" w:rsidRPr="00FD0348" w:rsidRDefault="00D911A7" w:rsidP="00470966">
            <w:pPr>
              <w:spacing w:before="0" w:line="240" w:lineRule="auto"/>
              <w:ind w:right="27" w:firstLine="0"/>
              <w:jc w:val="center"/>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0</w:t>
            </w:r>
          </w:p>
        </w:tc>
        <w:tc>
          <w:tcPr>
            <w:tcW w:w="500" w:type="dxa"/>
            <w:tcBorders>
              <w:top w:val="nil"/>
              <w:left w:val="nil"/>
              <w:bottom w:val="nil"/>
              <w:right w:val="nil"/>
            </w:tcBorders>
            <w:shd w:val="clear" w:color="000000" w:fill="FFFFFF"/>
            <w:noWrap/>
            <w:vAlign w:val="bottom"/>
            <w:hideMark/>
          </w:tcPr>
          <w:p w:rsidR="00D911A7" w:rsidRPr="00FD0348" w:rsidRDefault="00D911A7" w:rsidP="00470966">
            <w:pPr>
              <w:spacing w:before="0" w:line="240" w:lineRule="auto"/>
              <w:ind w:right="27" w:firstLine="0"/>
              <w:jc w:val="right"/>
              <w:rPr>
                <w:rFonts w:ascii="Calibri" w:eastAsia="Times New Roman" w:hAnsi="Calibri" w:cs="Times New Roman"/>
                <w:color w:val="000000"/>
                <w:sz w:val="18"/>
                <w:szCs w:val="18"/>
                <w:lang w:bidi="ar-SA"/>
              </w:rPr>
            </w:pPr>
            <w:r w:rsidRPr="00FD0348">
              <w:rPr>
                <w:rFonts w:ascii="Calibri" w:eastAsia="Times New Roman" w:hAnsi="Calibri" w:cs="Times New Roman"/>
                <w:color w:val="000000"/>
                <w:sz w:val="18"/>
                <w:szCs w:val="18"/>
                <w:lang w:bidi="ar-SA"/>
              </w:rPr>
              <w:t>192</w:t>
            </w:r>
          </w:p>
        </w:tc>
      </w:tr>
    </w:tbl>
    <w:p w:rsidR="00D911A7" w:rsidRDefault="00D911A7" w:rsidP="00470966">
      <w:pPr>
        <w:ind w:right="27"/>
      </w:pPr>
    </w:p>
    <w:p w:rsidR="00BE0D32" w:rsidRPr="00FD0348" w:rsidRDefault="00F54416" w:rsidP="00470966">
      <w:pPr>
        <w:ind w:right="27"/>
      </w:pPr>
      <w:r w:rsidRPr="00FD0348">
        <w:t>T</w:t>
      </w:r>
      <w:r w:rsidR="00BE0D32" w:rsidRPr="00FD0348">
        <w:t>he percentage of independent / outside directors ser</w:t>
      </w:r>
      <w:r w:rsidR="00BA5E8C" w:rsidRPr="00FD0348">
        <w:t xml:space="preserve">ving on the audit committee </w:t>
      </w:r>
      <w:r w:rsidR="00964B49" w:rsidRPr="00FD0348">
        <w:t>experienced</w:t>
      </w:r>
      <w:r w:rsidR="00BA5E8C" w:rsidRPr="00FD0348">
        <w:t xml:space="preserve"> no significant changes </w:t>
      </w:r>
      <w:r w:rsidR="00BE0D32" w:rsidRPr="00FD0348">
        <w:t>(</w:t>
      </w:r>
      <w:r w:rsidR="00BE0D32" w:rsidRPr="00FD0348">
        <w:rPr>
          <w:i/>
        </w:rPr>
        <w:t>t</w:t>
      </w:r>
      <w:r w:rsidR="00BE0D32" w:rsidRPr="00FD0348">
        <w:t xml:space="preserve"> = -0.54; </w:t>
      </w:r>
      <w:r w:rsidR="00BE0D32" w:rsidRPr="00FD0348">
        <w:rPr>
          <w:i/>
        </w:rPr>
        <w:t>p</w:t>
      </w:r>
      <w:r w:rsidR="00BE0D32" w:rsidRPr="00FD0348">
        <w:t xml:space="preserve"> = 0.</w:t>
      </w:r>
      <w:r w:rsidR="00BA5E8C" w:rsidRPr="00FD0348">
        <w:t xml:space="preserve">293) and the meeting frequency score </w:t>
      </w:r>
      <w:r w:rsidR="00A20382" w:rsidRPr="00FD0348">
        <w:t>increased from 5.39 in 2008 to 5.71 in 2011</w:t>
      </w:r>
      <w:r w:rsidR="00FB7BE7" w:rsidRPr="00FD0348">
        <w:t>,</w:t>
      </w:r>
      <w:r w:rsidR="00A20382" w:rsidRPr="00FD0348">
        <w:t xml:space="preserve"> also insignificant. </w:t>
      </w:r>
      <w:r w:rsidR="00FF6D0B" w:rsidRPr="00FD0348">
        <w:t>M</w:t>
      </w:r>
      <w:r w:rsidR="00A20382" w:rsidRPr="00FD0348">
        <w:t xml:space="preserve">y sample contains 154 public interest entities in 2008 and 145 public interest entities in 2011 with 100% independent audit committee. </w:t>
      </w:r>
      <w:r w:rsidR="007877EE" w:rsidRPr="00FD0348">
        <w:t>Furthermore</w:t>
      </w:r>
      <w:r w:rsidR="00A20382" w:rsidRPr="00FD0348">
        <w:t xml:space="preserve"> 67 public interest entities in 2008 and 69 public interest entities in 2011</w:t>
      </w:r>
      <w:r w:rsidR="003257CF" w:rsidRPr="00FD0348">
        <w:t xml:space="preserve"> are meeting the European Commission’s </w:t>
      </w:r>
      <w:r w:rsidR="00FF6D0B" w:rsidRPr="00FD0348">
        <w:t xml:space="preserve">proposed </w:t>
      </w:r>
      <w:r w:rsidR="003257CF" w:rsidRPr="00FD0348">
        <w:t>audit committee composition and expertise requirements</w:t>
      </w:r>
      <w:r w:rsidR="006D158F" w:rsidRPr="00FD0348">
        <w:t xml:space="preserve"> (EC 2011)</w:t>
      </w:r>
      <w:r w:rsidR="003257CF" w:rsidRPr="00FD0348">
        <w:t xml:space="preserve">. While </w:t>
      </w:r>
      <w:r w:rsidR="00964B49" w:rsidRPr="00FD0348">
        <w:t xml:space="preserve">the </w:t>
      </w:r>
      <w:r w:rsidR="003257CF" w:rsidRPr="00FD0348">
        <w:t xml:space="preserve">2008 </w:t>
      </w:r>
      <w:r w:rsidR="00964B49" w:rsidRPr="00FD0348">
        <w:t xml:space="preserve">sample </w:t>
      </w:r>
      <w:r w:rsidR="003257CF" w:rsidRPr="00FD0348">
        <w:t xml:space="preserve">included more fully independent audit committees than 2011, more public interest entities met the European Commission’s audit committee composition and expertise requirements </w:t>
      </w:r>
      <w:r w:rsidR="003B17D3" w:rsidRPr="00FD0348">
        <w:t xml:space="preserve">in 2011 </w:t>
      </w:r>
      <w:r w:rsidR="003257CF" w:rsidRPr="00FD0348">
        <w:t xml:space="preserve">due to the increase </w:t>
      </w:r>
      <w:r w:rsidR="00964B49" w:rsidRPr="00FD0348">
        <w:t>of</w:t>
      </w:r>
      <w:r w:rsidR="003257CF" w:rsidRPr="00FD0348">
        <w:t xml:space="preserve"> </w:t>
      </w:r>
      <w:r w:rsidR="00964B49" w:rsidRPr="00FD0348">
        <w:t xml:space="preserve">independent directors </w:t>
      </w:r>
      <w:r w:rsidR="003257CF" w:rsidRPr="00FD0348">
        <w:t>with knowledge and experience in auditing</w:t>
      </w:r>
      <w:r w:rsidR="00FB7BE7" w:rsidRPr="00FD0348">
        <w:t xml:space="preserve"> serving on the audit committee</w:t>
      </w:r>
      <w:r w:rsidR="003B17D3" w:rsidRPr="00FD0348">
        <w:t>.</w:t>
      </w:r>
    </w:p>
    <w:p w:rsidR="00A40333" w:rsidRPr="00FD0348" w:rsidRDefault="00A40333" w:rsidP="00470966">
      <w:pPr>
        <w:ind w:right="27"/>
      </w:pPr>
    </w:p>
    <w:p w:rsidR="009D21B6" w:rsidRDefault="009D21B6" w:rsidP="00470966">
      <w:pPr>
        <w:spacing w:before="200" w:after="200" w:line="276" w:lineRule="auto"/>
        <w:ind w:right="27" w:firstLine="0"/>
        <w:jc w:val="left"/>
        <w:rPr>
          <w:caps/>
          <w:spacing w:val="15"/>
          <w:szCs w:val="22"/>
        </w:rPr>
      </w:pPr>
      <w:r>
        <w:br w:type="page"/>
      </w:r>
    </w:p>
    <w:p w:rsidR="005B25F9" w:rsidRPr="00FD0348" w:rsidRDefault="005B25F9" w:rsidP="00470966">
      <w:pPr>
        <w:pStyle w:val="Heading2"/>
        <w:ind w:right="27"/>
      </w:pPr>
      <w:bookmarkStart w:id="30" w:name="_Toc364177662"/>
      <w:bookmarkStart w:id="31" w:name="_Toc364200641"/>
      <w:proofErr w:type="gramStart"/>
      <w:r w:rsidRPr="00FD0348">
        <w:lastRenderedPageBreak/>
        <w:t>The relation among the audit committee characteristics and earnings quality proxies.</w:t>
      </w:r>
      <w:bookmarkEnd w:id="30"/>
      <w:bookmarkEnd w:id="31"/>
      <w:proofErr w:type="gramEnd"/>
    </w:p>
    <w:p w:rsidR="004951EC" w:rsidRPr="00FD0348" w:rsidRDefault="005B25F9" w:rsidP="00470966">
      <w:pPr>
        <w:ind w:right="27"/>
      </w:pPr>
      <w:r w:rsidRPr="00FD0348">
        <w:t>Table 3</w:t>
      </w:r>
      <w:r w:rsidR="00631BE9" w:rsidRPr="00FD0348">
        <w:t>, which can be found in the appendix,</w:t>
      </w:r>
      <w:r w:rsidRPr="00FD0348">
        <w:t xml:space="preserve"> presents Pearson (Spearman’s Rho) pair wise correlations below (above) the diagonal among the audit committee characteristics, control variables and the likelihood of avoiding earnings surprises, while </w:t>
      </w:r>
      <w:r w:rsidR="00D911A7">
        <w:t>t</w:t>
      </w:r>
      <w:r w:rsidRPr="00FD0348">
        <w:t>able 4</w:t>
      </w:r>
      <w:r w:rsidR="00631BE9" w:rsidRPr="00FD0348">
        <w:t>, which can be found in the appendix,</w:t>
      </w:r>
      <w:r w:rsidRPr="00FD0348">
        <w:t xml:space="preserve"> presents pair-wise correlations among the audit committee characteristics, control variables and the likelihood of </w:t>
      </w:r>
      <w:r w:rsidR="009B7C6D" w:rsidRPr="00FD0348">
        <w:t>small earnings increases</w:t>
      </w:r>
      <w:r w:rsidRPr="00FD0348">
        <w:t>.</w:t>
      </w:r>
      <w:r w:rsidR="00DA4255" w:rsidRPr="00FD0348">
        <w:t xml:space="preserve"> The correlations table </w:t>
      </w:r>
      <w:r w:rsidR="00711B05" w:rsidRPr="00FD0348">
        <w:t>suggests</w:t>
      </w:r>
      <w:r w:rsidR="00DA4255" w:rsidRPr="00FD0348">
        <w:t xml:space="preserve"> that </w:t>
      </w:r>
      <w:r w:rsidR="00711B05" w:rsidRPr="00FD0348">
        <w:t xml:space="preserve">the majority of effective </w:t>
      </w:r>
      <w:r w:rsidR="00DA4255" w:rsidRPr="00FD0348">
        <w:t>audit committee characteristics</w:t>
      </w:r>
      <w:r w:rsidR="00711B05" w:rsidRPr="00FD0348">
        <w:t xml:space="preserve"> </w:t>
      </w:r>
      <w:r w:rsidR="00DA4255" w:rsidRPr="00FD0348">
        <w:t xml:space="preserve">are positively correlated </w:t>
      </w:r>
      <w:r w:rsidR="00711B05" w:rsidRPr="00FD0348">
        <w:t>with each other, therefore enhancing audit committee’s performance in monitoring the public interest entity.</w:t>
      </w:r>
      <w:r w:rsidR="00D85259" w:rsidRPr="00FD0348">
        <w:t xml:space="preserve"> </w:t>
      </w:r>
    </w:p>
    <w:p w:rsidR="00216F19" w:rsidRPr="00FD0348" w:rsidRDefault="00D85259" w:rsidP="00470966">
      <w:pPr>
        <w:tabs>
          <w:tab w:val="left" w:pos="-2790"/>
        </w:tabs>
        <w:ind w:right="27"/>
      </w:pPr>
      <w:r w:rsidRPr="00FD0348">
        <w:t xml:space="preserve">Next I estimate the relation </w:t>
      </w:r>
      <w:r w:rsidR="00A40333" w:rsidRPr="00FD0348">
        <w:t>among</w:t>
      </w:r>
      <w:r w:rsidRPr="00FD0348">
        <w:t xml:space="preserve"> the audit committee characteristics and control variables with the likelihood of </w:t>
      </w:r>
      <w:r w:rsidR="0048046E" w:rsidRPr="00FD0348">
        <w:t>negative earnings surprise avoidance</w:t>
      </w:r>
      <w:r w:rsidR="00A40333" w:rsidRPr="00FD0348">
        <w:t xml:space="preserve"> and small earnings increases</w:t>
      </w:r>
      <w:r w:rsidRPr="00FD0348">
        <w:t xml:space="preserve"> in a logistic regression model using equation (1)</w:t>
      </w:r>
      <w:r w:rsidR="0080455C" w:rsidRPr="00FD0348">
        <w:t xml:space="preserve">: </w:t>
      </w:r>
    </w:p>
    <w:p w:rsidR="00DD48C4" w:rsidRPr="00FD0348" w:rsidRDefault="00DD48C4" w:rsidP="00470966">
      <w:pPr>
        <w:tabs>
          <w:tab w:val="left" w:pos="-2790"/>
        </w:tabs>
        <w:ind w:right="27"/>
      </w:pPr>
    </w:p>
    <w:p w:rsidR="00216F19" w:rsidRPr="00FD0348" w:rsidRDefault="00216F19" w:rsidP="00470966">
      <w:pPr>
        <w:tabs>
          <w:tab w:val="left" w:pos="-7290"/>
          <w:tab w:val="left" w:pos="4050"/>
        </w:tabs>
        <w:ind w:right="27"/>
      </w:pPr>
      <w:r w:rsidRPr="00FD0348">
        <w:t>P (1 = low earnings quality) = α +</w:t>
      </w:r>
      <w:r w:rsidR="00D911A7">
        <w:t xml:space="preserve"> </w:t>
      </w:r>
      <w:r w:rsidRPr="00FD0348">
        <w:t>β</w:t>
      </w:r>
      <w:r w:rsidRPr="00FD0348">
        <w:rPr>
          <w:vertAlign w:val="subscript"/>
        </w:rPr>
        <w:t xml:space="preserve">1 </w:t>
      </w:r>
      <w:r w:rsidRPr="00FD0348">
        <w:t>Independent dummy + β</w:t>
      </w:r>
      <w:r w:rsidRPr="00FD0348">
        <w:rPr>
          <w:vertAlign w:val="subscript"/>
        </w:rPr>
        <w:t>2</w:t>
      </w:r>
      <w:r w:rsidRPr="00FD0348">
        <w:t xml:space="preserve"> #EUFE + </w:t>
      </w:r>
      <w:r w:rsidRPr="00FD0348">
        <w:br/>
        <w:t>β</w:t>
      </w:r>
      <w:r w:rsidRPr="00FD0348">
        <w:rPr>
          <w:vertAlign w:val="subscript"/>
        </w:rPr>
        <w:t>3</w:t>
      </w:r>
      <w:r w:rsidRPr="00FD0348">
        <w:t xml:space="preserve"> AC size + β</w:t>
      </w:r>
      <w:r w:rsidRPr="00FD0348">
        <w:rPr>
          <w:vertAlign w:val="subscript"/>
        </w:rPr>
        <w:t>4</w:t>
      </w:r>
      <w:r w:rsidRPr="00FD0348">
        <w:t xml:space="preserve"> AC meetings + β</w:t>
      </w:r>
      <w:r w:rsidRPr="00FD0348">
        <w:rPr>
          <w:vertAlign w:val="subscript"/>
        </w:rPr>
        <w:t>5</w:t>
      </w:r>
      <w:r w:rsidRPr="00FD0348">
        <w:t xml:space="preserve"> Audit reform dummy + δ</w:t>
      </w:r>
      <w:r w:rsidRPr="00FD0348">
        <w:rPr>
          <w:vertAlign w:val="subscript"/>
        </w:rPr>
        <w:t>1</w:t>
      </w:r>
      <w:r w:rsidRPr="00FD0348">
        <w:t xml:space="preserve"> Loss dummy + </w:t>
      </w:r>
      <w:r w:rsidRPr="00FD0348">
        <w:br/>
        <w:t>δ</w:t>
      </w:r>
      <w:r w:rsidRPr="00FD0348">
        <w:rPr>
          <w:vertAlign w:val="subscript"/>
        </w:rPr>
        <w:t>2</w:t>
      </w:r>
      <w:r w:rsidRPr="00FD0348">
        <w:t xml:space="preserve"> Litigation risk dummy + δ</w:t>
      </w:r>
      <w:r w:rsidRPr="00FD0348">
        <w:rPr>
          <w:vertAlign w:val="subscript"/>
        </w:rPr>
        <w:t>3</w:t>
      </w:r>
      <w:r w:rsidRPr="00FD0348">
        <w:t xml:space="preserve"> Entity size (MV) + δ</w:t>
      </w:r>
      <w:r w:rsidRPr="00FD0348">
        <w:rPr>
          <w:vertAlign w:val="subscript"/>
        </w:rPr>
        <w:t>4</w:t>
      </w:r>
      <w:r w:rsidRPr="00FD0348">
        <w:t xml:space="preserve"> Entity growth +</w:t>
      </w:r>
      <w:r w:rsidR="00F54416" w:rsidRPr="00FD0348">
        <w:t xml:space="preserve"> </w:t>
      </w:r>
      <w:r w:rsidRPr="00FD0348">
        <w:t>δ</w:t>
      </w:r>
      <w:r w:rsidRPr="00FD0348">
        <w:rPr>
          <w:vertAlign w:val="subscript"/>
        </w:rPr>
        <w:t>5</w:t>
      </w:r>
      <w:r w:rsidRPr="00FD0348">
        <w:t xml:space="preserve"> CGV SCORE + ε</w:t>
      </w:r>
      <w:r w:rsidRPr="00FD0348">
        <w:tab/>
        <w:t>(1)</w:t>
      </w:r>
    </w:p>
    <w:p w:rsidR="00DD48C4" w:rsidRDefault="00DD48C4" w:rsidP="00470966">
      <w:pPr>
        <w:tabs>
          <w:tab w:val="left" w:pos="-7290"/>
          <w:tab w:val="left" w:pos="4050"/>
        </w:tabs>
        <w:ind w:right="27"/>
      </w:pPr>
    </w:p>
    <w:p w:rsidR="00181408" w:rsidRPr="00FD0348" w:rsidRDefault="00181408" w:rsidP="00181408">
      <w:pPr>
        <w:tabs>
          <w:tab w:val="left" w:pos="-7290"/>
          <w:tab w:val="left" w:pos="-6930"/>
        </w:tabs>
        <w:ind w:right="27"/>
      </w:pPr>
      <w:r w:rsidRPr="00FD0348">
        <w:t>The results are presented in table 5.</w:t>
      </w:r>
    </w:p>
    <w:p w:rsidR="00181408" w:rsidRDefault="00181408" w:rsidP="00470966">
      <w:pPr>
        <w:tabs>
          <w:tab w:val="left" w:pos="-7290"/>
          <w:tab w:val="left" w:pos="4050"/>
        </w:tabs>
        <w:ind w:right="27"/>
      </w:pPr>
    </w:p>
    <w:p w:rsidR="009D21B6" w:rsidRPr="00FD0348" w:rsidRDefault="009D21B6" w:rsidP="00470966">
      <w:pPr>
        <w:ind w:right="27"/>
      </w:pPr>
      <w:r w:rsidRPr="00FD0348">
        <w:t xml:space="preserve">The model on negative earnings surprise avoidance and small earnings increases are both highly significant at the one percent level, as signified by Chi-Square statistic. Furthermore the model on negative earnings surprise avoidance (small earnings increases) has a predictive capacity of 0.148 (0.180), signified by </w:t>
      </w:r>
      <w:proofErr w:type="spellStart"/>
      <w:r w:rsidRPr="00FD0348">
        <w:t>Nagelkerke’s</w:t>
      </w:r>
      <w:proofErr w:type="spellEnd"/>
      <w:r w:rsidRPr="00FD0348">
        <w:t xml:space="preserve"> R-Square.</w:t>
      </w:r>
    </w:p>
    <w:p w:rsidR="009D21B6" w:rsidRPr="00FD0348" w:rsidRDefault="009D21B6" w:rsidP="00470966">
      <w:pPr>
        <w:tabs>
          <w:tab w:val="left" w:pos="-2430"/>
        </w:tabs>
        <w:ind w:right="27"/>
      </w:pPr>
      <w:r w:rsidRPr="00FD0348">
        <w:t xml:space="preserve">For the main hypothesis (see audit reform dummy), the results from the model capturing negative earnings surprise avoidance suggests that audit committees who are currently meeting the proposed European Commission’s audit committee composition and expertise requirements significantly (B = -.609, </w:t>
      </w:r>
      <w:r w:rsidRPr="00FD0348">
        <w:rPr>
          <w:i/>
        </w:rPr>
        <w:t>p</w:t>
      </w:r>
      <w:r w:rsidRPr="00FD0348">
        <w:t xml:space="preserve"> = .028) increases the likelihood of higher earnings quality. My findings justifies the European Commission’s actions to improve financial reporting quality by mandating that audit committees become fully independent and consist out of at least two independent directors with experience and knowledge in auditing or at least one director with experience and knowledge in auditing and another in accounting. </w:t>
      </w:r>
    </w:p>
    <w:p w:rsidR="009D21B6" w:rsidRDefault="009D21B6" w:rsidP="00470966">
      <w:pPr>
        <w:tabs>
          <w:tab w:val="left" w:pos="-2430"/>
        </w:tabs>
        <w:ind w:right="27"/>
      </w:pPr>
      <w:r w:rsidRPr="00FD0348">
        <w:t xml:space="preserve">In line with the second hypothesis, the results from both models suggest that the frequency in which the audit committee meets significantly increases the likelihood of higher earnings quality. </w:t>
      </w:r>
      <w:r w:rsidRPr="00FD0348">
        <w:lastRenderedPageBreak/>
        <w:t xml:space="preserve">The result is significant (B = -.141, </w:t>
      </w:r>
      <w:r w:rsidRPr="00FD0348">
        <w:rPr>
          <w:i/>
        </w:rPr>
        <w:t>p</w:t>
      </w:r>
      <w:r w:rsidRPr="00FD0348">
        <w:t xml:space="preserve"> = .024) at the five percent level for the model capturing small earnings increases and significant (B = -.073, </w:t>
      </w:r>
      <w:r w:rsidRPr="00FD0348">
        <w:rPr>
          <w:i/>
        </w:rPr>
        <w:t>p</w:t>
      </w:r>
      <w:r w:rsidRPr="00FD0348">
        <w:t xml:space="preserve"> = .075) at the ten percent level for the model capturing negative earnings surprise avoidance. This result is also consistent with prior empirical research from </w:t>
      </w:r>
      <w:proofErr w:type="spellStart"/>
      <w:r w:rsidRPr="00FD0348">
        <w:t>Xie</w:t>
      </w:r>
      <w:proofErr w:type="spellEnd"/>
      <w:r w:rsidRPr="00FD0348">
        <w:t xml:space="preserve"> et al. 2003, </w:t>
      </w:r>
      <w:proofErr w:type="spellStart"/>
      <w:r w:rsidRPr="00FD0348">
        <w:t>Vafeas</w:t>
      </w:r>
      <w:proofErr w:type="spellEnd"/>
      <w:r w:rsidRPr="00FD0348">
        <w:t xml:space="preserve"> 2005 and </w:t>
      </w:r>
      <w:proofErr w:type="spellStart"/>
      <w:r w:rsidRPr="00FD0348">
        <w:t>Hooghiemstra</w:t>
      </w:r>
      <w:proofErr w:type="spellEnd"/>
      <w:r w:rsidRPr="00FD0348">
        <w:t xml:space="preserve"> et al. 2008 suggesting that audit committee meeting frequency has a positive relation with earnings quality.</w:t>
      </w:r>
    </w:p>
    <w:p w:rsidR="00181408" w:rsidRDefault="00181408" w:rsidP="00470966">
      <w:pPr>
        <w:tabs>
          <w:tab w:val="left" w:pos="-2430"/>
        </w:tabs>
        <w:ind w:right="27"/>
      </w:pPr>
    </w:p>
    <w:tbl>
      <w:tblPr>
        <w:tblW w:w="3980" w:type="dxa"/>
        <w:tblInd w:w="100" w:type="dxa"/>
        <w:tblLook w:val="04A0"/>
      </w:tblPr>
      <w:tblGrid>
        <w:gridCol w:w="2018"/>
        <w:gridCol w:w="981"/>
        <w:gridCol w:w="981"/>
      </w:tblGrid>
      <w:tr w:rsidR="00F54416" w:rsidRPr="00FD0348" w:rsidTr="00F54416">
        <w:trPr>
          <w:trHeight w:val="540"/>
        </w:trPr>
        <w:tc>
          <w:tcPr>
            <w:tcW w:w="3980" w:type="dxa"/>
            <w:gridSpan w:val="3"/>
            <w:tcBorders>
              <w:top w:val="nil"/>
              <w:left w:val="nil"/>
              <w:bottom w:val="single" w:sz="8" w:space="0" w:color="auto"/>
              <w:right w:val="nil"/>
            </w:tcBorders>
            <w:shd w:val="clear" w:color="auto" w:fill="auto"/>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Table 5. Logistic regression of the relationship among audit committee characteristics and control variables with the likelihood of low earnings quality</w:t>
            </w:r>
          </w:p>
        </w:tc>
      </w:tr>
      <w:tr w:rsidR="00F54416" w:rsidRPr="00FD0348" w:rsidTr="00F54416">
        <w:trPr>
          <w:trHeight w:val="8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Earnings Surprise Avoidance</w:t>
            </w:r>
          </w:p>
        </w:tc>
        <w:tc>
          <w:tcPr>
            <w:tcW w:w="981" w:type="dxa"/>
            <w:tcBorders>
              <w:top w:val="nil"/>
              <w:left w:val="nil"/>
              <w:bottom w:val="nil"/>
              <w:right w:val="nil"/>
            </w:tcBorders>
            <w:shd w:val="clear" w:color="auto" w:fill="auto"/>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Small Earnings Increases</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B</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B</w:t>
            </w:r>
          </w:p>
        </w:tc>
      </w:tr>
      <w:tr w:rsidR="00F54416" w:rsidRPr="00FD0348" w:rsidTr="00F54416">
        <w:trPr>
          <w:trHeight w:val="240"/>
        </w:trPr>
        <w:tc>
          <w:tcPr>
            <w:tcW w:w="2018"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Explanatory Variables</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Intercept</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-6.658</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-.459</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(.684)</w:t>
            </w:r>
          </w:p>
        </w:tc>
      </w:tr>
      <w:tr w:rsidR="00F54416" w:rsidRPr="00FD0348" w:rsidTr="00F54416">
        <w:trPr>
          <w:trHeight w:val="240"/>
        </w:trPr>
        <w:tc>
          <w:tcPr>
            <w:tcW w:w="3980" w:type="dxa"/>
            <w:gridSpan w:val="3"/>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Committee characteristics</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Independent dummy</w:t>
            </w:r>
            <w:r w:rsidR="00577C08" w:rsidRPr="00FD0348">
              <w:rPr>
                <w:rFonts w:ascii="Calibri" w:eastAsia="Times New Roman" w:hAnsi="Calibri" w:cs="Times New Roman"/>
                <w:color w:val="000000"/>
                <w:sz w:val="16"/>
                <w:szCs w:val="16"/>
                <w:lang w:bidi="ar-SA"/>
              </w:rPr>
              <w:t xml:space="preserve"> (H3)</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.677</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.447</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(.181)</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(.199)</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EUFE </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.556</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.047</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(.001)</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(.674)</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 size</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-.294</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.121</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(.008)</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(.492)</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 meetings</w:t>
            </w:r>
            <w:r w:rsidR="00577C08" w:rsidRPr="00FD0348">
              <w:rPr>
                <w:rFonts w:ascii="Calibri" w:eastAsia="Times New Roman" w:hAnsi="Calibri" w:cs="Times New Roman"/>
                <w:color w:val="000000"/>
                <w:sz w:val="16"/>
                <w:szCs w:val="16"/>
                <w:lang w:bidi="ar-SA"/>
              </w:rPr>
              <w:t xml:space="preserve"> (H2)</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-.073</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-.141</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(.075)</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(.024)</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reform dummy</w:t>
            </w:r>
            <w:r w:rsidR="00577C08" w:rsidRPr="00FD0348">
              <w:rPr>
                <w:rFonts w:ascii="Calibri" w:eastAsia="Times New Roman" w:hAnsi="Calibri" w:cs="Times New Roman"/>
                <w:color w:val="000000"/>
                <w:sz w:val="16"/>
                <w:szCs w:val="16"/>
                <w:lang w:bidi="ar-SA"/>
              </w:rPr>
              <w:t xml:space="preserve"> (H1)</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-.609</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-.272</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(.028)</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(.377)</w:t>
            </w:r>
          </w:p>
        </w:tc>
      </w:tr>
      <w:tr w:rsidR="00F54416" w:rsidRPr="00FD0348" w:rsidTr="00F54416">
        <w:trPr>
          <w:trHeight w:val="240"/>
        </w:trPr>
        <w:tc>
          <w:tcPr>
            <w:tcW w:w="3980" w:type="dxa"/>
            <w:gridSpan w:val="3"/>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Control Variables</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Loss dummy</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-.111</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-2.296</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(.704)</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Litigation risk dummy</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.492</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.062</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(.044)</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(.838)</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size (Log MV)</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.261</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-.215</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(.303)</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(.443)</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growth</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.032</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.012</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(.423)</w:t>
            </w:r>
          </w:p>
        </w:tc>
        <w:tc>
          <w:tcPr>
            <w:tcW w:w="981" w:type="dxa"/>
            <w:tcBorders>
              <w:top w:val="nil"/>
              <w:left w:val="nil"/>
              <w:bottom w:val="nil"/>
              <w:right w:val="nil"/>
            </w:tcBorders>
            <w:shd w:val="clear" w:color="auto" w:fill="auto"/>
            <w:noWrap/>
            <w:vAlign w:val="center"/>
            <w:hideMark/>
          </w:tcPr>
          <w:p w:rsidR="00F54416" w:rsidRPr="00FD0348" w:rsidRDefault="00E16D97"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00F54416" w:rsidRPr="00FD0348">
              <w:rPr>
                <w:rFonts w:ascii="Calibri" w:eastAsia="Times New Roman" w:hAnsi="Calibri" w:cs="Times New Roman"/>
                <w:color w:val="000000"/>
                <w:sz w:val="16"/>
                <w:szCs w:val="16"/>
                <w:lang w:bidi="ar-SA"/>
              </w:rPr>
              <w:t>.847)</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CGV SCORE</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.014</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-.002</w:t>
            </w:r>
          </w:p>
        </w:tc>
      </w:tr>
      <w:tr w:rsidR="00F54416" w:rsidRPr="00FD0348" w:rsidTr="00F54416">
        <w:trPr>
          <w:trHeight w:val="240"/>
        </w:trPr>
        <w:tc>
          <w:tcPr>
            <w:tcW w:w="2018"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(.016)</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(.739)</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Year dummies included</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Quarter dummies included</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N/A</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Country dummies included</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981"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r>
      <w:tr w:rsidR="00F54416" w:rsidRPr="00FD0348" w:rsidTr="00F54416">
        <w:trPr>
          <w:trHeight w:val="240"/>
        </w:trPr>
        <w:tc>
          <w:tcPr>
            <w:tcW w:w="2018" w:type="dxa"/>
            <w:tcBorders>
              <w:top w:val="nil"/>
              <w:left w:val="nil"/>
              <w:bottom w:val="double" w:sz="6" w:space="0" w:color="auto"/>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Sample Size</w:t>
            </w:r>
          </w:p>
        </w:tc>
        <w:tc>
          <w:tcPr>
            <w:tcW w:w="981" w:type="dxa"/>
            <w:tcBorders>
              <w:top w:val="nil"/>
              <w:left w:val="nil"/>
              <w:bottom w:val="double" w:sz="6"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1359</w:t>
            </w:r>
          </w:p>
        </w:tc>
        <w:tc>
          <w:tcPr>
            <w:tcW w:w="981" w:type="dxa"/>
            <w:tcBorders>
              <w:top w:val="nil"/>
              <w:left w:val="nil"/>
              <w:bottom w:val="double" w:sz="6" w:space="0" w:color="auto"/>
              <w:right w:val="nil"/>
            </w:tcBorders>
            <w:shd w:val="clear" w:color="auto" w:fill="auto"/>
            <w:noWrap/>
            <w:vAlign w:val="bottom"/>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593</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χ2</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χ2</w:t>
            </w:r>
          </w:p>
        </w:tc>
      </w:tr>
      <w:tr w:rsidR="00F54416" w:rsidRPr="00FD0348" w:rsidTr="00F54416">
        <w:trPr>
          <w:trHeight w:val="240"/>
        </w:trPr>
        <w:tc>
          <w:tcPr>
            <w:tcW w:w="2018" w:type="dxa"/>
            <w:tcBorders>
              <w:top w:val="nil"/>
              <w:left w:val="nil"/>
              <w:bottom w:val="single" w:sz="4" w:space="0" w:color="auto"/>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c>
          <w:tcPr>
            <w:tcW w:w="981" w:type="dxa"/>
            <w:tcBorders>
              <w:top w:val="nil"/>
              <w:left w:val="nil"/>
              <w:bottom w:val="single" w:sz="4" w:space="0" w:color="auto"/>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Model Significance</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103.7</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74.50</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F54416" w:rsidRPr="00FD0348" w:rsidTr="00F54416">
        <w:trPr>
          <w:trHeight w:val="240"/>
        </w:trPr>
        <w:tc>
          <w:tcPr>
            <w:tcW w:w="2018" w:type="dxa"/>
            <w:tcBorders>
              <w:top w:val="nil"/>
              <w:left w:val="nil"/>
              <w:bottom w:val="nil"/>
              <w:right w:val="nil"/>
            </w:tcBorders>
            <w:shd w:val="clear" w:color="auto" w:fill="auto"/>
            <w:noWrap/>
            <w:vAlign w:val="bottom"/>
            <w:hideMark/>
          </w:tcPr>
          <w:p w:rsidR="00F54416" w:rsidRPr="00FD0348" w:rsidRDefault="00F54416" w:rsidP="00470966">
            <w:pPr>
              <w:spacing w:before="0" w:line="240" w:lineRule="auto"/>
              <w:ind w:right="27" w:firstLine="0"/>
              <w:jc w:val="left"/>
              <w:rPr>
                <w:rFonts w:ascii="Calibri" w:eastAsia="Times New Roman" w:hAnsi="Calibri" w:cs="Times New Roman"/>
                <w:color w:val="000000"/>
                <w:sz w:val="16"/>
                <w:szCs w:val="16"/>
                <w:lang w:bidi="ar-SA"/>
              </w:rPr>
            </w:pPr>
            <w:proofErr w:type="spellStart"/>
            <w:r w:rsidRPr="00FD0348">
              <w:rPr>
                <w:rFonts w:ascii="Calibri" w:eastAsia="Times New Roman" w:hAnsi="Calibri" w:cs="Times New Roman"/>
                <w:color w:val="000000"/>
                <w:sz w:val="16"/>
                <w:szCs w:val="16"/>
                <w:lang w:bidi="ar-SA"/>
              </w:rPr>
              <w:t>Nagelkerke</w:t>
            </w:r>
            <w:proofErr w:type="spellEnd"/>
            <w:r w:rsidRPr="00FD0348">
              <w:rPr>
                <w:rFonts w:ascii="Calibri" w:eastAsia="Times New Roman" w:hAnsi="Calibri" w:cs="Times New Roman"/>
                <w:color w:val="000000"/>
                <w:sz w:val="16"/>
                <w:szCs w:val="16"/>
                <w:lang w:bidi="ar-SA"/>
              </w:rPr>
              <w:t xml:space="preserve"> R-Square</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.148</w:t>
            </w:r>
          </w:p>
        </w:tc>
        <w:tc>
          <w:tcPr>
            <w:tcW w:w="981" w:type="dxa"/>
            <w:tcBorders>
              <w:top w:val="nil"/>
              <w:left w:val="nil"/>
              <w:bottom w:val="nil"/>
              <w:right w:val="nil"/>
            </w:tcBorders>
            <w:shd w:val="clear" w:color="auto" w:fill="auto"/>
            <w:noWrap/>
            <w:vAlign w:val="center"/>
            <w:hideMark/>
          </w:tcPr>
          <w:p w:rsidR="00F54416" w:rsidRPr="00FD0348" w:rsidRDefault="00F54416"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.180</w:t>
            </w:r>
          </w:p>
        </w:tc>
      </w:tr>
    </w:tbl>
    <w:p w:rsidR="004D503D" w:rsidRDefault="004D503D" w:rsidP="00470966">
      <w:pPr>
        <w:tabs>
          <w:tab w:val="left" w:pos="-2430"/>
        </w:tabs>
        <w:ind w:right="27"/>
      </w:pPr>
    </w:p>
    <w:p w:rsidR="00E22EB7" w:rsidRPr="00FD0348" w:rsidRDefault="00E22EB7" w:rsidP="00470966">
      <w:pPr>
        <w:tabs>
          <w:tab w:val="left" w:pos="-2430"/>
        </w:tabs>
        <w:ind w:right="27"/>
      </w:pPr>
      <w:r w:rsidRPr="00FD0348">
        <w:t>For the third hypothesis the results from both models are contradicting the evidence from prior empirical research (</w:t>
      </w:r>
      <w:proofErr w:type="spellStart"/>
      <w:r w:rsidRPr="00FD0348">
        <w:t>Xie</w:t>
      </w:r>
      <w:proofErr w:type="spellEnd"/>
      <w:r w:rsidRPr="00FD0348">
        <w:t xml:space="preserve"> et al. 2003, </w:t>
      </w:r>
      <w:proofErr w:type="spellStart"/>
      <w:r w:rsidRPr="00FD0348">
        <w:t>Vafeas</w:t>
      </w:r>
      <w:proofErr w:type="spellEnd"/>
      <w:r w:rsidRPr="00FD0348">
        <w:t xml:space="preserve"> 2005 and </w:t>
      </w:r>
      <w:proofErr w:type="spellStart"/>
      <w:r w:rsidRPr="00FD0348">
        <w:t>Hooghiemstra</w:t>
      </w:r>
      <w:proofErr w:type="spellEnd"/>
      <w:r w:rsidRPr="00FD0348">
        <w:t xml:space="preserve"> et al. 2008) that the presence of </w:t>
      </w:r>
      <w:r w:rsidRPr="00FD0348">
        <w:lastRenderedPageBreak/>
        <w:t>independent / outside directors enhances the monitoring capabilities of the audit committee. The results suggest that the independency of audit committee directors decreases the likelihood of higher earnings quality. However, the results from both models are insignificant. The results from both models remain very similar when I alter the independent dummy as reported in table 5 with percentage of independent / outside directors serving on the audit committee.</w:t>
      </w:r>
    </w:p>
    <w:p w:rsidR="00D54DB5" w:rsidRPr="00FD0348" w:rsidRDefault="00BE18AB" w:rsidP="00470966">
      <w:pPr>
        <w:tabs>
          <w:tab w:val="left" w:pos="-2430"/>
        </w:tabs>
        <w:ind w:right="27"/>
      </w:pPr>
      <w:r w:rsidRPr="00FD0348">
        <w:t xml:space="preserve">Results </w:t>
      </w:r>
      <w:r w:rsidR="00E36989" w:rsidRPr="00FD0348">
        <w:t xml:space="preserve">from the model </w:t>
      </w:r>
      <w:r w:rsidR="00B722DE" w:rsidRPr="00FD0348">
        <w:t>capturing</w:t>
      </w:r>
      <w:r w:rsidRPr="00FD0348">
        <w:t xml:space="preserve"> </w:t>
      </w:r>
      <w:r w:rsidR="0048046E" w:rsidRPr="00FD0348">
        <w:t>negative earnings surprise avoidance</w:t>
      </w:r>
      <w:r w:rsidRPr="00FD0348">
        <w:t xml:space="preserve"> </w:t>
      </w:r>
      <w:r w:rsidR="00D54DB5" w:rsidRPr="00FD0348">
        <w:t xml:space="preserve">suggests that larger audit committees significantly (B = -.294, </w:t>
      </w:r>
      <w:r w:rsidR="00D54DB5" w:rsidRPr="00FD0348">
        <w:rPr>
          <w:i/>
        </w:rPr>
        <w:t>p</w:t>
      </w:r>
      <w:r w:rsidR="00D54DB5" w:rsidRPr="00FD0348">
        <w:t xml:space="preserve"> = .008) increases the likelihood of higher earnings quality. The result contradicts my expectation, </w:t>
      </w:r>
      <w:r w:rsidR="00741178" w:rsidRPr="00FD0348">
        <w:t>given that</w:t>
      </w:r>
      <w:r w:rsidR="00D54DB5" w:rsidRPr="00FD0348">
        <w:t xml:space="preserve"> audit committees </w:t>
      </w:r>
      <w:r w:rsidR="00A146F5" w:rsidRPr="00FD0348">
        <w:t>should</w:t>
      </w:r>
      <w:r w:rsidR="00D54DB5" w:rsidRPr="00FD0348">
        <w:t xml:space="preserve"> have higher decision making – and coordination costs when audit committees become larger (</w:t>
      </w:r>
      <w:proofErr w:type="spellStart"/>
      <w:r w:rsidR="00D54DB5" w:rsidRPr="00FD0348">
        <w:t>Yermack</w:t>
      </w:r>
      <w:proofErr w:type="spellEnd"/>
      <w:r w:rsidR="00D54DB5" w:rsidRPr="00FD0348">
        <w:t xml:space="preserve"> 1996). </w:t>
      </w:r>
      <w:r w:rsidR="00A71E29" w:rsidRPr="00FD0348">
        <w:t>However, larger audit committees have a greater chance of employing more EU</w:t>
      </w:r>
      <w:r w:rsidR="00E22EB7" w:rsidRPr="00FD0348">
        <w:t>FE</w:t>
      </w:r>
      <w:r w:rsidR="00A71E29" w:rsidRPr="00FD0348">
        <w:t xml:space="preserve"> which should increase the monitoring capability of the financial reporting – and internal control process. </w:t>
      </w:r>
      <w:r w:rsidR="00631BE9" w:rsidRPr="00FD0348">
        <w:t>In addition</w:t>
      </w:r>
      <w:r w:rsidR="00A71E29" w:rsidRPr="00FD0348">
        <w:t xml:space="preserve">, I have observed that </w:t>
      </w:r>
      <w:r w:rsidR="00B47F48" w:rsidRPr="00FD0348">
        <w:t>larger</w:t>
      </w:r>
      <w:r w:rsidR="00631BE9" w:rsidRPr="00FD0348">
        <w:t xml:space="preserve"> </w:t>
      </w:r>
      <w:r w:rsidR="00A71E29" w:rsidRPr="00FD0348">
        <w:t xml:space="preserve">audit committees </w:t>
      </w:r>
      <w:r w:rsidR="00B47F48" w:rsidRPr="00FD0348">
        <w:t xml:space="preserve">are employing a combination of </w:t>
      </w:r>
      <w:r w:rsidR="00E22EB7" w:rsidRPr="00FD0348">
        <w:t>EUFE</w:t>
      </w:r>
      <w:r w:rsidR="00B47F48" w:rsidRPr="00FD0348">
        <w:t xml:space="preserve">, lawyers and directors with expertise in the public interest entity’s industry. </w:t>
      </w:r>
      <w:r w:rsidR="00D90CB7" w:rsidRPr="00FD0348">
        <w:t xml:space="preserve">It may be the case that employing the above mentioned combination of directors </w:t>
      </w:r>
      <w:r w:rsidR="00631BE9" w:rsidRPr="00FD0348">
        <w:t xml:space="preserve">with EUFE </w:t>
      </w:r>
      <w:r w:rsidR="00D90CB7" w:rsidRPr="00FD0348">
        <w:t xml:space="preserve">will result in audit committees being more effective in their monitoring capabilities due to having greater knowledge of the public interest entity’s association in </w:t>
      </w:r>
      <w:r w:rsidR="00073109" w:rsidRPr="00FD0348">
        <w:t>a variety of</w:t>
      </w:r>
      <w:r w:rsidR="00D90CB7" w:rsidRPr="00FD0348">
        <w:t xml:space="preserve"> </w:t>
      </w:r>
      <w:r w:rsidR="002C7622" w:rsidRPr="00FD0348">
        <w:t>fields</w:t>
      </w:r>
      <w:r w:rsidR="00D90CB7" w:rsidRPr="00FD0348">
        <w:t xml:space="preserve">. </w:t>
      </w:r>
      <w:r w:rsidR="002C7622" w:rsidRPr="00FD0348">
        <w:t xml:space="preserve">Therefore, my results </w:t>
      </w:r>
      <w:r w:rsidR="000830EE" w:rsidRPr="00FD0348">
        <w:t>may be</w:t>
      </w:r>
      <w:r w:rsidR="002C7622" w:rsidRPr="00FD0348">
        <w:t xml:space="preserve"> suggesting that employing a larger audit committee</w:t>
      </w:r>
      <w:r w:rsidR="000830EE" w:rsidRPr="00FD0348">
        <w:t xml:space="preserve"> with various expertise fields</w:t>
      </w:r>
      <w:r w:rsidR="002C7622" w:rsidRPr="00FD0348">
        <w:t xml:space="preserve"> inc</w:t>
      </w:r>
      <w:r w:rsidR="00AE6B63" w:rsidRPr="00FD0348">
        <w:t>reases the likelihood of</w:t>
      </w:r>
      <w:r w:rsidR="002C7622" w:rsidRPr="00FD0348">
        <w:t xml:space="preserve"> </w:t>
      </w:r>
      <w:r w:rsidR="00AE6B63" w:rsidRPr="00FD0348">
        <w:t xml:space="preserve">higher </w:t>
      </w:r>
      <w:r w:rsidR="002C7622" w:rsidRPr="00FD0348">
        <w:t>earnings quality.</w:t>
      </w:r>
      <w:r w:rsidR="000830EE" w:rsidRPr="00FD0348">
        <w:t xml:space="preserve"> </w:t>
      </w:r>
    </w:p>
    <w:p w:rsidR="0038097D" w:rsidRPr="00FD0348" w:rsidRDefault="0080455C" w:rsidP="00470966">
      <w:pPr>
        <w:tabs>
          <w:tab w:val="left" w:pos="-2430"/>
        </w:tabs>
        <w:ind w:right="27"/>
      </w:pPr>
      <w:r w:rsidRPr="00FD0348">
        <w:t>P</w:t>
      </w:r>
      <w:r w:rsidR="00D54DB5" w:rsidRPr="00FD0348">
        <w:t xml:space="preserve">rior empirical research </w:t>
      </w:r>
      <w:r w:rsidRPr="00FD0348">
        <w:t>(</w:t>
      </w:r>
      <w:r w:rsidR="00D54DB5" w:rsidRPr="00FD0348">
        <w:t xml:space="preserve">McDaniel et al. 2002; </w:t>
      </w:r>
      <w:proofErr w:type="spellStart"/>
      <w:r w:rsidR="00D54DB5" w:rsidRPr="00FD0348">
        <w:t>Xie</w:t>
      </w:r>
      <w:proofErr w:type="spellEnd"/>
      <w:r w:rsidR="00D54DB5" w:rsidRPr="00FD0348">
        <w:t xml:space="preserve"> et al. 2003; </w:t>
      </w:r>
      <w:proofErr w:type="spellStart"/>
      <w:r w:rsidR="00D54DB5" w:rsidRPr="00FD0348">
        <w:t>Carcello</w:t>
      </w:r>
      <w:proofErr w:type="spellEnd"/>
      <w:r w:rsidR="00D54DB5" w:rsidRPr="00FD0348">
        <w:t xml:space="preserve"> and Hollingsworth &amp; Neal 2006</w:t>
      </w:r>
      <w:r w:rsidRPr="00FD0348">
        <w:t>)</w:t>
      </w:r>
      <w:r w:rsidR="00D54DB5" w:rsidRPr="00FD0348">
        <w:t xml:space="preserve"> suggest</w:t>
      </w:r>
      <w:r w:rsidRPr="00FD0348">
        <w:t>s</w:t>
      </w:r>
      <w:r w:rsidR="00D54DB5" w:rsidRPr="00FD0348">
        <w:t xml:space="preserve"> that the presence of independent financial </w:t>
      </w:r>
      <w:r w:rsidRPr="00FD0348">
        <w:t xml:space="preserve">experts </w:t>
      </w:r>
      <w:r w:rsidR="00D54DB5" w:rsidRPr="00FD0348">
        <w:t xml:space="preserve">on the audit committee is </w:t>
      </w:r>
      <w:r w:rsidRPr="00FD0348">
        <w:t xml:space="preserve">positively </w:t>
      </w:r>
      <w:r w:rsidR="00D54DB5" w:rsidRPr="00FD0348">
        <w:t xml:space="preserve">related to higher earnings quality. </w:t>
      </w:r>
      <w:r w:rsidRPr="00FD0348">
        <w:t xml:space="preserve">However, </w:t>
      </w:r>
      <w:r w:rsidR="00CC0357" w:rsidRPr="00FD0348">
        <w:t>the</w:t>
      </w:r>
      <w:r w:rsidR="00D54DB5" w:rsidRPr="00FD0348">
        <w:t xml:space="preserve"> </w:t>
      </w:r>
      <w:r w:rsidRPr="00FD0348">
        <w:t xml:space="preserve">results </w:t>
      </w:r>
      <w:r w:rsidR="0038097D" w:rsidRPr="00FD0348">
        <w:t xml:space="preserve">from the model </w:t>
      </w:r>
      <w:r w:rsidR="00B722DE" w:rsidRPr="00FD0348">
        <w:t>capturing</w:t>
      </w:r>
      <w:r w:rsidR="0038097D" w:rsidRPr="00FD0348">
        <w:t xml:space="preserve"> </w:t>
      </w:r>
      <w:r w:rsidR="0048046E" w:rsidRPr="00FD0348">
        <w:t>negative earnings surprise avoidance</w:t>
      </w:r>
      <w:r w:rsidR="0038097D" w:rsidRPr="00FD0348">
        <w:t xml:space="preserve"> suggest</w:t>
      </w:r>
      <w:r w:rsidR="00F42F0B" w:rsidRPr="00FD0348">
        <w:t>s</w:t>
      </w:r>
      <w:r w:rsidR="0038097D" w:rsidRPr="00FD0348">
        <w:t xml:space="preserve"> that the </w:t>
      </w:r>
      <w:r w:rsidR="00C30FD2" w:rsidRPr="00FD0348">
        <w:t xml:space="preserve">total number of </w:t>
      </w:r>
      <w:r w:rsidR="00E22EB7" w:rsidRPr="00FD0348">
        <w:t>EUFE</w:t>
      </w:r>
      <w:r w:rsidR="00C30FD2" w:rsidRPr="00FD0348">
        <w:t xml:space="preserve"> serving on the audit committee significantly decrease</w:t>
      </w:r>
      <w:r w:rsidR="00D54DB5" w:rsidRPr="00FD0348">
        <w:t>s</w:t>
      </w:r>
      <w:r w:rsidR="00844004" w:rsidRPr="00FD0348">
        <w:t xml:space="preserve"> the likelihood of higher earnings quality</w:t>
      </w:r>
      <w:r w:rsidR="0038097D" w:rsidRPr="00FD0348">
        <w:t xml:space="preserve">. </w:t>
      </w:r>
      <w:r w:rsidR="00FF421D" w:rsidRPr="00FD0348">
        <w:t xml:space="preserve">The </w:t>
      </w:r>
      <w:r w:rsidR="00D54DB5" w:rsidRPr="00FD0348">
        <w:t xml:space="preserve">overall </w:t>
      </w:r>
      <w:r w:rsidR="00FF421D" w:rsidRPr="00FD0348">
        <w:t xml:space="preserve">results </w:t>
      </w:r>
      <w:r w:rsidR="0054722E" w:rsidRPr="00FD0348">
        <w:t xml:space="preserve">remain </w:t>
      </w:r>
      <w:r w:rsidR="00FF421D" w:rsidRPr="00FD0348">
        <w:t xml:space="preserve">very similar when I alter total number of </w:t>
      </w:r>
      <w:r w:rsidR="00E22EB7" w:rsidRPr="00FD0348">
        <w:t>EUFE</w:t>
      </w:r>
      <w:r w:rsidR="00FF421D" w:rsidRPr="00FD0348">
        <w:t xml:space="preserve"> serving on the audit committee </w:t>
      </w:r>
      <w:r w:rsidR="006A19E2" w:rsidRPr="00FD0348">
        <w:t xml:space="preserve">as reported in table 5 </w:t>
      </w:r>
      <w:r w:rsidR="00FF421D" w:rsidRPr="00FD0348">
        <w:t xml:space="preserve">with percentage of </w:t>
      </w:r>
      <w:r w:rsidR="00E22EB7" w:rsidRPr="00FD0348">
        <w:t>EUFE</w:t>
      </w:r>
      <w:r w:rsidR="00FF421D" w:rsidRPr="00FD0348">
        <w:t xml:space="preserve"> serving on the audit committee.</w:t>
      </w:r>
    </w:p>
    <w:p w:rsidR="00CD72F6" w:rsidRPr="00FD0348" w:rsidRDefault="004B2D43" w:rsidP="00470966">
      <w:pPr>
        <w:tabs>
          <w:tab w:val="left" w:pos="-2430"/>
        </w:tabs>
        <w:ind w:right="27"/>
      </w:pPr>
      <w:r w:rsidRPr="00FD0348">
        <w:t xml:space="preserve">Interestingly, </w:t>
      </w:r>
      <w:r w:rsidR="00E3209B" w:rsidRPr="00FD0348">
        <w:t>table 5</w:t>
      </w:r>
      <w:r w:rsidRPr="00FD0348">
        <w:t xml:space="preserve"> suggest</w:t>
      </w:r>
      <w:r w:rsidR="00CC0357" w:rsidRPr="00FD0348">
        <w:t>s</w:t>
      </w:r>
      <w:r w:rsidRPr="00FD0348">
        <w:t xml:space="preserve"> that independency of the audit committee and the number of EUFE decreases the likelihood of higher earnings quality at the individual level, but using the combination of EUFE and independency </w:t>
      </w:r>
      <w:r w:rsidR="00FF09B0" w:rsidRPr="00FD0348">
        <w:t xml:space="preserve">as </w:t>
      </w:r>
      <w:r w:rsidRPr="00FD0348">
        <w:t xml:space="preserve">suggested by the European Commission </w:t>
      </w:r>
      <w:r w:rsidR="00FF09B0" w:rsidRPr="00FD0348">
        <w:t xml:space="preserve">(EC 2011) </w:t>
      </w:r>
      <w:r w:rsidRPr="00FD0348">
        <w:t>increases the likelihood of reporting higher earnings quality.</w:t>
      </w:r>
      <w:r w:rsidR="00E3209B" w:rsidRPr="00FD0348">
        <w:t xml:space="preserve"> </w:t>
      </w:r>
      <w:r w:rsidR="00CD72F6" w:rsidRPr="00FD0348">
        <w:t>It may be the case that the audit reform dummy in my equation is jointly explaining the effects of independency and financial expert on the likelihood of low earnings quality, thus giving contradicting results at the individual level for independency, # EUFE, #EUFE-Auditing and # EUFE-Accounting.</w:t>
      </w:r>
    </w:p>
    <w:p w:rsidR="00F74414" w:rsidRPr="00FD0348" w:rsidRDefault="00AB6724" w:rsidP="00470966">
      <w:pPr>
        <w:ind w:right="27"/>
      </w:pPr>
      <w:r w:rsidRPr="00FD0348">
        <w:t>Finally, among the control variables the litigation risk dummy and the public interest entity’s corporate governance score have a significant positive effect on the likelihood of avoiding earnings surprises.</w:t>
      </w:r>
      <w:r w:rsidR="0038097D" w:rsidRPr="00FD0348">
        <w:t xml:space="preserve"> Whereas the loss dummy has a highly significant negative effect on the model capturing the likelihood of small earnings increases.</w:t>
      </w:r>
      <w:r w:rsidR="000268F4" w:rsidRPr="00FD0348">
        <w:t xml:space="preserve"> </w:t>
      </w:r>
      <w:r w:rsidR="002C51C9" w:rsidRPr="00FD0348">
        <w:t xml:space="preserve">The overall </w:t>
      </w:r>
      <w:r w:rsidR="006A19E2" w:rsidRPr="00FD0348">
        <w:t>results differ</w:t>
      </w:r>
      <w:r w:rsidR="002C51C9" w:rsidRPr="00FD0348">
        <w:t xml:space="preserve"> for both models when I alter the </w:t>
      </w:r>
      <w:r w:rsidR="002C51C9" w:rsidRPr="00FD0348">
        <w:lastRenderedPageBreak/>
        <w:t xml:space="preserve">proxy for </w:t>
      </w:r>
      <w:r w:rsidR="00A146F5" w:rsidRPr="00FD0348">
        <w:t>e</w:t>
      </w:r>
      <w:r w:rsidR="002C51C9" w:rsidRPr="00FD0348">
        <w:t xml:space="preserve">ntity size </w:t>
      </w:r>
      <w:r w:rsidR="006A19E2" w:rsidRPr="00FD0348">
        <w:t xml:space="preserve">from </w:t>
      </w:r>
      <w:r w:rsidR="00216EDB" w:rsidRPr="00FD0348">
        <w:t>l</w:t>
      </w:r>
      <w:r w:rsidR="002C51C9" w:rsidRPr="00FD0348">
        <w:t xml:space="preserve">og market value to </w:t>
      </w:r>
      <w:r w:rsidR="00216EDB" w:rsidRPr="00FD0348">
        <w:t>l</w:t>
      </w:r>
      <w:r w:rsidR="002C51C9" w:rsidRPr="00FD0348">
        <w:t xml:space="preserve">og sales and </w:t>
      </w:r>
      <w:r w:rsidR="00CC0357" w:rsidRPr="00FD0348">
        <w:t xml:space="preserve">log </w:t>
      </w:r>
      <w:r w:rsidR="002C51C9" w:rsidRPr="00FD0348">
        <w:t>assets.</w:t>
      </w:r>
      <w:r w:rsidR="00A604C4" w:rsidRPr="00FD0348">
        <w:t xml:space="preserve"> </w:t>
      </w:r>
      <w:r w:rsidR="00C7523A" w:rsidRPr="00FD0348">
        <w:t xml:space="preserve">The signs for entity size using log assets and </w:t>
      </w:r>
      <w:r w:rsidR="00CC0357" w:rsidRPr="00FD0348">
        <w:t xml:space="preserve">log </w:t>
      </w:r>
      <w:r w:rsidR="00C7523A" w:rsidRPr="00FD0348">
        <w:t xml:space="preserve">sales for proxies are </w:t>
      </w:r>
      <w:r w:rsidR="00A460E7" w:rsidRPr="00FD0348">
        <w:t>the contrary</w:t>
      </w:r>
      <w:r w:rsidR="00C7523A" w:rsidRPr="00FD0348">
        <w:t xml:space="preserve"> </w:t>
      </w:r>
      <w:r w:rsidR="00A460E7" w:rsidRPr="00FD0348">
        <w:t xml:space="preserve">of what is reported in table 5 </w:t>
      </w:r>
      <w:r w:rsidR="00C7523A" w:rsidRPr="00FD0348">
        <w:t>for both models</w:t>
      </w:r>
      <w:r w:rsidR="00A460E7" w:rsidRPr="00FD0348">
        <w:t xml:space="preserve"> using log market value as proxy.</w:t>
      </w:r>
      <w:r w:rsidR="00C7523A" w:rsidRPr="00FD0348">
        <w:t xml:space="preserve"> </w:t>
      </w:r>
      <w:r w:rsidR="00A73A87" w:rsidRPr="00FD0348">
        <w:t>T</w:t>
      </w:r>
      <w:r w:rsidR="000D134A" w:rsidRPr="00FD0348">
        <w:t xml:space="preserve">he </w:t>
      </w:r>
      <w:r w:rsidR="00A73A87" w:rsidRPr="00FD0348">
        <w:t>result using entity size proxied by log sales does</w:t>
      </w:r>
      <w:r w:rsidR="000D134A" w:rsidRPr="00FD0348">
        <w:t xml:space="preserve"> provide consistent results for </w:t>
      </w:r>
      <w:r w:rsidR="00D75EBB" w:rsidRPr="00FD0348">
        <w:t>the main hypothesis</w:t>
      </w:r>
      <w:r w:rsidR="000D134A" w:rsidRPr="00FD0348">
        <w:t xml:space="preserve">, </w:t>
      </w:r>
      <w:r w:rsidR="00A604C4" w:rsidRPr="00FD0348">
        <w:t xml:space="preserve">but </w:t>
      </w:r>
      <w:r w:rsidR="000D134A" w:rsidRPr="00FD0348">
        <w:t xml:space="preserve">not for </w:t>
      </w:r>
      <w:r w:rsidR="0078263D" w:rsidRPr="00FD0348">
        <w:t>the second hypothesis.</w:t>
      </w:r>
      <w:r w:rsidR="00A73A87" w:rsidRPr="00FD0348">
        <w:t xml:space="preserve"> Whereas, the main and second hypothesis does not yield consist results when </w:t>
      </w:r>
      <w:r w:rsidR="00A146F5" w:rsidRPr="00FD0348">
        <w:t xml:space="preserve">using </w:t>
      </w:r>
      <w:r w:rsidR="00A73A87" w:rsidRPr="00FD0348">
        <w:t>en</w:t>
      </w:r>
      <w:r w:rsidR="00A146F5" w:rsidRPr="00FD0348">
        <w:t>tity size proxied by log assets</w:t>
      </w:r>
      <w:r w:rsidR="00A73A87" w:rsidRPr="00FD0348">
        <w:t>.</w:t>
      </w:r>
      <w:r w:rsidR="005848A7" w:rsidRPr="00FD0348">
        <w:t xml:space="preserve"> </w:t>
      </w:r>
      <w:r w:rsidR="00E26EBB" w:rsidRPr="00FD0348">
        <w:t>By</w:t>
      </w:r>
      <w:r w:rsidR="005848A7" w:rsidRPr="00FD0348">
        <w:t xml:space="preserve"> using log sales and </w:t>
      </w:r>
      <w:r w:rsidR="00FF09B0" w:rsidRPr="00FD0348">
        <w:t xml:space="preserve">log </w:t>
      </w:r>
      <w:r w:rsidR="005848A7" w:rsidRPr="00FD0348">
        <w:t xml:space="preserve">assets to proxy </w:t>
      </w:r>
      <w:r w:rsidR="00E26EBB" w:rsidRPr="00FD0348">
        <w:t>for entity</w:t>
      </w:r>
      <w:r w:rsidR="005848A7" w:rsidRPr="00FD0348">
        <w:t xml:space="preserve"> size my sample </w:t>
      </w:r>
      <w:r w:rsidR="009D0D22" w:rsidRPr="00FD0348">
        <w:t xml:space="preserve">size </w:t>
      </w:r>
      <w:r w:rsidR="00A146F5" w:rsidRPr="00FD0348">
        <w:t xml:space="preserve">decreases, </w:t>
      </w:r>
      <w:r w:rsidR="00741178" w:rsidRPr="00FD0348">
        <w:t>given that</w:t>
      </w:r>
      <w:r w:rsidR="005848A7" w:rsidRPr="00FD0348">
        <w:t xml:space="preserve"> financial data to </w:t>
      </w:r>
      <w:r w:rsidR="00A460E7" w:rsidRPr="00FD0348">
        <w:t>compute</w:t>
      </w:r>
      <w:r w:rsidR="005848A7" w:rsidRPr="00FD0348">
        <w:t xml:space="preserve"> log sales and </w:t>
      </w:r>
      <w:r w:rsidR="00FF09B0" w:rsidRPr="00FD0348">
        <w:t xml:space="preserve">log </w:t>
      </w:r>
      <w:r w:rsidR="005848A7" w:rsidRPr="00FD0348">
        <w:t xml:space="preserve">assets are unavailable for certain public interest entities. Therefore </w:t>
      </w:r>
      <w:r w:rsidR="00E26EBB" w:rsidRPr="00FD0348">
        <w:t xml:space="preserve">using these alternative measurements of entity size are providing results that have the same sign for all audit committee characteristics variables but the betas have higher </w:t>
      </w:r>
      <w:r w:rsidR="00E26EBB" w:rsidRPr="00FD0348">
        <w:rPr>
          <w:i/>
        </w:rPr>
        <w:t>p</w:t>
      </w:r>
      <w:r w:rsidR="00E26EBB" w:rsidRPr="00FD0348">
        <w:t xml:space="preserve">-values due to the lower sample size </w:t>
      </w:r>
      <w:r w:rsidR="009D0D22" w:rsidRPr="00FD0348">
        <w:t xml:space="preserve">causing </w:t>
      </w:r>
      <w:r w:rsidR="00E26EBB" w:rsidRPr="00FD0348">
        <w:t>a</w:t>
      </w:r>
      <w:r w:rsidR="009D0D22" w:rsidRPr="00FD0348">
        <w:t xml:space="preserve"> </w:t>
      </w:r>
      <w:r w:rsidR="00C415AE" w:rsidRPr="00FD0348">
        <w:t>different</w:t>
      </w:r>
      <w:r w:rsidR="009D0D22" w:rsidRPr="00FD0348">
        <w:t xml:space="preserve"> set </w:t>
      </w:r>
      <w:r w:rsidR="00E26EBB" w:rsidRPr="00FD0348">
        <w:t>of classi</w:t>
      </w:r>
      <w:r w:rsidR="009D0D22" w:rsidRPr="00FD0348">
        <w:t xml:space="preserve">fications </w:t>
      </w:r>
      <w:r w:rsidR="00E26EBB" w:rsidRPr="00FD0348">
        <w:t xml:space="preserve">for </w:t>
      </w:r>
      <w:r w:rsidR="009D0D22" w:rsidRPr="00FD0348">
        <w:t xml:space="preserve">the dependent variable measuring </w:t>
      </w:r>
      <w:r w:rsidR="00E26EBB" w:rsidRPr="00FD0348">
        <w:t>lower earnings quality.</w:t>
      </w:r>
      <w:r w:rsidR="005848A7" w:rsidRPr="00FD0348">
        <w:t xml:space="preserve"> </w:t>
      </w:r>
      <w:r w:rsidR="00BD5FB7" w:rsidRPr="00FD0348">
        <w:t xml:space="preserve">Furthermore, DATASTREAM provides annual data for quarterly data on assets and sales, while quarterly data </w:t>
      </w:r>
      <w:r w:rsidR="007C766A" w:rsidRPr="00FD0348">
        <w:t xml:space="preserve">was </w:t>
      </w:r>
      <w:r w:rsidR="00BD5FB7" w:rsidRPr="00FD0348">
        <w:t xml:space="preserve">provided </w:t>
      </w:r>
      <w:r w:rsidR="00A460E7" w:rsidRPr="00FD0348">
        <w:t>for</w:t>
      </w:r>
      <w:r w:rsidR="00BD5FB7" w:rsidRPr="00FD0348">
        <w:t xml:space="preserve"> market value. Therefore the </w:t>
      </w:r>
      <w:r w:rsidR="00D10F3F" w:rsidRPr="00FD0348">
        <w:t xml:space="preserve">log </w:t>
      </w:r>
      <w:r w:rsidR="00BD5FB7" w:rsidRPr="00FD0348">
        <w:t xml:space="preserve">entity size </w:t>
      </w:r>
      <w:r w:rsidR="00D10F3F" w:rsidRPr="00FD0348">
        <w:t xml:space="preserve">outcome </w:t>
      </w:r>
      <w:r w:rsidR="00BD5FB7" w:rsidRPr="00FD0348">
        <w:t xml:space="preserve">is the same for the public interest entities that have more than one observation in a reporting period </w:t>
      </w:r>
      <w:r w:rsidR="00A460E7" w:rsidRPr="00FD0348">
        <w:t xml:space="preserve">for the model capturing </w:t>
      </w:r>
      <w:r w:rsidR="0048046E" w:rsidRPr="00FD0348">
        <w:t>negative earnings surprise avoidance</w:t>
      </w:r>
      <w:r w:rsidR="00A460E7" w:rsidRPr="00FD0348">
        <w:t xml:space="preserve">. The use of annual data for entity size in the model capturing </w:t>
      </w:r>
      <w:r w:rsidR="0048046E" w:rsidRPr="00FD0348">
        <w:t>negative earnings surprise avoidance</w:t>
      </w:r>
      <w:r w:rsidR="00A460E7" w:rsidRPr="00FD0348">
        <w:t xml:space="preserve"> might be </w:t>
      </w:r>
      <w:r w:rsidR="00BD5FB7" w:rsidRPr="00FD0348">
        <w:t>caus</w:t>
      </w:r>
      <w:r w:rsidR="00D10F3F" w:rsidRPr="00FD0348">
        <w:t>ing</w:t>
      </w:r>
      <w:r w:rsidR="00A460E7" w:rsidRPr="00FD0348">
        <w:t xml:space="preserve"> </w:t>
      </w:r>
      <w:r w:rsidR="00BD5FB7" w:rsidRPr="00FD0348">
        <w:t xml:space="preserve">the sign of entity size </w:t>
      </w:r>
      <w:r w:rsidR="00A460E7" w:rsidRPr="00FD0348">
        <w:t xml:space="preserve">proxied by log assets and </w:t>
      </w:r>
      <w:r w:rsidR="00FF09B0" w:rsidRPr="00FD0348">
        <w:t xml:space="preserve">log </w:t>
      </w:r>
      <w:r w:rsidR="00A460E7" w:rsidRPr="00FD0348">
        <w:t xml:space="preserve">sales </w:t>
      </w:r>
      <w:r w:rsidR="00BD5FB7" w:rsidRPr="00FD0348">
        <w:t xml:space="preserve">to be the </w:t>
      </w:r>
      <w:r w:rsidR="00D10F3F" w:rsidRPr="00FD0348">
        <w:t>contrary of entity size proxied by log market value for both models.</w:t>
      </w:r>
    </w:p>
    <w:p w:rsidR="00FF421D" w:rsidRPr="00FD0348" w:rsidRDefault="00FA2A74" w:rsidP="00470966">
      <w:pPr>
        <w:ind w:right="27"/>
      </w:pPr>
      <w:r w:rsidRPr="00FD0348">
        <w:t xml:space="preserve">A possible explanation for the difference in results between the two models is due to the variation in sample size. The model capturing </w:t>
      </w:r>
      <w:r w:rsidR="0048046E" w:rsidRPr="00FD0348">
        <w:t>negative earnings surprise avoidance</w:t>
      </w:r>
      <w:r w:rsidRPr="00FD0348">
        <w:t xml:space="preserve"> contains more observations due to studying quarterly data</w:t>
      </w:r>
      <w:r w:rsidR="00580DCF" w:rsidRPr="00FD0348">
        <w:t>. However</w:t>
      </w:r>
      <w:r w:rsidRPr="00FD0348">
        <w:t xml:space="preserve">, the model capturing small earnings increases </w:t>
      </w:r>
      <w:r w:rsidR="00AB4150" w:rsidRPr="00FD0348">
        <w:t xml:space="preserve">is </w:t>
      </w:r>
      <w:r w:rsidR="00580DCF" w:rsidRPr="00FD0348">
        <w:t>stud</w:t>
      </w:r>
      <w:r w:rsidR="00AB4150" w:rsidRPr="00FD0348">
        <w:t>ying</w:t>
      </w:r>
      <w:r w:rsidR="00580DCF" w:rsidRPr="00FD0348">
        <w:t xml:space="preserve"> a larger </w:t>
      </w:r>
      <w:r w:rsidR="00496CCF" w:rsidRPr="00FD0348">
        <w:t>sample</w:t>
      </w:r>
      <w:r w:rsidR="00580DCF" w:rsidRPr="00FD0348">
        <w:t xml:space="preserve"> of public interest entities. </w:t>
      </w:r>
      <w:r w:rsidR="00496CCF" w:rsidRPr="00FD0348">
        <w:t xml:space="preserve">Both models are using different </w:t>
      </w:r>
      <w:r w:rsidR="000268F4" w:rsidRPr="00FD0348">
        <w:t xml:space="preserve">samples and a different </w:t>
      </w:r>
      <w:r w:rsidR="00496CCF" w:rsidRPr="00FD0348">
        <w:t xml:space="preserve">set of classifications to determine </w:t>
      </w:r>
      <w:r w:rsidR="005D3220" w:rsidRPr="00FD0348">
        <w:t xml:space="preserve">the likelihood of low </w:t>
      </w:r>
      <w:r w:rsidR="00496CCF" w:rsidRPr="00FD0348">
        <w:t xml:space="preserve">earnings quality, therefore a possible explanation for the difference in results can be caused by </w:t>
      </w:r>
      <w:r w:rsidR="00786E69" w:rsidRPr="00FD0348">
        <w:t xml:space="preserve">either </w:t>
      </w:r>
      <w:r w:rsidR="000268F4" w:rsidRPr="00FD0348">
        <w:t>scaling</w:t>
      </w:r>
      <w:r w:rsidR="00786E69" w:rsidRPr="00FD0348">
        <w:t xml:space="preserve"> (The models provide inconsistent results when scaling is altered for entity size from log market value to log assets or </w:t>
      </w:r>
      <w:r w:rsidR="00517E99" w:rsidRPr="00FD0348">
        <w:t xml:space="preserve">log </w:t>
      </w:r>
      <w:r w:rsidR="00786E69" w:rsidRPr="00FD0348">
        <w:t>sales)</w:t>
      </w:r>
      <w:r w:rsidR="00496CCF" w:rsidRPr="00FD0348">
        <w:t xml:space="preserve">, sample selection, statistical issues, or a combination of these effects </w:t>
      </w:r>
      <w:r w:rsidR="000268F4" w:rsidRPr="00FD0348">
        <w:t>(</w:t>
      </w:r>
      <w:proofErr w:type="spellStart"/>
      <w:r w:rsidR="00496CCF" w:rsidRPr="00FD0348">
        <w:t>Durtschi</w:t>
      </w:r>
      <w:proofErr w:type="spellEnd"/>
      <w:r w:rsidR="00496CCF" w:rsidRPr="00FD0348">
        <w:t xml:space="preserve"> &amp; Easton 2005). </w:t>
      </w:r>
      <w:r w:rsidR="00D10F3F" w:rsidRPr="00FD0348">
        <w:t>Second</w:t>
      </w:r>
      <w:r w:rsidR="00580DCF" w:rsidRPr="00FD0348">
        <w:t>, t</w:t>
      </w:r>
      <w:r w:rsidR="00405EF0" w:rsidRPr="00FD0348">
        <w:t xml:space="preserve">he two models used to capture the likelihood of earnings quality in my </w:t>
      </w:r>
      <w:r w:rsidR="00D911A7">
        <w:t>m</w:t>
      </w:r>
      <w:r w:rsidR="003E2CA4" w:rsidRPr="00FD0348">
        <w:t>aster’s</w:t>
      </w:r>
      <w:r w:rsidR="00BB4BCE" w:rsidRPr="00FD0348">
        <w:t xml:space="preserve"> thesis</w:t>
      </w:r>
      <w:r w:rsidR="00405EF0" w:rsidRPr="00FD0348">
        <w:t xml:space="preserve"> measure </w:t>
      </w:r>
      <w:r w:rsidR="001647F7" w:rsidRPr="00FD0348">
        <w:t>dif</w:t>
      </w:r>
      <w:r w:rsidR="00FF09B0" w:rsidRPr="00FD0348">
        <w:t>ferent mechanisms that decrease</w:t>
      </w:r>
      <w:r w:rsidR="001647F7" w:rsidRPr="00FD0348">
        <w:t xml:space="preserve"> earnings quality: </w:t>
      </w:r>
      <w:r w:rsidR="00A725FF" w:rsidRPr="00FD0348">
        <w:t>m</w:t>
      </w:r>
      <w:r w:rsidR="001647F7" w:rsidRPr="00FD0348">
        <w:t>anipulating earnings upwards</w:t>
      </w:r>
      <w:r w:rsidR="00A725FF" w:rsidRPr="00FD0348">
        <w:t xml:space="preserve"> and</w:t>
      </w:r>
      <w:r w:rsidR="00AB4150" w:rsidRPr="00FD0348">
        <w:t xml:space="preserve"> </w:t>
      </w:r>
      <w:r w:rsidR="00A725FF" w:rsidRPr="00FD0348">
        <w:t>/</w:t>
      </w:r>
      <w:r w:rsidR="00AB4150" w:rsidRPr="00FD0348">
        <w:t xml:space="preserve"> </w:t>
      </w:r>
      <w:r w:rsidR="00A725FF" w:rsidRPr="00FD0348">
        <w:t>or g</w:t>
      </w:r>
      <w:r w:rsidR="00BC646D" w:rsidRPr="00FD0348">
        <w:t>uiding</w:t>
      </w:r>
      <w:r w:rsidR="001647F7" w:rsidRPr="00FD0348">
        <w:t xml:space="preserve"> analysts’ forecasts downwards.</w:t>
      </w:r>
      <w:r w:rsidR="00A725FF" w:rsidRPr="00FD0348">
        <w:t xml:space="preserve"> Therefore a possible</w:t>
      </w:r>
      <w:r w:rsidR="001647F7" w:rsidRPr="00FD0348">
        <w:t xml:space="preserve"> explanation for the difference in results between the two models </w:t>
      </w:r>
      <w:r w:rsidR="00A725FF" w:rsidRPr="00FD0348">
        <w:t>might be due to</w:t>
      </w:r>
      <w:r w:rsidR="001647F7" w:rsidRPr="00FD0348">
        <w:t xml:space="preserve"> </w:t>
      </w:r>
      <w:r w:rsidR="00A725FF" w:rsidRPr="00FD0348">
        <w:t xml:space="preserve">management’s desire to </w:t>
      </w:r>
      <w:r w:rsidR="0034139F" w:rsidRPr="00FD0348">
        <w:t xml:space="preserve">meet analysts’ expectation </w:t>
      </w:r>
      <w:r w:rsidR="00A725FF" w:rsidRPr="00FD0348">
        <w:t xml:space="preserve">or </w:t>
      </w:r>
      <w:r w:rsidR="00AB4150" w:rsidRPr="00FD0348">
        <w:t xml:space="preserve">the </w:t>
      </w:r>
      <w:r w:rsidR="0034139F" w:rsidRPr="00FD0348">
        <w:t xml:space="preserve">desire to </w:t>
      </w:r>
      <w:r w:rsidR="00A725FF" w:rsidRPr="00FD0348">
        <w:t xml:space="preserve">report </w:t>
      </w:r>
      <w:r w:rsidR="00B04EF5">
        <w:t>small</w:t>
      </w:r>
      <w:r w:rsidR="00A146F5" w:rsidRPr="00FD0348">
        <w:t xml:space="preserve"> earnings </w:t>
      </w:r>
      <w:r w:rsidR="00B04EF5">
        <w:t>increases</w:t>
      </w:r>
      <w:r w:rsidR="00F312D5" w:rsidRPr="00FD0348">
        <w:t>.</w:t>
      </w:r>
      <w:r w:rsidR="002B701C" w:rsidRPr="00FD0348">
        <w:t xml:space="preserve"> </w:t>
      </w:r>
      <w:r w:rsidR="0034139F" w:rsidRPr="00FD0348">
        <w:t>F</w:t>
      </w:r>
      <w:r w:rsidR="00580DCF" w:rsidRPr="00FD0348">
        <w:t>inally</w:t>
      </w:r>
      <w:r w:rsidR="0034139F" w:rsidRPr="00FD0348">
        <w:t xml:space="preserve">, </w:t>
      </w:r>
      <w:r w:rsidR="00DC06A3" w:rsidRPr="00FD0348">
        <w:t>most</w:t>
      </w:r>
      <w:r w:rsidR="00A73A87" w:rsidRPr="00FD0348">
        <w:t xml:space="preserve"> audit committee characteristics employed </w:t>
      </w:r>
      <w:r w:rsidR="00F64C96" w:rsidRPr="00FD0348">
        <w:t>for equation (1)</w:t>
      </w:r>
      <w:r w:rsidR="00A73A87" w:rsidRPr="00FD0348">
        <w:t xml:space="preserve"> </w:t>
      </w:r>
      <w:r w:rsidR="002F5A24" w:rsidRPr="00FD0348">
        <w:t>are significantly correlated with one another</w:t>
      </w:r>
      <w:r w:rsidR="00DC06A3" w:rsidRPr="00FD0348">
        <w:t>, which can lead to insignificant results for audit committee characteristics</w:t>
      </w:r>
      <w:r w:rsidR="00AB4150" w:rsidRPr="00FD0348">
        <w:t xml:space="preserve"> at the individual level</w:t>
      </w:r>
      <w:r w:rsidR="00DC06A3" w:rsidRPr="00FD0348">
        <w:t>. However, the model</w:t>
      </w:r>
      <w:r w:rsidR="00AB4150" w:rsidRPr="00FD0348">
        <w:t>s</w:t>
      </w:r>
      <w:r w:rsidR="00DC06A3" w:rsidRPr="00FD0348">
        <w:t xml:space="preserve"> </w:t>
      </w:r>
      <w:r w:rsidR="00D10F3F" w:rsidRPr="00FD0348">
        <w:t>utilizing</w:t>
      </w:r>
      <w:r w:rsidR="00AB4150" w:rsidRPr="00FD0348">
        <w:t xml:space="preserve"> the audit committee char</w:t>
      </w:r>
      <w:r w:rsidR="00DC06A3" w:rsidRPr="00FD0348">
        <w:t>a</w:t>
      </w:r>
      <w:r w:rsidR="00AB4150" w:rsidRPr="00FD0348">
        <w:t xml:space="preserve">cteristics and control variables are </w:t>
      </w:r>
      <w:r w:rsidR="007646DF" w:rsidRPr="00FD0348">
        <w:t>jointly explaining</w:t>
      </w:r>
      <w:r w:rsidR="00DC06A3" w:rsidRPr="00FD0348">
        <w:t xml:space="preserve"> the likelihood of</w:t>
      </w:r>
      <w:r w:rsidR="00F64C96" w:rsidRPr="00FD0348">
        <w:t xml:space="preserve"> the </w:t>
      </w:r>
      <w:r w:rsidR="00AB4150" w:rsidRPr="00FD0348">
        <w:t xml:space="preserve">low </w:t>
      </w:r>
      <w:r w:rsidR="00F64C96" w:rsidRPr="00FD0348">
        <w:t>earnings quality at a highly statistically significant level</w:t>
      </w:r>
      <w:r w:rsidR="002377A2" w:rsidRPr="00FD0348">
        <w:t>.</w:t>
      </w:r>
    </w:p>
    <w:p w:rsidR="001A2B08" w:rsidRDefault="001A2B08">
      <w:pPr>
        <w:spacing w:before="200" w:after="200" w:line="276" w:lineRule="auto"/>
        <w:ind w:firstLine="0"/>
        <w:jc w:val="left"/>
      </w:pPr>
      <w:r>
        <w:br w:type="page"/>
      </w:r>
    </w:p>
    <w:p w:rsidR="001647F7" w:rsidRPr="00FD0348" w:rsidRDefault="00FF421D" w:rsidP="00470966">
      <w:pPr>
        <w:pStyle w:val="Heading2"/>
        <w:ind w:right="27"/>
      </w:pPr>
      <w:bookmarkStart w:id="32" w:name="_Toc364177663"/>
      <w:bookmarkStart w:id="33" w:name="_Toc364200642"/>
      <w:r w:rsidRPr="00FD0348">
        <w:lastRenderedPageBreak/>
        <w:t>Additional tests</w:t>
      </w:r>
      <w:bookmarkEnd w:id="32"/>
      <w:bookmarkEnd w:id="33"/>
    </w:p>
    <w:p w:rsidR="00DD48C4" w:rsidRPr="00FD0348" w:rsidRDefault="00556F45" w:rsidP="00470966">
      <w:pPr>
        <w:ind w:right="27"/>
      </w:pPr>
      <w:r w:rsidRPr="00FD0348">
        <w:t xml:space="preserve">In this section, I </w:t>
      </w:r>
      <w:r w:rsidR="008B2ECB" w:rsidRPr="00FD0348">
        <w:t xml:space="preserve">will discuss </w:t>
      </w:r>
      <w:r w:rsidRPr="00FD0348">
        <w:t xml:space="preserve">a number of additional tests by altering </w:t>
      </w:r>
      <w:r w:rsidR="00216F19" w:rsidRPr="00FD0348">
        <w:t xml:space="preserve">two variables of equation (1): </w:t>
      </w:r>
    </w:p>
    <w:p w:rsidR="00DD48C4" w:rsidRPr="00FD0348" w:rsidRDefault="00DD48C4" w:rsidP="00470966">
      <w:pPr>
        <w:tabs>
          <w:tab w:val="left" w:pos="-7290"/>
          <w:tab w:val="left" w:pos="8280"/>
        </w:tabs>
        <w:ind w:right="27"/>
      </w:pPr>
      <w:r w:rsidRPr="00FD0348">
        <w:t>P (1 = low earnings quality) = α +</w:t>
      </w:r>
      <w:r w:rsidR="00D911A7">
        <w:t xml:space="preserve"> </w:t>
      </w:r>
      <w:r w:rsidRPr="00FD0348">
        <w:t>β</w:t>
      </w:r>
      <w:r w:rsidRPr="00FD0348">
        <w:rPr>
          <w:vertAlign w:val="subscript"/>
        </w:rPr>
        <w:t xml:space="preserve">1 </w:t>
      </w:r>
      <w:r w:rsidRPr="00FD0348">
        <w:t>Independent dummy + β</w:t>
      </w:r>
      <w:r w:rsidRPr="00FD0348">
        <w:rPr>
          <w:vertAlign w:val="subscript"/>
        </w:rPr>
        <w:t>2</w:t>
      </w:r>
      <w:r w:rsidRPr="00FD0348">
        <w:t xml:space="preserve"> #EUFE + β</w:t>
      </w:r>
      <w:r w:rsidRPr="00FD0348">
        <w:rPr>
          <w:vertAlign w:val="subscript"/>
        </w:rPr>
        <w:t>3</w:t>
      </w:r>
      <w:r w:rsidRPr="00FD0348">
        <w:t xml:space="preserve"> AC size + </w:t>
      </w:r>
      <w:r w:rsidR="00D730C0">
        <w:br/>
      </w:r>
      <w:r w:rsidRPr="00FD0348">
        <w:t>β</w:t>
      </w:r>
      <w:r w:rsidRPr="00FD0348">
        <w:rPr>
          <w:vertAlign w:val="subscript"/>
        </w:rPr>
        <w:t>4</w:t>
      </w:r>
      <w:r w:rsidRPr="00FD0348">
        <w:t xml:space="preserve"> AC meetings + β</w:t>
      </w:r>
      <w:r w:rsidRPr="00FD0348">
        <w:rPr>
          <w:vertAlign w:val="subscript"/>
        </w:rPr>
        <w:t>5</w:t>
      </w:r>
      <w:r w:rsidRPr="00FD0348">
        <w:t xml:space="preserve"> Audit reform dummy + δ</w:t>
      </w:r>
      <w:r w:rsidRPr="00FD0348">
        <w:rPr>
          <w:vertAlign w:val="subscript"/>
        </w:rPr>
        <w:t>1</w:t>
      </w:r>
      <w:r w:rsidRPr="00FD0348">
        <w:t xml:space="preserve"> Loss dummy + δ</w:t>
      </w:r>
      <w:r w:rsidRPr="00FD0348">
        <w:rPr>
          <w:vertAlign w:val="subscript"/>
        </w:rPr>
        <w:t>2</w:t>
      </w:r>
      <w:r w:rsidRPr="00FD0348">
        <w:t xml:space="preserve"> Litigation risk dummy + </w:t>
      </w:r>
      <w:r w:rsidR="00D730C0">
        <w:br/>
      </w:r>
      <w:r w:rsidRPr="00FD0348">
        <w:t>δ</w:t>
      </w:r>
      <w:r w:rsidRPr="00FD0348">
        <w:rPr>
          <w:vertAlign w:val="subscript"/>
        </w:rPr>
        <w:t>3</w:t>
      </w:r>
      <w:r w:rsidRPr="00FD0348">
        <w:t xml:space="preserve"> Entity size (MV) + δ</w:t>
      </w:r>
      <w:r w:rsidRPr="00FD0348">
        <w:rPr>
          <w:vertAlign w:val="subscript"/>
        </w:rPr>
        <w:t>4</w:t>
      </w:r>
      <w:r w:rsidRPr="00FD0348">
        <w:t xml:space="preserve"> Entity growth + δ</w:t>
      </w:r>
      <w:r w:rsidRPr="00FD0348">
        <w:rPr>
          <w:vertAlign w:val="subscript"/>
        </w:rPr>
        <w:t>5</w:t>
      </w:r>
      <w:r w:rsidRPr="00FD0348">
        <w:t xml:space="preserve"> CGV SCORE + ε</w:t>
      </w:r>
      <w:r w:rsidR="00BB0183">
        <w:t xml:space="preserve"> </w:t>
      </w:r>
      <w:r w:rsidR="00BB0183">
        <w:tab/>
      </w:r>
      <w:r w:rsidRPr="00FD0348">
        <w:t>(1)</w:t>
      </w:r>
    </w:p>
    <w:p w:rsidR="00DD48C4" w:rsidRPr="00FD0348" w:rsidRDefault="00DD48C4" w:rsidP="00470966">
      <w:pPr>
        <w:ind w:right="27"/>
      </w:pPr>
    </w:p>
    <w:p w:rsidR="001E04A1" w:rsidRPr="00FD0348" w:rsidRDefault="00DD48C4" w:rsidP="00470966">
      <w:pPr>
        <w:ind w:right="27"/>
      </w:pPr>
      <w:r w:rsidRPr="00FD0348">
        <w:t xml:space="preserve">#EUFE </w:t>
      </w:r>
      <w:r w:rsidR="00216F19" w:rsidRPr="00FD0348">
        <w:t>will be split into #EUFE-Auditing and #EUFE-Accounting</w:t>
      </w:r>
      <w:r w:rsidRPr="00FD0348">
        <w:t>, while</w:t>
      </w:r>
      <w:r w:rsidR="00216F19" w:rsidRPr="00FD0348">
        <w:t xml:space="preserve"> two additional proxies, log assets and log sales, </w:t>
      </w:r>
      <w:r w:rsidRPr="00FD0348">
        <w:t xml:space="preserve">will be used </w:t>
      </w:r>
      <w:r w:rsidR="00216F19" w:rsidRPr="00FD0348">
        <w:t>to measure entity size.</w:t>
      </w:r>
      <w:r w:rsidRPr="00FD0348">
        <w:t xml:space="preserve"> </w:t>
      </w:r>
      <w:r w:rsidR="008B2ECB" w:rsidRPr="00FD0348">
        <w:t>Therefore, transforming equation (1) into t</w:t>
      </w:r>
      <w:r w:rsidRPr="00FD0348">
        <w:t>he</w:t>
      </w:r>
      <w:r w:rsidR="008B2ECB" w:rsidRPr="00FD0348">
        <w:t xml:space="preserve"> following equation:</w:t>
      </w:r>
    </w:p>
    <w:p w:rsidR="00556F45" w:rsidRDefault="00556F45" w:rsidP="00470966">
      <w:pPr>
        <w:tabs>
          <w:tab w:val="left" w:pos="-7290"/>
          <w:tab w:val="left" w:pos="0"/>
          <w:tab w:val="left" w:pos="8370"/>
        </w:tabs>
        <w:ind w:right="27"/>
      </w:pPr>
      <w:r w:rsidRPr="00FD0348">
        <w:t>P (1 = low earnings quality) = α +</w:t>
      </w:r>
      <w:r w:rsidR="00D911A7">
        <w:t xml:space="preserve"> </w:t>
      </w:r>
      <w:r w:rsidRPr="00FD0348">
        <w:t>β</w:t>
      </w:r>
      <w:r w:rsidRPr="00FD0348">
        <w:rPr>
          <w:vertAlign w:val="subscript"/>
        </w:rPr>
        <w:t xml:space="preserve">1 </w:t>
      </w:r>
      <w:r w:rsidRPr="00FD0348">
        <w:t>Independent dummy + β</w:t>
      </w:r>
      <w:r w:rsidRPr="00FD0348">
        <w:rPr>
          <w:vertAlign w:val="subscript"/>
        </w:rPr>
        <w:t>2</w:t>
      </w:r>
      <w:r w:rsidRPr="00FD0348">
        <w:t xml:space="preserve"> #</w:t>
      </w:r>
      <w:r w:rsidR="007A4D09" w:rsidRPr="00FD0348">
        <w:t>EUFE-Auditing</w:t>
      </w:r>
      <w:r w:rsidRPr="00FD0348">
        <w:t xml:space="preserve"> + </w:t>
      </w:r>
      <w:r w:rsidR="00183C81" w:rsidRPr="00FD0348">
        <w:br/>
      </w:r>
      <w:r w:rsidRPr="00FD0348">
        <w:t>β</w:t>
      </w:r>
      <w:r w:rsidRPr="00FD0348">
        <w:rPr>
          <w:vertAlign w:val="subscript"/>
        </w:rPr>
        <w:t>3</w:t>
      </w:r>
      <w:r w:rsidRPr="00FD0348">
        <w:t xml:space="preserve"> #</w:t>
      </w:r>
      <w:r w:rsidR="007A4D09" w:rsidRPr="00FD0348">
        <w:t>EUFE-Accounting</w:t>
      </w:r>
      <w:r w:rsidRPr="00FD0348">
        <w:t xml:space="preserve"> +</w:t>
      </w:r>
      <w:r w:rsidR="00183C81" w:rsidRPr="00FD0348">
        <w:t xml:space="preserve"> </w:t>
      </w:r>
      <w:r w:rsidRPr="00FD0348">
        <w:t>β</w:t>
      </w:r>
      <w:r w:rsidRPr="00FD0348">
        <w:rPr>
          <w:vertAlign w:val="subscript"/>
        </w:rPr>
        <w:t>4</w:t>
      </w:r>
      <w:r w:rsidRPr="00FD0348">
        <w:t xml:space="preserve"> AC size +</w:t>
      </w:r>
      <w:r w:rsidR="00183C81" w:rsidRPr="00FD0348">
        <w:t xml:space="preserve"> </w:t>
      </w:r>
      <w:r w:rsidRPr="00FD0348">
        <w:t>β</w:t>
      </w:r>
      <w:r w:rsidRPr="00FD0348">
        <w:rPr>
          <w:vertAlign w:val="subscript"/>
        </w:rPr>
        <w:t>5</w:t>
      </w:r>
      <w:r w:rsidRPr="00FD0348">
        <w:t xml:space="preserve"> AC meetings + β</w:t>
      </w:r>
      <w:r w:rsidRPr="00FD0348">
        <w:rPr>
          <w:vertAlign w:val="subscript"/>
        </w:rPr>
        <w:t>6</w:t>
      </w:r>
      <w:r w:rsidRPr="00FD0348">
        <w:t xml:space="preserve"> Audit reform dummy + </w:t>
      </w:r>
      <w:r w:rsidR="00183C81" w:rsidRPr="00FD0348">
        <w:br/>
      </w:r>
      <w:r w:rsidRPr="00FD0348">
        <w:t>δ</w:t>
      </w:r>
      <w:r w:rsidRPr="00FD0348">
        <w:rPr>
          <w:vertAlign w:val="subscript"/>
        </w:rPr>
        <w:t>1</w:t>
      </w:r>
      <w:r w:rsidRPr="00FD0348">
        <w:t xml:space="preserve"> Loss dummy + δ</w:t>
      </w:r>
      <w:r w:rsidRPr="00FD0348">
        <w:rPr>
          <w:vertAlign w:val="subscript"/>
        </w:rPr>
        <w:t>2</w:t>
      </w:r>
      <w:r w:rsidRPr="00FD0348">
        <w:t xml:space="preserve"> Litigation risk dummy + δ</w:t>
      </w:r>
      <w:r w:rsidRPr="00FD0348">
        <w:rPr>
          <w:vertAlign w:val="subscript"/>
        </w:rPr>
        <w:t>3</w:t>
      </w:r>
      <w:r w:rsidRPr="00FD0348">
        <w:t xml:space="preserve"> Entity size (</w:t>
      </w:r>
      <w:r w:rsidR="00BF3D63" w:rsidRPr="00FD0348">
        <w:t xml:space="preserve">Log </w:t>
      </w:r>
      <w:r w:rsidR="00AC3CA8" w:rsidRPr="00FD0348">
        <w:t>a</w:t>
      </w:r>
      <w:r w:rsidRPr="00FD0348">
        <w:t>ssets</w:t>
      </w:r>
      <w:r w:rsidR="00E3209B" w:rsidRPr="00FD0348">
        <w:t xml:space="preserve">, </w:t>
      </w:r>
      <w:r w:rsidR="00DD48C4" w:rsidRPr="00FD0348">
        <w:t xml:space="preserve">log </w:t>
      </w:r>
      <w:r w:rsidR="00E3209B" w:rsidRPr="00FD0348">
        <w:t xml:space="preserve">sales &amp; </w:t>
      </w:r>
      <w:r w:rsidR="00DD48C4" w:rsidRPr="00FD0348">
        <w:t xml:space="preserve">log </w:t>
      </w:r>
      <w:r w:rsidR="00E3209B" w:rsidRPr="00FD0348">
        <w:t>MV</w:t>
      </w:r>
      <w:r w:rsidR="000160FB" w:rsidRPr="00FD0348">
        <w:t>)</w:t>
      </w:r>
      <w:r w:rsidRPr="00FD0348">
        <w:t xml:space="preserve"> +</w:t>
      </w:r>
      <w:r w:rsidR="00E3209B" w:rsidRPr="00FD0348">
        <w:br/>
      </w:r>
      <w:r w:rsidRPr="00FD0348">
        <w:t>δ</w:t>
      </w:r>
      <w:r w:rsidRPr="00FD0348">
        <w:rPr>
          <w:vertAlign w:val="subscript"/>
        </w:rPr>
        <w:t>4</w:t>
      </w:r>
      <w:r w:rsidRPr="00FD0348">
        <w:t xml:space="preserve"> Entity growth +</w:t>
      </w:r>
      <w:r w:rsidR="000160FB" w:rsidRPr="00FD0348">
        <w:t xml:space="preserve"> </w:t>
      </w:r>
      <w:r w:rsidRPr="00FD0348">
        <w:t>δ</w:t>
      </w:r>
      <w:r w:rsidRPr="00FD0348">
        <w:rPr>
          <w:vertAlign w:val="subscript"/>
        </w:rPr>
        <w:t>5</w:t>
      </w:r>
      <w:r w:rsidRPr="00FD0348">
        <w:t xml:space="preserve"> CGV SCORE +</w:t>
      </w:r>
      <w:r w:rsidR="00183C81" w:rsidRPr="00FD0348">
        <w:t xml:space="preserve"> </w:t>
      </w:r>
      <w:r w:rsidRPr="00FD0348">
        <w:t>ε</w:t>
      </w:r>
      <w:r w:rsidR="00183C81" w:rsidRPr="00FD0348">
        <w:tab/>
      </w:r>
      <w:r w:rsidRPr="00FD0348">
        <w:t>(2</w:t>
      </w:r>
      <w:r w:rsidR="00831797" w:rsidRPr="00FD0348">
        <w:t>)</w:t>
      </w:r>
    </w:p>
    <w:p w:rsidR="001A2B08" w:rsidRDefault="001A2B08" w:rsidP="00470966">
      <w:pPr>
        <w:ind w:right="27" w:firstLine="216"/>
      </w:pPr>
    </w:p>
    <w:p w:rsidR="00496CCF" w:rsidRPr="00FD0348" w:rsidRDefault="00BF3D63" w:rsidP="00470966">
      <w:pPr>
        <w:ind w:right="27" w:firstLine="216"/>
      </w:pPr>
      <w:r w:rsidRPr="00FD0348">
        <w:t xml:space="preserve">I estimate the relation among the audit committee characteristics and control variables with the likelihood of </w:t>
      </w:r>
      <w:r w:rsidR="0048046E" w:rsidRPr="00FD0348">
        <w:t>negative earnings surprise avoidance</w:t>
      </w:r>
      <w:r w:rsidRPr="00FD0348">
        <w:t xml:space="preserve"> in a logistic regression model using equation</w:t>
      </w:r>
      <w:r w:rsidR="008B2ECB" w:rsidRPr="00FD0348">
        <w:t xml:space="preserve"> (2)</w:t>
      </w:r>
      <w:r w:rsidRPr="00FD0348">
        <w:t xml:space="preserve">. </w:t>
      </w:r>
      <w:r w:rsidR="00B96A4F" w:rsidRPr="00FD0348">
        <w:t>The results are presented in t</w:t>
      </w:r>
      <w:r w:rsidRPr="00FD0348">
        <w:t>able 6.</w:t>
      </w:r>
    </w:p>
    <w:p w:rsidR="00E22EB7" w:rsidRPr="00FD0348" w:rsidRDefault="00E22EB7" w:rsidP="00470966">
      <w:pPr>
        <w:ind w:right="27"/>
      </w:pPr>
      <w:r w:rsidRPr="00FD0348">
        <w:t xml:space="preserve">The models on </w:t>
      </w:r>
      <w:r w:rsidR="0048046E" w:rsidRPr="00FD0348">
        <w:t>negative earnings surprise avoidance</w:t>
      </w:r>
      <w:r w:rsidRPr="00FD0348">
        <w:t xml:space="preserve"> are all highly significant at the one percent level, as signified by Chi-Square statistic. Furthermore the models on </w:t>
      </w:r>
      <w:r w:rsidR="0048046E" w:rsidRPr="00FD0348">
        <w:t>negative earnings surprise avoidance</w:t>
      </w:r>
      <w:r w:rsidRPr="00FD0348">
        <w:t xml:space="preserve"> have predictive capacity between 0.151 and 0.157, signified by </w:t>
      </w:r>
      <w:proofErr w:type="spellStart"/>
      <w:r w:rsidRPr="00FD0348">
        <w:t>Nagelkerke’s</w:t>
      </w:r>
      <w:proofErr w:type="spellEnd"/>
      <w:r w:rsidRPr="00FD0348">
        <w:t xml:space="preserve"> R-Square. </w:t>
      </w:r>
    </w:p>
    <w:p w:rsidR="00C364C3" w:rsidRPr="00FD0348" w:rsidRDefault="00C364C3" w:rsidP="00470966">
      <w:pPr>
        <w:tabs>
          <w:tab w:val="left" w:pos="-2430"/>
        </w:tabs>
        <w:ind w:right="27"/>
      </w:pPr>
      <w:r w:rsidRPr="00FD0348">
        <w:t xml:space="preserve">For </w:t>
      </w:r>
      <w:r w:rsidR="00786E69" w:rsidRPr="00FD0348">
        <w:t>the</w:t>
      </w:r>
      <w:r w:rsidRPr="00FD0348">
        <w:t xml:space="preserve"> main hypothesis</w:t>
      </w:r>
      <w:r w:rsidR="00786E69" w:rsidRPr="00FD0348">
        <w:t xml:space="preserve"> (see audit reform dummy)</w:t>
      </w:r>
      <w:r w:rsidRPr="00FD0348">
        <w:t xml:space="preserve"> table 6 provides </w:t>
      </w:r>
      <w:r w:rsidR="00786E69" w:rsidRPr="00FD0348">
        <w:t>consistent results that meeting the European Commission’s audit committee composition and expertise requirements significantly increases</w:t>
      </w:r>
      <w:r w:rsidRPr="00FD0348">
        <w:t xml:space="preserve"> the likelihood that a public interest entity will report higher earnings quality. </w:t>
      </w:r>
    </w:p>
    <w:p w:rsidR="00C364C3" w:rsidRPr="00FD0348" w:rsidRDefault="00C364C3" w:rsidP="00470966">
      <w:pPr>
        <w:tabs>
          <w:tab w:val="left" w:pos="-2430"/>
        </w:tabs>
        <w:ind w:right="27"/>
      </w:pPr>
      <w:r w:rsidRPr="00FD0348">
        <w:t xml:space="preserve">The results for the second hypothesis are consistent with that of table 5 and prior literature suggesting that the meeting frequency increases the likelihood of higher earnings quality. However for the models using log assets and log sales for entity size the results are significant at the ten percent significance level. </w:t>
      </w:r>
    </w:p>
    <w:p w:rsidR="00C364C3" w:rsidRPr="00FD0348" w:rsidRDefault="00C364C3" w:rsidP="00470966">
      <w:pPr>
        <w:tabs>
          <w:tab w:val="left" w:pos="-2430"/>
        </w:tabs>
        <w:ind w:right="27"/>
      </w:pPr>
      <w:r w:rsidRPr="00FD0348">
        <w:t xml:space="preserve">The results from table 6 still provide contradicting results for the relation of independency with the likelihood of low earnings quality. However all three models </w:t>
      </w:r>
      <w:r w:rsidR="007C766A" w:rsidRPr="00FD0348">
        <w:t xml:space="preserve">deliver </w:t>
      </w:r>
      <w:r w:rsidRPr="00FD0348">
        <w:t>insignificant</w:t>
      </w:r>
      <w:r w:rsidR="007C766A" w:rsidRPr="00FD0348">
        <w:t xml:space="preserve"> results</w:t>
      </w:r>
      <w:r w:rsidRPr="00FD0348">
        <w:t>. The overall results from the models are very similar when I alter the independent dummy with percentage of independent / outside directors serving on the audit committee.</w:t>
      </w:r>
    </w:p>
    <w:p w:rsidR="00C364C3" w:rsidRPr="00FD0348" w:rsidRDefault="00C364C3" w:rsidP="00470966">
      <w:pPr>
        <w:tabs>
          <w:tab w:val="left" w:pos="-2430"/>
        </w:tabs>
        <w:ind w:right="27"/>
      </w:pPr>
      <w:r w:rsidRPr="00FD0348">
        <w:t>The results from the table 6 are consistent with the mo</w:t>
      </w:r>
      <w:r w:rsidR="00C82C18" w:rsidRPr="00FD0348">
        <w:t xml:space="preserve">del capturing </w:t>
      </w:r>
      <w:r w:rsidR="0048046E" w:rsidRPr="00FD0348">
        <w:t>negative earnings surprise avoidance</w:t>
      </w:r>
      <w:r w:rsidRPr="00FD0348">
        <w:t xml:space="preserve"> from table 5 suggesting that </w:t>
      </w:r>
      <w:r w:rsidR="008B2ECB" w:rsidRPr="00FD0348">
        <w:t xml:space="preserve">a </w:t>
      </w:r>
      <w:r w:rsidRPr="00FD0348">
        <w:t xml:space="preserve">larger audit committee increases the likelihood of higher </w:t>
      </w:r>
      <w:r w:rsidRPr="00FD0348">
        <w:lastRenderedPageBreak/>
        <w:t xml:space="preserve">earnings quality. Compared to being highly significant in table 5, audit committee size is still significant at the ten percent significant level for the models using </w:t>
      </w:r>
      <w:r w:rsidR="00FF09B0" w:rsidRPr="00FD0348">
        <w:t>log assets and log sales</w:t>
      </w:r>
      <w:r w:rsidRPr="00FD0348">
        <w:t xml:space="preserve"> as entity size proxy, while the model using log market value is significant at the five percent level. </w:t>
      </w:r>
    </w:p>
    <w:p w:rsidR="00BB0183" w:rsidRDefault="00C364C3" w:rsidP="00470966">
      <w:pPr>
        <w:tabs>
          <w:tab w:val="left" w:pos="-2430"/>
        </w:tabs>
        <w:ind w:right="27"/>
      </w:pPr>
      <w:r w:rsidRPr="00FD0348">
        <w:t xml:space="preserve">By </w:t>
      </w:r>
      <w:r w:rsidR="008B2ECB" w:rsidRPr="00FD0348">
        <w:t xml:space="preserve">splitting </w:t>
      </w:r>
      <w:r w:rsidRPr="00FD0348">
        <w:t>#EUFE into #</w:t>
      </w:r>
      <w:r w:rsidR="007A4D09" w:rsidRPr="00FD0348">
        <w:t>EUFE-Auditing</w:t>
      </w:r>
      <w:r w:rsidRPr="00FD0348">
        <w:t xml:space="preserve"> and #</w:t>
      </w:r>
      <w:r w:rsidR="007A4D09" w:rsidRPr="00FD0348">
        <w:t>EUFE-Accounting</w:t>
      </w:r>
      <w:r w:rsidRPr="00FD0348">
        <w:t xml:space="preserve"> the results from the models still contradict the evidence from prior empirical research (McDaniel et al. 200</w:t>
      </w:r>
      <w:r w:rsidR="008B2ECB" w:rsidRPr="00FD0348">
        <w:t xml:space="preserve">2; </w:t>
      </w:r>
      <w:proofErr w:type="spellStart"/>
      <w:r w:rsidR="008B2ECB" w:rsidRPr="00FD0348">
        <w:t>Xie</w:t>
      </w:r>
      <w:proofErr w:type="spellEnd"/>
      <w:r w:rsidR="008B2ECB" w:rsidRPr="00FD0348">
        <w:t xml:space="preserve"> et al. 2003; </w:t>
      </w:r>
      <w:proofErr w:type="spellStart"/>
      <w:r w:rsidR="008B2ECB" w:rsidRPr="00FD0348">
        <w:t>Carcello</w:t>
      </w:r>
      <w:proofErr w:type="spellEnd"/>
      <w:r w:rsidR="008B2ECB" w:rsidRPr="00FD0348">
        <w:t>,</w:t>
      </w:r>
      <w:r w:rsidRPr="00FD0348">
        <w:t xml:space="preserve"> Hollingsworth &amp; Neal 2006) suggesting that the presence of independent financial </w:t>
      </w:r>
      <w:r w:rsidR="008B2ECB" w:rsidRPr="00FD0348">
        <w:t>experts</w:t>
      </w:r>
      <w:r w:rsidRPr="00FD0348">
        <w:t xml:space="preserve"> serving on the audit committee is related to higher earnings quality. </w:t>
      </w:r>
    </w:p>
    <w:tbl>
      <w:tblPr>
        <w:tblW w:w="4554" w:type="dxa"/>
        <w:tblInd w:w="100" w:type="dxa"/>
        <w:tblLook w:val="04A0"/>
      </w:tblPr>
      <w:tblGrid>
        <w:gridCol w:w="2244"/>
        <w:gridCol w:w="770"/>
        <w:gridCol w:w="770"/>
        <w:gridCol w:w="770"/>
      </w:tblGrid>
      <w:tr w:rsidR="008B2ECB" w:rsidRPr="00FD0348" w:rsidTr="001A2B08">
        <w:trPr>
          <w:trHeight w:val="750"/>
        </w:trPr>
        <w:tc>
          <w:tcPr>
            <w:tcW w:w="4554" w:type="dxa"/>
            <w:gridSpan w:val="4"/>
            <w:tcBorders>
              <w:top w:val="nil"/>
              <w:left w:val="nil"/>
              <w:bottom w:val="nil"/>
              <w:right w:val="nil"/>
            </w:tcBorders>
            <w:shd w:val="clear" w:color="auto" w:fill="auto"/>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Table 6. Logistic regression of the relationship among audit committee characteristics and control variables with the likelihood of earnings surprise avoidance</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B</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B</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B</w:t>
            </w:r>
          </w:p>
        </w:tc>
      </w:tr>
      <w:tr w:rsidR="008B2ECB" w:rsidRPr="00FD0348" w:rsidTr="001A2B08">
        <w:trPr>
          <w:trHeight w:val="240"/>
        </w:trPr>
        <w:tc>
          <w:tcPr>
            <w:tcW w:w="2244" w:type="dxa"/>
            <w:tcBorders>
              <w:top w:val="nil"/>
              <w:left w:val="nil"/>
              <w:bottom w:val="single" w:sz="4" w:space="0" w:color="auto"/>
              <w:right w:val="nil"/>
            </w:tcBorders>
            <w:shd w:val="clear" w:color="auto" w:fill="auto"/>
            <w:noWrap/>
            <w:vAlign w:val="center"/>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Explanatory Variables</w:t>
            </w:r>
          </w:p>
        </w:tc>
        <w:tc>
          <w:tcPr>
            <w:tcW w:w="770" w:type="dxa"/>
            <w:tcBorders>
              <w:top w:val="nil"/>
              <w:left w:val="nil"/>
              <w:bottom w:val="single" w:sz="4" w:space="0" w:color="auto"/>
              <w:right w:val="nil"/>
            </w:tcBorders>
            <w:shd w:val="clear" w:color="auto" w:fill="auto"/>
            <w:noWrap/>
            <w:vAlign w:val="center"/>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w:t>
            </w:r>
            <w:r w:rsidRPr="00FD0348">
              <w:rPr>
                <w:rFonts w:ascii="Calibri" w:eastAsia="Times New Roman" w:hAnsi="Calibri" w:cs="Times New Roman"/>
                <w:i/>
                <w:iCs/>
                <w:color w:val="000000"/>
                <w:sz w:val="14"/>
                <w:szCs w:val="14"/>
                <w:lang w:bidi="ar-SA"/>
              </w:rPr>
              <w:t>p</w:t>
            </w:r>
            <w:r w:rsidRPr="00FD0348">
              <w:rPr>
                <w:rFonts w:ascii="Calibri" w:eastAsia="Times New Roman" w:hAnsi="Calibri" w:cs="Times New Roman"/>
                <w:color w:val="000000"/>
                <w:sz w:val="14"/>
                <w:szCs w:val="14"/>
                <w:lang w:bidi="ar-SA"/>
              </w:rPr>
              <w:t>-value)</w:t>
            </w:r>
          </w:p>
        </w:tc>
        <w:tc>
          <w:tcPr>
            <w:tcW w:w="770" w:type="dxa"/>
            <w:tcBorders>
              <w:top w:val="nil"/>
              <w:left w:val="nil"/>
              <w:bottom w:val="single" w:sz="4" w:space="0" w:color="auto"/>
              <w:right w:val="nil"/>
            </w:tcBorders>
            <w:shd w:val="clear" w:color="auto" w:fill="auto"/>
            <w:noWrap/>
            <w:vAlign w:val="center"/>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w:t>
            </w:r>
            <w:r w:rsidRPr="00FD0348">
              <w:rPr>
                <w:rFonts w:ascii="Calibri" w:eastAsia="Times New Roman" w:hAnsi="Calibri" w:cs="Times New Roman"/>
                <w:i/>
                <w:iCs/>
                <w:color w:val="000000"/>
                <w:sz w:val="14"/>
                <w:szCs w:val="14"/>
                <w:lang w:bidi="ar-SA"/>
              </w:rPr>
              <w:t>p</w:t>
            </w:r>
            <w:r w:rsidRPr="00FD0348">
              <w:rPr>
                <w:rFonts w:ascii="Calibri" w:eastAsia="Times New Roman" w:hAnsi="Calibri" w:cs="Times New Roman"/>
                <w:color w:val="000000"/>
                <w:sz w:val="14"/>
                <w:szCs w:val="14"/>
                <w:lang w:bidi="ar-SA"/>
              </w:rPr>
              <w:t>-value)</w:t>
            </w:r>
          </w:p>
        </w:tc>
        <w:tc>
          <w:tcPr>
            <w:tcW w:w="770" w:type="dxa"/>
            <w:tcBorders>
              <w:top w:val="nil"/>
              <w:left w:val="nil"/>
              <w:bottom w:val="single" w:sz="4" w:space="0" w:color="auto"/>
              <w:right w:val="nil"/>
            </w:tcBorders>
            <w:shd w:val="clear" w:color="auto" w:fill="auto"/>
            <w:noWrap/>
            <w:vAlign w:val="center"/>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4"/>
                <w:szCs w:val="14"/>
                <w:lang w:bidi="ar-SA"/>
              </w:rPr>
            </w:pPr>
            <w:r w:rsidRPr="00FD0348">
              <w:rPr>
                <w:rFonts w:ascii="Calibri" w:eastAsia="Times New Roman" w:hAnsi="Calibri" w:cs="Times New Roman"/>
                <w:color w:val="000000"/>
                <w:sz w:val="14"/>
                <w:szCs w:val="14"/>
                <w:lang w:bidi="ar-SA"/>
              </w:rPr>
              <w:t>(</w:t>
            </w:r>
            <w:r w:rsidRPr="00FD0348">
              <w:rPr>
                <w:rFonts w:ascii="Calibri" w:eastAsia="Times New Roman" w:hAnsi="Calibri" w:cs="Times New Roman"/>
                <w:i/>
                <w:iCs/>
                <w:color w:val="000000"/>
                <w:sz w:val="14"/>
                <w:szCs w:val="14"/>
                <w:lang w:bidi="ar-SA"/>
              </w:rPr>
              <w:t>p</w:t>
            </w:r>
            <w:r w:rsidRPr="00FD0348">
              <w:rPr>
                <w:rFonts w:ascii="Calibri" w:eastAsia="Times New Roman" w:hAnsi="Calibri" w:cs="Times New Roman"/>
                <w:color w:val="000000"/>
                <w:sz w:val="14"/>
                <w:szCs w:val="14"/>
                <w:lang w:bidi="ar-SA"/>
              </w:rPr>
              <w:t>-value)</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Intercept</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-1.785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-1.840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-6.494</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(.397)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(.331)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8B2ECB" w:rsidRPr="00FD0348" w:rsidTr="001A2B08">
        <w:trPr>
          <w:trHeight w:val="240"/>
        </w:trPr>
        <w:tc>
          <w:tcPr>
            <w:tcW w:w="4554" w:type="dxa"/>
            <w:gridSpan w:val="4"/>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Committee characteristics</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Independent dummy</w:t>
            </w:r>
            <w:r w:rsidR="00577C08" w:rsidRPr="00FD0348">
              <w:rPr>
                <w:rFonts w:ascii="Calibri" w:eastAsia="Times New Roman" w:hAnsi="Calibri" w:cs="Times New Roman"/>
                <w:color w:val="000000"/>
                <w:sz w:val="16"/>
                <w:szCs w:val="16"/>
                <w:lang w:bidi="ar-SA"/>
              </w:rPr>
              <w:t xml:space="preserve"> (H3)</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.695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.751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.672</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(.163)</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(.130)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(.183)</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EUFE </w:t>
            </w:r>
            <w:r w:rsidR="00577C08"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color w:val="000000"/>
                <w:sz w:val="16"/>
                <w:szCs w:val="16"/>
                <w:lang w:bidi="ar-SA"/>
              </w:rPr>
              <w:t xml:space="preserve"> Auditing</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.646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.635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.672</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EUFE </w:t>
            </w:r>
            <w:r w:rsidR="00577C08"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color w:val="000000"/>
                <w:sz w:val="16"/>
                <w:szCs w:val="16"/>
                <w:lang w:bidi="ar-SA"/>
              </w:rPr>
              <w:t xml:space="preserve"> Accounting</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.397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.376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.443</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(.014)</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 size</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-.192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-.283</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(.092)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(.011)</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 meetings</w:t>
            </w:r>
            <w:r w:rsidR="00577C08" w:rsidRPr="00FD0348">
              <w:rPr>
                <w:rFonts w:ascii="Calibri" w:eastAsia="Times New Roman" w:hAnsi="Calibri" w:cs="Times New Roman"/>
                <w:color w:val="000000"/>
                <w:sz w:val="16"/>
                <w:szCs w:val="16"/>
                <w:lang w:bidi="ar-SA"/>
              </w:rPr>
              <w:t xml:space="preserve"> (H2)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-.091</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(.076)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(.086)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(.034)</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Audit reform dummy</w:t>
            </w:r>
            <w:r w:rsidR="00577C08" w:rsidRPr="00FD0348">
              <w:rPr>
                <w:rFonts w:ascii="Calibri" w:eastAsia="Times New Roman" w:hAnsi="Calibri" w:cs="Times New Roman"/>
                <w:color w:val="000000"/>
                <w:sz w:val="16"/>
                <w:szCs w:val="16"/>
                <w:lang w:bidi="ar-SA"/>
              </w:rPr>
              <w:t xml:space="preserve"> (H1)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-.565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-.585</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-.697</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(.050)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(.041)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(.015)</w:t>
            </w:r>
          </w:p>
        </w:tc>
      </w:tr>
      <w:tr w:rsidR="008B2ECB" w:rsidRPr="00FD0348" w:rsidTr="001A2B08">
        <w:trPr>
          <w:trHeight w:val="240"/>
        </w:trPr>
        <w:tc>
          <w:tcPr>
            <w:tcW w:w="4554" w:type="dxa"/>
            <w:gridSpan w:val="4"/>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Control Variables</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Loss dummy</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-.244</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-.206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-.102</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(.402)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(.477)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(.728)</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Litigation risk dummy</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.724</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.751</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.521</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(.036)</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size (Log Assets)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-.607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(.043)</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r>
      <w:tr w:rsidR="008B2ECB" w:rsidRPr="00FD0348" w:rsidTr="001A2B08">
        <w:trPr>
          <w:trHeight w:val="240"/>
        </w:trPr>
        <w:tc>
          <w:tcPr>
            <w:tcW w:w="3014" w:type="dxa"/>
            <w:gridSpan w:val="2"/>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size (Log Sales)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-.649</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size (Log MV)</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.244</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(.339)</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Entity growth</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.018</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.019</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.029</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(.646)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(.624)</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(.462)</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CGV SCORE</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.018</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.019</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.013</w:t>
            </w:r>
          </w:p>
        </w:tc>
      </w:tr>
      <w:tr w:rsidR="008B2ECB" w:rsidRPr="00FD0348" w:rsidTr="001A2B08">
        <w:trPr>
          <w:trHeight w:val="240"/>
        </w:trPr>
        <w:tc>
          <w:tcPr>
            <w:tcW w:w="2244"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(.001)</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(.001)</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(.024)</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Quarterly dummies included</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Country dummies included</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YES</w:t>
            </w:r>
          </w:p>
        </w:tc>
      </w:tr>
      <w:tr w:rsidR="008B2ECB" w:rsidRPr="00FD0348" w:rsidTr="001A2B08">
        <w:trPr>
          <w:trHeight w:val="240"/>
        </w:trPr>
        <w:tc>
          <w:tcPr>
            <w:tcW w:w="2244" w:type="dxa"/>
            <w:tcBorders>
              <w:top w:val="nil"/>
              <w:left w:val="nil"/>
              <w:bottom w:val="double" w:sz="6" w:space="0" w:color="auto"/>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Sample Size</w:t>
            </w:r>
          </w:p>
        </w:tc>
        <w:tc>
          <w:tcPr>
            <w:tcW w:w="770" w:type="dxa"/>
            <w:tcBorders>
              <w:top w:val="nil"/>
              <w:left w:val="nil"/>
              <w:bottom w:val="double" w:sz="6"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1356</w:t>
            </w:r>
          </w:p>
        </w:tc>
        <w:tc>
          <w:tcPr>
            <w:tcW w:w="770" w:type="dxa"/>
            <w:tcBorders>
              <w:top w:val="nil"/>
              <w:left w:val="nil"/>
              <w:bottom w:val="double" w:sz="6"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1353</w:t>
            </w:r>
          </w:p>
        </w:tc>
        <w:tc>
          <w:tcPr>
            <w:tcW w:w="770" w:type="dxa"/>
            <w:tcBorders>
              <w:top w:val="nil"/>
              <w:left w:val="nil"/>
              <w:bottom w:val="double" w:sz="6"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1358</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χ2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χ2</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χ3</w:t>
            </w:r>
          </w:p>
        </w:tc>
      </w:tr>
      <w:tr w:rsidR="008B2ECB" w:rsidRPr="00FD0348" w:rsidTr="001A2B08">
        <w:trPr>
          <w:trHeight w:val="240"/>
        </w:trPr>
        <w:tc>
          <w:tcPr>
            <w:tcW w:w="2244"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c>
          <w:tcPr>
            <w:tcW w:w="770" w:type="dxa"/>
            <w:tcBorders>
              <w:top w:val="nil"/>
              <w:left w:val="nil"/>
              <w:bottom w:val="single" w:sz="4" w:space="0" w:color="auto"/>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w:t>
            </w:r>
            <w:r w:rsidRPr="00FD0348">
              <w:rPr>
                <w:rFonts w:ascii="Calibri" w:eastAsia="Times New Roman" w:hAnsi="Calibri" w:cs="Times New Roman"/>
                <w:i/>
                <w:iCs/>
                <w:color w:val="000000"/>
                <w:sz w:val="16"/>
                <w:szCs w:val="16"/>
                <w:lang w:bidi="ar-SA"/>
              </w:rPr>
              <w:t>p</w:t>
            </w:r>
            <w:r w:rsidRPr="00FD0348">
              <w:rPr>
                <w:rFonts w:ascii="Calibri" w:eastAsia="Times New Roman" w:hAnsi="Calibri" w:cs="Times New Roman"/>
                <w:color w:val="000000"/>
                <w:sz w:val="16"/>
                <w:szCs w:val="16"/>
                <w:lang w:bidi="ar-SA"/>
              </w:rPr>
              <w:t>-value)</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Model Significance</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109.133</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110.348</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105.703</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(.000)</w:t>
            </w:r>
          </w:p>
        </w:tc>
      </w:tr>
      <w:tr w:rsidR="008B2ECB" w:rsidRPr="00FD0348" w:rsidTr="001A2B08">
        <w:trPr>
          <w:trHeight w:val="240"/>
        </w:trPr>
        <w:tc>
          <w:tcPr>
            <w:tcW w:w="2244"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left"/>
              <w:rPr>
                <w:rFonts w:ascii="Calibri" w:eastAsia="Times New Roman" w:hAnsi="Calibri" w:cs="Times New Roman"/>
                <w:color w:val="000000"/>
                <w:sz w:val="16"/>
                <w:szCs w:val="16"/>
                <w:lang w:bidi="ar-SA"/>
              </w:rPr>
            </w:pPr>
            <w:proofErr w:type="spellStart"/>
            <w:r w:rsidRPr="00FD0348">
              <w:rPr>
                <w:rFonts w:ascii="Calibri" w:eastAsia="Times New Roman" w:hAnsi="Calibri" w:cs="Times New Roman"/>
                <w:color w:val="000000"/>
                <w:sz w:val="16"/>
                <w:szCs w:val="16"/>
                <w:lang w:bidi="ar-SA"/>
              </w:rPr>
              <w:t>Nagelkerke</w:t>
            </w:r>
            <w:proofErr w:type="spellEnd"/>
            <w:r w:rsidRPr="00FD0348">
              <w:rPr>
                <w:rFonts w:ascii="Calibri" w:eastAsia="Times New Roman" w:hAnsi="Calibri" w:cs="Times New Roman"/>
                <w:color w:val="000000"/>
                <w:sz w:val="16"/>
                <w:szCs w:val="16"/>
                <w:lang w:bidi="ar-SA"/>
              </w:rPr>
              <w:t xml:space="preserve"> R-Square</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.156</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.157</w:t>
            </w:r>
          </w:p>
        </w:tc>
        <w:tc>
          <w:tcPr>
            <w:tcW w:w="770" w:type="dxa"/>
            <w:tcBorders>
              <w:top w:val="nil"/>
              <w:left w:val="nil"/>
              <w:bottom w:val="nil"/>
              <w:right w:val="nil"/>
            </w:tcBorders>
            <w:shd w:val="clear" w:color="auto" w:fill="auto"/>
            <w:noWrap/>
            <w:vAlign w:val="bottom"/>
            <w:hideMark/>
          </w:tcPr>
          <w:p w:rsidR="008B2ECB" w:rsidRPr="00FD0348" w:rsidRDefault="008B2ECB" w:rsidP="00470966">
            <w:pPr>
              <w:spacing w:before="0" w:line="240" w:lineRule="auto"/>
              <w:ind w:right="27" w:firstLine="0"/>
              <w:jc w:val="center"/>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.151</w:t>
            </w:r>
          </w:p>
        </w:tc>
      </w:tr>
    </w:tbl>
    <w:p w:rsidR="00206689" w:rsidRPr="00FD0348" w:rsidRDefault="00206689" w:rsidP="00470966">
      <w:pPr>
        <w:spacing w:before="200" w:after="200"/>
        <w:ind w:right="27" w:firstLine="0"/>
        <w:jc w:val="left"/>
        <w:rPr>
          <w:b/>
          <w:bCs/>
          <w:caps/>
          <w:color w:val="FFFFFF" w:themeColor="background1"/>
          <w:spacing w:val="15"/>
          <w:szCs w:val="22"/>
        </w:rPr>
      </w:pPr>
      <w:r w:rsidRPr="00FD0348">
        <w:br w:type="page"/>
      </w:r>
    </w:p>
    <w:p w:rsidR="00F469ED" w:rsidRPr="00FD0348" w:rsidRDefault="00F469ED" w:rsidP="00470966">
      <w:pPr>
        <w:pStyle w:val="Heading1"/>
        <w:ind w:right="27"/>
      </w:pPr>
      <w:bookmarkStart w:id="34" w:name="_Toc364177664"/>
      <w:bookmarkStart w:id="35" w:name="_Toc364200643"/>
      <w:r w:rsidRPr="00FD0348">
        <w:lastRenderedPageBreak/>
        <w:t>VII Conclusion</w:t>
      </w:r>
      <w:bookmarkEnd w:id="34"/>
      <w:bookmarkEnd w:id="35"/>
    </w:p>
    <w:p w:rsidR="008E720B" w:rsidRPr="00FD0348" w:rsidRDefault="0010773F" w:rsidP="00470966">
      <w:pPr>
        <w:ind w:right="27"/>
      </w:pPr>
      <w:r w:rsidRPr="00FD0348">
        <w:t xml:space="preserve">For my </w:t>
      </w:r>
      <w:r w:rsidR="00D911A7">
        <w:t>m</w:t>
      </w:r>
      <w:r w:rsidR="003E2CA4" w:rsidRPr="00FD0348">
        <w:t>aster’s</w:t>
      </w:r>
      <w:r w:rsidR="00BB4BCE" w:rsidRPr="00FD0348">
        <w:t xml:space="preserve"> thesis</w:t>
      </w:r>
      <w:r w:rsidRPr="00FD0348">
        <w:t xml:space="preserve"> I have studied the relationship among audit committee characteristics and the likelihood of low earnings quality</w:t>
      </w:r>
      <w:r w:rsidR="00B04EF5">
        <w:rPr>
          <w:rStyle w:val="FootnoteReference"/>
        </w:rPr>
        <w:footnoteReference w:id="22"/>
      </w:r>
      <w:r w:rsidRPr="00FD0348">
        <w:t xml:space="preserve">. </w:t>
      </w:r>
    </w:p>
    <w:p w:rsidR="0010773F" w:rsidRPr="00FD0348" w:rsidRDefault="0010773F" w:rsidP="00470966">
      <w:pPr>
        <w:ind w:right="27"/>
      </w:pPr>
      <w:r w:rsidRPr="00FD0348">
        <w:t xml:space="preserve">First, I </w:t>
      </w:r>
      <w:r w:rsidR="00986D28" w:rsidRPr="00FD0348">
        <w:t>find</w:t>
      </w:r>
      <w:r w:rsidRPr="00FD0348">
        <w:t xml:space="preserve"> that </w:t>
      </w:r>
      <w:r w:rsidR="0041768F" w:rsidRPr="00FD0348">
        <w:t xml:space="preserve">certain </w:t>
      </w:r>
      <w:r w:rsidRPr="00FD0348">
        <w:t xml:space="preserve">audit committee </w:t>
      </w:r>
      <w:r w:rsidR="0041768F" w:rsidRPr="00FD0348">
        <w:t xml:space="preserve">characteristics </w:t>
      </w:r>
      <w:r w:rsidR="00986D28" w:rsidRPr="00FD0348">
        <w:t>changed</w:t>
      </w:r>
      <w:r w:rsidRPr="00FD0348">
        <w:t xml:space="preserve"> </w:t>
      </w:r>
      <w:r w:rsidR="00CE43FE" w:rsidRPr="00FD0348">
        <w:t>considerably</w:t>
      </w:r>
      <w:r w:rsidR="0041768F" w:rsidRPr="00FD0348">
        <w:t xml:space="preserve"> </w:t>
      </w:r>
      <w:r w:rsidR="00986D28" w:rsidRPr="00FD0348">
        <w:t xml:space="preserve">between 2008 and 2011. </w:t>
      </w:r>
      <w:r w:rsidR="00DC773B" w:rsidRPr="00FD0348">
        <w:t>EU public interest entities’ a</w:t>
      </w:r>
      <w:r w:rsidR="00B6421B" w:rsidRPr="00FD0348">
        <w:t>udit committees became larger</w:t>
      </w:r>
      <w:r w:rsidR="00DC773B" w:rsidRPr="00FD0348">
        <w:t xml:space="preserve"> in size, more active </w:t>
      </w:r>
      <w:r w:rsidR="00B6421B" w:rsidRPr="00FD0348">
        <w:t xml:space="preserve">and </w:t>
      </w:r>
      <w:r w:rsidR="00CE43FE" w:rsidRPr="00FD0348">
        <w:t>employed</w:t>
      </w:r>
      <w:r w:rsidR="00B6421B" w:rsidRPr="00FD0348">
        <w:t xml:space="preserve"> more </w:t>
      </w:r>
      <w:r w:rsidR="00E22EB7" w:rsidRPr="00FD0348">
        <w:t>EUFE</w:t>
      </w:r>
      <w:r w:rsidR="00B6421B" w:rsidRPr="00FD0348">
        <w:t>. Noticeably</w:t>
      </w:r>
      <w:r w:rsidR="00DD265B" w:rsidRPr="00FD0348">
        <w:t>, EU public interest entities were already taking actions to increase the monitoring capabilities of the</w:t>
      </w:r>
      <w:r w:rsidR="008E720B" w:rsidRPr="00FD0348">
        <w:t>ir</w:t>
      </w:r>
      <w:r w:rsidR="00DD265B" w:rsidRPr="00FD0348">
        <w:t xml:space="preserve"> audit committees by employing more directors with knowledge and experience in auditing.</w:t>
      </w:r>
      <w:r w:rsidR="0041768F" w:rsidRPr="00FD0348">
        <w:t xml:space="preserve"> The</w:t>
      </w:r>
      <w:r w:rsidR="00820270" w:rsidRPr="00FD0348">
        <w:t xml:space="preserve"> actions to employ more </w:t>
      </w:r>
      <w:r w:rsidR="007A4D09" w:rsidRPr="00FD0348">
        <w:t>EUFE-Auditing</w:t>
      </w:r>
      <w:r w:rsidR="00820270" w:rsidRPr="00FD0348">
        <w:t xml:space="preserve"> has led to more audit committees meeting the proposed European Commission’s proposed audit committee composition and expertise requirements for the year 2011</w:t>
      </w:r>
      <w:r w:rsidR="00DC773B" w:rsidRPr="00FD0348">
        <w:t xml:space="preserve"> than 2008</w:t>
      </w:r>
      <w:r w:rsidR="00820270" w:rsidRPr="00FD0348">
        <w:t xml:space="preserve">. </w:t>
      </w:r>
    </w:p>
    <w:p w:rsidR="00F41C0D" w:rsidRPr="00FD0348" w:rsidRDefault="00F41C0D" w:rsidP="00470966">
      <w:pPr>
        <w:tabs>
          <w:tab w:val="left" w:pos="-2430"/>
        </w:tabs>
        <w:ind w:right="27"/>
      </w:pPr>
      <w:r w:rsidRPr="00FD0348">
        <w:t xml:space="preserve">Second, </w:t>
      </w:r>
      <w:r w:rsidR="003E2CA4" w:rsidRPr="00FD0348">
        <w:t>m</w:t>
      </w:r>
      <w:r w:rsidR="00B72FEE" w:rsidRPr="00FD0348">
        <w:t xml:space="preserve">y </w:t>
      </w:r>
      <w:r w:rsidR="003E2CA4" w:rsidRPr="00FD0348">
        <w:t>master’s</w:t>
      </w:r>
      <w:r w:rsidR="00BB4BCE" w:rsidRPr="00FD0348">
        <w:t xml:space="preserve"> thesis</w:t>
      </w:r>
      <w:r w:rsidR="00B72FEE" w:rsidRPr="00FD0348">
        <w:t xml:space="preserve"> has provided evidence </w:t>
      </w:r>
      <w:r w:rsidR="00C57913" w:rsidRPr="00FD0348">
        <w:t xml:space="preserve">from logistic regressions </w:t>
      </w:r>
      <w:r w:rsidR="00B72FEE" w:rsidRPr="00FD0348">
        <w:t xml:space="preserve">that a relationship </w:t>
      </w:r>
      <w:r w:rsidR="00C57913" w:rsidRPr="00FD0348">
        <w:t xml:space="preserve">exists </w:t>
      </w:r>
      <w:r w:rsidR="00B72FEE" w:rsidRPr="00FD0348">
        <w:t xml:space="preserve">among </w:t>
      </w:r>
      <w:r w:rsidR="00C57913" w:rsidRPr="00FD0348">
        <w:t xml:space="preserve">the </w:t>
      </w:r>
      <w:r w:rsidR="00B72FEE" w:rsidRPr="00FD0348">
        <w:t xml:space="preserve">audit committee characteristics and the likelihood of </w:t>
      </w:r>
      <w:r w:rsidR="00C57913" w:rsidRPr="00FD0348">
        <w:t xml:space="preserve">low </w:t>
      </w:r>
      <w:r w:rsidR="00B72FEE" w:rsidRPr="00FD0348">
        <w:t>earnings quality</w:t>
      </w:r>
      <w:r w:rsidR="00C57913" w:rsidRPr="00FD0348">
        <w:t xml:space="preserve">. The evidence provided from the models capturing </w:t>
      </w:r>
      <w:r w:rsidR="0048046E" w:rsidRPr="00FD0348">
        <w:t>negative earnings surprise avoidance</w:t>
      </w:r>
      <w:r w:rsidR="00C57913" w:rsidRPr="00FD0348">
        <w:t xml:space="preserve"> suggests </w:t>
      </w:r>
      <w:r w:rsidR="00986D28" w:rsidRPr="00FD0348">
        <w:t xml:space="preserve">that audit committees who are currently meeting the European Commission’s </w:t>
      </w:r>
      <w:r w:rsidR="006813B7">
        <w:t xml:space="preserve">(2011) </w:t>
      </w:r>
      <w:r w:rsidRPr="00FD0348">
        <w:t xml:space="preserve">proposed </w:t>
      </w:r>
      <w:r w:rsidR="00986D28" w:rsidRPr="00FD0348">
        <w:t xml:space="preserve">audit </w:t>
      </w:r>
      <w:r w:rsidRPr="00FD0348">
        <w:t>reform requirements, the frequency in which the audit committees meets</w:t>
      </w:r>
      <w:r w:rsidR="00DC773B" w:rsidRPr="00FD0348">
        <w:t xml:space="preserve">, and </w:t>
      </w:r>
      <w:r w:rsidRPr="00FD0348">
        <w:t>larger audit committees</w:t>
      </w:r>
      <w:r w:rsidR="00986D28" w:rsidRPr="00FD0348">
        <w:t xml:space="preserve"> increases the likelihood of higher earnings</w:t>
      </w:r>
      <w:r w:rsidR="00DC773B" w:rsidRPr="00FD0348">
        <w:t xml:space="preserve"> quality</w:t>
      </w:r>
      <w:r w:rsidR="00986D28" w:rsidRPr="00FD0348">
        <w:t xml:space="preserve">. </w:t>
      </w:r>
    </w:p>
    <w:p w:rsidR="00F41C0D" w:rsidRPr="00FD0348" w:rsidRDefault="00F41C0D" w:rsidP="00470966">
      <w:pPr>
        <w:tabs>
          <w:tab w:val="left" w:pos="-2430"/>
        </w:tabs>
        <w:ind w:right="27"/>
      </w:pPr>
      <w:r w:rsidRPr="00FD0348">
        <w:t>Finally, t</w:t>
      </w:r>
      <w:r w:rsidR="004B2D43" w:rsidRPr="00FD0348">
        <w:t xml:space="preserve">he </w:t>
      </w:r>
      <w:r w:rsidR="00DC773B" w:rsidRPr="00FD0348">
        <w:t xml:space="preserve">models capturing </w:t>
      </w:r>
      <w:r w:rsidR="0048046E" w:rsidRPr="00FD0348">
        <w:t>negative earnings surprise avoidance</w:t>
      </w:r>
      <w:r w:rsidR="00DC773B" w:rsidRPr="00FD0348">
        <w:t xml:space="preserve"> provides contradicting evidence with</w:t>
      </w:r>
      <w:r w:rsidR="004B2D43" w:rsidRPr="00FD0348">
        <w:t xml:space="preserve"> prior empirical literature</w:t>
      </w:r>
      <w:r w:rsidR="0092342F">
        <w:t xml:space="preserve">. </w:t>
      </w:r>
      <w:r w:rsidR="00410209">
        <w:t xml:space="preserve">The evidence from </w:t>
      </w:r>
      <w:proofErr w:type="spellStart"/>
      <w:r w:rsidR="00410209">
        <w:t>Xie</w:t>
      </w:r>
      <w:proofErr w:type="spellEnd"/>
      <w:r w:rsidR="00410209">
        <w:t xml:space="preserve"> et al. (2003), Abbot et al. (2004) </w:t>
      </w:r>
      <w:proofErr w:type="spellStart"/>
      <w:r w:rsidR="00410209">
        <w:t>Vafeas</w:t>
      </w:r>
      <w:proofErr w:type="spellEnd"/>
      <w:r w:rsidR="00410209">
        <w:t xml:space="preserve"> (2005), </w:t>
      </w:r>
      <w:proofErr w:type="spellStart"/>
      <w:r w:rsidR="00410209">
        <w:t>Carcello</w:t>
      </w:r>
      <w:proofErr w:type="spellEnd"/>
      <w:r w:rsidR="00410209">
        <w:t xml:space="preserve"> et al. (2006)</w:t>
      </w:r>
      <w:r w:rsidR="004B2D43" w:rsidRPr="00FD0348">
        <w:t xml:space="preserve"> </w:t>
      </w:r>
      <w:r w:rsidR="00410209">
        <w:t xml:space="preserve">and </w:t>
      </w:r>
      <w:proofErr w:type="spellStart"/>
      <w:r w:rsidR="00410209">
        <w:t>Hooghiemstra</w:t>
      </w:r>
      <w:proofErr w:type="spellEnd"/>
      <w:r w:rsidR="00410209">
        <w:t xml:space="preserve"> et al. (2008) </w:t>
      </w:r>
      <w:r w:rsidR="0060516A">
        <w:t>suggests that independency and financial literacy is positively related to earnings quality. Whereas, the results from my master’s thesis su</w:t>
      </w:r>
      <w:r w:rsidR="004B2D43" w:rsidRPr="00FD0348">
        <w:t xml:space="preserve">ggest that independency, </w:t>
      </w:r>
      <w:r w:rsidR="0094553C" w:rsidRPr="00FD0348">
        <w:t xml:space="preserve"># </w:t>
      </w:r>
      <w:r w:rsidR="004B2D43" w:rsidRPr="00FD0348">
        <w:t xml:space="preserve">EUFE, </w:t>
      </w:r>
      <w:r w:rsidR="0094553C" w:rsidRPr="00FD0348">
        <w:t xml:space="preserve"># </w:t>
      </w:r>
      <w:r w:rsidR="007A4D09" w:rsidRPr="00FD0348">
        <w:t>EUFE-Auditing</w:t>
      </w:r>
      <w:r w:rsidR="004B2D43" w:rsidRPr="00FD0348">
        <w:t xml:space="preserve"> and </w:t>
      </w:r>
      <w:r w:rsidR="0094553C" w:rsidRPr="00FD0348">
        <w:t xml:space="preserve"># </w:t>
      </w:r>
      <w:r w:rsidR="007A4D09" w:rsidRPr="00FD0348">
        <w:t>EUFE-Accounting</w:t>
      </w:r>
      <w:r w:rsidR="004B2D43" w:rsidRPr="00FD0348">
        <w:t xml:space="preserve"> </w:t>
      </w:r>
      <w:r w:rsidR="007F4543">
        <w:t>increases</w:t>
      </w:r>
      <w:r w:rsidR="004B2D43" w:rsidRPr="00FD0348">
        <w:t xml:space="preserve"> the likelihood of </w:t>
      </w:r>
      <w:r w:rsidR="007F4543">
        <w:t>lower</w:t>
      </w:r>
      <w:r w:rsidR="004B2D43" w:rsidRPr="00FD0348">
        <w:t xml:space="preserve"> earnings</w:t>
      </w:r>
      <w:r w:rsidR="00DC773B" w:rsidRPr="00FD0348">
        <w:t xml:space="preserve"> quality</w:t>
      </w:r>
      <w:r w:rsidR="004B2D43" w:rsidRPr="00FD0348">
        <w:t>.</w:t>
      </w:r>
      <w:r w:rsidR="00E3209B" w:rsidRPr="00FD0348">
        <w:t xml:space="preserve"> </w:t>
      </w:r>
      <w:proofErr w:type="gramStart"/>
      <w:r w:rsidR="0060516A">
        <w:t>h</w:t>
      </w:r>
      <w:r w:rsidR="0060516A" w:rsidRPr="00FD0348">
        <w:t>owever</w:t>
      </w:r>
      <w:proofErr w:type="gramEnd"/>
      <w:r w:rsidR="00DC773B" w:rsidRPr="00FD0348">
        <w:t>, the results suggest</w:t>
      </w:r>
      <w:r w:rsidR="00E3209B" w:rsidRPr="00FD0348">
        <w:t xml:space="preserve"> </w:t>
      </w:r>
      <w:r w:rsidR="00DC773B" w:rsidRPr="00FD0348">
        <w:t xml:space="preserve">that when </w:t>
      </w:r>
      <w:r w:rsidR="00CE43FE" w:rsidRPr="00FD0348">
        <w:t xml:space="preserve">public interest entities </w:t>
      </w:r>
      <w:r w:rsidR="00DC773B" w:rsidRPr="00FD0348">
        <w:t xml:space="preserve">are </w:t>
      </w:r>
      <w:r w:rsidR="00E3209B" w:rsidRPr="00FD0348">
        <w:t xml:space="preserve">using the combination of EUFE and independency in the form suggested by the European Commission the likelihood of </w:t>
      </w:r>
      <w:r w:rsidR="009E60DA">
        <w:t>low</w:t>
      </w:r>
      <w:r w:rsidR="00E3209B" w:rsidRPr="00FD0348">
        <w:t xml:space="preserve"> earnings quality</w:t>
      </w:r>
      <w:r w:rsidR="00CE43FE" w:rsidRPr="00FD0348">
        <w:t xml:space="preserve"> </w:t>
      </w:r>
      <w:r w:rsidR="009E60DA">
        <w:t>de</w:t>
      </w:r>
      <w:r w:rsidR="00CE43FE" w:rsidRPr="00FD0348">
        <w:t>creases</w:t>
      </w:r>
      <w:r w:rsidR="00E3209B" w:rsidRPr="00FD0348">
        <w:t xml:space="preserve">. </w:t>
      </w:r>
      <w:r w:rsidR="003E2CA4" w:rsidRPr="00FD0348">
        <w:t xml:space="preserve">It may be the case that the audit reform dummy in my equation is </w:t>
      </w:r>
      <w:r w:rsidR="0094553C" w:rsidRPr="00FD0348">
        <w:t xml:space="preserve">jointly </w:t>
      </w:r>
      <w:r w:rsidR="003E2CA4" w:rsidRPr="00FD0348">
        <w:t xml:space="preserve">explaining the effects of independency and </w:t>
      </w:r>
      <w:r w:rsidR="0094553C" w:rsidRPr="00FD0348">
        <w:t>financial expert on the</w:t>
      </w:r>
      <w:r w:rsidR="003E2CA4" w:rsidRPr="00FD0348">
        <w:t xml:space="preserve"> likelihoo</w:t>
      </w:r>
      <w:r w:rsidR="0094553C" w:rsidRPr="00FD0348">
        <w:t>d of low earnings quality, thus giving contradicting results at the individual level for independency, # EUFE, #</w:t>
      </w:r>
      <w:r w:rsidR="00B04EF5">
        <w:t xml:space="preserve"> </w:t>
      </w:r>
      <w:r w:rsidR="0094553C" w:rsidRPr="00FD0348">
        <w:t>EUFE-Auditing and # EUFE-Accounting.</w:t>
      </w:r>
    </w:p>
    <w:p w:rsidR="004B2D43" w:rsidRPr="00FD0348" w:rsidRDefault="008E720B" w:rsidP="00470966">
      <w:pPr>
        <w:tabs>
          <w:tab w:val="left" w:pos="-2430"/>
        </w:tabs>
        <w:ind w:right="27"/>
      </w:pPr>
      <w:r w:rsidRPr="00FD0348">
        <w:t xml:space="preserve">The evidence provided by my </w:t>
      </w:r>
      <w:r w:rsidR="00D911A7">
        <w:t>m</w:t>
      </w:r>
      <w:r w:rsidR="003E2CA4" w:rsidRPr="00FD0348">
        <w:t>aster’s</w:t>
      </w:r>
      <w:r w:rsidR="00BB4BCE" w:rsidRPr="00FD0348">
        <w:t xml:space="preserve"> thesis</w:t>
      </w:r>
      <w:r w:rsidRPr="00FD0348">
        <w:t xml:space="preserve"> </w:t>
      </w:r>
      <w:r w:rsidR="002A784D" w:rsidRPr="00FD0348">
        <w:t xml:space="preserve">supports the European Commission’s actions of reforming the audit committee to improve financial reporting quality. The results </w:t>
      </w:r>
      <w:r w:rsidRPr="00FD0348">
        <w:t xml:space="preserve">could be of </w:t>
      </w:r>
      <w:r w:rsidR="002A784D" w:rsidRPr="00FD0348">
        <w:t xml:space="preserve">further </w:t>
      </w:r>
      <w:r w:rsidRPr="00FD0348">
        <w:t>use to policy makers, regulators, management</w:t>
      </w:r>
      <w:r w:rsidR="002A784D" w:rsidRPr="00FD0348">
        <w:t xml:space="preserve"> </w:t>
      </w:r>
      <w:r w:rsidRPr="00FD0348">
        <w:t xml:space="preserve">and stakeholders who are concerned whether </w:t>
      </w:r>
      <w:r w:rsidR="0094553C" w:rsidRPr="00FD0348">
        <w:t xml:space="preserve">the </w:t>
      </w:r>
      <w:r w:rsidRPr="00FD0348">
        <w:t>transformation of the audit committee structure</w:t>
      </w:r>
      <w:r w:rsidR="002C65B2" w:rsidRPr="00FD0348">
        <w:t>,</w:t>
      </w:r>
      <w:r w:rsidR="0094553C" w:rsidRPr="00FD0348">
        <w:t xml:space="preserve"> in the form of a fully (100%) </w:t>
      </w:r>
      <w:r w:rsidR="0094553C" w:rsidRPr="00FD0348">
        <w:lastRenderedPageBreak/>
        <w:t>independent audit committee consisting out of at least two directors with experience and knowledge in auditing or one director with experience and knowledge in auditing and another one in accounting</w:t>
      </w:r>
      <w:r w:rsidR="002C65B2" w:rsidRPr="00FD0348">
        <w:t>,</w:t>
      </w:r>
      <w:r w:rsidR="0094553C" w:rsidRPr="00FD0348">
        <w:t xml:space="preserve"> </w:t>
      </w:r>
      <w:r w:rsidRPr="00FD0348">
        <w:t xml:space="preserve">improves the supervision capability of the audit committee. </w:t>
      </w:r>
    </w:p>
    <w:p w:rsidR="00DC773B" w:rsidRPr="00FD0348" w:rsidRDefault="00DC773B" w:rsidP="00470966">
      <w:pPr>
        <w:tabs>
          <w:tab w:val="left" w:pos="-2430"/>
        </w:tabs>
        <w:ind w:right="27"/>
      </w:pPr>
    </w:p>
    <w:p w:rsidR="007874EE" w:rsidRPr="00FD0348" w:rsidRDefault="007874EE" w:rsidP="00470966">
      <w:pPr>
        <w:pStyle w:val="Heading2"/>
        <w:ind w:right="27"/>
      </w:pPr>
      <w:bookmarkStart w:id="36" w:name="_Toc364177665"/>
      <w:bookmarkStart w:id="37" w:name="_Toc364200644"/>
      <w:r w:rsidRPr="00FD0348">
        <w:t>Limitation</w:t>
      </w:r>
      <w:bookmarkEnd w:id="36"/>
      <w:bookmarkEnd w:id="37"/>
    </w:p>
    <w:p w:rsidR="00DC773B" w:rsidRPr="00FD0348" w:rsidRDefault="00DD53BA" w:rsidP="00470966">
      <w:pPr>
        <w:ind w:right="27"/>
      </w:pPr>
      <w:r w:rsidRPr="00FD0348">
        <w:t xml:space="preserve">For my </w:t>
      </w:r>
      <w:r w:rsidR="002C65B2" w:rsidRPr="00FD0348">
        <w:t>m</w:t>
      </w:r>
      <w:r w:rsidR="003E2CA4" w:rsidRPr="00FD0348">
        <w:t>aster’s</w:t>
      </w:r>
      <w:r w:rsidR="00BB4BCE" w:rsidRPr="00FD0348">
        <w:t xml:space="preserve"> thesis</w:t>
      </w:r>
      <w:r w:rsidRPr="00FD0348">
        <w:t xml:space="preserve"> I employed benchmarking approaches to capture the relationship between the audit committee characteristics and earnings quality. My </w:t>
      </w:r>
      <w:r w:rsidR="002C65B2" w:rsidRPr="00FD0348">
        <w:t>m</w:t>
      </w:r>
      <w:r w:rsidR="003E2CA4" w:rsidRPr="00FD0348">
        <w:t>aster’s</w:t>
      </w:r>
      <w:r w:rsidR="00BB4BCE" w:rsidRPr="00FD0348">
        <w:t xml:space="preserve"> thesis</w:t>
      </w:r>
      <w:r w:rsidRPr="00FD0348">
        <w:t xml:space="preserve"> is limited by the use of imperfect but observable proxies. </w:t>
      </w:r>
    </w:p>
    <w:p w:rsidR="00DC773B" w:rsidRPr="00FD0348" w:rsidRDefault="00DD53BA" w:rsidP="00470966">
      <w:pPr>
        <w:ind w:right="27"/>
      </w:pPr>
      <w:r w:rsidRPr="00FD0348">
        <w:t xml:space="preserve">First, the models </w:t>
      </w:r>
      <w:r w:rsidR="00A10B58" w:rsidRPr="00FD0348">
        <w:t xml:space="preserve">used for the results of my </w:t>
      </w:r>
      <w:r w:rsidR="002C65B2" w:rsidRPr="00FD0348">
        <w:t>m</w:t>
      </w:r>
      <w:r w:rsidR="003E2CA4" w:rsidRPr="00FD0348">
        <w:t>aster’s</w:t>
      </w:r>
      <w:r w:rsidR="00BB4BCE" w:rsidRPr="00FD0348">
        <w:t xml:space="preserve"> thesis</w:t>
      </w:r>
      <w:r w:rsidR="00A10B58" w:rsidRPr="00FD0348">
        <w:t xml:space="preserve"> </w:t>
      </w:r>
      <w:r w:rsidR="00800B8F" w:rsidRPr="00FD0348">
        <w:t>capture</w:t>
      </w:r>
      <w:r w:rsidRPr="00FD0348">
        <w:t xml:space="preserve"> the likelihood of low earnings </w:t>
      </w:r>
      <w:r w:rsidR="00A10B58" w:rsidRPr="00FD0348">
        <w:t>quality;</w:t>
      </w:r>
      <w:r w:rsidRPr="00FD0348">
        <w:t xml:space="preserve"> </w:t>
      </w:r>
      <w:r w:rsidR="001523C1" w:rsidRPr="00FD0348">
        <w:t>as a result</w:t>
      </w:r>
      <w:r w:rsidRPr="00FD0348">
        <w:t xml:space="preserve"> </w:t>
      </w:r>
      <w:r w:rsidR="00800B8F" w:rsidRPr="00FD0348">
        <w:t xml:space="preserve">earnings quality is </w:t>
      </w:r>
      <w:r w:rsidR="00794196" w:rsidRPr="00FD0348">
        <w:t xml:space="preserve">not </w:t>
      </w:r>
      <w:r w:rsidR="00800B8F" w:rsidRPr="00FD0348">
        <w:t xml:space="preserve">directly observable. </w:t>
      </w:r>
    </w:p>
    <w:p w:rsidR="00DD53BA" w:rsidRPr="00FD0348" w:rsidRDefault="002D5071" w:rsidP="00470966">
      <w:pPr>
        <w:ind w:right="27"/>
      </w:pPr>
      <w:r w:rsidRPr="00FD0348">
        <w:t>Second, t</w:t>
      </w:r>
      <w:r w:rsidR="00800B8F" w:rsidRPr="00FD0348">
        <w:t>he audit committee</w:t>
      </w:r>
      <w:r w:rsidR="0096051F" w:rsidRPr="00FD0348">
        <w:t xml:space="preserve"> directors</w:t>
      </w:r>
      <w:r w:rsidR="00794196" w:rsidRPr="00FD0348">
        <w:t>’</w:t>
      </w:r>
      <w:r w:rsidR="00800B8F" w:rsidRPr="00FD0348">
        <w:t xml:space="preserve"> </w:t>
      </w:r>
      <w:r w:rsidR="00A10B58" w:rsidRPr="00FD0348">
        <w:t xml:space="preserve">true </w:t>
      </w:r>
      <w:r w:rsidR="00800B8F" w:rsidRPr="00FD0348">
        <w:t xml:space="preserve">productivity in monitoring </w:t>
      </w:r>
      <w:r w:rsidR="00840E14" w:rsidRPr="00FD0348">
        <w:t xml:space="preserve">the </w:t>
      </w:r>
      <w:r w:rsidR="00794196" w:rsidRPr="00FD0348">
        <w:t xml:space="preserve">financial reporting – and internal control process during the meetings remains unobserved. Finally, the </w:t>
      </w:r>
      <w:r w:rsidR="0096051F" w:rsidRPr="00FD0348">
        <w:t>audit committee</w:t>
      </w:r>
      <w:r w:rsidR="00A10B58" w:rsidRPr="00FD0348">
        <w:t>’</w:t>
      </w:r>
      <w:r w:rsidR="0096051F" w:rsidRPr="00FD0348">
        <w:t>s</w:t>
      </w:r>
      <w:r w:rsidR="00794196" w:rsidRPr="00FD0348">
        <w:t xml:space="preserve"> true </w:t>
      </w:r>
      <w:r w:rsidR="00A10B58" w:rsidRPr="00FD0348">
        <w:t>independency of the public interest entity and management is difficult to measure</w:t>
      </w:r>
      <w:r w:rsidR="001523C1" w:rsidRPr="00FD0348">
        <w:t xml:space="preserve"> therefore I have relied on disclosures made in the public interest entity annual reports or information found on the Bloomberg’s Business Week website </w:t>
      </w:r>
      <w:hyperlink r:id="rId14" w:history="1">
        <w:r w:rsidR="001523C1" w:rsidRPr="00FD0348">
          <w:rPr>
            <w:rStyle w:val="Hyperlink"/>
          </w:rPr>
          <w:t>investing.businessweek.com</w:t>
        </w:r>
      </w:hyperlink>
      <w:r w:rsidR="00237D00" w:rsidRPr="00FD0348">
        <w:t>.</w:t>
      </w:r>
    </w:p>
    <w:p w:rsidR="002D5071" w:rsidRPr="00FD0348" w:rsidRDefault="002D4062" w:rsidP="00470966">
      <w:pPr>
        <w:ind w:right="27"/>
      </w:pPr>
      <w:r w:rsidRPr="00FD0348">
        <w:t xml:space="preserve">Another </w:t>
      </w:r>
      <w:r w:rsidR="001523C1" w:rsidRPr="00FD0348">
        <w:t xml:space="preserve">limitation </w:t>
      </w:r>
      <w:r w:rsidR="00631FDC" w:rsidRPr="00FD0348">
        <w:t xml:space="preserve">encountered is data </w:t>
      </w:r>
      <w:r w:rsidRPr="00FD0348">
        <w:t>un</w:t>
      </w:r>
      <w:r w:rsidR="00631FDC" w:rsidRPr="00FD0348">
        <w:t xml:space="preserve">availability </w:t>
      </w:r>
      <w:r w:rsidR="00AF0946" w:rsidRPr="00FD0348">
        <w:t xml:space="preserve">for EU public interest entities </w:t>
      </w:r>
      <w:r w:rsidR="00A10B58" w:rsidRPr="00FD0348">
        <w:t>for the</w:t>
      </w:r>
      <w:r w:rsidRPr="00FD0348">
        <w:t xml:space="preserve"> audit committee characteristics –, financial – and analysts’ forecasting data. </w:t>
      </w:r>
      <w:r w:rsidR="00AF0946" w:rsidRPr="00FD0348">
        <w:t>For that reason</w:t>
      </w:r>
      <w:r w:rsidR="002D5071" w:rsidRPr="00FD0348">
        <w:t xml:space="preserve"> the model capturing small earnings increases contends with external invalidity </w:t>
      </w:r>
      <w:r w:rsidR="004A28B2">
        <w:t>because</w:t>
      </w:r>
      <w:r w:rsidR="002D5071" w:rsidRPr="00FD0348">
        <w:t xml:space="preserve"> some member states have less than five observations for the entire time span. </w:t>
      </w:r>
      <w:r w:rsidR="00A10B58" w:rsidRPr="00FD0348">
        <w:t xml:space="preserve">Furthermore, </w:t>
      </w:r>
      <w:r w:rsidR="002D5071" w:rsidRPr="00FD0348">
        <w:t xml:space="preserve">I was expecting </w:t>
      </w:r>
      <w:r w:rsidR="00AF0946" w:rsidRPr="00FD0348">
        <w:t>around 3.000</w:t>
      </w:r>
      <w:r w:rsidR="002D5071" w:rsidRPr="00FD0348">
        <w:t xml:space="preserve"> observations </w:t>
      </w:r>
      <w:r w:rsidR="001523C1" w:rsidRPr="00FD0348">
        <w:t>with</w:t>
      </w:r>
      <w:r w:rsidR="002D5071" w:rsidRPr="00FD0348">
        <w:t xml:space="preserve"> my </w:t>
      </w:r>
      <w:r w:rsidR="001523C1" w:rsidRPr="00FD0348">
        <w:t xml:space="preserve">small </w:t>
      </w:r>
      <w:r w:rsidR="002D5071" w:rsidRPr="00FD0348">
        <w:t xml:space="preserve">time-span using quarterly data for the model capturing </w:t>
      </w:r>
      <w:r w:rsidR="0048046E" w:rsidRPr="00FD0348">
        <w:t>negative earnings surprise avoidance</w:t>
      </w:r>
      <w:r w:rsidR="001523C1" w:rsidRPr="00FD0348">
        <w:t>,</w:t>
      </w:r>
      <w:r w:rsidR="002D5071" w:rsidRPr="00FD0348">
        <w:t xml:space="preserve"> but was disappointed </w:t>
      </w:r>
      <w:r w:rsidR="00CD72F6" w:rsidRPr="00FD0348">
        <w:t>to acquire</w:t>
      </w:r>
      <w:r w:rsidR="006E2A98" w:rsidRPr="00FD0348">
        <w:t xml:space="preserve"> </w:t>
      </w:r>
      <w:r w:rsidR="005B77CE" w:rsidRPr="00FD0348">
        <w:t xml:space="preserve">around half </w:t>
      </w:r>
      <w:r w:rsidR="00FA5145" w:rsidRPr="00FD0348">
        <w:t xml:space="preserve">of </w:t>
      </w:r>
      <w:r w:rsidR="001523C1" w:rsidRPr="00FD0348">
        <w:t>my expected</w:t>
      </w:r>
      <w:r w:rsidR="00FA5145" w:rsidRPr="00FD0348">
        <w:t xml:space="preserve"> observations </w:t>
      </w:r>
      <w:r w:rsidR="005B77CE" w:rsidRPr="00FD0348">
        <w:t>due to</w:t>
      </w:r>
      <w:r w:rsidR="002D5071" w:rsidRPr="00FD0348">
        <w:t xml:space="preserve"> the data </w:t>
      </w:r>
      <w:r w:rsidR="00237D00" w:rsidRPr="00FD0348">
        <w:t>un</w:t>
      </w:r>
      <w:r w:rsidR="002D5071" w:rsidRPr="00FD0348">
        <w:t xml:space="preserve">availability for the analysts’ forecast data of EU public interest entities. </w:t>
      </w:r>
      <w:r w:rsidR="00125B5D" w:rsidRPr="00FD0348">
        <w:t xml:space="preserve">The data unavailability has </w:t>
      </w:r>
      <w:r w:rsidR="001523C1" w:rsidRPr="00FD0348">
        <w:t xml:space="preserve">also </w:t>
      </w:r>
      <w:r w:rsidR="00125B5D" w:rsidRPr="00FD0348">
        <w:t xml:space="preserve">resulted in a smaller sample size for two entity </w:t>
      </w:r>
      <w:r w:rsidR="001523C1" w:rsidRPr="00FD0348">
        <w:t xml:space="preserve">size </w:t>
      </w:r>
      <w:r w:rsidR="00125B5D" w:rsidRPr="00FD0348">
        <w:t>proxies</w:t>
      </w:r>
      <w:r w:rsidR="001523C1" w:rsidRPr="00FD0348">
        <w:t>:</w:t>
      </w:r>
      <w:r w:rsidR="00125B5D" w:rsidRPr="00FD0348">
        <w:t xml:space="preserve"> log assets and </w:t>
      </w:r>
      <w:r w:rsidR="001523C1" w:rsidRPr="00FD0348">
        <w:t xml:space="preserve">log </w:t>
      </w:r>
      <w:r w:rsidR="00125B5D" w:rsidRPr="00FD0348">
        <w:t xml:space="preserve">sales. The </w:t>
      </w:r>
      <w:r w:rsidR="005D3220" w:rsidRPr="00FD0348">
        <w:t xml:space="preserve">smaller </w:t>
      </w:r>
      <w:r w:rsidR="00125B5D" w:rsidRPr="00FD0348">
        <w:t xml:space="preserve">sample size causes a </w:t>
      </w:r>
      <w:r w:rsidR="005D3220" w:rsidRPr="00FD0348">
        <w:t>different set of</w:t>
      </w:r>
      <w:r w:rsidR="00125B5D" w:rsidRPr="00FD0348">
        <w:t xml:space="preserve"> classification </w:t>
      </w:r>
      <w:r w:rsidR="005D3220" w:rsidRPr="00FD0348">
        <w:t>to determine the likelihood of</w:t>
      </w:r>
      <w:r w:rsidR="00125B5D" w:rsidRPr="00FD0348">
        <w:t xml:space="preserve"> low earnings quality when using different scaling methods for the models. Furthermore, DATASTREAM provides annual data for quarterly data on assets and sales making the calculation for log assets and </w:t>
      </w:r>
      <w:r w:rsidR="001523C1" w:rsidRPr="00FD0348">
        <w:t xml:space="preserve">log </w:t>
      </w:r>
      <w:r w:rsidR="00125B5D" w:rsidRPr="00FD0348">
        <w:t xml:space="preserve">sales the same for public interest entities containing at least one quarterly observation in a reporting period. </w:t>
      </w:r>
    </w:p>
    <w:p w:rsidR="00237D00" w:rsidRPr="00FD0348" w:rsidRDefault="002D5071" w:rsidP="00470966">
      <w:pPr>
        <w:ind w:right="27"/>
      </w:pPr>
      <w:r w:rsidRPr="00FD0348">
        <w:t xml:space="preserve">Finally, my </w:t>
      </w:r>
      <w:r w:rsidR="00D911A7">
        <w:t>m</w:t>
      </w:r>
      <w:r w:rsidR="003E2CA4" w:rsidRPr="00FD0348">
        <w:t>aster’s</w:t>
      </w:r>
      <w:r w:rsidR="00BB4BCE" w:rsidRPr="00FD0348">
        <w:t xml:space="preserve"> thesis</w:t>
      </w:r>
      <w:r w:rsidRPr="00FD0348">
        <w:t xml:space="preserve"> also</w:t>
      </w:r>
      <w:r w:rsidR="002006AA" w:rsidRPr="00FD0348">
        <w:t xml:space="preserve"> faces s</w:t>
      </w:r>
      <w:r w:rsidR="007874EE" w:rsidRPr="00FD0348">
        <w:t xml:space="preserve">ample selection bias </w:t>
      </w:r>
      <w:r w:rsidR="00741178" w:rsidRPr="00FD0348">
        <w:t>given that</w:t>
      </w:r>
      <w:r w:rsidR="002006AA" w:rsidRPr="00FD0348">
        <w:t xml:space="preserve"> I </w:t>
      </w:r>
      <w:r w:rsidRPr="00FD0348">
        <w:t>focused on</w:t>
      </w:r>
      <w:r w:rsidR="002006AA" w:rsidRPr="00FD0348">
        <w:t xml:space="preserve"> public interest entities with a fairly large </w:t>
      </w:r>
      <w:r w:rsidR="00831797" w:rsidRPr="00FD0348">
        <w:t>turnover</w:t>
      </w:r>
      <w:r w:rsidR="002006AA" w:rsidRPr="00FD0348">
        <w:t xml:space="preserve"> </w:t>
      </w:r>
      <w:r w:rsidR="00831797" w:rsidRPr="00FD0348">
        <w:t>of</w:t>
      </w:r>
      <w:r w:rsidR="007F4543">
        <w:t xml:space="preserve"> more than</w:t>
      </w:r>
      <w:r w:rsidR="00831797" w:rsidRPr="00FD0348">
        <w:t xml:space="preserve"> five billion US dollars </w:t>
      </w:r>
      <w:r w:rsidR="002006AA" w:rsidRPr="00FD0348">
        <w:t xml:space="preserve">in the year 2011. </w:t>
      </w:r>
      <w:r w:rsidR="00B80E56" w:rsidRPr="00FD0348">
        <w:t xml:space="preserve">Therefore, </w:t>
      </w:r>
      <w:r w:rsidR="00F440A3" w:rsidRPr="00FD0348">
        <w:t xml:space="preserve">my </w:t>
      </w:r>
      <w:r w:rsidR="003E2CA4" w:rsidRPr="00FD0348">
        <w:t>Master’s</w:t>
      </w:r>
      <w:r w:rsidR="00BB4BCE" w:rsidRPr="00FD0348">
        <w:t xml:space="preserve"> thesis</w:t>
      </w:r>
      <w:r w:rsidR="00B80E56" w:rsidRPr="00FD0348">
        <w:t xml:space="preserve">’ conclusions should be used with caution </w:t>
      </w:r>
      <w:r w:rsidR="00F440A3" w:rsidRPr="00FD0348">
        <w:t xml:space="preserve">for structuring audit committees of </w:t>
      </w:r>
      <w:r w:rsidR="00B80E56" w:rsidRPr="00FD0348">
        <w:t xml:space="preserve">small public interest entities. </w:t>
      </w:r>
    </w:p>
    <w:p w:rsidR="007800C4" w:rsidRPr="00FD0348" w:rsidRDefault="005D3220" w:rsidP="00470966">
      <w:pPr>
        <w:ind w:right="27"/>
      </w:pPr>
      <w:r w:rsidRPr="00FD0348">
        <w:t xml:space="preserve">In short my </w:t>
      </w:r>
      <w:r w:rsidR="00D911A7">
        <w:t>m</w:t>
      </w:r>
      <w:r w:rsidR="003E2CA4" w:rsidRPr="00FD0348">
        <w:t>aster’s</w:t>
      </w:r>
      <w:r w:rsidR="00BB4BCE" w:rsidRPr="00FD0348">
        <w:t xml:space="preserve"> thesis</w:t>
      </w:r>
      <w:r w:rsidRPr="00FD0348">
        <w:t xml:space="preserve"> is limited by </w:t>
      </w:r>
      <w:r w:rsidR="0010773F" w:rsidRPr="00FD0348">
        <w:t xml:space="preserve">imperfect but observable proxies, data unavailability, </w:t>
      </w:r>
      <w:r w:rsidR="001523C1" w:rsidRPr="00FD0348">
        <w:t>scaling</w:t>
      </w:r>
      <w:r w:rsidR="007800C4" w:rsidRPr="00FD0348">
        <w:t>, sample selection</w:t>
      </w:r>
      <w:r w:rsidR="0010773F" w:rsidRPr="00FD0348">
        <w:t xml:space="preserve"> bias</w:t>
      </w:r>
      <w:r w:rsidR="007800C4" w:rsidRPr="00FD0348">
        <w:t xml:space="preserve">, </w:t>
      </w:r>
      <w:r w:rsidR="00F440A3" w:rsidRPr="00FD0348">
        <w:t xml:space="preserve">and </w:t>
      </w:r>
      <w:r w:rsidR="007800C4" w:rsidRPr="00FD0348">
        <w:t>statistical bias issues</w:t>
      </w:r>
      <w:r w:rsidR="0010773F" w:rsidRPr="00FD0348">
        <w:t>.</w:t>
      </w:r>
      <w:r w:rsidR="007800C4" w:rsidRPr="00FD0348">
        <w:t xml:space="preserve"> </w:t>
      </w:r>
    </w:p>
    <w:p w:rsidR="00C642CA" w:rsidRPr="00FD0348" w:rsidRDefault="002D4062" w:rsidP="00470966">
      <w:pPr>
        <w:pStyle w:val="Heading2"/>
        <w:ind w:right="27"/>
      </w:pPr>
      <w:bookmarkStart w:id="38" w:name="_Toc364177666"/>
      <w:bookmarkStart w:id="39" w:name="_Toc364200645"/>
      <w:r w:rsidRPr="00FD0348">
        <w:lastRenderedPageBreak/>
        <w:t>F</w:t>
      </w:r>
      <w:r w:rsidR="00C642CA" w:rsidRPr="00FD0348">
        <w:t xml:space="preserve">uture </w:t>
      </w:r>
      <w:r w:rsidRPr="00FD0348">
        <w:t>R</w:t>
      </w:r>
      <w:r w:rsidR="00C642CA" w:rsidRPr="00FD0348">
        <w:t>esearch</w:t>
      </w:r>
      <w:bookmarkEnd w:id="38"/>
      <w:bookmarkEnd w:id="39"/>
    </w:p>
    <w:p w:rsidR="00E03164" w:rsidRPr="00FD0348" w:rsidRDefault="00C642CA" w:rsidP="00470966">
      <w:pPr>
        <w:ind w:right="27"/>
      </w:pPr>
      <w:r w:rsidRPr="00FD0348">
        <w:t xml:space="preserve">While collecting the director’s expertise data I stumbled across audit committee </w:t>
      </w:r>
      <w:r w:rsidR="00095375" w:rsidRPr="00FD0348">
        <w:t xml:space="preserve">composition </w:t>
      </w:r>
      <w:r w:rsidR="00CE43FE" w:rsidRPr="00FD0348">
        <w:t xml:space="preserve">consisting out of </w:t>
      </w:r>
      <w:r w:rsidR="00095375" w:rsidRPr="00FD0348">
        <w:t>directors with law</w:t>
      </w:r>
      <w:r w:rsidR="00CE43FE" w:rsidRPr="00FD0348">
        <w:t>, EUFE</w:t>
      </w:r>
      <w:r w:rsidR="00095375" w:rsidRPr="00FD0348">
        <w:t xml:space="preserve"> and public interest entity’s industry expertise. </w:t>
      </w:r>
      <w:r w:rsidR="0060516A">
        <w:t>M</w:t>
      </w:r>
      <w:r w:rsidR="00E03164" w:rsidRPr="00FD0348">
        <w:t>y results suggest that larger audit committee increases the likeli</w:t>
      </w:r>
      <w:r w:rsidR="0060516A">
        <w:t>hood of higher earnings quality.</w:t>
      </w:r>
      <w:r w:rsidR="00E03164" w:rsidRPr="00FD0348">
        <w:t xml:space="preserve"> </w:t>
      </w:r>
      <w:r w:rsidR="0060516A">
        <w:t>F</w:t>
      </w:r>
      <w:r w:rsidR="00CE43FE" w:rsidRPr="00FD0348">
        <w:t>uture resear</w:t>
      </w:r>
      <w:r w:rsidR="00AE6B63" w:rsidRPr="00FD0348">
        <w:t>ch should provide evidence whether public interest entities employing a combination of directors with knowledge and experience in several fields, such as accounting, auditing, law and industry, would enhance the monitoring capabilities due to the audit committee having greater knowledge of the public interest entity’</w:t>
      </w:r>
      <w:r w:rsidR="0096051F" w:rsidRPr="00FD0348">
        <w:t>s association in several expertise fields.</w:t>
      </w:r>
    </w:p>
    <w:p w:rsidR="00C642CA" w:rsidRDefault="00E03164" w:rsidP="00470966">
      <w:pPr>
        <w:ind w:right="27"/>
      </w:pPr>
      <w:r w:rsidRPr="00FD0348">
        <w:t xml:space="preserve">Motivated to improve the </w:t>
      </w:r>
      <w:r w:rsidR="00833A2E" w:rsidRPr="00FD0348">
        <w:t xml:space="preserve">attainability </w:t>
      </w:r>
      <w:r w:rsidRPr="00FD0348">
        <w:t>of empirical research for EU public interest entities I would like to urge policy makers</w:t>
      </w:r>
      <w:r w:rsidR="00833A2E" w:rsidRPr="00FD0348">
        <w:t xml:space="preserve"> and</w:t>
      </w:r>
      <w:r w:rsidRPr="00FD0348">
        <w:t xml:space="preserve"> regulators to improve </w:t>
      </w:r>
      <w:r w:rsidR="00833A2E" w:rsidRPr="00FD0348">
        <w:t xml:space="preserve">the </w:t>
      </w:r>
      <w:r w:rsidRPr="00FD0348">
        <w:t xml:space="preserve">data availability for </w:t>
      </w:r>
      <w:r w:rsidR="0096051F" w:rsidRPr="00FD0348">
        <w:t>the EU public interest entities</w:t>
      </w:r>
      <w:r w:rsidR="00833A2E" w:rsidRPr="00FD0348">
        <w:t xml:space="preserve"> </w:t>
      </w:r>
      <w:r w:rsidR="00741178" w:rsidRPr="00FD0348">
        <w:t>given that</w:t>
      </w:r>
      <w:r w:rsidR="00833A2E" w:rsidRPr="00FD0348">
        <w:t xml:space="preserve"> it is difficult to collect the data necessary for conducting </w:t>
      </w:r>
      <w:r w:rsidR="00237D00" w:rsidRPr="00FD0348">
        <w:t xml:space="preserve">empirical </w:t>
      </w:r>
      <w:r w:rsidR="00833A2E" w:rsidRPr="00FD0348">
        <w:t>research on EU public interest entities.</w:t>
      </w:r>
      <w:r w:rsidR="0096051F" w:rsidRPr="00FD0348">
        <w:t xml:space="preserve"> </w:t>
      </w:r>
      <w:r w:rsidR="00AB5F1F">
        <w:t xml:space="preserve">If ownership, tenure or directorships of the executive and supervisory board </w:t>
      </w:r>
      <w:r w:rsidR="004514C3">
        <w:t xml:space="preserve">information </w:t>
      </w:r>
      <w:r w:rsidR="00AB5F1F">
        <w:t xml:space="preserve">was available in databases, more variables </w:t>
      </w:r>
      <w:r w:rsidR="00AB5F1F">
        <w:rPr>
          <w:rStyle w:val="FootnoteReference"/>
        </w:rPr>
        <w:footnoteReference w:id="23"/>
      </w:r>
      <w:r w:rsidR="00AB5F1F">
        <w:t xml:space="preserve"> could have been added </w:t>
      </w:r>
      <w:r w:rsidR="004514C3">
        <w:t>to</w:t>
      </w:r>
      <w:r w:rsidR="00AB5F1F">
        <w:t xml:space="preserve"> my research model</w:t>
      </w:r>
      <w:r w:rsidR="004514C3">
        <w:t>. Future research should provide very interesting results if ownership, tenure or directorships of the audit committee directors can be added to my equation.</w:t>
      </w:r>
    </w:p>
    <w:p w:rsidR="004514C3" w:rsidRPr="00FD0348" w:rsidRDefault="004514C3" w:rsidP="00470966">
      <w:pPr>
        <w:ind w:right="27"/>
      </w:pPr>
    </w:p>
    <w:p w:rsidR="00965281" w:rsidRDefault="00965281" w:rsidP="00470966">
      <w:pPr>
        <w:spacing w:before="200" w:after="200"/>
        <w:ind w:right="27" w:firstLine="0"/>
        <w:jc w:val="left"/>
      </w:pPr>
      <w:r>
        <w:br w:type="page"/>
      </w:r>
    </w:p>
    <w:p w:rsidR="00F42A88" w:rsidRPr="00FD0348" w:rsidRDefault="00F42A88" w:rsidP="00470966">
      <w:pPr>
        <w:pStyle w:val="Heading1"/>
        <w:ind w:right="27"/>
      </w:pPr>
      <w:bookmarkStart w:id="40" w:name="_Toc364177667"/>
      <w:bookmarkStart w:id="41" w:name="_Toc364200646"/>
      <w:r w:rsidRPr="00FD0348">
        <w:lastRenderedPageBreak/>
        <w:t>Appendix</w:t>
      </w:r>
      <w:bookmarkEnd w:id="40"/>
      <w:bookmarkEnd w:id="41"/>
    </w:p>
    <w:tbl>
      <w:tblPr>
        <w:tblW w:w="8860" w:type="dxa"/>
        <w:tblInd w:w="100" w:type="dxa"/>
        <w:tblLook w:val="04A0"/>
      </w:tblPr>
      <w:tblGrid>
        <w:gridCol w:w="2180"/>
        <w:gridCol w:w="298"/>
        <w:gridCol w:w="2560"/>
        <w:gridCol w:w="298"/>
        <w:gridCol w:w="3760"/>
      </w:tblGrid>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 xml:space="preserve">Exhibit 1. </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c>
          <w:tcPr>
            <w:tcW w:w="25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c>
          <w:tcPr>
            <w:tcW w:w="37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4920" w:type="dxa"/>
            <w:gridSpan w:val="3"/>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Source: </w:t>
            </w:r>
            <w:proofErr w:type="spellStart"/>
            <w:r w:rsidRPr="00FD0348">
              <w:rPr>
                <w:rFonts w:ascii="Calibri" w:eastAsia="Times New Roman" w:hAnsi="Calibri" w:cs="Times New Roman"/>
                <w:color w:val="000000"/>
                <w:sz w:val="16"/>
                <w:szCs w:val="16"/>
                <w:lang w:bidi="ar-SA"/>
              </w:rPr>
              <w:t>Dechow</w:t>
            </w:r>
            <w:proofErr w:type="spellEnd"/>
            <w:r w:rsidRPr="00FD0348">
              <w:rPr>
                <w:rFonts w:ascii="Calibri" w:eastAsia="Times New Roman" w:hAnsi="Calibri" w:cs="Times New Roman"/>
                <w:color w:val="000000"/>
                <w:sz w:val="16"/>
                <w:szCs w:val="16"/>
                <w:lang w:bidi="ar-SA"/>
              </w:rPr>
              <w:t xml:space="preserve">, </w:t>
            </w:r>
            <w:proofErr w:type="spellStart"/>
            <w:r w:rsidRPr="00FD0348">
              <w:rPr>
                <w:rFonts w:ascii="Calibri" w:eastAsia="Times New Roman" w:hAnsi="Calibri" w:cs="Times New Roman"/>
                <w:color w:val="000000"/>
                <w:sz w:val="16"/>
                <w:szCs w:val="16"/>
                <w:lang w:bidi="ar-SA"/>
              </w:rPr>
              <w:t>Ge</w:t>
            </w:r>
            <w:proofErr w:type="spellEnd"/>
            <w:r w:rsidRPr="00FD0348">
              <w:rPr>
                <w:rFonts w:ascii="Calibri" w:eastAsia="Times New Roman" w:hAnsi="Calibri" w:cs="Times New Roman"/>
                <w:color w:val="000000"/>
                <w:sz w:val="16"/>
                <w:szCs w:val="16"/>
                <w:lang w:bidi="ar-SA"/>
              </w:rPr>
              <w:t xml:space="preserve"> &amp; </w:t>
            </w:r>
            <w:proofErr w:type="spellStart"/>
            <w:r w:rsidRPr="00FD0348">
              <w:rPr>
                <w:rFonts w:ascii="Calibri" w:eastAsia="Times New Roman" w:hAnsi="Calibri" w:cs="Times New Roman"/>
                <w:color w:val="000000"/>
                <w:sz w:val="16"/>
                <w:szCs w:val="16"/>
                <w:lang w:bidi="ar-SA"/>
              </w:rPr>
              <w:t>S</w:t>
            </w:r>
            <w:r w:rsidR="00D31764">
              <w:rPr>
                <w:rFonts w:ascii="Calibri" w:eastAsia="Times New Roman" w:hAnsi="Calibri" w:cs="Times New Roman"/>
                <w:color w:val="000000"/>
                <w:sz w:val="16"/>
                <w:szCs w:val="16"/>
                <w:lang w:bidi="ar-SA"/>
              </w:rPr>
              <w:t>c</w:t>
            </w:r>
            <w:r w:rsidRPr="00FD0348">
              <w:rPr>
                <w:rFonts w:ascii="Calibri" w:eastAsia="Times New Roman" w:hAnsi="Calibri" w:cs="Times New Roman"/>
                <w:color w:val="000000"/>
                <w:sz w:val="16"/>
                <w:szCs w:val="16"/>
                <w:lang w:bidi="ar-SA"/>
              </w:rPr>
              <w:t>hrand</w:t>
            </w:r>
            <w:proofErr w:type="spellEnd"/>
            <w:r w:rsidRPr="00FD0348">
              <w:rPr>
                <w:rFonts w:ascii="Calibri" w:eastAsia="Times New Roman" w:hAnsi="Calibri" w:cs="Times New Roman"/>
                <w:color w:val="000000"/>
                <w:sz w:val="16"/>
                <w:szCs w:val="16"/>
                <w:lang w:bidi="ar-SA"/>
              </w:rPr>
              <w:t xml:space="preserve"> (2010)</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c>
          <w:tcPr>
            <w:tcW w:w="37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8860" w:type="dxa"/>
            <w:gridSpan w:val="5"/>
            <w:vMerge w:val="restart"/>
            <w:tcBorders>
              <w:top w:val="nil"/>
              <w:left w:val="nil"/>
              <w:bottom w:val="double" w:sz="6" w:space="0" w:color="000000"/>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Exhibit 1 lists the earnings quality proxies summarized by </w:t>
            </w:r>
            <w:proofErr w:type="spellStart"/>
            <w:r w:rsidRPr="00FD0348">
              <w:rPr>
                <w:rFonts w:ascii="Calibri" w:eastAsia="Times New Roman" w:hAnsi="Calibri" w:cs="Times New Roman"/>
                <w:color w:val="000000"/>
                <w:sz w:val="16"/>
                <w:szCs w:val="16"/>
                <w:lang w:bidi="ar-SA"/>
              </w:rPr>
              <w:t>Dechow</w:t>
            </w:r>
            <w:proofErr w:type="spellEnd"/>
            <w:r w:rsidRPr="00FD0348">
              <w:rPr>
                <w:rFonts w:ascii="Calibri" w:eastAsia="Times New Roman" w:hAnsi="Calibri" w:cs="Times New Roman"/>
                <w:color w:val="000000"/>
                <w:sz w:val="16"/>
                <w:szCs w:val="16"/>
                <w:lang w:bidi="ar-SA"/>
              </w:rPr>
              <w:t xml:space="preserve"> et al. (2010). The earnings measures listed in this table are commonly used proxies (indicators) for (of) earnings quality.</w:t>
            </w:r>
          </w:p>
        </w:tc>
      </w:tr>
      <w:tr w:rsidR="00FD0348" w:rsidRPr="00FD0348" w:rsidTr="00FD0348">
        <w:trPr>
          <w:trHeight w:val="240"/>
        </w:trPr>
        <w:tc>
          <w:tcPr>
            <w:tcW w:w="8860" w:type="dxa"/>
            <w:gridSpan w:val="5"/>
            <w:vMerge/>
            <w:tcBorders>
              <w:top w:val="nil"/>
              <w:left w:val="nil"/>
              <w:bottom w:val="double" w:sz="6" w:space="0" w:color="000000"/>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70"/>
        </w:trPr>
        <w:tc>
          <w:tcPr>
            <w:tcW w:w="2180" w:type="dxa"/>
            <w:tcBorders>
              <w:top w:val="nil"/>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Empirical proxy</w:t>
            </w:r>
          </w:p>
        </w:tc>
        <w:tc>
          <w:tcPr>
            <w:tcW w:w="180" w:type="dxa"/>
            <w:tcBorders>
              <w:top w:val="nil"/>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 </w:t>
            </w:r>
          </w:p>
        </w:tc>
        <w:tc>
          <w:tcPr>
            <w:tcW w:w="2560" w:type="dxa"/>
            <w:tcBorders>
              <w:top w:val="nil"/>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Theory</w:t>
            </w:r>
          </w:p>
        </w:tc>
        <w:tc>
          <w:tcPr>
            <w:tcW w:w="180" w:type="dxa"/>
            <w:tcBorders>
              <w:top w:val="nil"/>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 </w:t>
            </w:r>
          </w:p>
        </w:tc>
        <w:tc>
          <w:tcPr>
            <w:tcW w:w="3760" w:type="dxa"/>
            <w:tcBorders>
              <w:top w:val="nil"/>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Pros and Cons</w:t>
            </w:r>
          </w:p>
        </w:tc>
      </w:tr>
      <w:tr w:rsidR="00FD0348" w:rsidRPr="00FD0348" w:rsidTr="00FD0348">
        <w:trPr>
          <w:trHeight w:val="255"/>
        </w:trPr>
        <w:tc>
          <w:tcPr>
            <w:tcW w:w="8860" w:type="dxa"/>
            <w:gridSpan w:val="5"/>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u w:val="single"/>
                <w:lang w:bidi="ar-SA"/>
              </w:rPr>
            </w:pPr>
            <w:r w:rsidRPr="00FD0348">
              <w:rPr>
                <w:rFonts w:ascii="Calibri" w:eastAsia="Times New Roman" w:hAnsi="Calibri" w:cs="Times New Roman"/>
                <w:color w:val="000000"/>
                <w:u w:val="single"/>
                <w:lang w:bidi="ar-SA"/>
              </w:rPr>
              <w:t>Earnings quality category 1: Properties of earnings</w:t>
            </w: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Earnings persistence</w:t>
            </w:r>
            <w:r w:rsidRPr="00FD0348">
              <w:rPr>
                <w:rFonts w:ascii="Calibri" w:eastAsia="Times New Roman" w:hAnsi="Calibri" w:cs="Times New Roman"/>
                <w:color w:val="000000"/>
                <w:sz w:val="16"/>
                <w:szCs w:val="16"/>
                <w:lang w:bidi="ar-SA"/>
              </w:rPr>
              <w:t xml:space="preserve">: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p>
        </w:tc>
        <w:tc>
          <w:tcPr>
            <w:tcW w:w="256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510"/>
        </w:trPr>
        <w:tc>
          <w:tcPr>
            <w:tcW w:w="2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Earnings</w:t>
            </w:r>
            <w:r w:rsidRPr="00FD0348">
              <w:rPr>
                <w:rFonts w:ascii="Calibri" w:eastAsia="Times New Roman" w:hAnsi="Calibri" w:cs="Times New Roman"/>
                <w:color w:val="000000"/>
                <w:sz w:val="16"/>
                <w:szCs w:val="16"/>
                <w:vertAlign w:val="subscript"/>
                <w:lang w:bidi="ar-SA"/>
              </w:rPr>
              <w:t xml:space="preserve">t+1 </w:t>
            </w:r>
            <w:r w:rsidRPr="00FD0348">
              <w:rPr>
                <w:rFonts w:ascii="Calibri" w:eastAsia="Times New Roman" w:hAnsi="Calibri" w:cs="Times New Roman"/>
                <w:color w:val="000000"/>
                <w:sz w:val="16"/>
                <w:szCs w:val="16"/>
                <w:lang w:bidi="ar-SA"/>
              </w:rPr>
              <w:t xml:space="preserve">= α + </w:t>
            </w:r>
            <w:proofErr w:type="spellStart"/>
            <w:r w:rsidRPr="00FD0348">
              <w:rPr>
                <w:rFonts w:ascii="Calibri" w:eastAsia="Times New Roman" w:hAnsi="Calibri" w:cs="Times New Roman"/>
                <w:color w:val="000000"/>
                <w:sz w:val="16"/>
                <w:szCs w:val="16"/>
                <w:lang w:bidi="ar-SA"/>
              </w:rPr>
              <w:t>βEarnings</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ε</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Public-interest entities that report persistent earnings throughout consecutive reporting periods are considered to have a high quality of earnings because earnings persistence contains a more “sustainable” earnings/cash flow stream. </w:t>
            </w: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 xml:space="preserve">Pros: </w:t>
            </w:r>
            <w:r w:rsidRPr="00FD0348">
              <w:rPr>
                <w:rFonts w:ascii="Calibri" w:eastAsia="Times New Roman" w:hAnsi="Calibri" w:cs="Times New Roman"/>
                <w:color w:val="000000"/>
                <w:sz w:val="16"/>
                <w:szCs w:val="16"/>
                <w:lang w:bidi="ar-SA"/>
              </w:rPr>
              <w:t xml:space="preserve">Fits well with a </w:t>
            </w:r>
            <w:proofErr w:type="spellStart"/>
            <w:r w:rsidRPr="00FD0348">
              <w:rPr>
                <w:rFonts w:ascii="Calibri" w:eastAsia="Times New Roman" w:hAnsi="Calibri" w:cs="Times New Roman"/>
                <w:color w:val="000000"/>
                <w:sz w:val="16"/>
                <w:szCs w:val="16"/>
                <w:lang w:bidi="ar-SA"/>
              </w:rPr>
              <w:t>Grahamand</w:t>
            </w:r>
            <w:proofErr w:type="spellEnd"/>
            <w:r w:rsidRPr="00FD0348">
              <w:rPr>
                <w:rFonts w:ascii="Calibri" w:eastAsia="Times New Roman" w:hAnsi="Calibri" w:cs="Times New Roman"/>
                <w:color w:val="000000"/>
                <w:sz w:val="16"/>
                <w:szCs w:val="16"/>
                <w:lang w:bidi="ar-SA"/>
              </w:rPr>
              <w:t xml:space="preserve"> Dodd view of earnings as a summary metric of expected cash flows useful for equity valuation.</w:t>
            </w:r>
          </w:p>
        </w:tc>
      </w:tr>
      <w:tr w:rsidR="00FD0348" w:rsidRPr="00FD0348" w:rsidTr="00FD0348">
        <w:trPr>
          <w:trHeight w:val="510"/>
        </w:trPr>
        <w:tc>
          <w:tcPr>
            <w:tcW w:w="2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Earnings</w:t>
            </w:r>
            <w:r w:rsidRPr="00FD0348">
              <w:rPr>
                <w:rFonts w:ascii="Calibri" w:eastAsia="Times New Roman" w:hAnsi="Calibri" w:cs="Times New Roman"/>
                <w:color w:val="000000"/>
                <w:sz w:val="16"/>
                <w:szCs w:val="16"/>
                <w:vertAlign w:val="subscript"/>
                <w:lang w:bidi="ar-SA"/>
              </w:rPr>
              <w:t>t+1</w:t>
            </w:r>
            <w:r w:rsidRPr="00FD0348">
              <w:rPr>
                <w:rFonts w:ascii="Calibri" w:eastAsia="Times New Roman" w:hAnsi="Calibri" w:cs="Times New Roman"/>
                <w:color w:val="000000"/>
                <w:sz w:val="16"/>
                <w:szCs w:val="16"/>
                <w:lang w:bidi="ar-SA"/>
              </w:rPr>
              <w:t xml:space="preserve"> = α + </w:t>
            </w:r>
            <w:proofErr w:type="spellStart"/>
            <w:r w:rsidRPr="00FD0348">
              <w:rPr>
                <w:rFonts w:ascii="Calibri" w:eastAsia="Times New Roman" w:hAnsi="Calibri" w:cs="Times New Roman"/>
                <w:color w:val="000000"/>
                <w:sz w:val="16"/>
                <w:szCs w:val="16"/>
                <w:lang w:bidi="ar-SA"/>
              </w:rPr>
              <w:t>β₁CF</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β₂Accruals</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ε</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90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Earningst+1 = α + </w:t>
            </w:r>
            <w:proofErr w:type="spellStart"/>
            <w:r w:rsidRPr="00FD0348">
              <w:rPr>
                <w:rFonts w:ascii="Calibri" w:eastAsia="Times New Roman" w:hAnsi="Calibri" w:cs="Times New Roman"/>
                <w:color w:val="000000"/>
                <w:sz w:val="16"/>
                <w:szCs w:val="16"/>
                <w:lang w:bidi="ar-SA"/>
              </w:rPr>
              <w:t>δ₁Earningst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δ₂Financial</w:t>
            </w:r>
            <w:proofErr w:type="spellEnd"/>
            <w:r w:rsidRPr="00FD0348">
              <w:rPr>
                <w:rFonts w:ascii="Calibri" w:eastAsia="Times New Roman" w:hAnsi="Calibri" w:cs="Times New Roman"/>
                <w:color w:val="000000"/>
                <w:sz w:val="16"/>
                <w:szCs w:val="16"/>
                <w:lang w:bidi="ar-SA"/>
              </w:rPr>
              <w:t xml:space="preserve"> statement components + </w:t>
            </w:r>
            <w:proofErr w:type="spellStart"/>
            <w:r w:rsidRPr="00FD0348">
              <w:rPr>
                <w:rFonts w:ascii="Calibri" w:eastAsia="Times New Roman" w:hAnsi="Calibri" w:cs="Times New Roman"/>
                <w:color w:val="000000"/>
                <w:sz w:val="16"/>
                <w:szCs w:val="16"/>
                <w:lang w:bidi="ar-SA"/>
              </w:rPr>
              <w:t>δ₃Other</w:t>
            </w:r>
            <w:proofErr w:type="spellEnd"/>
            <w:r w:rsidRPr="00FD0348">
              <w:rPr>
                <w:rFonts w:ascii="Calibri" w:eastAsia="Times New Roman" w:hAnsi="Calibri" w:cs="Times New Roman"/>
                <w:color w:val="000000"/>
                <w:sz w:val="16"/>
                <w:szCs w:val="16"/>
                <w:lang w:bidi="ar-SA"/>
              </w:rPr>
              <w:t xml:space="preserve"> Information t + </w:t>
            </w:r>
            <w:proofErr w:type="spellStart"/>
            <w:r w:rsidRPr="00FD0348">
              <w:rPr>
                <w:rFonts w:ascii="Calibri" w:eastAsia="Times New Roman" w:hAnsi="Calibri" w:cs="Times New Roman"/>
                <w:color w:val="000000"/>
                <w:sz w:val="16"/>
                <w:szCs w:val="16"/>
                <w:lang w:bidi="ar-SA"/>
              </w:rPr>
              <w:t>εt</w:t>
            </w:r>
            <w:proofErr w:type="spellEnd"/>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b/>
                <w:bCs/>
                <w:color w:val="000000"/>
                <w:sz w:val="16"/>
                <w:szCs w:val="16"/>
                <w:lang w:bidi="ar-SA"/>
              </w:rPr>
              <w:t xml:space="preserve">Cons: </w:t>
            </w:r>
            <w:r w:rsidRPr="00FD0348">
              <w:rPr>
                <w:rFonts w:ascii="Calibri" w:eastAsia="Times New Roman" w:hAnsi="Calibri" w:cs="Times New Roman"/>
                <w:color w:val="000000"/>
                <w:sz w:val="16"/>
                <w:szCs w:val="16"/>
                <w:lang w:bidi="ar-SA"/>
              </w:rPr>
              <w:t>Persistence depends both on the firm’s fundamental performance as well as the accounting measurement system. Disentangling the role of each is problematic. Persistence may be achieved in the short run by engaging in earnings management</w:t>
            </w: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roofErr w:type="gramStart"/>
            <w:r w:rsidRPr="00FD0348">
              <w:rPr>
                <w:rFonts w:ascii="Calibri" w:eastAsia="Times New Roman" w:hAnsi="Calibri" w:cs="Times New Roman"/>
                <w:color w:val="000000"/>
                <w:sz w:val="16"/>
                <w:szCs w:val="16"/>
                <w:lang w:bidi="ar-SA"/>
              </w:rPr>
              <w:t>β</w:t>
            </w:r>
            <w:proofErr w:type="gramEnd"/>
            <w:r w:rsidRPr="00FD0348">
              <w:rPr>
                <w:rFonts w:ascii="Calibri" w:eastAsia="Times New Roman" w:hAnsi="Calibri" w:cs="Times New Roman"/>
                <w:color w:val="000000"/>
                <w:sz w:val="16"/>
                <w:szCs w:val="16"/>
                <w:lang w:bidi="ar-SA"/>
              </w:rPr>
              <w:t xml:space="preserve"> measures persistence.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Magnitude of accruals</w:t>
            </w:r>
            <w:r w:rsidRPr="00FD0348">
              <w:rPr>
                <w:rFonts w:ascii="Calibri" w:eastAsia="Times New Roman" w:hAnsi="Calibri" w:cs="Times New Roman"/>
                <w:color w:val="000000"/>
                <w:sz w:val="16"/>
                <w:szCs w:val="16"/>
                <w:lang w:bidi="ar-SA"/>
              </w:rPr>
              <w:t xml:space="preserve">: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5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Accruals = </w:t>
            </w:r>
            <w:proofErr w:type="spellStart"/>
            <w:r w:rsidRPr="00FD0348">
              <w:rPr>
                <w:rFonts w:ascii="Calibri" w:eastAsia="Times New Roman" w:hAnsi="Calibri" w:cs="Times New Roman"/>
                <w:color w:val="000000"/>
                <w:sz w:val="16"/>
                <w:szCs w:val="16"/>
                <w:lang w:bidi="ar-SA"/>
              </w:rPr>
              <w:t>Earnings</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CF</w:t>
            </w:r>
            <w:r w:rsidRPr="00FD0348">
              <w:rPr>
                <w:rFonts w:ascii="Calibri" w:eastAsia="Times New Roman" w:hAnsi="Calibri" w:cs="Times New Roman"/>
                <w:color w:val="000000"/>
                <w:sz w:val="16"/>
                <w:szCs w:val="16"/>
                <w:vertAlign w:val="subscript"/>
                <w:lang w:bidi="ar-SA"/>
              </w:rPr>
              <w:t>t</w:t>
            </w:r>
            <w:proofErr w:type="spellEnd"/>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Public-interest entities with large amounts of accruals are considered to have a lower earnings quality because accruals represent a less persistent component of earnings.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Pros:</w:t>
            </w:r>
            <w:r w:rsidRPr="00FD0348">
              <w:rPr>
                <w:rFonts w:ascii="Calibri" w:eastAsia="Times New Roman" w:hAnsi="Calibri" w:cs="Times New Roman"/>
                <w:color w:val="000000"/>
                <w:sz w:val="16"/>
                <w:szCs w:val="16"/>
                <w:lang w:bidi="ar-SA"/>
              </w:rPr>
              <w:t xml:space="preserve"> The accrual-based accounting measurements used for abnormal accrual proxies are very reliable with measuring the presence of abnormal accruals. </w:t>
            </w: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Accruals = ∆ (noncash working capital)</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Accruals = ∆ (net operating assets)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The likelihood exists that the presence of abnormal accruals is caused by the public-interest entity’s performance and measurement rules.</w:t>
            </w: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Specific accrual components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4920" w:type="dxa"/>
            <w:gridSpan w:val="3"/>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proofErr w:type="spellStart"/>
            <w:r w:rsidRPr="00FD0348">
              <w:rPr>
                <w:rFonts w:ascii="Calibri" w:eastAsia="Times New Roman" w:hAnsi="Calibri" w:cs="Times New Roman"/>
                <w:color w:val="000000"/>
                <w:sz w:val="16"/>
                <w:szCs w:val="16"/>
                <w:u w:val="single"/>
                <w:lang w:bidi="ar-SA"/>
              </w:rPr>
              <w:t>Residuels</w:t>
            </w:r>
            <w:proofErr w:type="spellEnd"/>
            <w:r w:rsidRPr="00FD0348">
              <w:rPr>
                <w:rFonts w:ascii="Calibri" w:eastAsia="Times New Roman" w:hAnsi="Calibri" w:cs="Times New Roman"/>
                <w:color w:val="000000"/>
                <w:sz w:val="16"/>
                <w:szCs w:val="16"/>
                <w:u w:val="single"/>
                <w:lang w:bidi="ar-SA"/>
              </w:rPr>
              <w:t xml:space="preserve"> from accrual models</w:t>
            </w:r>
            <w:r w:rsidRPr="00FD0348">
              <w:rPr>
                <w:rFonts w:ascii="Calibri" w:eastAsia="Times New Roman" w:hAnsi="Calibri" w:cs="Times New Roman"/>
                <w:color w:val="000000"/>
                <w:sz w:val="16"/>
                <w:szCs w:val="16"/>
                <w:lang w:bidi="ar-SA"/>
              </w:rPr>
              <w:t xml:space="preserve">: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67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Error term from regressing accruals on their economic drivers using:</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Residuals from accrual models represent management discretion or estimation errors, both of which reduce decision usefulness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Pros:</w:t>
            </w:r>
            <w:r w:rsidRPr="00FD0348">
              <w:rPr>
                <w:rFonts w:ascii="Calibri" w:eastAsia="Times New Roman" w:hAnsi="Calibri" w:cs="Times New Roman"/>
                <w:color w:val="000000"/>
                <w:sz w:val="16"/>
                <w:szCs w:val="16"/>
                <w:lang w:bidi="ar-SA"/>
              </w:rPr>
              <w:t xml:space="preserve"> The measure attempts to isolate the managed or error component of accruals.</w:t>
            </w:r>
          </w:p>
        </w:tc>
      </w:tr>
      <w:tr w:rsidR="00FD0348" w:rsidRPr="00FD0348" w:rsidTr="00FD0348">
        <w:trPr>
          <w:trHeight w:val="225"/>
        </w:trPr>
        <w:tc>
          <w:tcPr>
            <w:tcW w:w="2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Jones (1991) model</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 xml:space="preserve">Cons: </w:t>
            </w:r>
            <w:r w:rsidRPr="00FD0348">
              <w:rPr>
                <w:rFonts w:ascii="Calibri" w:eastAsia="Times New Roman" w:hAnsi="Calibri" w:cs="Times New Roman"/>
                <w:color w:val="000000"/>
                <w:sz w:val="16"/>
                <w:szCs w:val="16"/>
                <w:lang w:bidi="ar-SA"/>
              </w:rPr>
              <w:t xml:space="preserve">Correlated omitted variables associated with fundamentals are of concern given the dependence of normal accruals on fundamentals and the </w:t>
            </w:r>
            <w:proofErr w:type="spellStart"/>
            <w:r w:rsidRPr="00FD0348">
              <w:rPr>
                <w:rFonts w:ascii="Calibri" w:eastAsia="Times New Roman" w:hAnsi="Calibri" w:cs="Times New Roman"/>
                <w:color w:val="000000"/>
                <w:sz w:val="16"/>
                <w:szCs w:val="16"/>
                <w:lang w:bidi="ar-SA"/>
              </w:rPr>
              <w:t>endogeneity</w:t>
            </w:r>
            <w:proofErr w:type="spellEnd"/>
            <w:r w:rsidRPr="00FD0348">
              <w:rPr>
                <w:rFonts w:ascii="Calibri" w:eastAsia="Times New Roman" w:hAnsi="Calibri" w:cs="Times New Roman"/>
                <w:color w:val="000000"/>
                <w:sz w:val="16"/>
                <w:szCs w:val="16"/>
                <w:lang w:bidi="ar-SA"/>
              </w:rPr>
              <w:t xml:space="preserve"> of the hypothesized determinants / consequences with the fundamentals</w:t>
            </w:r>
          </w:p>
        </w:tc>
      </w:tr>
      <w:tr w:rsidR="00FD0348" w:rsidRPr="00FD0348" w:rsidTr="00FD0348">
        <w:trPr>
          <w:trHeight w:val="225"/>
        </w:trPr>
        <w:tc>
          <w:tcPr>
            <w:tcW w:w="4920" w:type="dxa"/>
            <w:gridSpan w:val="3"/>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Modified Jones model (</w:t>
            </w:r>
            <w:proofErr w:type="spellStart"/>
            <w:r w:rsidRPr="00FD0348">
              <w:rPr>
                <w:rFonts w:ascii="Calibri" w:eastAsia="Times New Roman" w:hAnsi="Calibri" w:cs="Times New Roman"/>
                <w:color w:val="000000"/>
                <w:sz w:val="16"/>
                <w:szCs w:val="16"/>
                <w:lang w:bidi="ar-SA"/>
              </w:rPr>
              <w:t>Dechow</w:t>
            </w:r>
            <w:proofErr w:type="spellEnd"/>
            <w:r w:rsidRPr="00FD0348">
              <w:rPr>
                <w:rFonts w:ascii="Calibri" w:eastAsia="Times New Roman" w:hAnsi="Calibri" w:cs="Times New Roman"/>
                <w:color w:val="000000"/>
                <w:sz w:val="16"/>
                <w:szCs w:val="16"/>
                <w:lang w:bidi="ar-SA"/>
              </w:rPr>
              <w:t xml:space="preserve"> et al. 1995)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4920" w:type="dxa"/>
            <w:gridSpan w:val="3"/>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Performance matched (Kothari et al. 2005)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4920" w:type="dxa"/>
            <w:gridSpan w:val="3"/>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 </w:t>
            </w:r>
            <w:proofErr w:type="spellStart"/>
            <w:r w:rsidRPr="00FD0348">
              <w:rPr>
                <w:rFonts w:ascii="Calibri" w:eastAsia="Times New Roman" w:hAnsi="Calibri" w:cs="Times New Roman"/>
                <w:color w:val="000000"/>
                <w:sz w:val="16"/>
                <w:szCs w:val="16"/>
                <w:lang w:bidi="ar-SA"/>
              </w:rPr>
              <w:t>Dechow</w:t>
            </w:r>
            <w:proofErr w:type="spellEnd"/>
            <w:r w:rsidRPr="00FD0348">
              <w:rPr>
                <w:rFonts w:ascii="Calibri" w:eastAsia="Times New Roman" w:hAnsi="Calibri" w:cs="Times New Roman"/>
                <w:color w:val="000000"/>
                <w:sz w:val="16"/>
                <w:szCs w:val="16"/>
                <w:lang w:bidi="ar-SA"/>
              </w:rPr>
              <w:t xml:space="preserve"> and </w:t>
            </w:r>
            <w:proofErr w:type="spellStart"/>
            <w:r w:rsidRPr="00FD0348">
              <w:rPr>
                <w:rFonts w:ascii="Calibri" w:eastAsia="Times New Roman" w:hAnsi="Calibri" w:cs="Times New Roman"/>
                <w:color w:val="000000"/>
                <w:sz w:val="16"/>
                <w:szCs w:val="16"/>
                <w:lang w:bidi="ar-SA"/>
              </w:rPr>
              <w:t>Dichev</w:t>
            </w:r>
            <w:proofErr w:type="spellEnd"/>
            <w:r w:rsidRPr="00FD0348">
              <w:rPr>
                <w:rFonts w:ascii="Calibri" w:eastAsia="Times New Roman" w:hAnsi="Calibri" w:cs="Times New Roman"/>
                <w:color w:val="000000"/>
                <w:sz w:val="16"/>
                <w:szCs w:val="16"/>
                <w:lang w:bidi="ar-SA"/>
              </w:rPr>
              <w:t xml:space="preserve"> (2002) approach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4920" w:type="dxa"/>
            <w:gridSpan w:val="3"/>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Discretionary estimation errors (Francis et al. 2005a)</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Earnings Smoothing:</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σ (Earnings) / σ (Cash flows)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Smoothing transitory cash flows can improve earnings persistence and earnings </w:t>
            </w:r>
            <w:proofErr w:type="spellStart"/>
            <w:r w:rsidRPr="00FD0348">
              <w:rPr>
                <w:rFonts w:ascii="Calibri" w:eastAsia="Times New Roman" w:hAnsi="Calibri" w:cs="Times New Roman"/>
                <w:color w:val="000000"/>
                <w:sz w:val="16"/>
                <w:szCs w:val="16"/>
                <w:lang w:bidi="ar-SA"/>
              </w:rPr>
              <w:t>informativeness</w:t>
            </w:r>
            <w:proofErr w:type="spellEnd"/>
            <w:r w:rsidRPr="00FD0348">
              <w:rPr>
                <w:rFonts w:ascii="Calibri" w:eastAsia="Times New Roman" w:hAnsi="Calibri" w:cs="Times New Roman"/>
                <w:color w:val="000000"/>
                <w:sz w:val="16"/>
                <w:szCs w:val="16"/>
                <w:lang w:bidi="ar-SA"/>
              </w:rPr>
              <w:t>. However, managers attempting to smooth permanent changes in cash flows will lead to a less timely and less informative earnings number.</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Pros:</w:t>
            </w:r>
            <w:r w:rsidRPr="00FD0348">
              <w:rPr>
                <w:rFonts w:ascii="Calibri" w:eastAsia="Times New Roman" w:hAnsi="Calibri" w:cs="Times New Roman"/>
                <w:color w:val="000000"/>
                <w:sz w:val="16"/>
                <w:szCs w:val="16"/>
                <w:lang w:bidi="ar-SA"/>
              </w:rPr>
              <w:t xml:space="preserve"> Smoothing of income is very common practices making the earnings smoothness approach a good measurement for earnings quality in cross-country studies.</w:t>
            </w:r>
          </w:p>
        </w:tc>
      </w:tr>
      <w:tr w:rsidR="00FD0348" w:rsidRPr="00FD0348" w:rsidTr="00FD0348">
        <w:trPr>
          <w:trHeight w:val="90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Earnings smoothing occurs when there is a low ratio of the earnings stream in relation to cash flows.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The methodology behind earnings smoothness makes it complicated to separate if the public-interest entity’s earnings process, accounting system, or earnings manipulation is the cause of smoothing.</w:t>
            </w: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Timely loss recognition (TLR):</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900"/>
        </w:trPr>
        <w:tc>
          <w:tcPr>
            <w:tcW w:w="218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Earnings</w:t>
            </w:r>
            <w:r w:rsidRPr="00FD0348">
              <w:rPr>
                <w:rFonts w:ascii="Calibri" w:eastAsia="Times New Roman" w:hAnsi="Calibri" w:cs="Times New Roman"/>
                <w:color w:val="000000"/>
                <w:sz w:val="16"/>
                <w:szCs w:val="16"/>
                <w:vertAlign w:val="subscript"/>
                <w:lang w:bidi="ar-SA"/>
              </w:rPr>
              <w:t xml:space="preserve">t+1 </w:t>
            </w:r>
            <w:r w:rsidRPr="00FD0348">
              <w:rPr>
                <w:rFonts w:ascii="Calibri" w:eastAsia="Times New Roman" w:hAnsi="Calibri" w:cs="Times New Roman"/>
                <w:color w:val="000000"/>
                <w:sz w:val="16"/>
                <w:szCs w:val="16"/>
                <w:lang w:bidi="ar-SA"/>
              </w:rPr>
              <w:t xml:space="preserve">= α₀ + </w:t>
            </w:r>
            <w:proofErr w:type="spellStart"/>
            <w:r w:rsidRPr="00FD0348">
              <w:rPr>
                <w:rFonts w:ascii="Calibri" w:eastAsia="Times New Roman" w:hAnsi="Calibri" w:cs="Times New Roman"/>
                <w:color w:val="000000"/>
                <w:sz w:val="16"/>
                <w:szCs w:val="16"/>
                <w:lang w:bidi="ar-SA"/>
              </w:rPr>
              <w:t>α₁D</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β₀Ret</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w:t>
            </w:r>
            <w:proofErr w:type="spellStart"/>
            <w:r w:rsidRPr="00FD0348">
              <w:rPr>
                <w:rFonts w:ascii="Calibri" w:eastAsia="Times New Roman" w:hAnsi="Calibri" w:cs="Times New Roman"/>
                <w:color w:val="000000"/>
                <w:sz w:val="16"/>
                <w:szCs w:val="16"/>
                <w:lang w:bidi="ar-SA"/>
              </w:rPr>
              <w:t>β₁Dt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Ret</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ε</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vertAlign w:val="subscript"/>
                <w:lang w:bidi="ar-SA"/>
              </w:rPr>
              <w:t>.</w:t>
            </w:r>
            <w:r w:rsidRPr="00FD0348">
              <w:rPr>
                <w:rFonts w:ascii="Calibri" w:eastAsia="Times New Roman" w:hAnsi="Calibri" w:cs="Times New Roman"/>
                <w:color w:val="000000"/>
                <w:sz w:val="16"/>
                <w:szCs w:val="16"/>
                <w:lang w:bidi="ar-SA"/>
              </w:rPr>
              <w:t xml:space="preserve"> </w:t>
            </w:r>
            <w:proofErr w:type="gramStart"/>
            <w:r w:rsidRPr="00FD0348">
              <w:rPr>
                <w:rFonts w:ascii="Calibri" w:eastAsia="Times New Roman" w:hAnsi="Calibri" w:cs="Times New Roman"/>
                <w:color w:val="000000"/>
                <w:sz w:val="16"/>
                <w:szCs w:val="16"/>
                <w:lang w:bidi="ar-SA"/>
              </w:rPr>
              <w:t>where</w:t>
            </w:r>
            <w:proofErr w:type="gramEnd"/>
            <w:r w:rsidRPr="00FD0348">
              <w:rPr>
                <w:rFonts w:ascii="Calibri" w:eastAsia="Times New Roman" w:hAnsi="Calibri" w:cs="Times New Roman"/>
                <w:color w:val="000000"/>
                <w:sz w:val="16"/>
                <w:szCs w:val="16"/>
                <w:lang w:bidi="ar-SA"/>
              </w:rPr>
              <w:t xml:space="preserve"> </w:t>
            </w:r>
            <w:proofErr w:type="spellStart"/>
            <w:r w:rsidRPr="00FD0348">
              <w:rPr>
                <w:rFonts w:ascii="Calibri" w:eastAsia="Times New Roman" w:hAnsi="Calibri" w:cs="Times New Roman"/>
                <w:color w:val="000000"/>
                <w:sz w:val="16"/>
                <w:szCs w:val="16"/>
                <w:lang w:bidi="ar-SA"/>
              </w:rPr>
              <w:t>D</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=1 if </w:t>
            </w:r>
            <w:proofErr w:type="spellStart"/>
            <w:r w:rsidRPr="00FD0348">
              <w:rPr>
                <w:rFonts w:ascii="Calibri" w:eastAsia="Times New Roman" w:hAnsi="Calibri" w:cs="Times New Roman"/>
                <w:color w:val="000000"/>
                <w:sz w:val="16"/>
                <w:szCs w:val="16"/>
                <w:lang w:bidi="ar-SA"/>
              </w:rPr>
              <w:t>Ret</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&lt; 0. A higher β₁ implies more timely recognition of the incurred losses in earnings.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There is a demand for TLR to combat management’s natural optimism. TLR represents high quality earnings </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Pros:</w:t>
            </w:r>
            <w:r w:rsidRPr="00FD0348">
              <w:rPr>
                <w:rFonts w:ascii="Calibri" w:eastAsia="Times New Roman" w:hAnsi="Calibri" w:cs="Times New Roman"/>
                <w:color w:val="000000"/>
                <w:sz w:val="16"/>
                <w:szCs w:val="16"/>
                <w:lang w:bidi="ar-SA"/>
              </w:rPr>
              <w:t xml:space="preserve"> Aims at disentangling the measurement of the process from the process itself by assuming that returns appropriately reflect fundamental information.</w:t>
            </w:r>
          </w:p>
        </w:tc>
      </w:tr>
      <w:tr w:rsidR="00FD0348" w:rsidRPr="00FD0348" w:rsidTr="00FD0348">
        <w:trPr>
          <w:trHeight w:val="1350"/>
        </w:trPr>
        <w:tc>
          <w:tcPr>
            <w:tcW w:w="218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The net effect of TLR on earnings quality is unknown because TLR results in lower persistence during bad news periods than during good news periods (</w:t>
            </w:r>
            <w:proofErr w:type="spellStart"/>
            <w:r w:rsidRPr="00FD0348">
              <w:rPr>
                <w:rFonts w:ascii="Calibri" w:eastAsia="Times New Roman" w:hAnsi="Calibri" w:cs="Times New Roman"/>
                <w:color w:val="000000"/>
                <w:sz w:val="16"/>
                <w:szCs w:val="16"/>
                <w:lang w:bidi="ar-SA"/>
              </w:rPr>
              <w:t>Basu</w:t>
            </w:r>
            <w:proofErr w:type="spellEnd"/>
            <w:r w:rsidRPr="00FD0348">
              <w:rPr>
                <w:rFonts w:ascii="Calibri" w:eastAsia="Times New Roman" w:hAnsi="Calibri" w:cs="Times New Roman"/>
                <w:color w:val="000000"/>
                <w:sz w:val="16"/>
                <w:szCs w:val="16"/>
                <w:lang w:bidi="ar-SA"/>
              </w:rPr>
              <w:t xml:space="preserve"> 1997). Both persistence and TLR affect the decision usefulness of earnings. TLR is a return-based metric: see comments on ERCs.</w:t>
            </w: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55"/>
        </w:trPr>
        <w:tc>
          <w:tcPr>
            <w:tcW w:w="2180" w:type="dxa"/>
            <w:tcBorders>
              <w:top w:val="single" w:sz="4" w:space="0" w:color="auto"/>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lastRenderedPageBreak/>
              <w:t>Empirical proxy</w:t>
            </w:r>
          </w:p>
        </w:tc>
        <w:tc>
          <w:tcPr>
            <w:tcW w:w="180" w:type="dxa"/>
            <w:tcBorders>
              <w:top w:val="single" w:sz="4" w:space="0" w:color="auto"/>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 </w:t>
            </w:r>
          </w:p>
        </w:tc>
        <w:tc>
          <w:tcPr>
            <w:tcW w:w="2560" w:type="dxa"/>
            <w:tcBorders>
              <w:top w:val="single" w:sz="4" w:space="0" w:color="auto"/>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Theory</w:t>
            </w:r>
          </w:p>
        </w:tc>
        <w:tc>
          <w:tcPr>
            <w:tcW w:w="180" w:type="dxa"/>
            <w:tcBorders>
              <w:top w:val="single" w:sz="4" w:space="0" w:color="auto"/>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 </w:t>
            </w:r>
          </w:p>
        </w:tc>
        <w:tc>
          <w:tcPr>
            <w:tcW w:w="3760" w:type="dxa"/>
            <w:tcBorders>
              <w:top w:val="single" w:sz="4" w:space="0" w:color="auto"/>
              <w:left w:val="nil"/>
              <w:bottom w:val="single" w:sz="4" w:space="0" w:color="auto"/>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lang w:bidi="ar-SA"/>
              </w:rPr>
            </w:pPr>
            <w:r w:rsidRPr="00FD0348">
              <w:rPr>
                <w:rFonts w:ascii="Calibri" w:eastAsia="Times New Roman" w:hAnsi="Calibri" w:cs="Times New Roman"/>
                <w:color w:val="000000"/>
                <w:lang w:bidi="ar-SA"/>
              </w:rPr>
              <w:t>Pros and Cons</w:t>
            </w:r>
          </w:p>
        </w:tc>
      </w:tr>
      <w:tr w:rsidR="00FD0348" w:rsidRPr="00FD0348" w:rsidTr="00FD0348">
        <w:trPr>
          <w:trHeight w:val="225"/>
        </w:trPr>
        <w:tc>
          <w:tcPr>
            <w:tcW w:w="2360" w:type="dxa"/>
            <w:gridSpan w:val="2"/>
            <w:tcBorders>
              <w:top w:val="nil"/>
              <w:left w:val="nil"/>
              <w:bottom w:val="nil"/>
              <w:right w:val="nil"/>
            </w:tcBorders>
            <w:shd w:val="clear" w:color="auto" w:fill="auto"/>
            <w:noWrap/>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Target beating or benchmarking:</w:t>
            </w:r>
          </w:p>
        </w:tc>
        <w:tc>
          <w:tcPr>
            <w:tcW w:w="2560" w:type="dxa"/>
            <w:tcBorders>
              <w:top w:val="nil"/>
              <w:left w:val="nil"/>
              <w:bottom w:val="nil"/>
              <w:right w:val="nil"/>
            </w:tcBorders>
            <w:shd w:val="clear" w:color="auto" w:fill="auto"/>
            <w:noWrap/>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Kinks in earnings distribution</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Unusual clustering in earnings distributions indicates earnings management around targets. Observations at or slightly above targets have low quality earnings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 xml:space="preserve">Pros: </w:t>
            </w:r>
            <w:r w:rsidRPr="00FD0348">
              <w:rPr>
                <w:rFonts w:ascii="Calibri" w:eastAsia="Times New Roman" w:hAnsi="Calibri" w:cs="Times New Roman"/>
                <w:color w:val="000000"/>
                <w:sz w:val="16"/>
                <w:szCs w:val="16"/>
                <w:lang w:bidi="ar-SA"/>
              </w:rPr>
              <w:t>The measure is easy to calculate, the concept is intuitively appealing, and survey evidence suggests earnings management around targets.</w:t>
            </w: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Changes in earnings distribution</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Kinks in forecast error distribution</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In addition to statistical validity issues, evidence that kinks represent opportunistic earnings management is mixed, with credible alternative explanations including non- accounting issues. It is difficult to distinguish firms that are at kinks by chance versus those that have manipulated their way into the benchmark bins.</w:t>
            </w:r>
          </w:p>
        </w:tc>
      </w:tr>
      <w:tr w:rsidR="00FD0348" w:rsidRPr="00FD0348" w:rsidTr="00FD0348">
        <w:trPr>
          <w:trHeight w:val="45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String of positive earnings increases</w:t>
            </w: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255"/>
        </w:trPr>
        <w:tc>
          <w:tcPr>
            <w:tcW w:w="8860" w:type="dxa"/>
            <w:gridSpan w:val="5"/>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u w:val="single"/>
                <w:lang w:bidi="ar-SA"/>
              </w:rPr>
            </w:pPr>
            <w:r w:rsidRPr="00FD0348">
              <w:rPr>
                <w:rFonts w:ascii="Calibri" w:eastAsia="Times New Roman" w:hAnsi="Calibri" w:cs="Times New Roman"/>
                <w:color w:val="000000"/>
                <w:u w:val="single"/>
                <w:lang w:bidi="ar-SA"/>
              </w:rPr>
              <w:t>Earnings quality category 2: Investor responsiveness to earnings</w:t>
            </w:r>
          </w:p>
        </w:tc>
      </w:tr>
      <w:tr w:rsidR="00FD0348" w:rsidRPr="00FD0348" w:rsidTr="00FD0348">
        <w:trPr>
          <w:trHeight w:val="225"/>
        </w:trPr>
        <w:tc>
          <w:tcPr>
            <w:tcW w:w="2180" w:type="dxa"/>
            <w:tcBorders>
              <w:top w:val="nil"/>
              <w:left w:val="nil"/>
              <w:bottom w:val="nil"/>
              <w:right w:val="nil"/>
            </w:tcBorders>
            <w:shd w:val="clear" w:color="auto" w:fill="auto"/>
            <w:noWrap/>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u w:val="single"/>
                <w:lang w:bidi="ar-SA"/>
              </w:rPr>
            </w:pPr>
            <w:r w:rsidRPr="00FD0348">
              <w:rPr>
                <w:rFonts w:ascii="Calibri" w:eastAsia="Times New Roman" w:hAnsi="Calibri" w:cs="Times New Roman"/>
                <w:color w:val="000000"/>
                <w:sz w:val="16"/>
                <w:szCs w:val="16"/>
                <w:u w:val="single"/>
                <w:lang w:bidi="ar-SA"/>
              </w:rPr>
              <w:t>ERCs:</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r>
      <w:tr w:rsidR="00FD0348" w:rsidRPr="00FD0348" w:rsidTr="00FD0348">
        <w:trPr>
          <w:trHeight w:val="510"/>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roofErr w:type="spellStart"/>
            <w:r w:rsidRPr="00FD0348">
              <w:rPr>
                <w:rFonts w:ascii="Calibri" w:eastAsia="Times New Roman" w:hAnsi="Calibri" w:cs="Times New Roman"/>
                <w:color w:val="000000"/>
                <w:sz w:val="16"/>
                <w:szCs w:val="16"/>
                <w:lang w:bidi="ar-SA"/>
              </w:rPr>
              <w:t>Ret</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α + </w:t>
            </w:r>
            <w:proofErr w:type="gramStart"/>
            <w:r w:rsidRPr="00FD0348">
              <w:rPr>
                <w:rFonts w:ascii="Calibri" w:eastAsia="Times New Roman" w:hAnsi="Calibri" w:cs="Times New Roman"/>
                <w:color w:val="000000"/>
                <w:sz w:val="16"/>
                <w:szCs w:val="16"/>
                <w:lang w:bidi="ar-SA"/>
              </w:rPr>
              <w:t>β(</w:t>
            </w:r>
            <w:proofErr w:type="spellStart"/>
            <w:proofErr w:type="gramEnd"/>
            <w:r w:rsidRPr="00FD0348">
              <w:rPr>
                <w:rFonts w:ascii="Calibri" w:eastAsia="Times New Roman" w:hAnsi="Calibri" w:cs="Times New Roman"/>
                <w:color w:val="000000"/>
                <w:sz w:val="16"/>
                <w:szCs w:val="16"/>
                <w:lang w:bidi="ar-SA"/>
              </w:rPr>
              <w:t>EarningsSurprise</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 </w:t>
            </w:r>
            <w:proofErr w:type="spellStart"/>
            <w:r w:rsidRPr="00FD0348">
              <w:rPr>
                <w:rFonts w:ascii="Calibri" w:eastAsia="Times New Roman" w:hAnsi="Calibri" w:cs="Times New Roman"/>
                <w:color w:val="000000"/>
                <w:sz w:val="16"/>
                <w:szCs w:val="16"/>
                <w:lang w:bidi="ar-SA"/>
              </w:rPr>
              <w:t>ε</w:t>
            </w:r>
            <w:r w:rsidRPr="00FD0348">
              <w:rPr>
                <w:rFonts w:ascii="Calibri" w:eastAsia="Times New Roman" w:hAnsi="Calibri" w:cs="Times New Roman"/>
                <w:color w:val="000000"/>
                <w:sz w:val="16"/>
                <w:szCs w:val="16"/>
                <w:vertAlign w:val="subscript"/>
                <w:lang w:bidi="ar-SA"/>
              </w:rPr>
              <w:t>t</w:t>
            </w:r>
            <w:proofErr w:type="spellEnd"/>
            <w:r w:rsidRPr="00FD0348">
              <w:rPr>
                <w:rFonts w:ascii="Calibri" w:eastAsia="Times New Roman" w:hAnsi="Calibri" w:cs="Times New Roman"/>
                <w:color w:val="000000"/>
                <w:sz w:val="16"/>
                <w:szCs w:val="16"/>
                <w:lang w:bidi="ar-SA"/>
              </w:rPr>
              <w:t xml:space="preserve">. </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Investors respond to information that has value implications. A higher correlation with value implies that earnings better reflect fundamental performance.</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Pros:</w:t>
            </w:r>
            <w:r w:rsidRPr="00FD0348">
              <w:rPr>
                <w:rFonts w:ascii="Calibri" w:eastAsia="Times New Roman" w:hAnsi="Calibri" w:cs="Times New Roman"/>
                <w:color w:val="000000"/>
                <w:sz w:val="16"/>
                <w:szCs w:val="16"/>
                <w:lang w:bidi="ar-SA"/>
              </w:rPr>
              <w:t xml:space="preserve"> The measure directly links earnings to decision usefulness, which is quality,</w:t>
            </w:r>
            <w:r>
              <w:rPr>
                <w:rFonts w:ascii="Calibri" w:eastAsia="Times New Roman" w:hAnsi="Calibri" w:cs="Times New Roman"/>
                <w:color w:val="000000"/>
                <w:sz w:val="16"/>
                <w:szCs w:val="16"/>
                <w:lang w:bidi="ar-SA"/>
              </w:rPr>
              <w:t xml:space="preserve"> </w:t>
            </w:r>
            <w:r w:rsidRPr="00FD0348">
              <w:rPr>
                <w:rFonts w:ascii="Calibri" w:eastAsia="Times New Roman" w:hAnsi="Calibri" w:cs="Times New Roman"/>
                <w:color w:val="000000"/>
                <w:sz w:val="16"/>
                <w:szCs w:val="16"/>
                <w:lang w:bidi="ar-SA"/>
              </w:rPr>
              <w:t xml:space="preserve">al </w:t>
            </w:r>
            <w:proofErr w:type="spellStart"/>
            <w:r w:rsidRPr="00FD0348">
              <w:rPr>
                <w:rFonts w:ascii="Calibri" w:eastAsia="Times New Roman" w:hAnsi="Calibri" w:cs="Times New Roman"/>
                <w:color w:val="000000"/>
                <w:sz w:val="16"/>
                <w:szCs w:val="16"/>
                <w:lang w:bidi="ar-SA"/>
              </w:rPr>
              <w:t>beits</w:t>
            </w:r>
            <w:proofErr w:type="spellEnd"/>
            <w:r w:rsidRPr="00FD0348">
              <w:rPr>
                <w:rFonts w:ascii="Calibri" w:eastAsia="Times New Roman" w:hAnsi="Calibri" w:cs="Times New Roman"/>
                <w:color w:val="000000"/>
                <w:sz w:val="16"/>
                <w:szCs w:val="16"/>
                <w:lang w:bidi="ar-SA"/>
              </w:rPr>
              <w:t xml:space="preserve"> specifically in the context of equity valuation decisions </w:t>
            </w:r>
          </w:p>
        </w:tc>
      </w:tr>
      <w:tr w:rsidR="00FD0348" w:rsidRPr="00FD0348" w:rsidTr="00FD0348">
        <w:trPr>
          <w:trHeight w:val="67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More informative components of earnings will have a higher β. </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1575"/>
        </w:trPr>
        <w:tc>
          <w:tcPr>
            <w:tcW w:w="218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More value relevant earnings will have a higher R2</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Assumes market efficiency. In addition, inferences are impaired by correlated omitted variables that affect investor reaction (including endogenously determined availability of other information), measurement error of unexpected earnings, and cross-sectional variation in return-generating processes.</w:t>
            </w:r>
          </w:p>
        </w:tc>
      </w:tr>
      <w:tr w:rsidR="00FD0348" w:rsidRPr="00FD0348" w:rsidTr="00FD0348">
        <w:trPr>
          <w:trHeight w:val="255"/>
        </w:trPr>
        <w:tc>
          <w:tcPr>
            <w:tcW w:w="8860" w:type="dxa"/>
            <w:gridSpan w:val="5"/>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center"/>
              <w:rPr>
                <w:rFonts w:ascii="Calibri" w:eastAsia="Times New Roman" w:hAnsi="Calibri" w:cs="Times New Roman"/>
                <w:color w:val="000000"/>
                <w:u w:val="single"/>
                <w:lang w:bidi="ar-SA"/>
              </w:rPr>
            </w:pPr>
            <w:r w:rsidRPr="00FD0348">
              <w:rPr>
                <w:rFonts w:ascii="Calibri" w:eastAsia="Times New Roman" w:hAnsi="Calibri" w:cs="Times New Roman"/>
                <w:color w:val="000000"/>
                <w:u w:val="single"/>
                <w:lang w:bidi="ar-SA"/>
              </w:rPr>
              <w:t>Earnings quality category 3: External indicators of earnings misstatements</w:t>
            </w: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AAERs identified by SEC</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xml:space="preserve">Firms had errors (AAERs and restatement firms) or are likely to have had errors (internal control deficiencies) in their financial reporting </w:t>
            </w:r>
            <w:proofErr w:type="gramStart"/>
            <w:r w:rsidRPr="00FD0348">
              <w:rPr>
                <w:rFonts w:ascii="Calibri" w:eastAsia="Times New Roman" w:hAnsi="Calibri" w:cs="Times New Roman"/>
                <w:color w:val="000000"/>
                <w:sz w:val="16"/>
                <w:szCs w:val="16"/>
                <w:lang w:bidi="ar-SA"/>
              </w:rPr>
              <w:t>systems, which implies</w:t>
            </w:r>
            <w:proofErr w:type="gramEnd"/>
            <w:r w:rsidRPr="00FD0348">
              <w:rPr>
                <w:rFonts w:ascii="Calibri" w:eastAsia="Times New Roman" w:hAnsi="Calibri" w:cs="Times New Roman"/>
                <w:color w:val="000000"/>
                <w:sz w:val="16"/>
                <w:szCs w:val="16"/>
                <w:lang w:bidi="ar-SA"/>
              </w:rPr>
              <w:t xml:space="preserve"> low quality.</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 xml:space="preserve">Pros: </w:t>
            </w:r>
            <w:r w:rsidRPr="00FD0348">
              <w:rPr>
                <w:rFonts w:ascii="Calibri" w:eastAsia="Times New Roman" w:hAnsi="Calibri" w:cs="Times New Roman"/>
                <w:color w:val="000000"/>
                <w:sz w:val="16"/>
                <w:szCs w:val="16"/>
                <w:lang w:bidi="ar-SA"/>
              </w:rPr>
              <w:t>Pros: Unambiguously reflect accounting measurement problems (low Type I error rate). There searcher does not have to use a model to identify low quality firms</w:t>
            </w: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Restatements</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r w:rsidRPr="00FD0348">
              <w:rPr>
                <w:rFonts w:ascii="Calibri" w:eastAsia="Times New Roman" w:hAnsi="Calibri" w:cs="Times New Roman"/>
                <w:color w:val="000000"/>
                <w:sz w:val="16"/>
                <w:szCs w:val="16"/>
                <w:lang w:bidi="ar-SA"/>
              </w:rPr>
              <w:t>• SOX reports of internal control deficiencies</w:t>
            </w: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val="restart"/>
            <w:tcBorders>
              <w:top w:val="nil"/>
              <w:left w:val="nil"/>
              <w:bottom w:val="nil"/>
              <w:right w:val="nil"/>
            </w:tcBorders>
            <w:shd w:val="clear" w:color="auto" w:fill="auto"/>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r w:rsidRPr="00FD0348">
              <w:rPr>
                <w:rFonts w:ascii="Calibri" w:eastAsia="Times New Roman" w:hAnsi="Calibri" w:cs="Times New Roman"/>
                <w:b/>
                <w:bCs/>
                <w:color w:val="000000"/>
                <w:sz w:val="16"/>
                <w:szCs w:val="16"/>
                <w:lang w:bidi="ar-SA"/>
              </w:rPr>
              <w:t>Cons:</w:t>
            </w:r>
            <w:r w:rsidRPr="00FD0348">
              <w:rPr>
                <w:rFonts w:ascii="Calibri" w:eastAsia="Times New Roman" w:hAnsi="Calibri" w:cs="Times New Roman"/>
                <w:color w:val="000000"/>
                <w:sz w:val="16"/>
                <w:szCs w:val="16"/>
                <w:lang w:bidi="ar-SA"/>
              </w:rPr>
              <w:t xml:space="preserve"> For AAERs: small sample sizes, selection issues, and matching problems due to Type II error rate. For restatements and SOX firms: problems with distinguishing intentional from unintentional errors or ambiguities in accounting rules that lead to errors </w:t>
            </w: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r w:rsidR="00FD0348" w:rsidRPr="00FD0348" w:rsidTr="00FD0348">
        <w:trPr>
          <w:trHeight w:val="225"/>
        </w:trPr>
        <w:tc>
          <w:tcPr>
            <w:tcW w:w="2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256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180" w:type="dxa"/>
            <w:tcBorders>
              <w:top w:val="nil"/>
              <w:left w:val="nil"/>
              <w:bottom w:val="nil"/>
              <w:right w:val="nil"/>
            </w:tcBorders>
            <w:shd w:val="clear" w:color="auto" w:fill="auto"/>
            <w:noWrap/>
            <w:vAlign w:val="bottom"/>
            <w:hideMark/>
          </w:tcPr>
          <w:p w:rsidR="00FD0348" w:rsidRPr="00FD0348" w:rsidRDefault="00FD0348" w:rsidP="00470966">
            <w:pPr>
              <w:spacing w:before="0" w:line="240" w:lineRule="auto"/>
              <w:ind w:right="27" w:firstLine="0"/>
              <w:jc w:val="left"/>
              <w:rPr>
                <w:rFonts w:ascii="Calibri" w:eastAsia="Times New Roman" w:hAnsi="Calibri" w:cs="Times New Roman"/>
                <w:color w:val="000000"/>
                <w:sz w:val="16"/>
                <w:szCs w:val="16"/>
                <w:lang w:bidi="ar-SA"/>
              </w:rPr>
            </w:pPr>
          </w:p>
        </w:tc>
        <w:tc>
          <w:tcPr>
            <w:tcW w:w="3760" w:type="dxa"/>
            <w:vMerge/>
            <w:tcBorders>
              <w:top w:val="nil"/>
              <w:left w:val="nil"/>
              <w:bottom w:val="nil"/>
              <w:right w:val="nil"/>
            </w:tcBorders>
            <w:vAlign w:val="center"/>
            <w:hideMark/>
          </w:tcPr>
          <w:p w:rsidR="00FD0348" w:rsidRPr="00FD0348" w:rsidRDefault="00FD0348" w:rsidP="00470966">
            <w:pPr>
              <w:spacing w:before="0" w:line="240" w:lineRule="auto"/>
              <w:ind w:right="27" w:firstLine="0"/>
              <w:jc w:val="left"/>
              <w:rPr>
                <w:rFonts w:ascii="Calibri" w:eastAsia="Times New Roman" w:hAnsi="Calibri" w:cs="Times New Roman"/>
                <w:b/>
                <w:bCs/>
                <w:color w:val="000000"/>
                <w:sz w:val="16"/>
                <w:szCs w:val="16"/>
                <w:lang w:bidi="ar-SA"/>
              </w:rPr>
            </w:pPr>
          </w:p>
        </w:tc>
      </w:tr>
    </w:tbl>
    <w:p w:rsidR="00FD0348" w:rsidRPr="00FD0348" w:rsidRDefault="00FD0348" w:rsidP="00470966">
      <w:pPr>
        <w:spacing w:before="200" w:after="200"/>
        <w:ind w:right="27" w:firstLine="0"/>
        <w:jc w:val="left"/>
      </w:pPr>
    </w:p>
    <w:p w:rsidR="00FD0348" w:rsidRPr="00FD0348" w:rsidRDefault="00FD0348" w:rsidP="00470966">
      <w:pPr>
        <w:spacing w:before="200" w:after="200"/>
        <w:ind w:right="27" w:firstLine="0"/>
        <w:jc w:val="left"/>
      </w:pPr>
    </w:p>
    <w:p w:rsidR="00FD0348" w:rsidRPr="00FD0348" w:rsidRDefault="00FD0348" w:rsidP="00470966">
      <w:pPr>
        <w:spacing w:before="200" w:after="200"/>
        <w:ind w:right="27" w:firstLine="0"/>
        <w:jc w:val="left"/>
      </w:pPr>
      <w:r w:rsidRPr="00FD0348">
        <w:br w:type="page"/>
      </w:r>
    </w:p>
    <w:p w:rsidR="008A4B69" w:rsidRPr="00FD0348" w:rsidRDefault="006A3AD1" w:rsidP="00470966">
      <w:pPr>
        <w:ind w:right="27"/>
        <w:rPr>
          <w:rFonts w:ascii="Calibri" w:eastAsia="Times New Roman" w:hAnsi="Calibri" w:cs="Arial"/>
          <w:b/>
          <w:bCs/>
          <w:sz w:val="12"/>
          <w:szCs w:val="12"/>
          <w:lang w:bidi="ar-SA"/>
        </w:rPr>
      </w:pPr>
      <w:r w:rsidRPr="00FD0348">
        <w:lastRenderedPageBreak/>
        <w:t>P</w:t>
      </w:r>
      <w:r w:rsidR="008A4B69" w:rsidRPr="00FD0348">
        <w:t>ublic interest entities that represent the 2008 and 2011 sample</w:t>
      </w:r>
      <w:r w:rsidR="00C0540A" w:rsidRPr="00FD0348">
        <w:t>:</w:t>
      </w:r>
    </w:p>
    <w:tbl>
      <w:tblPr>
        <w:tblW w:w="7360" w:type="dxa"/>
        <w:tblInd w:w="108" w:type="dxa"/>
        <w:tblLook w:val="04A0"/>
      </w:tblPr>
      <w:tblGrid>
        <w:gridCol w:w="426"/>
        <w:gridCol w:w="1416"/>
        <w:gridCol w:w="665"/>
        <w:gridCol w:w="487"/>
        <w:gridCol w:w="487"/>
        <w:gridCol w:w="576"/>
        <w:gridCol w:w="426"/>
        <w:gridCol w:w="1496"/>
        <w:gridCol w:w="665"/>
        <w:gridCol w:w="487"/>
        <w:gridCol w:w="487"/>
      </w:tblGrid>
      <w:tr w:rsidR="008A4B69" w:rsidRPr="00FD0348" w:rsidTr="008A4B69">
        <w:trPr>
          <w:trHeight w:val="240"/>
        </w:trPr>
        <w:tc>
          <w:tcPr>
            <w:tcW w:w="356" w:type="dxa"/>
            <w:tcBorders>
              <w:top w:val="nil"/>
              <w:left w:val="nil"/>
              <w:bottom w:val="single" w:sz="8" w:space="0" w:color="auto"/>
              <w:right w:val="nil"/>
            </w:tcBorders>
            <w:shd w:val="clear" w:color="000000" w:fill="FFFFFF"/>
            <w:noWrap/>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 </w:t>
            </w:r>
          </w:p>
        </w:tc>
        <w:tc>
          <w:tcPr>
            <w:tcW w:w="1416" w:type="dxa"/>
            <w:tcBorders>
              <w:top w:val="nil"/>
              <w:left w:val="nil"/>
              <w:bottom w:val="single" w:sz="8" w:space="0" w:color="auto"/>
              <w:right w:val="nil"/>
            </w:tcBorders>
            <w:shd w:val="clear" w:color="000000" w:fill="FFFFFF"/>
            <w:noWrap/>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Entity Name</w:t>
            </w:r>
          </w:p>
        </w:tc>
        <w:tc>
          <w:tcPr>
            <w:tcW w:w="665"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Country</w:t>
            </w:r>
          </w:p>
        </w:tc>
        <w:tc>
          <w:tcPr>
            <w:tcW w:w="486"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2008</w:t>
            </w:r>
          </w:p>
        </w:tc>
        <w:tc>
          <w:tcPr>
            <w:tcW w:w="429"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2011</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b/>
                <w:bCs/>
                <w:sz w:val="12"/>
                <w:szCs w:val="12"/>
                <w:lang w:bidi="ar-SA"/>
              </w:rPr>
            </w:pPr>
            <w:r w:rsidRPr="00FD0348">
              <w:rPr>
                <w:rFonts w:ascii="Arial" w:eastAsia="Times New Roman" w:hAnsi="Arial" w:cs="Arial"/>
                <w:b/>
                <w:bCs/>
                <w:sz w:val="12"/>
                <w:szCs w:val="12"/>
                <w:lang w:bidi="ar-SA"/>
              </w:rPr>
              <w:t> </w:t>
            </w:r>
          </w:p>
        </w:tc>
        <w:tc>
          <w:tcPr>
            <w:tcW w:w="356" w:type="dxa"/>
            <w:tcBorders>
              <w:top w:val="nil"/>
              <w:left w:val="nil"/>
              <w:bottom w:val="single" w:sz="8" w:space="0" w:color="auto"/>
              <w:right w:val="nil"/>
            </w:tcBorders>
            <w:shd w:val="clear" w:color="000000" w:fill="FFFFFF"/>
            <w:noWrap/>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 </w:t>
            </w:r>
          </w:p>
        </w:tc>
        <w:tc>
          <w:tcPr>
            <w:tcW w:w="1496" w:type="dxa"/>
            <w:tcBorders>
              <w:top w:val="nil"/>
              <w:left w:val="nil"/>
              <w:bottom w:val="single" w:sz="8" w:space="0" w:color="auto"/>
              <w:right w:val="nil"/>
            </w:tcBorders>
            <w:shd w:val="clear" w:color="000000" w:fill="FFFFFF"/>
            <w:noWrap/>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Entity Name</w:t>
            </w:r>
          </w:p>
        </w:tc>
        <w:tc>
          <w:tcPr>
            <w:tcW w:w="665"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Country</w:t>
            </w:r>
          </w:p>
        </w:tc>
        <w:tc>
          <w:tcPr>
            <w:tcW w:w="486"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2008</w:t>
            </w:r>
          </w:p>
        </w:tc>
        <w:tc>
          <w:tcPr>
            <w:tcW w:w="429" w:type="dxa"/>
            <w:tcBorders>
              <w:top w:val="nil"/>
              <w:left w:val="nil"/>
              <w:bottom w:val="single" w:sz="8" w:space="0" w:color="auto"/>
              <w:right w:val="nil"/>
            </w:tcBorders>
            <w:shd w:val="clear" w:color="000000" w:fill="FFFFFF"/>
            <w:vAlign w:val="center"/>
            <w:hideMark/>
          </w:tcPr>
          <w:p w:rsidR="008A4B69" w:rsidRPr="00FD0348" w:rsidRDefault="008A4B69" w:rsidP="00470966">
            <w:pPr>
              <w:spacing w:before="0" w:line="240" w:lineRule="auto"/>
              <w:ind w:right="27" w:firstLine="0"/>
              <w:jc w:val="center"/>
              <w:rPr>
                <w:rFonts w:ascii="Calibri" w:eastAsia="Times New Roman" w:hAnsi="Calibri" w:cs="Arial"/>
                <w:b/>
                <w:bCs/>
                <w:sz w:val="12"/>
                <w:szCs w:val="12"/>
                <w:lang w:bidi="ar-SA"/>
              </w:rPr>
            </w:pPr>
            <w:r w:rsidRPr="00FD0348">
              <w:rPr>
                <w:rFonts w:ascii="Calibri" w:eastAsia="Times New Roman" w:hAnsi="Calibri" w:cs="Arial"/>
                <w:b/>
                <w:bCs/>
                <w:sz w:val="12"/>
                <w:szCs w:val="12"/>
                <w:lang w:bidi="ar-SA"/>
              </w:rPr>
              <w:t>2011</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Andritz</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AUT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Lafarge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OMV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AUT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Lagardere</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Groupe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Strabag</w:t>
            </w:r>
            <w:proofErr w:type="spellEnd"/>
            <w:r w:rsidRPr="00FD0348">
              <w:rPr>
                <w:rFonts w:ascii="Calibri" w:eastAsia="Times New Roman" w:hAnsi="Calibri" w:cs="Arial"/>
                <w:sz w:val="12"/>
                <w:szCs w:val="12"/>
                <w:lang w:bidi="ar-SA"/>
              </w:rPr>
              <w:t xml:space="preserve">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AUT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Legrand</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Telekom Austria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AUT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LVMH</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Voestalpine</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AUT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Michelin</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Nexans</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Anheuser-Busch </w:t>
            </w:r>
            <w:proofErr w:type="spellStart"/>
            <w:r w:rsidRPr="00FD0348">
              <w:rPr>
                <w:rFonts w:ascii="Calibri" w:eastAsia="Times New Roman" w:hAnsi="Calibri" w:cs="Arial"/>
                <w:sz w:val="12"/>
                <w:szCs w:val="12"/>
                <w:lang w:bidi="ar-SA"/>
              </w:rPr>
              <w:t>Inbev</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Pernod-Ricard</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Belgacom</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Peugeot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Colruyt</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Plastic </w:t>
            </w:r>
            <w:proofErr w:type="spellStart"/>
            <w:r w:rsidRPr="00FD0348">
              <w:rPr>
                <w:rFonts w:ascii="Calibri" w:eastAsia="Times New Roman" w:hAnsi="Calibri" w:cs="Arial"/>
                <w:sz w:val="12"/>
                <w:szCs w:val="12"/>
                <w:lang w:bidi="ar-SA"/>
              </w:rPr>
              <w:t>Omnium</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D'ieteren</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PPR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Delhaize Group</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Publicis</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Groupe</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Solvay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Rallye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Umicore</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BEL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Renault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Rexel</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Adidas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119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Safran</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Air Berlin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Sanofi</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Andreae-Noris</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Zahn</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Schneider Electric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Arcandor</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SEB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Audi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Sequana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Aurubis</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Sodexo</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BASF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Technip</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Bayer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Thales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Baywa</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Total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Beiersdorf</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Valeo</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Bertelsmann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129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Vallourec</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Bilfinger</w:t>
            </w:r>
            <w:proofErr w:type="spellEnd"/>
            <w:r w:rsidRPr="00FD0348">
              <w:rPr>
                <w:rFonts w:ascii="Calibri" w:eastAsia="Times New Roman" w:hAnsi="Calibri" w:cs="Arial"/>
                <w:sz w:val="12"/>
                <w:szCs w:val="12"/>
                <w:lang w:bidi="ar-SA"/>
              </w:rPr>
              <w:t xml:space="preserve"> Berger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Vinci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BMW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Vivendi</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Brenntag</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Celesio</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Coca Cola Hellenic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GRC</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Continental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Hellenic Telecom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GRC</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Daimler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Opap</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GRC</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Deutsche Lufthansa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149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Arial" w:eastAsia="Times New Roman" w:hAnsi="Arial"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Deutsche Post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MOL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HUN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Deutsche Telekom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149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Arial" w:eastAsia="Times New Roman" w:hAnsi="Arial"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Fresenius Medical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CRH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Fresenius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DCC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GEA Group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Ingersoll-Rand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Heidelbergcement</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139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Kerry Group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Henkel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Ryanair</w:t>
            </w:r>
            <w:proofErr w:type="spellEnd"/>
            <w:r w:rsidRPr="00FD0348">
              <w:rPr>
                <w:rFonts w:ascii="Calibri" w:eastAsia="Times New Roman" w:hAnsi="Calibri" w:cs="Arial"/>
                <w:sz w:val="12"/>
                <w:szCs w:val="12"/>
                <w:lang w:bidi="ar-SA"/>
              </w:rPr>
              <w:t xml:space="preserve"> Holdings PLC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Hochtief</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Smurfit Kappa Group</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IRL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39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Infineon Technologies</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149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Arial" w:eastAsia="Times New Roman" w:hAnsi="Arial"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Kloeckner</w:t>
            </w:r>
            <w:proofErr w:type="spellEnd"/>
            <w:r w:rsidRPr="00FD0348">
              <w:rPr>
                <w:rFonts w:ascii="Calibri" w:eastAsia="Times New Roman" w:hAnsi="Calibri" w:cs="Arial"/>
                <w:sz w:val="12"/>
                <w:szCs w:val="12"/>
                <w:lang w:bidi="ar-SA"/>
              </w:rPr>
              <w:t xml:space="preserve"> &amp; Co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Atlantia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Lanxess</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Autogrill</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Linde</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CIR</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Man SE</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Cofide</w:t>
            </w:r>
            <w:proofErr w:type="spellEnd"/>
            <w:r w:rsidRPr="00FD0348">
              <w:rPr>
                <w:rFonts w:ascii="Calibri" w:eastAsia="Times New Roman" w:hAnsi="Calibri" w:cs="Arial"/>
                <w:sz w:val="12"/>
                <w:szCs w:val="12"/>
                <w:lang w:bidi="ar-SA"/>
              </w:rPr>
              <w:t xml:space="preserve">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Merck </w:t>
            </w:r>
            <w:proofErr w:type="spellStart"/>
            <w:r w:rsidRPr="00FD0348">
              <w:rPr>
                <w:rFonts w:ascii="Calibri" w:eastAsia="Times New Roman" w:hAnsi="Calibri" w:cs="Arial"/>
                <w:sz w:val="12"/>
                <w:szCs w:val="12"/>
                <w:lang w:bidi="ar-SA"/>
              </w:rPr>
              <w:t>Kgaa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ENI</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Metro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ERG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Rheinmetall</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Fiat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Salzgitter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149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Finmeccanica</w:t>
            </w:r>
            <w:proofErr w:type="spellEnd"/>
            <w:r w:rsidRPr="00FD0348">
              <w:rPr>
                <w:rFonts w:ascii="Calibri" w:eastAsia="Times New Roman" w:hAnsi="Calibri" w:cs="Arial"/>
                <w:sz w:val="12"/>
                <w:szCs w:val="12"/>
                <w:lang w:bidi="ar-SA"/>
              </w:rPr>
              <w:t xml:space="preserve">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SAP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Italcementi</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49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Siemens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Luxottica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Suedzucker</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Mediaset</w:t>
            </w:r>
            <w:proofErr w:type="spellEnd"/>
            <w:r w:rsidRPr="00FD0348">
              <w:rPr>
                <w:rFonts w:ascii="Calibri" w:eastAsia="Times New Roman" w:hAnsi="Calibri" w:cs="Arial"/>
                <w:sz w:val="12"/>
                <w:szCs w:val="12"/>
                <w:lang w:bidi="ar-SA"/>
              </w:rPr>
              <w:t xml:space="preserve">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Thyssenkrupp</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Parmalat</w:t>
            </w:r>
            <w:proofErr w:type="spellEnd"/>
            <w:r w:rsidRPr="00FD0348">
              <w:rPr>
                <w:rFonts w:ascii="Calibri" w:eastAsia="Times New Roman" w:hAnsi="Calibri" w:cs="Arial"/>
                <w:sz w:val="12"/>
                <w:szCs w:val="12"/>
                <w:lang w:bidi="ar-SA"/>
              </w:rPr>
              <w:t xml:space="preserve"> Spa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TUI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Pirelli &amp; C</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Volkswagen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Prysmian</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Wacker</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Chemie</w:t>
            </w:r>
            <w:proofErr w:type="spellEnd"/>
            <w:r w:rsidRPr="00FD0348">
              <w:rPr>
                <w:rFonts w:ascii="Calibri" w:eastAsia="Times New Roman" w:hAnsi="Calibri" w:cs="Arial"/>
                <w:sz w:val="12"/>
                <w:szCs w:val="12"/>
                <w:lang w:bidi="ar-SA"/>
              </w:rPr>
              <w:t xml:space="preserve"> AG</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DEU</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Saipem</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Saras</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A.P. Moeller-</w:t>
            </w:r>
            <w:proofErr w:type="spellStart"/>
            <w:r w:rsidRPr="00FD0348">
              <w:rPr>
                <w:rFonts w:ascii="Calibri" w:eastAsia="Times New Roman" w:hAnsi="Calibri" w:cs="Arial"/>
                <w:sz w:val="12"/>
                <w:szCs w:val="12"/>
                <w:lang w:bidi="ar-SA"/>
              </w:rPr>
              <w:t>Maersk</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DNK</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Telecom Italia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ITA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Carlsberg AS</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DNK</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149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Novo Nordisk A/S</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DNK</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159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Arcelormittal</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LUX</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Vestas</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Windsystems</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DNK</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RTL Group</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LUX</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Tenaris</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LUX</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59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Abengoa</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Acerinox</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Akzo</w:t>
            </w:r>
            <w:proofErr w:type="spellEnd"/>
            <w:r w:rsidRPr="00FD0348">
              <w:rPr>
                <w:rFonts w:ascii="Calibri" w:eastAsia="Times New Roman" w:hAnsi="Calibri" w:cs="Arial"/>
                <w:sz w:val="12"/>
                <w:szCs w:val="12"/>
                <w:lang w:bidi="ar-SA"/>
              </w:rPr>
              <w:t xml:space="preserve"> Nobel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ACS</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CNH Global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Ferrovial</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Eads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Fomento</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Construccion</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Heineken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Inditex</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Koninklijke</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Ahold</w:t>
            </w:r>
            <w:proofErr w:type="spellEnd"/>
            <w:r w:rsidRPr="00FD0348">
              <w:rPr>
                <w:rFonts w:ascii="Calibri" w:eastAsia="Times New Roman" w:hAnsi="Calibri" w:cs="Arial"/>
                <w:sz w:val="12"/>
                <w:szCs w:val="12"/>
                <w:lang w:bidi="ar-SA"/>
              </w:rPr>
              <w:t xml:space="preserve">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Obrascon</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Huarte</w:t>
            </w:r>
            <w:proofErr w:type="spellEnd"/>
            <w:r w:rsidRPr="00FD0348">
              <w:rPr>
                <w:rFonts w:ascii="Calibri" w:eastAsia="Times New Roman" w:hAnsi="Calibri" w:cs="Arial"/>
                <w:sz w:val="12"/>
                <w:szCs w:val="12"/>
                <w:lang w:bidi="ar-SA"/>
              </w:rPr>
              <w:t xml:space="preserve"> Lain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Koninklijke</w:t>
            </w:r>
            <w:proofErr w:type="spellEnd"/>
            <w:r w:rsidRPr="00FD0348">
              <w:rPr>
                <w:rFonts w:ascii="Calibri" w:eastAsia="Times New Roman" w:hAnsi="Calibri" w:cs="Arial"/>
                <w:sz w:val="12"/>
                <w:szCs w:val="12"/>
                <w:lang w:bidi="ar-SA"/>
              </w:rPr>
              <w:t xml:space="preserve"> BAM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Repsol</w:t>
            </w:r>
            <w:proofErr w:type="spellEnd"/>
            <w:r w:rsidRPr="00FD0348">
              <w:rPr>
                <w:rFonts w:ascii="Calibri" w:eastAsia="Times New Roman" w:hAnsi="Calibri" w:cs="Arial"/>
                <w:sz w:val="12"/>
                <w:szCs w:val="12"/>
                <w:lang w:bidi="ar-SA"/>
              </w:rPr>
              <w:t xml:space="preserve"> YPF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Koninklijke</w:t>
            </w:r>
            <w:proofErr w:type="spellEnd"/>
            <w:r w:rsidRPr="00FD0348">
              <w:rPr>
                <w:rFonts w:ascii="Calibri" w:eastAsia="Times New Roman" w:hAnsi="Calibri" w:cs="Arial"/>
                <w:sz w:val="12"/>
                <w:szCs w:val="12"/>
                <w:lang w:bidi="ar-SA"/>
              </w:rPr>
              <w:t xml:space="preserve"> DSM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Sacyr</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Vallehermoso</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169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Koninklijke</w:t>
            </w:r>
            <w:proofErr w:type="spellEnd"/>
            <w:r w:rsidRPr="00FD0348">
              <w:rPr>
                <w:rFonts w:ascii="Calibri" w:eastAsia="Times New Roman" w:hAnsi="Calibri" w:cs="Arial"/>
                <w:sz w:val="12"/>
                <w:szCs w:val="12"/>
                <w:lang w:bidi="ar-SA"/>
              </w:rPr>
              <w:t xml:space="preserve"> KPN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Telefonica</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ESP</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Koninkklijke</w:t>
            </w:r>
            <w:proofErr w:type="spellEnd"/>
            <w:r w:rsidRPr="00FD0348">
              <w:rPr>
                <w:rFonts w:ascii="Calibri" w:eastAsia="Times New Roman" w:hAnsi="Calibri" w:cs="Arial"/>
                <w:sz w:val="12"/>
                <w:szCs w:val="12"/>
                <w:lang w:bidi="ar-SA"/>
              </w:rPr>
              <w:t xml:space="preserve"> Philips</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141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Nutreco</w:t>
            </w:r>
            <w:proofErr w:type="spellEnd"/>
            <w:r w:rsidRPr="00FD0348">
              <w:rPr>
                <w:rFonts w:ascii="Calibri" w:eastAsia="Times New Roman" w:hAnsi="Calibri" w:cs="Arial"/>
                <w:sz w:val="12"/>
                <w:szCs w:val="12"/>
                <w:lang w:bidi="ar-SA"/>
              </w:rPr>
              <w:t xml:space="preserve">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69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Kesko</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Postnl</w:t>
            </w:r>
            <w:proofErr w:type="spellEnd"/>
            <w:r w:rsidRPr="00FD0348">
              <w:rPr>
                <w:rFonts w:ascii="Calibri" w:eastAsia="Times New Roman" w:hAnsi="Calibri" w:cs="Arial"/>
                <w:sz w:val="12"/>
                <w:szCs w:val="12"/>
                <w:lang w:bidi="ar-SA"/>
              </w:rPr>
              <w:t xml:space="preserve">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Kone</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Randstad</w:t>
            </w:r>
            <w:proofErr w:type="spellEnd"/>
            <w:r w:rsidRPr="00FD0348">
              <w:rPr>
                <w:rFonts w:ascii="Calibri" w:eastAsia="Times New Roman" w:hAnsi="Calibri" w:cs="Arial"/>
                <w:sz w:val="12"/>
                <w:szCs w:val="12"/>
                <w:lang w:bidi="ar-SA"/>
              </w:rPr>
              <w:t xml:space="preserve"> Holding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Metso</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Royal Dutch Shell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Neste</w:t>
            </w:r>
            <w:proofErr w:type="spellEnd"/>
            <w:r w:rsidRPr="00FD0348">
              <w:rPr>
                <w:rFonts w:ascii="Calibri" w:eastAsia="Times New Roman" w:hAnsi="Calibri" w:cs="Arial"/>
                <w:sz w:val="12"/>
                <w:szCs w:val="12"/>
                <w:lang w:bidi="ar-SA"/>
              </w:rPr>
              <w:t xml:space="preserve"> Oil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Royal </w:t>
            </w:r>
            <w:proofErr w:type="spellStart"/>
            <w:r w:rsidRPr="00FD0348">
              <w:rPr>
                <w:rFonts w:ascii="Calibri" w:eastAsia="Times New Roman" w:hAnsi="Calibri" w:cs="Arial"/>
                <w:sz w:val="12"/>
                <w:szCs w:val="12"/>
                <w:lang w:bidi="ar-SA"/>
              </w:rPr>
              <w:t>Imtech</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Nokia Corporation</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Stmicroelectronics</w:t>
            </w:r>
            <w:proofErr w:type="spellEnd"/>
            <w:r w:rsidRPr="00FD0348">
              <w:rPr>
                <w:rFonts w:ascii="Calibri" w:eastAsia="Times New Roman" w:hAnsi="Calibri" w:cs="Arial"/>
                <w:sz w:val="12"/>
                <w:szCs w:val="12"/>
                <w:lang w:bidi="ar-SA"/>
              </w:rPr>
              <w:t xml:space="preserve">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Outokumpu</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Unilever NV</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NLD</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Stora</w:t>
            </w:r>
            <w:proofErr w:type="spellEnd"/>
            <w:r w:rsidRPr="00FD0348">
              <w:rPr>
                <w:rFonts w:ascii="Calibri" w:eastAsia="Times New Roman" w:hAnsi="Calibri" w:cs="Arial"/>
                <w:sz w:val="12"/>
                <w:szCs w:val="12"/>
                <w:lang w:bidi="ar-SA"/>
              </w:rPr>
              <w:t xml:space="preserve"> Enso 'A'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149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Arial" w:eastAsia="Times New Roman" w:hAnsi="Arial"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UPM-</w:t>
            </w:r>
            <w:proofErr w:type="spellStart"/>
            <w:r w:rsidRPr="00FD0348">
              <w:rPr>
                <w:rFonts w:ascii="Calibri" w:eastAsia="Times New Roman" w:hAnsi="Calibri" w:cs="Arial"/>
                <w:sz w:val="12"/>
                <w:szCs w:val="12"/>
                <w:lang w:bidi="ar-SA"/>
              </w:rPr>
              <w:t>Kymmene</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Aker Solutions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Wartsila</w:t>
            </w:r>
            <w:proofErr w:type="spellEnd"/>
            <w:r w:rsidRPr="00FD0348">
              <w:rPr>
                <w:rFonts w:ascii="Calibri" w:eastAsia="Times New Roman" w:hAnsi="Calibri" w:cs="Arial"/>
                <w:sz w:val="12"/>
                <w:szCs w:val="12"/>
                <w:lang w:bidi="ar-SA"/>
              </w:rPr>
              <w:t xml:space="preserve">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179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Norsk</w:t>
            </w:r>
            <w:proofErr w:type="spellEnd"/>
            <w:r w:rsidRPr="00FD0348">
              <w:rPr>
                <w:rFonts w:ascii="Calibri" w:eastAsia="Times New Roman" w:hAnsi="Calibri" w:cs="Arial"/>
                <w:sz w:val="12"/>
                <w:szCs w:val="12"/>
                <w:lang w:bidi="ar-SA"/>
              </w:rPr>
              <w:t xml:space="preserve"> Hydro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lastRenderedPageBreak/>
              <w:t>78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YIT OYJ</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FIN</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Orkla</w:t>
            </w:r>
            <w:proofErr w:type="spellEnd"/>
            <w:r w:rsidRPr="00FD0348">
              <w:rPr>
                <w:rFonts w:ascii="Calibri" w:eastAsia="Times New Roman" w:hAnsi="Calibri" w:cs="Arial"/>
                <w:sz w:val="12"/>
                <w:szCs w:val="12"/>
                <w:lang w:bidi="ar-SA"/>
              </w:rPr>
              <w:t xml:space="preserve">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141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r w:rsidRPr="00FD0348">
              <w:rPr>
                <w:rFonts w:ascii="Arial" w:eastAsia="Times New Roman" w:hAnsi="Arial" w:cs="Arial"/>
                <w:sz w:val="14"/>
                <w:szCs w:val="14"/>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Statoil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79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Accor</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Statoil Fuel &amp; Retail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Air France-KLM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Telenor</w:t>
            </w:r>
            <w:proofErr w:type="spellEnd"/>
            <w:r w:rsidRPr="00FD0348">
              <w:rPr>
                <w:rFonts w:ascii="Calibri" w:eastAsia="Times New Roman" w:hAnsi="Calibri" w:cs="Arial"/>
                <w:sz w:val="12"/>
                <w:szCs w:val="12"/>
                <w:lang w:bidi="ar-SA"/>
              </w:rPr>
              <w:t xml:space="preserve">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Air </w:t>
            </w:r>
            <w:proofErr w:type="spellStart"/>
            <w:r w:rsidRPr="00FD0348">
              <w:rPr>
                <w:rFonts w:ascii="Calibri" w:eastAsia="Times New Roman" w:hAnsi="Calibri" w:cs="Arial"/>
                <w:sz w:val="12"/>
                <w:szCs w:val="12"/>
                <w:lang w:bidi="ar-SA"/>
              </w:rPr>
              <w:t>Liquide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Yara</w:t>
            </w:r>
            <w:proofErr w:type="spellEnd"/>
            <w:r w:rsidRPr="00FD0348">
              <w:rPr>
                <w:rFonts w:ascii="Calibri" w:eastAsia="Times New Roman" w:hAnsi="Calibri" w:cs="Arial"/>
                <w:sz w:val="12"/>
                <w:szCs w:val="12"/>
                <w:lang w:bidi="ar-SA"/>
              </w:rPr>
              <w:t xml:space="preserve"> International ASA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NOR</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Alcatel-Lucent</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000000" w:fill="FFFFFF"/>
            <w:noWrap/>
            <w:hideMark/>
          </w:tcPr>
          <w:p w:rsidR="008A4B69" w:rsidRPr="00FD0348" w:rsidRDefault="008A4B69" w:rsidP="00470966">
            <w:pPr>
              <w:spacing w:before="0" w:line="240" w:lineRule="auto"/>
              <w:ind w:right="27" w:firstLine="0"/>
              <w:jc w:val="left"/>
              <w:rPr>
                <w:rFonts w:ascii="Arial" w:eastAsia="Times New Roman" w:hAnsi="Arial" w:cs="Arial"/>
                <w:b/>
                <w:bCs/>
                <w:sz w:val="12"/>
                <w:szCs w:val="12"/>
                <w:lang w:bidi="ar-SA"/>
              </w:rPr>
            </w:pPr>
            <w:r w:rsidRPr="00FD0348">
              <w:rPr>
                <w:rFonts w:ascii="Arial" w:eastAsia="Times New Roman" w:hAnsi="Arial" w:cs="Arial"/>
                <w:b/>
                <w:bCs/>
                <w:sz w:val="12"/>
                <w:szCs w:val="12"/>
                <w:lang w:bidi="ar-SA"/>
              </w:rPr>
              <w:t> </w:t>
            </w: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Alstom</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Kghm</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Polska</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Miedz</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POL</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Areva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Arkema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Jeronimo</w:t>
            </w:r>
            <w:proofErr w:type="spellEnd"/>
            <w:r w:rsidRPr="00FD0348">
              <w:rPr>
                <w:rFonts w:ascii="Calibri" w:eastAsia="Times New Roman" w:hAnsi="Calibri" w:cs="Arial"/>
                <w:sz w:val="12"/>
                <w:szCs w:val="12"/>
                <w:lang w:bidi="ar-SA"/>
              </w:rPr>
              <w:t xml:space="preserve"> Martins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PRT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Atos</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Portugal Telecom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PRT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Bollore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Sonae</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Sgps</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PRT</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Bongrain</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89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Bouygues</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189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Assa</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Abloy</w:t>
            </w:r>
            <w:proofErr w:type="spellEnd"/>
            <w:r w:rsidRPr="00FD0348">
              <w:rPr>
                <w:rFonts w:ascii="Calibri" w:eastAsia="Times New Roman" w:hAnsi="Calibri" w:cs="Arial"/>
                <w:sz w:val="12"/>
                <w:szCs w:val="12"/>
                <w:lang w:bidi="ar-SA"/>
              </w:rPr>
              <w:t xml:space="preserve">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Cap Gemini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Atlas </w:t>
            </w:r>
            <w:proofErr w:type="spellStart"/>
            <w:r w:rsidRPr="00FD0348">
              <w:rPr>
                <w:rFonts w:ascii="Calibri" w:eastAsia="Times New Roman" w:hAnsi="Calibri" w:cs="Arial"/>
                <w:sz w:val="12"/>
                <w:szCs w:val="12"/>
                <w:lang w:bidi="ar-SA"/>
              </w:rPr>
              <w:t>Copco</w:t>
            </w:r>
            <w:proofErr w:type="spellEnd"/>
            <w:r w:rsidRPr="00FD0348">
              <w:rPr>
                <w:rFonts w:ascii="Calibri" w:eastAsia="Times New Roman" w:hAnsi="Calibri" w:cs="Arial"/>
                <w:sz w:val="12"/>
                <w:szCs w:val="12"/>
                <w:lang w:bidi="ar-SA"/>
              </w:rPr>
              <w:t xml:space="preserve">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Carrefour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Boliden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xml:space="preserve">Casino </w:t>
            </w:r>
            <w:proofErr w:type="spellStart"/>
            <w:r w:rsidRPr="00FD0348">
              <w:rPr>
                <w:rFonts w:ascii="Calibri" w:eastAsia="Times New Roman" w:hAnsi="Calibri" w:cs="Arial"/>
                <w:sz w:val="12"/>
                <w:szCs w:val="12"/>
                <w:lang w:bidi="ar-SA"/>
              </w:rPr>
              <w:t>Guichard</w:t>
            </w:r>
            <w:proofErr w:type="spellEnd"/>
            <w:r w:rsidRPr="00FD0348">
              <w:rPr>
                <w:rFonts w:ascii="Calibri" w:eastAsia="Times New Roman" w:hAnsi="Calibri" w:cs="Arial"/>
                <w:sz w:val="12"/>
                <w:szCs w:val="12"/>
                <w:lang w:bidi="ar-SA"/>
              </w:rPr>
              <w:t>-P</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Electrolux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Christian Dior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Ericsson 'B'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Ciments</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Francais</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H &amp; M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95</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Colas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PEAB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96</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Compagnie</w:t>
            </w:r>
            <w:proofErr w:type="spellEnd"/>
            <w:r w:rsidRPr="00FD0348">
              <w:rPr>
                <w:rFonts w:ascii="Calibri" w:eastAsia="Times New Roman" w:hAnsi="Calibri" w:cs="Arial"/>
                <w:sz w:val="12"/>
                <w:szCs w:val="12"/>
                <w:lang w:bidi="ar-SA"/>
              </w:rPr>
              <w:t xml:space="preserve"> De St-</w:t>
            </w:r>
            <w:proofErr w:type="spellStart"/>
            <w:r w:rsidRPr="00FD0348">
              <w:rPr>
                <w:rFonts w:ascii="Calibri" w:eastAsia="Times New Roman" w:hAnsi="Calibri" w:cs="Arial"/>
                <w:sz w:val="12"/>
                <w:szCs w:val="12"/>
                <w:lang w:bidi="ar-SA"/>
              </w:rPr>
              <w:t>Gobain</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196</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Sandvik</w:t>
            </w:r>
            <w:proofErr w:type="spellEnd"/>
            <w:r w:rsidRPr="00FD0348">
              <w:rPr>
                <w:rFonts w:ascii="Calibri" w:eastAsia="Times New Roman" w:hAnsi="Calibri" w:cs="Arial"/>
                <w:sz w:val="12"/>
                <w:szCs w:val="12"/>
                <w:lang w:bidi="ar-SA"/>
              </w:rPr>
              <w:t xml:space="preserve">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97</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Danone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197</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SAS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98</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Eiffage</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198</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SCA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99</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Essilor</w:t>
            </w:r>
            <w:proofErr w:type="spellEnd"/>
            <w:r w:rsidRPr="00FD0348">
              <w:rPr>
                <w:rFonts w:ascii="Calibri" w:eastAsia="Times New Roman" w:hAnsi="Calibri" w:cs="Arial"/>
                <w:sz w:val="12"/>
                <w:szCs w:val="12"/>
                <w:lang w:bidi="ar-SA"/>
              </w:rPr>
              <w:t xml:space="preserve"> International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199</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Scania</w:t>
            </w:r>
            <w:proofErr w:type="spellEnd"/>
            <w:r w:rsidRPr="00FD0348">
              <w:rPr>
                <w:rFonts w:ascii="Calibri" w:eastAsia="Times New Roman" w:hAnsi="Calibri" w:cs="Arial"/>
                <w:sz w:val="12"/>
                <w:szCs w:val="12"/>
                <w:lang w:bidi="ar-SA"/>
              </w:rPr>
              <w:t xml:space="preserve">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100</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Esso</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200</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Securitas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101</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Faurecia</w:t>
            </w:r>
            <w:proofErr w:type="spellEnd"/>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201</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Skanska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102</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Fonciere</w:t>
            </w:r>
            <w:proofErr w:type="spellEnd"/>
            <w:r w:rsidRPr="00FD0348">
              <w:rPr>
                <w:rFonts w:ascii="Calibri" w:eastAsia="Times New Roman" w:hAnsi="Calibri" w:cs="Arial"/>
                <w:sz w:val="12"/>
                <w:szCs w:val="12"/>
                <w:lang w:bidi="ar-SA"/>
              </w:rPr>
              <w:t xml:space="preserve"> </w:t>
            </w:r>
            <w:proofErr w:type="spellStart"/>
            <w:r w:rsidRPr="00FD0348">
              <w:rPr>
                <w:rFonts w:ascii="Calibri" w:eastAsia="Times New Roman" w:hAnsi="Calibri" w:cs="Arial"/>
                <w:sz w:val="12"/>
                <w:szCs w:val="12"/>
                <w:lang w:bidi="ar-SA"/>
              </w:rPr>
              <w:t>Euris</w:t>
            </w:r>
            <w:proofErr w:type="spellEnd"/>
            <w:r w:rsidRPr="00FD0348">
              <w:rPr>
                <w:rFonts w:ascii="Calibri" w:eastAsia="Times New Roman" w:hAnsi="Calibri" w:cs="Arial"/>
                <w:sz w:val="12"/>
                <w:szCs w:val="12"/>
                <w:lang w:bidi="ar-SA"/>
              </w:rPr>
              <w:t xml:space="preserve"> SA</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202</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SKF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103</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France Telecom</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203</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SSAB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104</w:t>
            </w:r>
          </w:p>
        </w:tc>
        <w:tc>
          <w:tcPr>
            <w:tcW w:w="141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L'Oreal</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FRA</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204</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proofErr w:type="spellStart"/>
            <w:r w:rsidRPr="00FD0348">
              <w:rPr>
                <w:rFonts w:ascii="Calibri" w:eastAsia="Times New Roman" w:hAnsi="Calibri" w:cs="Arial"/>
                <w:sz w:val="12"/>
                <w:szCs w:val="12"/>
                <w:lang w:bidi="ar-SA"/>
              </w:rPr>
              <w:t>Teliasonera</w:t>
            </w:r>
            <w:proofErr w:type="spellEnd"/>
            <w:r w:rsidRPr="00FD0348">
              <w:rPr>
                <w:rFonts w:ascii="Calibri" w:eastAsia="Times New Roman" w:hAnsi="Calibri" w:cs="Arial"/>
                <w:sz w:val="12"/>
                <w:szCs w:val="12"/>
                <w:lang w:bidi="ar-SA"/>
              </w:rPr>
              <w:t xml:space="preserve">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141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right"/>
              <w:rPr>
                <w:rFonts w:ascii="Calibri" w:eastAsia="Times New Roman" w:hAnsi="Calibri" w:cs="Arial"/>
                <w:sz w:val="12"/>
                <w:szCs w:val="12"/>
                <w:lang w:bidi="ar-SA"/>
              </w:rPr>
            </w:pPr>
            <w:r w:rsidRPr="00FD0348">
              <w:rPr>
                <w:rFonts w:ascii="Calibri" w:eastAsia="Times New Roman" w:hAnsi="Calibri" w:cs="Arial"/>
                <w:sz w:val="12"/>
                <w:szCs w:val="12"/>
                <w:lang w:bidi="ar-SA"/>
              </w:rPr>
              <w:t>205</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Volvo AB</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SWE</w:t>
            </w:r>
          </w:p>
        </w:tc>
        <w:tc>
          <w:tcPr>
            <w:tcW w:w="486" w:type="dxa"/>
            <w:tcBorders>
              <w:top w:val="nil"/>
              <w:left w:val="nil"/>
              <w:bottom w:val="double" w:sz="6" w:space="0" w:color="auto"/>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c>
          <w:tcPr>
            <w:tcW w:w="429" w:type="dxa"/>
            <w:tcBorders>
              <w:top w:val="nil"/>
              <w:left w:val="nil"/>
              <w:bottom w:val="double" w:sz="6" w:space="0" w:color="auto"/>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x</w:t>
            </w:r>
          </w:p>
        </w:tc>
      </w:tr>
      <w:tr w:rsidR="008A4B69" w:rsidRPr="00FD0348" w:rsidTr="008A4B69">
        <w:trPr>
          <w:trHeight w:val="150"/>
        </w:trPr>
        <w:tc>
          <w:tcPr>
            <w:tcW w:w="35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141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665"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center"/>
              <w:rPr>
                <w:rFonts w:ascii="Calibri" w:eastAsia="Times New Roman" w:hAnsi="Calibri" w:cs="Arial"/>
                <w:sz w:val="14"/>
                <w:szCs w:val="14"/>
                <w:lang w:bidi="ar-SA"/>
              </w:rPr>
            </w:pPr>
          </w:p>
        </w:tc>
        <w:tc>
          <w:tcPr>
            <w:tcW w:w="48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Calibri" w:eastAsia="Times New Roman" w:hAnsi="Calibri" w:cs="Arial"/>
                <w:sz w:val="14"/>
                <w:szCs w:val="14"/>
                <w:lang w:bidi="ar-SA"/>
              </w:rPr>
            </w:pPr>
          </w:p>
        </w:tc>
        <w:tc>
          <w:tcPr>
            <w:tcW w:w="429"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576" w:type="dxa"/>
            <w:tcBorders>
              <w:top w:val="nil"/>
              <w:left w:val="nil"/>
              <w:bottom w:val="nil"/>
              <w:right w:val="nil"/>
            </w:tcBorders>
            <w:shd w:val="clear" w:color="auto" w:fill="auto"/>
            <w:noWrap/>
            <w:hideMark/>
          </w:tcPr>
          <w:p w:rsidR="008A4B69" w:rsidRPr="00FD0348" w:rsidRDefault="008A4B69" w:rsidP="00470966">
            <w:pPr>
              <w:spacing w:before="0" w:line="240" w:lineRule="auto"/>
              <w:ind w:right="27" w:firstLine="0"/>
              <w:jc w:val="left"/>
              <w:rPr>
                <w:rFonts w:ascii="Arial" w:eastAsia="Times New Roman" w:hAnsi="Arial" w:cs="Arial"/>
                <w:sz w:val="14"/>
                <w:szCs w:val="14"/>
                <w:lang w:bidi="ar-SA"/>
              </w:rPr>
            </w:pPr>
          </w:p>
        </w:tc>
        <w:tc>
          <w:tcPr>
            <w:tcW w:w="35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149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left"/>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665"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 </w:t>
            </w:r>
          </w:p>
        </w:tc>
        <w:tc>
          <w:tcPr>
            <w:tcW w:w="486"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194</w:t>
            </w:r>
          </w:p>
        </w:tc>
        <w:tc>
          <w:tcPr>
            <w:tcW w:w="429" w:type="dxa"/>
            <w:tcBorders>
              <w:top w:val="nil"/>
              <w:left w:val="nil"/>
              <w:bottom w:val="nil"/>
              <w:right w:val="nil"/>
            </w:tcBorders>
            <w:shd w:val="clear" w:color="000000" w:fill="FFFFFF"/>
            <w:noWrap/>
            <w:vAlign w:val="bottom"/>
            <w:hideMark/>
          </w:tcPr>
          <w:p w:rsidR="008A4B69" w:rsidRPr="00FD0348" w:rsidRDefault="008A4B69" w:rsidP="00470966">
            <w:pPr>
              <w:spacing w:before="0" w:line="240" w:lineRule="auto"/>
              <w:ind w:right="27" w:firstLine="0"/>
              <w:jc w:val="center"/>
              <w:rPr>
                <w:rFonts w:ascii="Calibri" w:eastAsia="Times New Roman" w:hAnsi="Calibri" w:cs="Arial"/>
                <w:sz w:val="12"/>
                <w:szCs w:val="12"/>
                <w:lang w:bidi="ar-SA"/>
              </w:rPr>
            </w:pPr>
            <w:r w:rsidRPr="00FD0348">
              <w:rPr>
                <w:rFonts w:ascii="Calibri" w:eastAsia="Times New Roman" w:hAnsi="Calibri" w:cs="Arial"/>
                <w:sz w:val="12"/>
                <w:szCs w:val="12"/>
                <w:lang w:bidi="ar-SA"/>
              </w:rPr>
              <w:t>193</w:t>
            </w:r>
          </w:p>
        </w:tc>
      </w:tr>
    </w:tbl>
    <w:p w:rsidR="008A4B69" w:rsidRPr="00FD0348" w:rsidRDefault="008A4B69" w:rsidP="00470966">
      <w:pPr>
        <w:ind w:right="27"/>
      </w:pPr>
    </w:p>
    <w:p w:rsidR="00D85259" w:rsidRPr="00FD0348" w:rsidRDefault="00D85259" w:rsidP="00470966">
      <w:pPr>
        <w:ind w:right="27"/>
      </w:pPr>
    </w:p>
    <w:p w:rsidR="00D85259" w:rsidRPr="00FD0348" w:rsidRDefault="00D85259" w:rsidP="00470966">
      <w:pPr>
        <w:spacing w:line="240" w:lineRule="auto"/>
        <w:ind w:right="27"/>
      </w:pPr>
    </w:p>
    <w:p w:rsidR="00D85259" w:rsidRPr="00FD0348" w:rsidRDefault="00D85259" w:rsidP="00470966">
      <w:pPr>
        <w:ind w:right="27"/>
        <w:sectPr w:rsidR="00D85259" w:rsidRPr="00FD0348" w:rsidSect="004D503D">
          <w:pgSz w:w="11907" w:h="16839" w:code="9"/>
          <w:pgMar w:top="1440" w:right="1080" w:bottom="1440" w:left="1080" w:header="504" w:footer="720" w:gutter="0"/>
          <w:pgNumType w:start="1"/>
          <w:cols w:space="720"/>
          <w:docGrid w:linePitch="360"/>
        </w:sectPr>
      </w:pPr>
    </w:p>
    <w:tbl>
      <w:tblPr>
        <w:tblW w:w="14180" w:type="dxa"/>
        <w:tblInd w:w="99" w:type="dxa"/>
        <w:tblLook w:val="04A0"/>
      </w:tblPr>
      <w:tblGrid>
        <w:gridCol w:w="4170"/>
        <w:gridCol w:w="668"/>
        <w:gridCol w:w="668"/>
        <w:gridCol w:w="668"/>
        <w:gridCol w:w="668"/>
        <w:gridCol w:w="668"/>
        <w:gridCol w:w="667"/>
        <w:gridCol w:w="667"/>
        <w:gridCol w:w="667"/>
        <w:gridCol w:w="667"/>
        <w:gridCol w:w="667"/>
        <w:gridCol w:w="667"/>
        <w:gridCol w:w="667"/>
        <w:gridCol w:w="667"/>
        <w:gridCol w:w="667"/>
        <w:gridCol w:w="667"/>
      </w:tblGrid>
      <w:tr w:rsidR="007731F5" w:rsidRPr="00FD0348" w:rsidTr="007731F5">
        <w:trPr>
          <w:trHeight w:val="690"/>
        </w:trPr>
        <w:tc>
          <w:tcPr>
            <w:tcW w:w="14180" w:type="dxa"/>
            <w:gridSpan w:val="16"/>
            <w:tcBorders>
              <w:top w:val="nil"/>
              <w:left w:val="nil"/>
              <w:bottom w:val="nil"/>
              <w:right w:val="nil"/>
            </w:tcBorders>
            <w:shd w:val="clear" w:color="auto" w:fill="auto"/>
            <w:vAlign w:val="bottom"/>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lastRenderedPageBreak/>
              <w:t>Table 3. Pearson (Spearman’s Rho) pair wise correlations below (above) the diagonal among the audit committee characteristics, control variables and the likelihood of avoiding earnings surprises for 1359 public interest entities for the years 2008 and 2011.</w:t>
            </w:r>
          </w:p>
        </w:tc>
      </w:tr>
      <w:tr w:rsidR="007731F5" w:rsidRPr="00FD0348" w:rsidTr="007731F5">
        <w:trPr>
          <w:trHeight w:val="300"/>
        </w:trPr>
        <w:tc>
          <w:tcPr>
            <w:tcW w:w="4170" w:type="dxa"/>
            <w:tcBorders>
              <w:top w:val="nil"/>
              <w:left w:val="nil"/>
              <w:bottom w:val="single" w:sz="4" w:space="0" w:color="auto"/>
              <w:right w:val="nil"/>
            </w:tcBorders>
            <w:shd w:val="clear" w:color="auto" w:fill="auto"/>
            <w:noWrap/>
            <w:vAlign w:val="bottom"/>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 </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2</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3</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4</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5</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6</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7</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8</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9</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11</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12</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13</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14</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15</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 Earnings Surprise Avoidance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2. %Independent</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3. Independent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0.89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4. #</w:t>
            </w:r>
            <w:r w:rsidR="007A4D09" w:rsidRPr="00FD0348">
              <w:rPr>
                <w:rFonts w:ascii="Calibri" w:eastAsia="Times New Roman" w:hAnsi="Calibri" w:cs="Times New Roman"/>
                <w:color w:val="000000"/>
                <w:sz w:val="18"/>
                <w:szCs w:val="18"/>
                <w:lang w:eastAsia="zh-CN" w:bidi="ar-SA"/>
              </w:rPr>
              <w:t>EUFE-Auditing</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0.65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0.31</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5. #</w:t>
            </w:r>
            <w:r w:rsidR="007A4D09" w:rsidRPr="00FD0348">
              <w:rPr>
                <w:rFonts w:ascii="Calibri" w:eastAsia="Times New Roman" w:hAnsi="Calibri" w:cs="Times New Roman"/>
                <w:color w:val="000000"/>
                <w:sz w:val="18"/>
                <w:szCs w:val="18"/>
                <w:lang w:eastAsia="zh-CN" w:bidi="ar-SA"/>
              </w:rPr>
              <w:t>EUFE-Accounting</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6. #EUFE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0.62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0.66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0.33</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7. Size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-0.12</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 xml:space="preserve">8. %EUFE </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0.34</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9. Meeting frequency score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0.37</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 Meeting audit reform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11. Litigation risk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12. Entity size (MV)</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0.33</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13. Entity growth</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-0.17</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0.06</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r>
      <w:tr w:rsidR="007731F5" w:rsidRPr="00FD0348" w:rsidTr="007731F5">
        <w:trPr>
          <w:trHeight w:val="300"/>
        </w:trPr>
        <w:tc>
          <w:tcPr>
            <w:tcW w:w="4170"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14. Loss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7"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r>
      <w:tr w:rsidR="007731F5" w:rsidRPr="00FD0348" w:rsidTr="007731F5">
        <w:trPr>
          <w:trHeight w:val="300"/>
        </w:trPr>
        <w:tc>
          <w:tcPr>
            <w:tcW w:w="4170" w:type="dxa"/>
            <w:tcBorders>
              <w:top w:val="nil"/>
              <w:left w:val="nil"/>
              <w:bottom w:val="single" w:sz="4" w:space="0" w:color="auto"/>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15. CGV score</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0.07</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0.30</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0.30</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-0.13</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0.30</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0.30</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0.32</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7"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r>
      <w:tr w:rsidR="007731F5" w:rsidRPr="00FD0348" w:rsidTr="007731F5">
        <w:trPr>
          <w:trHeight w:val="300"/>
        </w:trPr>
        <w:tc>
          <w:tcPr>
            <w:tcW w:w="14180" w:type="dxa"/>
            <w:gridSpan w:val="16"/>
            <w:tcBorders>
              <w:top w:val="single" w:sz="4" w:space="0" w:color="auto"/>
              <w:left w:val="nil"/>
              <w:bottom w:val="nil"/>
              <w:right w:val="nil"/>
            </w:tcBorders>
            <w:shd w:val="clear" w:color="auto" w:fill="auto"/>
            <w:noWrap/>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The correlation coefficient in bold are significant at the five percent significance level</w:t>
            </w:r>
          </w:p>
        </w:tc>
      </w:tr>
    </w:tbl>
    <w:p w:rsidR="00D85259" w:rsidRPr="00FD0348" w:rsidRDefault="00D85259" w:rsidP="00470966">
      <w:pPr>
        <w:ind w:right="27"/>
      </w:pPr>
    </w:p>
    <w:p w:rsidR="007731F5" w:rsidRPr="00FD0348" w:rsidRDefault="007731F5" w:rsidP="00470966">
      <w:pPr>
        <w:ind w:right="27"/>
      </w:pPr>
    </w:p>
    <w:p w:rsidR="004604EF" w:rsidRPr="00FD0348" w:rsidRDefault="004604EF" w:rsidP="00470966">
      <w:pPr>
        <w:spacing w:before="200" w:after="200"/>
        <w:ind w:right="27" w:firstLine="0"/>
        <w:jc w:val="left"/>
      </w:pPr>
      <w:r w:rsidRPr="00FD0348">
        <w:br w:type="page"/>
      </w:r>
    </w:p>
    <w:tbl>
      <w:tblPr>
        <w:tblW w:w="14180" w:type="dxa"/>
        <w:tblInd w:w="99" w:type="dxa"/>
        <w:tblLook w:val="04A0"/>
      </w:tblPr>
      <w:tblGrid>
        <w:gridCol w:w="4169"/>
        <w:gridCol w:w="668"/>
        <w:gridCol w:w="665"/>
        <w:gridCol w:w="668"/>
        <w:gridCol w:w="668"/>
        <w:gridCol w:w="668"/>
        <w:gridCol w:w="668"/>
        <w:gridCol w:w="668"/>
        <w:gridCol w:w="668"/>
        <w:gridCol w:w="668"/>
        <w:gridCol w:w="665"/>
        <w:gridCol w:w="668"/>
        <w:gridCol w:w="665"/>
        <w:gridCol w:w="668"/>
        <w:gridCol w:w="668"/>
        <w:gridCol w:w="668"/>
      </w:tblGrid>
      <w:tr w:rsidR="007731F5" w:rsidRPr="00FD0348" w:rsidTr="007731F5">
        <w:trPr>
          <w:trHeight w:val="540"/>
        </w:trPr>
        <w:tc>
          <w:tcPr>
            <w:tcW w:w="14180" w:type="dxa"/>
            <w:gridSpan w:val="16"/>
            <w:tcBorders>
              <w:top w:val="nil"/>
              <w:left w:val="nil"/>
              <w:bottom w:val="single" w:sz="4" w:space="0" w:color="auto"/>
              <w:right w:val="nil"/>
            </w:tcBorders>
            <w:shd w:val="clear" w:color="auto" w:fill="auto"/>
            <w:vAlign w:val="bottom"/>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lastRenderedPageBreak/>
              <w:t>Table 4. Pearson (Spearman’s Rho) pair wise correlations below (above) the diagonal among the audit committee characteristics, control variables and the likelihood of avoiding small earnings increases for 593 public interest entities for the years 2008 and 2011.</w:t>
            </w:r>
          </w:p>
        </w:tc>
      </w:tr>
      <w:tr w:rsidR="007731F5" w:rsidRPr="00FD0348" w:rsidTr="007731F5">
        <w:trPr>
          <w:trHeight w:val="300"/>
        </w:trPr>
        <w:tc>
          <w:tcPr>
            <w:tcW w:w="4169"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w:t>
            </w:r>
          </w:p>
        </w:tc>
        <w:tc>
          <w:tcPr>
            <w:tcW w:w="665"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2</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3</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4</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5</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6</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7</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8</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9</w:t>
            </w:r>
          </w:p>
        </w:tc>
        <w:tc>
          <w:tcPr>
            <w:tcW w:w="665"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11</w:t>
            </w:r>
          </w:p>
        </w:tc>
        <w:tc>
          <w:tcPr>
            <w:tcW w:w="665"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12</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13</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14</w:t>
            </w:r>
          </w:p>
        </w:tc>
        <w:tc>
          <w:tcPr>
            <w:tcW w:w="668" w:type="dxa"/>
            <w:tcBorders>
              <w:top w:val="nil"/>
              <w:left w:val="nil"/>
              <w:bottom w:val="nil"/>
              <w:right w:val="nil"/>
            </w:tcBorders>
            <w:shd w:val="clear" w:color="auto" w:fill="auto"/>
            <w:noWrap/>
            <w:vAlign w:val="bottom"/>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15</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 Small earnings increases</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2. %Independent</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3. Independent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4. #</w:t>
            </w:r>
            <w:r w:rsidR="007A4D09" w:rsidRPr="00FD0348">
              <w:rPr>
                <w:rFonts w:ascii="Calibri" w:eastAsia="Times New Roman" w:hAnsi="Calibri" w:cs="Times New Roman"/>
                <w:color w:val="000000"/>
                <w:sz w:val="18"/>
                <w:szCs w:val="18"/>
                <w:lang w:eastAsia="zh-CN" w:bidi="ar-SA"/>
              </w:rPr>
              <w:t>EUFE-Auditing</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0.64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0.23</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5. #</w:t>
            </w:r>
            <w:r w:rsidR="007A4D09" w:rsidRPr="00FD0348">
              <w:rPr>
                <w:rFonts w:ascii="Calibri" w:eastAsia="Times New Roman" w:hAnsi="Calibri" w:cs="Times New Roman"/>
                <w:color w:val="000000"/>
                <w:sz w:val="18"/>
                <w:szCs w:val="18"/>
                <w:lang w:eastAsia="zh-CN" w:bidi="ar-SA"/>
              </w:rPr>
              <w:t>EUFE-Accounting</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6. #EUFE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0.24</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0.61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0.27</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7. Size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0.11</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 xml:space="preserve">8. %EUFE </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0.48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0.92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0.28</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0.28</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9. Meeting frequency score</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0.33</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 Meeting audit reform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0.39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0.52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0.17</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11. Litigation risk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12. Entity size (MV)</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0.29</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0.29</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13. Entity growth</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-0.05</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0.03</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0.18</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r>
      <w:tr w:rsidR="007731F5" w:rsidRPr="00FD0348" w:rsidTr="007731F5">
        <w:trPr>
          <w:trHeight w:val="300"/>
        </w:trPr>
        <w:tc>
          <w:tcPr>
            <w:tcW w:w="4169" w:type="dxa"/>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14. Loss dummy</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-0.21</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0.01</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0.12</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5"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-0.02</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c>
          <w:tcPr>
            <w:tcW w:w="668" w:type="dxa"/>
            <w:tcBorders>
              <w:top w:val="nil"/>
              <w:left w:val="nil"/>
              <w:bottom w:val="nil"/>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0.08</w:t>
            </w:r>
          </w:p>
        </w:tc>
      </w:tr>
      <w:tr w:rsidR="007731F5" w:rsidRPr="00FD0348" w:rsidTr="007731F5">
        <w:trPr>
          <w:trHeight w:val="300"/>
        </w:trPr>
        <w:tc>
          <w:tcPr>
            <w:tcW w:w="4169" w:type="dxa"/>
            <w:tcBorders>
              <w:top w:val="nil"/>
              <w:left w:val="nil"/>
              <w:bottom w:val="single" w:sz="4" w:space="0" w:color="auto"/>
              <w:right w:val="nil"/>
            </w:tcBorders>
            <w:shd w:val="clear" w:color="auto" w:fill="auto"/>
            <w:noWrap/>
            <w:hideMark/>
          </w:tcPr>
          <w:p w:rsidR="007731F5" w:rsidRPr="00FD0348" w:rsidRDefault="007731F5" w:rsidP="00470966">
            <w:pPr>
              <w:spacing w:before="0" w:line="240" w:lineRule="auto"/>
              <w:ind w:right="27" w:firstLine="0"/>
              <w:jc w:val="left"/>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15. CGV score</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-0.10</w:t>
            </w:r>
          </w:p>
        </w:tc>
        <w:tc>
          <w:tcPr>
            <w:tcW w:w="665"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0.00</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0.22</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0.07</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0.26</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-0.06</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0.26</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0.27</w:t>
            </w:r>
          </w:p>
        </w:tc>
        <w:tc>
          <w:tcPr>
            <w:tcW w:w="665"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0.17</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5"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0.28</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-0.04</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b/>
                <w:bCs/>
                <w:color w:val="000000"/>
                <w:sz w:val="18"/>
                <w:szCs w:val="18"/>
                <w:lang w:eastAsia="zh-CN" w:bidi="ar-SA"/>
              </w:rPr>
            </w:pPr>
            <w:r w:rsidRPr="00FD0348">
              <w:rPr>
                <w:rFonts w:ascii="Calibri" w:eastAsia="Times New Roman" w:hAnsi="Calibri" w:cs="Times New Roman"/>
                <w:b/>
                <w:bCs/>
                <w:color w:val="000000"/>
                <w:sz w:val="18"/>
                <w:szCs w:val="18"/>
                <w:lang w:eastAsia="zh-CN" w:bidi="ar-SA"/>
              </w:rPr>
              <w:t>0.09</w:t>
            </w:r>
          </w:p>
        </w:tc>
        <w:tc>
          <w:tcPr>
            <w:tcW w:w="668" w:type="dxa"/>
            <w:tcBorders>
              <w:top w:val="nil"/>
              <w:left w:val="nil"/>
              <w:bottom w:val="single" w:sz="4" w:space="0" w:color="auto"/>
              <w:right w:val="nil"/>
            </w:tcBorders>
            <w:shd w:val="clear" w:color="auto" w:fill="auto"/>
            <w:noWrap/>
            <w:vAlign w:val="center"/>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1.00</w:t>
            </w:r>
          </w:p>
        </w:tc>
      </w:tr>
      <w:tr w:rsidR="007731F5" w:rsidRPr="00FD0348" w:rsidTr="007731F5">
        <w:trPr>
          <w:trHeight w:val="240"/>
        </w:trPr>
        <w:tc>
          <w:tcPr>
            <w:tcW w:w="14180" w:type="dxa"/>
            <w:gridSpan w:val="16"/>
            <w:tcBorders>
              <w:top w:val="nil"/>
              <w:left w:val="nil"/>
              <w:bottom w:val="nil"/>
              <w:right w:val="nil"/>
            </w:tcBorders>
            <w:shd w:val="clear" w:color="auto" w:fill="auto"/>
            <w:noWrap/>
            <w:hideMark/>
          </w:tcPr>
          <w:p w:rsidR="007731F5" w:rsidRPr="00FD0348" w:rsidRDefault="007731F5" w:rsidP="00470966">
            <w:pPr>
              <w:spacing w:before="0" w:line="240" w:lineRule="auto"/>
              <w:ind w:right="27" w:firstLine="0"/>
              <w:jc w:val="center"/>
              <w:rPr>
                <w:rFonts w:ascii="Calibri" w:eastAsia="Times New Roman" w:hAnsi="Calibri" w:cs="Times New Roman"/>
                <w:color w:val="000000"/>
                <w:sz w:val="18"/>
                <w:szCs w:val="18"/>
                <w:lang w:eastAsia="zh-CN" w:bidi="ar-SA"/>
              </w:rPr>
            </w:pPr>
            <w:r w:rsidRPr="00FD0348">
              <w:rPr>
                <w:rFonts w:ascii="Calibri" w:eastAsia="Times New Roman" w:hAnsi="Calibri" w:cs="Times New Roman"/>
                <w:color w:val="000000"/>
                <w:sz w:val="18"/>
                <w:szCs w:val="18"/>
                <w:lang w:eastAsia="zh-CN" w:bidi="ar-SA"/>
              </w:rPr>
              <w:t>The correlation coefficient in bold are significant at the five percent significance level</w:t>
            </w:r>
          </w:p>
        </w:tc>
      </w:tr>
    </w:tbl>
    <w:p w:rsidR="000C7E2C" w:rsidRPr="00FD0348" w:rsidRDefault="000C7E2C" w:rsidP="00470966">
      <w:pPr>
        <w:ind w:right="27"/>
      </w:pPr>
    </w:p>
    <w:p w:rsidR="00000AD0" w:rsidRPr="00FD0348" w:rsidRDefault="00000AD0" w:rsidP="00470966">
      <w:pPr>
        <w:ind w:right="27"/>
      </w:pPr>
    </w:p>
    <w:p w:rsidR="00000AD0" w:rsidRPr="00FD0348" w:rsidRDefault="00000AD0" w:rsidP="00470966">
      <w:pPr>
        <w:ind w:right="27"/>
        <w:sectPr w:rsidR="00000AD0" w:rsidRPr="00FD0348" w:rsidSect="00470966">
          <w:type w:val="continuous"/>
          <w:pgSz w:w="16839" w:h="11907" w:orient="landscape" w:code="9"/>
          <w:pgMar w:top="1440" w:right="1080" w:bottom="1440" w:left="1080" w:header="504" w:footer="720" w:gutter="0"/>
          <w:cols w:space="720"/>
          <w:docGrid w:linePitch="360"/>
        </w:sectPr>
      </w:pPr>
    </w:p>
    <w:p w:rsidR="00652C8F" w:rsidRPr="00FD0348" w:rsidRDefault="00652C8F" w:rsidP="00470966">
      <w:pPr>
        <w:pStyle w:val="Heading1"/>
        <w:ind w:right="27"/>
      </w:pPr>
      <w:bookmarkStart w:id="42" w:name="_Toc364177668"/>
      <w:bookmarkStart w:id="43" w:name="_Toc364200647"/>
      <w:r w:rsidRPr="00FD0348">
        <w:lastRenderedPageBreak/>
        <w:t>References</w:t>
      </w:r>
      <w:bookmarkEnd w:id="42"/>
      <w:bookmarkEnd w:id="43"/>
    </w:p>
    <w:p w:rsidR="00652C8F" w:rsidRPr="009D21B6" w:rsidRDefault="00652C8F" w:rsidP="00470966">
      <w:pPr>
        <w:ind w:right="27"/>
      </w:pPr>
      <w:proofErr w:type="gramStart"/>
      <w:r w:rsidRPr="009D21B6">
        <w:t>Abbott, L.J., Parker, S. &amp; Peters, G.F. (2004).</w:t>
      </w:r>
      <w:proofErr w:type="gramEnd"/>
      <w:r w:rsidRPr="009D21B6">
        <w:t xml:space="preserve"> Audit Committee Characteristics and Restatements. A</w:t>
      </w:r>
      <w:r w:rsidR="00C46E3F" w:rsidRPr="009D21B6">
        <w:t>uditing</w:t>
      </w:r>
      <w:r w:rsidRPr="009D21B6">
        <w:t>: A J</w:t>
      </w:r>
      <w:r w:rsidR="00C46E3F" w:rsidRPr="009D21B6">
        <w:t>ournal of Practice &amp; Theory</w:t>
      </w:r>
      <w:r w:rsidRPr="009D21B6">
        <w:t xml:space="preserve"> 23</w:t>
      </w:r>
      <w:r w:rsidR="00DF44E7" w:rsidRPr="009D21B6">
        <w:t xml:space="preserve"> (</w:t>
      </w:r>
      <w:r w:rsidRPr="009D21B6">
        <w:t>1</w:t>
      </w:r>
      <w:r w:rsidR="00DF44E7" w:rsidRPr="009D21B6">
        <w:t>):</w:t>
      </w:r>
      <w:r w:rsidR="00C46E3F" w:rsidRPr="009D21B6">
        <w:t xml:space="preserve"> 69-</w:t>
      </w:r>
      <w:r w:rsidRPr="009D21B6">
        <w:t>87</w:t>
      </w:r>
      <w:r w:rsidR="002B5E6D" w:rsidRPr="009D21B6">
        <w:t>.</w:t>
      </w:r>
    </w:p>
    <w:p w:rsidR="00720B1E" w:rsidRPr="009D21B6" w:rsidRDefault="00720B1E" w:rsidP="00470966">
      <w:pPr>
        <w:ind w:right="27"/>
      </w:pPr>
      <w:proofErr w:type="spellStart"/>
      <w:proofErr w:type="gramStart"/>
      <w:r w:rsidRPr="009D21B6">
        <w:t>Ashbaugh</w:t>
      </w:r>
      <w:proofErr w:type="spellEnd"/>
      <w:r w:rsidRPr="009D21B6">
        <w:t xml:space="preserve">, H., </w:t>
      </w:r>
      <w:proofErr w:type="spellStart"/>
      <w:r w:rsidRPr="009D21B6">
        <w:t>LaFond</w:t>
      </w:r>
      <w:proofErr w:type="spellEnd"/>
      <w:r w:rsidRPr="009D21B6">
        <w:t>, R. and Mayhew, B. (2003).</w:t>
      </w:r>
      <w:proofErr w:type="gramEnd"/>
      <w:r w:rsidRPr="009D21B6">
        <w:t xml:space="preserve"> Do </w:t>
      </w:r>
      <w:proofErr w:type="spellStart"/>
      <w:r w:rsidRPr="009D21B6">
        <w:t>nonaudit</w:t>
      </w:r>
      <w:proofErr w:type="spellEnd"/>
      <w:r w:rsidRPr="009D21B6">
        <w:t xml:space="preserve"> services compromise auditor independence? </w:t>
      </w:r>
      <w:proofErr w:type="gramStart"/>
      <w:r w:rsidRPr="009D21B6">
        <w:t>Further evidence.</w:t>
      </w:r>
      <w:proofErr w:type="gramEnd"/>
      <w:r w:rsidRPr="009D21B6">
        <w:t xml:space="preserve"> </w:t>
      </w:r>
      <w:r w:rsidRPr="009D21B6">
        <w:rPr>
          <w:rFonts w:cs="Times-Italic"/>
          <w:iCs/>
        </w:rPr>
        <w:t>The Accounting Review</w:t>
      </w:r>
      <w:r w:rsidRPr="009D21B6">
        <w:rPr>
          <w:rFonts w:cs="Times-Italic"/>
          <w:i/>
          <w:iCs/>
        </w:rPr>
        <w:t xml:space="preserve"> </w:t>
      </w:r>
      <w:r w:rsidRPr="009D21B6">
        <w:t>78 (3): 611–39.</w:t>
      </w:r>
    </w:p>
    <w:p w:rsidR="00652C8F" w:rsidRPr="009D21B6" w:rsidRDefault="00652C8F" w:rsidP="00470966">
      <w:pPr>
        <w:ind w:right="27"/>
      </w:pPr>
      <w:r w:rsidRPr="009D21B6">
        <w:t>Barth, M.E., Elliott, J.A. &amp; Finn M.W. (1995).  Market Rewards Associated with Patterns of Increasing Earnings. Journal of Accounting Research 37</w:t>
      </w:r>
      <w:r w:rsidR="00DF44E7" w:rsidRPr="009D21B6">
        <w:t xml:space="preserve"> (</w:t>
      </w:r>
      <w:r w:rsidRPr="009D21B6">
        <w:t>2</w:t>
      </w:r>
      <w:r w:rsidR="00DF44E7" w:rsidRPr="009D21B6">
        <w:t>):</w:t>
      </w:r>
      <w:r w:rsidRPr="009D21B6">
        <w:t xml:space="preserve"> 387-413</w:t>
      </w:r>
      <w:r w:rsidR="002B5E6D" w:rsidRPr="009D21B6">
        <w:t>.</w:t>
      </w:r>
    </w:p>
    <w:p w:rsidR="003576F6" w:rsidRPr="009D21B6" w:rsidRDefault="003576F6" w:rsidP="00470966">
      <w:pPr>
        <w:ind w:right="27"/>
      </w:pPr>
      <w:proofErr w:type="gramStart"/>
      <w:r w:rsidRPr="009D21B6">
        <w:t xml:space="preserve">Beaver, W.H., </w:t>
      </w:r>
      <w:proofErr w:type="spellStart"/>
      <w:r w:rsidRPr="009D21B6">
        <w:t>McNichols</w:t>
      </w:r>
      <w:proofErr w:type="spellEnd"/>
      <w:r w:rsidRPr="009D21B6">
        <w:t>, M.F. &amp; Nelson, K.K. (2007).</w:t>
      </w:r>
      <w:proofErr w:type="gramEnd"/>
      <w:r w:rsidRPr="009D21B6">
        <w:t xml:space="preserve"> An alternative interpretation of the discontinuity in earnings distributions </w:t>
      </w:r>
      <w:r w:rsidRPr="009D21B6">
        <w:rPr>
          <w:color w:val="333333"/>
          <w:bdr w:val="none" w:sz="0" w:space="0" w:color="auto" w:frame="1"/>
        </w:rPr>
        <w:t>Review of Accounting Studies</w:t>
      </w:r>
      <w:r w:rsidRPr="009D21B6">
        <w:rPr>
          <w:rFonts w:cs="Arial"/>
          <w:color w:val="333333"/>
        </w:rPr>
        <w:t xml:space="preserve"> </w:t>
      </w:r>
      <w:r w:rsidRPr="009D21B6">
        <w:rPr>
          <w:rFonts w:cs="Arial"/>
          <w:color w:val="333333"/>
          <w:bdr w:val="none" w:sz="0" w:space="0" w:color="auto" w:frame="1"/>
          <w:shd w:val="clear" w:color="auto" w:fill="FFFFFF"/>
        </w:rPr>
        <w:t>12</w:t>
      </w:r>
      <w:r w:rsidRPr="009D21B6">
        <w:rPr>
          <w:bdr w:val="none" w:sz="0" w:space="0" w:color="auto" w:frame="1"/>
          <w:shd w:val="clear" w:color="auto" w:fill="FFFFFF"/>
        </w:rPr>
        <w:t xml:space="preserve"> </w:t>
      </w:r>
      <w:r w:rsidR="00117603" w:rsidRPr="009D21B6">
        <w:rPr>
          <w:bdr w:val="none" w:sz="0" w:space="0" w:color="auto" w:frame="1"/>
          <w:shd w:val="clear" w:color="auto" w:fill="FFFFFF"/>
        </w:rPr>
        <w:t>(</w:t>
      </w:r>
      <w:r w:rsidRPr="009D21B6">
        <w:rPr>
          <w:bdr w:val="none" w:sz="0" w:space="0" w:color="auto" w:frame="1"/>
          <w:shd w:val="clear" w:color="auto" w:fill="FFFFFF"/>
        </w:rPr>
        <w:t>4</w:t>
      </w:r>
      <w:r w:rsidR="00117603" w:rsidRPr="009D21B6">
        <w:rPr>
          <w:bdr w:val="none" w:sz="0" w:space="0" w:color="auto" w:frame="1"/>
          <w:shd w:val="clear" w:color="auto" w:fill="FFFFFF"/>
        </w:rPr>
        <w:t>)</w:t>
      </w:r>
      <w:r w:rsidR="00117603" w:rsidRPr="009D21B6">
        <w:t>:</w:t>
      </w:r>
      <w:r w:rsidRPr="009D21B6">
        <w:rPr>
          <w:rFonts w:cs="Arial"/>
          <w:color w:val="333333"/>
          <w:bdr w:val="none" w:sz="0" w:space="0" w:color="auto" w:frame="1"/>
          <w:shd w:val="clear" w:color="auto" w:fill="FFFFFF"/>
        </w:rPr>
        <w:t xml:space="preserve"> 525-556</w:t>
      </w:r>
      <w:r w:rsidR="002B5E6D" w:rsidRPr="009D21B6">
        <w:rPr>
          <w:rFonts w:cs="Arial"/>
          <w:color w:val="333333"/>
          <w:bdr w:val="none" w:sz="0" w:space="0" w:color="auto" w:frame="1"/>
          <w:shd w:val="clear" w:color="auto" w:fill="FFFFFF"/>
        </w:rPr>
        <w:t>.</w:t>
      </w:r>
    </w:p>
    <w:p w:rsidR="00652C8F" w:rsidRPr="00FD0348" w:rsidRDefault="00652C8F" w:rsidP="00470966">
      <w:pPr>
        <w:ind w:right="27"/>
      </w:pPr>
      <w:proofErr w:type="gramStart"/>
      <w:r w:rsidRPr="009D21B6">
        <w:t>Blue Ribbon Committee (1999).</w:t>
      </w:r>
      <w:proofErr w:type="gramEnd"/>
      <w:r w:rsidRPr="009D21B6">
        <w:t xml:space="preserve"> </w:t>
      </w:r>
      <w:proofErr w:type="gramStart"/>
      <w:r w:rsidRPr="009D21B6">
        <w:t>Report and recommendations of the Blue Ribbon Committee on improving the effectiveness of corporate audit committees.</w:t>
      </w:r>
      <w:proofErr w:type="gramEnd"/>
      <w:r w:rsidRPr="009D21B6">
        <w:t xml:space="preserve"> Business</w:t>
      </w:r>
      <w:r w:rsidRPr="00FD0348">
        <w:t xml:space="preserve"> Lawyer 54 (3): 13-35.</w:t>
      </w:r>
    </w:p>
    <w:p w:rsidR="0038263F" w:rsidRPr="00FD0348" w:rsidRDefault="0038263F" w:rsidP="00470966">
      <w:pPr>
        <w:ind w:right="27"/>
      </w:pPr>
      <w:proofErr w:type="gramStart"/>
      <w:r w:rsidRPr="00FD0348">
        <w:t>Brown (2001).</w:t>
      </w:r>
      <w:proofErr w:type="gramEnd"/>
      <w:r w:rsidRPr="00FD0348">
        <w:t xml:space="preserve"> A temporal analysis of earnings surprises: Profits vs. losses. Journal of Accounting Research 39 (2): 221-241.</w:t>
      </w:r>
    </w:p>
    <w:p w:rsidR="00652C8F" w:rsidRPr="00FD0348" w:rsidRDefault="00652C8F" w:rsidP="00470966">
      <w:pPr>
        <w:ind w:right="27"/>
      </w:pPr>
      <w:proofErr w:type="spellStart"/>
      <w:r w:rsidRPr="00FD0348">
        <w:t>Burgstahler</w:t>
      </w:r>
      <w:proofErr w:type="spellEnd"/>
      <w:r w:rsidRPr="00FD0348">
        <w:t xml:space="preserve">, D. </w:t>
      </w:r>
      <w:proofErr w:type="gramStart"/>
      <w:r w:rsidRPr="00FD0348">
        <w:t xml:space="preserve">&amp;  </w:t>
      </w:r>
      <w:proofErr w:type="spellStart"/>
      <w:r w:rsidRPr="00FD0348">
        <w:t>Dichev</w:t>
      </w:r>
      <w:proofErr w:type="spellEnd"/>
      <w:proofErr w:type="gramEnd"/>
      <w:r w:rsidRPr="00FD0348">
        <w:t xml:space="preserve">, I. (1997). </w:t>
      </w:r>
      <w:proofErr w:type="gramStart"/>
      <w:r w:rsidRPr="00FD0348">
        <w:t>Earnings management to avoid earnings decreases and losses.</w:t>
      </w:r>
      <w:proofErr w:type="gramEnd"/>
      <w:r w:rsidRPr="00FD0348">
        <w:t xml:space="preserve"> Journal of Accounting and Economics 24 (1): 99–126.</w:t>
      </w:r>
    </w:p>
    <w:p w:rsidR="00652C8F" w:rsidRPr="00FD0348" w:rsidRDefault="00652C8F" w:rsidP="00470966">
      <w:pPr>
        <w:ind w:right="27"/>
      </w:pPr>
      <w:proofErr w:type="spellStart"/>
      <w:proofErr w:type="gramStart"/>
      <w:r w:rsidRPr="00FD0348">
        <w:t>Burgstahler</w:t>
      </w:r>
      <w:proofErr w:type="spellEnd"/>
      <w:r w:rsidRPr="00FD0348">
        <w:t>, D. &amp; Eames M. (2003).</w:t>
      </w:r>
      <w:proofErr w:type="gramEnd"/>
      <w:r w:rsidRPr="00FD0348">
        <w:t xml:space="preserve"> Earnings management to avoid losses and earnings decreases: Are analysts fooled? </w:t>
      </w:r>
      <w:r w:rsidRPr="00FD0348">
        <w:rPr>
          <w:iCs/>
        </w:rPr>
        <w:t>Contemporary Accounting Research</w:t>
      </w:r>
      <w:r w:rsidRPr="00FD0348">
        <w:rPr>
          <w:i/>
          <w:iCs/>
        </w:rPr>
        <w:t xml:space="preserve"> </w:t>
      </w:r>
      <w:r w:rsidRPr="00FD0348">
        <w:t>20 (2): 253–94.</w:t>
      </w:r>
    </w:p>
    <w:p w:rsidR="00652C8F" w:rsidRPr="00FD0348" w:rsidRDefault="00652C8F" w:rsidP="00470966">
      <w:pPr>
        <w:ind w:right="27"/>
      </w:pPr>
      <w:proofErr w:type="spellStart"/>
      <w:proofErr w:type="gramStart"/>
      <w:r w:rsidRPr="00FD0348">
        <w:t>Burgstalher</w:t>
      </w:r>
      <w:proofErr w:type="spellEnd"/>
      <w:r w:rsidRPr="00FD0348">
        <w:t>, D. &amp; Eames M. (2006).</w:t>
      </w:r>
      <w:proofErr w:type="gramEnd"/>
      <w:r w:rsidRPr="00FD0348">
        <w:t xml:space="preserve"> Management of earnings and analysts’ forecast to achieve zero and small positive earnings surprises. Journal of Business Finance &amp; Accounting 33 (5): 633-652.</w:t>
      </w:r>
    </w:p>
    <w:p w:rsidR="00652C8F" w:rsidRPr="00FD0348" w:rsidRDefault="00652C8F" w:rsidP="00470966">
      <w:pPr>
        <w:ind w:right="27"/>
      </w:pPr>
      <w:proofErr w:type="spellStart"/>
      <w:proofErr w:type="gramStart"/>
      <w:r w:rsidRPr="00FD0348">
        <w:t>Carcello</w:t>
      </w:r>
      <w:proofErr w:type="spellEnd"/>
      <w:r w:rsidRPr="00FD0348">
        <w:t>, J.V. &amp; Neal, T.L. (2000).</w:t>
      </w:r>
      <w:proofErr w:type="gramEnd"/>
      <w:r w:rsidRPr="00FD0348">
        <w:t xml:space="preserve"> Audit Committee Composition and Auditor Reporting. The</w:t>
      </w:r>
      <w:r w:rsidR="00D9227F" w:rsidRPr="00FD0348">
        <w:t xml:space="preserve"> Accounting Review 75</w:t>
      </w:r>
      <w:r w:rsidRPr="00FD0348">
        <w:t xml:space="preserve"> </w:t>
      </w:r>
      <w:r w:rsidR="00D9227F" w:rsidRPr="00FD0348">
        <w:t>(4):</w:t>
      </w:r>
      <w:r w:rsidRPr="00FD0348">
        <w:t xml:space="preserve"> 453-467</w:t>
      </w:r>
      <w:r w:rsidR="002B5E6D">
        <w:t>.</w:t>
      </w:r>
    </w:p>
    <w:p w:rsidR="00652C8F" w:rsidRPr="00FD0348" w:rsidRDefault="00652C8F" w:rsidP="00470966">
      <w:pPr>
        <w:ind w:right="27"/>
      </w:pPr>
      <w:proofErr w:type="spellStart"/>
      <w:proofErr w:type="gramStart"/>
      <w:r w:rsidRPr="00FD0348">
        <w:t>Carcello</w:t>
      </w:r>
      <w:proofErr w:type="spellEnd"/>
      <w:r w:rsidRPr="00FD0348">
        <w:t>, J.V. Hollingsworth, W. &amp; Neal, T.L. (2006).</w:t>
      </w:r>
      <w:proofErr w:type="gramEnd"/>
      <w:r w:rsidRPr="00FD0348">
        <w:t xml:space="preserve"> </w:t>
      </w:r>
      <w:r w:rsidRPr="00FD0348">
        <w:rPr>
          <w:szCs w:val="43"/>
        </w:rPr>
        <w:t xml:space="preserve">Audit Committee Financial Experts: </w:t>
      </w:r>
      <w:r w:rsidRPr="00FD0348">
        <w:t xml:space="preserve">A Closer Examination Using </w:t>
      </w:r>
      <w:r w:rsidRPr="00FD0348">
        <w:rPr>
          <w:szCs w:val="43"/>
        </w:rPr>
        <w:t xml:space="preserve">Firm Designations. </w:t>
      </w:r>
      <w:r w:rsidRPr="00FD0348">
        <w:t>Accounting Horizons</w:t>
      </w:r>
      <w:r w:rsidR="009977D2" w:rsidRPr="00FD0348">
        <w:t xml:space="preserve"> </w:t>
      </w:r>
      <w:r w:rsidRPr="00FD0348">
        <w:t xml:space="preserve">20 </w:t>
      </w:r>
      <w:r w:rsidR="009977D2" w:rsidRPr="00FD0348">
        <w:t>(</w:t>
      </w:r>
      <w:r w:rsidRPr="00FD0348">
        <w:t>4</w:t>
      </w:r>
      <w:r w:rsidR="009977D2" w:rsidRPr="00FD0348">
        <w:t>):</w:t>
      </w:r>
      <w:r w:rsidRPr="00FD0348">
        <w:t xml:space="preserve"> 351–373.</w:t>
      </w:r>
    </w:p>
    <w:p w:rsidR="002F207B" w:rsidRPr="00FD0348" w:rsidRDefault="002F207B" w:rsidP="00470966">
      <w:pPr>
        <w:ind w:right="27"/>
      </w:pPr>
      <w:proofErr w:type="spellStart"/>
      <w:proofErr w:type="gramStart"/>
      <w:r w:rsidRPr="00FD0348">
        <w:t>Carcello</w:t>
      </w:r>
      <w:proofErr w:type="spellEnd"/>
      <w:r w:rsidRPr="00FD0348">
        <w:t>, J.V., Klein, A. &amp; Neal, T.L. (2006).</w:t>
      </w:r>
      <w:proofErr w:type="gramEnd"/>
      <w:r w:rsidRPr="00FD0348">
        <w:t xml:space="preserve"> Audit Committee Financial Expertise, Competing Corporate Governance Mechanisms, and Earnings Man</w:t>
      </w:r>
      <w:r w:rsidR="009B6C59" w:rsidRPr="00FD0348">
        <w:t>agement. The Accounting Review 75 (</w:t>
      </w:r>
      <w:r w:rsidRPr="00FD0348">
        <w:t>4</w:t>
      </w:r>
      <w:r w:rsidR="009B6C59" w:rsidRPr="00FD0348">
        <w:t>):</w:t>
      </w:r>
      <w:r w:rsidRPr="00FD0348">
        <w:t xml:space="preserve"> 453-467</w:t>
      </w:r>
      <w:r w:rsidR="002B5E6D">
        <w:t>.</w:t>
      </w:r>
    </w:p>
    <w:p w:rsidR="00652C8F" w:rsidRPr="00FD0348" w:rsidRDefault="00652C8F" w:rsidP="00470966">
      <w:pPr>
        <w:ind w:right="27"/>
      </w:pPr>
      <w:proofErr w:type="spellStart"/>
      <w:proofErr w:type="gramStart"/>
      <w:r w:rsidRPr="00FD0348">
        <w:t>DeAngelo</w:t>
      </w:r>
      <w:proofErr w:type="spellEnd"/>
      <w:r w:rsidRPr="00FD0348">
        <w:t xml:space="preserve">, H., </w:t>
      </w:r>
      <w:proofErr w:type="spellStart"/>
      <w:r w:rsidRPr="00FD0348">
        <w:t>DeAngelo</w:t>
      </w:r>
      <w:proofErr w:type="spellEnd"/>
      <w:r w:rsidRPr="00FD0348">
        <w:t>, L. &amp; Skinner, D. (1996).</w:t>
      </w:r>
      <w:proofErr w:type="gramEnd"/>
      <w:r w:rsidRPr="00FD0348">
        <w:t xml:space="preserve"> Reversal of fortune: Dividend signaling and the disappearance of sustained earnings growth. Jo</w:t>
      </w:r>
      <w:r w:rsidR="009B6C59" w:rsidRPr="00FD0348">
        <w:t>urnal of Financial Economics 40</w:t>
      </w:r>
      <w:r w:rsidR="009D21B6">
        <w:t xml:space="preserve"> (3)</w:t>
      </w:r>
      <w:r w:rsidR="009B6C59" w:rsidRPr="00FD0348">
        <w:t>:</w:t>
      </w:r>
      <w:r w:rsidRPr="00FD0348">
        <w:t xml:space="preserve"> 341-371.</w:t>
      </w:r>
    </w:p>
    <w:p w:rsidR="0043488A" w:rsidRPr="00FD0348" w:rsidRDefault="0043488A" w:rsidP="00470966">
      <w:pPr>
        <w:ind w:right="27"/>
      </w:pPr>
      <w:proofErr w:type="spellStart"/>
      <w:r w:rsidRPr="00FD0348">
        <w:t>Dechow</w:t>
      </w:r>
      <w:proofErr w:type="spellEnd"/>
      <w:r w:rsidRPr="00FD0348">
        <w:t xml:space="preserve">, P.M. (1994). </w:t>
      </w:r>
      <w:proofErr w:type="gramStart"/>
      <w:r w:rsidRPr="00FD0348">
        <w:t>Accounting earnings cash flows as measures of firm performance: The role of accounting accruals.</w:t>
      </w:r>
      <w:proofErr w:type="gramEnd"/>
      <w:r w:rsidRPr="00FD0348">
        <w:t xml:space="preserve"> </w:t>
      </w:r>
      <w:r w:rsidRPr="00C46E3F">
        <w:t>Journal of Accounting and Economics</w:t>
      </w:r>
      <w:r w:rsidRPr="00FD0348">
        <w:t xml:space="preserve"> 18 (1): 3-42.</w:t>
      </w:r>
    </w:p>
    <w:p w:rsidR="00652C8F" w:rsidRPr="00FD0348" w:rsidRDefault="00652C8F" w:rsidP="00470966">
      <w:pPr>
        <w:ind w:right="27"/>
      </w:pPr>
      <w:proofErr w:type="spellStart"/>
      <w:r w:rsidRPr="00FD0348">
        <w:lastRenderedPageBreak/>
        <w:t>Dechow</w:t>
      </w:r>
      <w:proofErr w:type="spellEnd"/>
      <w:r w:rsidRPr="00FD0348">
        <w:t xml:space="preserve">, P.M., </w:t>
      </w:r>
      <w:proofErr w:type="spellStart"/>
      <w:r w:rsidRPr="00FD0348">
        <w:t>Ge</w:t>
      </w:r>
      <w:proofErr w:type="spellEnd"/>
      <w:r w:rsidRPr="00FD0348">
        <w:t xml:space="preserve"> W. &amp; </w:t>
      </w:r>
      <w:proofErr w:type="spellStart"/>
      <w:r w:rsidRPr="00FD0348">
        <w:t>Schrand</w:t>
      </w:r>
      <w:proofErr w:type="spellEnd"/>
      <w:r w:rsidR="0038263F" w:rsidRPr="00FD0348">
        <w:t>,</w:t>
      </w:r>
      <w:r w:rsidRPr="00FD0348">
        <w:t xml:space="preserve"> C. (2010). Understanding earnings quality: A review of the proxies, their determinants and their consequences. Journal</w:t>
      </w:r>
      <w:r w:rsidR="009B6C59" w:rsidRPr="00FD0348">
        <w:t xml:space="preserve"> of Accounting and Economics 50:</w:t>
      </w:r>
      <w:r w:rsidRPr="00FD0348">
        <w:t xml:space="preserve"> 344-401.</w:t>
      </w:r>
    </w:p>
    <w:p w:rsidR="00652C8F" w:rsidRPr="00FD0348" w:rsidRDefault="00652C8F" w:rsidP="00470966">
      <w:pPr>
        <w:ind w:right="27"/>
      </w:pPr>
      <w:proofErr w:type="spellStart"/>
      <w:r w:rsidRPr="00FD0348">
        <w:t>Dechow</w:t>
      </w:r>
      <w:proofErr w:type="spellEnd"/>
      <w:r w:rsidRPr="00FD0348">
        <w:t>, P.</w:t>
      </w:r>
      <w:r w:rsidR="00C46E3F">
        <w:t>M., Sloan, R.</w:t>
      </w:r>
      <w:r w:rsidRPr="00FD0348">
        <w:t xml:space="preserve">G. &amp; Sweeney, A.P. (1995). </w:t>
      </w:r>
      <w:proofErr w:type="gramStart"/>
      <w:r w:rsidRPr="00FD0348">
        <w:t>Detecting earnings manag</w:t>
      </w:r>
      <w:r w:rsidR="00364599" w:rsidRPr="00FD0348">
        <w:t>ement.</w:t>
      </w:r>
      <w:proofErr w:type="gramEnd"/>
      <w:r w:rsidR="00364599" w:rsidRPr="00FD0348">
        <w:t xml:space="preserve"> The Accounting Review 70</w:t>
      </w:r>
      <w:r w:rsidR="00C46E3F">
        <w:t xml:space="preserve"> (2)</w:t>
      </w:r>
      <w:r w:rsidR="00364599" w:rsidRPr="00FD0348">
        <w:t>:</w:t>
      </w:r>
      <w:r w:rsidRPr="00FD0348">
        <w:t xml:space="preserve"> 193–225.</w:t>
      </w:r>
    </w:p>
    <w:p w:rsidR="0038263F" w:rsidRPr="00FD0348" w:rsidRDefault="0038263F" w:rsidP="00470966">
      <w:pPr>
        <w:ind w:right="27"/>
      </w:pPr>
      <w:proofErr w:type="spellStart"/>
      <w:proofErr w:type="gramStart"/>
      <w:r w:rsidRPr="00FD0348">
        <w:t>Degeorge</w:t>
      </w:r>
      <w:proofErr w:type="spellEnd"/>
      <w:r w:rsidRPr="00FD0348">
        <w:t xml:space="preserve">, F., Patel, J. &amp; </w:t>
      </w:r>
      <w:proofErr w:type="spellStart"/>
      <w:r w:rsidRPr="00FD0348">
        <w:t>Zeckhauser</w:t>
      </w:r>
      <w:proofErr w:type="spellEnd"/>
      <w:r w:rsidRPr="00FD0348">
        <w:t>, R. (1999).</w:t>
      </w:r>
      <w:proofErr w:type="gramEnd"/>
      <w:r w:rsidRPr="00FD0348">
        <w:t xml:space="preserve"> </w:t>
      </w:r>
      <w:proofErr w:type="gramStart"/>
      <w:r w:rsidRPr="00FD0348">
        <w:t>Earnings management to exceed thresholds.</w:t>
      </w:r>
      <w:proofErr w:type="gramEnd"/>
      <w:r w:rsidRPr="00FD0348">
        <w:t xml:space="preserve"> Journal of Business 72 (1): 1-33.</w:t>
      </w:r>
    </w:p>
    <w:p w:rsidR="00997CAC" w:rsidRPr="00D9317B" w:rsidRDefault="00997CAC" w:rsidP="00470966">
      <w:pPr>
        <w:ind w:right="27"/>
      </w:pPr>
      <w:proofErr w:type="spellStart"/>
      <w:proofErr w:type="gramStart"/>
      <w:r w:rsidRPr="00D9317B">
        <w:t>Donelson</w:t>
      </w:r>
      <w:proofErr w:type="spellEnd"/>
      <w:r w:rsidRPr="00D9317B">
        <w:t>, D.C., Mc</w:t>
      </w:r>
      <w:r w:rsidR="00D9317B" w:rsidRPr="00D9317B">
        <w:t>Innis, J.M. &amp; Mergenthaler, R.D. (2012).</w:t>
      </w:r>
      <w:proofErr w:type="gramEnd"/>
      <w:r w:rsidR="00D9317B" w:rsidRPr="00D9317B">
        <w:t xml:space="preserve"> </w:t>
      </w:r>
      <w:r w:rsidR="00D9317B" w:rsidRPr="00D9317B">
        <w:rPr>
          <w:rFonts w:cs="AdvTimes"/>
          <w:lang w:bidi="ar-SA"/>
        </w:rPr>
        <w:t xml:space="preserve">Discontinuities and Earnings Management: Evidence from Restatements Related to Securities Litigation. </w:t>
      </w:r>
      <w:r w:rsidR="00D9317B" w:rsidRPr="00D9317B">
        <w:rPr>
          <w:rFonts w:cs="AdvTimes-i"/>
          <w:lang w:bidi="ar-SA"/>
        </w:rPr>
        <w:t>C</w:t>
      </w:r>
      <w:r w:rsidR="00D9317B">
        <w:rPr>
          <w:rFonts w:cs="AdvTimes-i"/>
          <w:lang w:bidi="ar-SA"/>
        </w:rPr>
        <w:t>ontemporary Accounting Research</w:t>
      </w:r>
      <w:r w:rsidR="00D9317B">
        <w:rPr>
          <w:rFonts w:cs="AdvTimes"/>
          <w:lang w:bidi="ar-SA"/>
        </w:rPr>
        <w:t xml:space="preserve"> 30 (</w:t>
      </w:r>
      <w:r w:rsidR="00D9317B" w:rsidRPr="00D9317B">
        <w:rPr>
          <w:rFonts w:cs="AdvTimes"/>
          <w:lang w:bidi="ar-SA"/>
        </w:rPr>
        <w:t>1</w:t>
      </w:r>
      <w:r w:rsidR="00D9317B">
        <w:rPr>
          <w:rFonts w:cs="AdvTimes"/>
          <w:lang w:bidi="ar-SA"/>
        </w:rPr>
        <w:t>):</w:t>
      </w:r>
      <w:r w:rsidR="00D9317B" w:rsidRPr="00D9317B">
        <w:rPr>
          <w:rFonts w:cs="AdvTimes"/>
          <w:lang w:bidi="ar-SA"/>
        </w:rPr>
        <w:t xml:space="preserve"> 242–268</w:t>
      </w:r>
      <w:r w:rsidR="002B5E6D">
        <w:rPr>
          <w:rFonts w:cs="AdvTimes"/>
          <w:lang w:bidi="ar-SA"/>
        </w:rPr>
        <w:t>.</w:t>
      </w:r>
    </w:p>
    <w:p w:rsidR="000D5CAA" w:rsidRPr="00FD0348" w:rsidRDefault="000D5CAA" w:rsidP="00470966">
      <w:pPr>
        <w:ind w:right="27"/>
      </w:pPr>
      <w:proofErr w:type="spellStart"/>
      <w:proofErr w:type="gramStart"/>
      <w:r w:rsidRPr="00FD0348">
        <w:t>Durtschi</w:t>
      </w:r>
      <w:proofErr w:type="spellEnd"/>
      <w:r w:rsidRPr="00FD0348">
        <w:t>, C. &amp; Easton, P. (2004).</w:t>
      </w:r>
      <w:proofErr w:type="gramEnd"/>
      <w:r w:rsidRPr="00FD0348">
        <w:t xml:space="preserve"> </w:t>
      </w:r>
      <w:proofErr w:type="gramStart"/>
      <w:r w:rsidRPr="00FD0348">
        <w:rPr>
          <w:shd w:val="clear" w:color="auto" w:fill="FFFFFF"/>
        </w:rPr>
        <w:t>Earnings Management?</w:t>
      </w:r>
      <w:proofErr w:type="gramEnd"/>
      <w:r w:rsidRPr="00FD0348">
        <w:rPr>
          <w:shd w:val="clear" w:color="auto" w:fill="FFFFFF"/>
        </w:rPr>
        <w:t xml:space="preserve"> </w:t>
      </w:r>
      <w:proofErr w:type="gramStart"/>
      <w:r w:rsidRPr="00FD0348">
        <w:rPr>
          <w:shd w:val="clear" w:color="auto" w:fill="FFFFFF"/>
        </w:rPr>
        <w:t>Alternative Explanation for Observed Discontinuities in the Frequency Distributions of Earnings, Earnings Changes, and Analyst Forecast Errors.</w:t>
      </w:r>
      <w:proofErr w:type="gramEnd"/>
      <w:r w:rsidR="00C46E3F">
        <w:rPr>
          <w:shd w:val="clear" w:color="auto" w:fill="FFFFFF"/>
        </w:rPr>
        <w:t xml:space="preserve"> Journal of Accounting Research 43 (4): 557-592</w:t>
      </w:r>
      <w:r w:rsidR="002B5E6D">
        <w:rPr>
          <w:shd w:val="clear" w:color="auto" w:fill="FFFFFF"/>
        </w:rPr>
        <w:t>.</w:t>
      </w:r>
    </w:p>
    <w:p w:rsidR="0058452A" w:rsidRPr="00FD0348" w:rsidRDefault="0058452A" w:rsidP="00470966">
      <w:pPr>
        <w:ind w:right="27"/>
      </w:pPr>
      <w:proofErr w:type="spellStart"/>
      <w:proofErr w:type="gramStart"/>
      <w:r w:rsidRPr="00FD0348">
        <w:t>Durtschi</w:t>
      </w:r>
      <w:proofErr w:type="spellEnd"/>
      <w:r w:rsidRPr="00FD0348">
        <w:t>, C. &amp; Easton, P. (2005).</w:t>
      </w:r>
      <w:proofErr w:type="gramEnd"/>
      <w:r w:rsidRPr="00FD0348">
        <w:t xml:space="preserve"> </w:t>
      </w:r>
      <w:proofErr w:type="gramStart"/>
      <w:r w:rsidRPr="00FD0348">
        <w:rPr>
          <w:bCs/>
          <w:shd w:val="clear" w:color="auto" w:fill="FFFFFF"/>
        </w:rPr>
        <w:t>Earnings Management?</w:t>
      </w:r>
      <w:proofErr w:type="gramEnd"/>
      <w:r w:rsidRPr="00FD0348">
        <w:rPr>
          <w:bCs/>
          <w:shd w:val="clear" w:color="auto" w:fill="FFFFFF"/>
        </w:rPr>
        <w:t xml:space="preserve"> The Shapes of the Frequency Distributions of Earnings Metrics Are Not Evidence Ipso Facto.</w:t>
      </w:r>
      <w:r w:rsidRPr="00FD0348">
        <w:rPr>
          <w:b/>
          <w:bCs/>
          <w:shd w:val="clear" w:color="auto" w:fill="FFFFFF"/>
        </w:rPr>
        <w:t xml:space="preserve"> </w:t>
      </w:r>
      <w:r w:rsidRPr="00FD0348">
        <w:t xml:space="preserve">Journal of Accounting Research </w:t>
      </w:r>
      <w:r w:rsidRPr="00FD0348">
        <w:rPr>
          <w:rFonts w:cs="Arial"/>
          <w:bCs/>
          <w:bdr w:val="none" w:sz="0" w:space="0" w:color="auto" w:frame="1"/>
        </w:rPr>
        <w:t>43</w:t>
      </w:r>
      <w:r w:rsidR="001A1C2E" w:rsidRPr="00FD0348">
        <w:rPr>
          <w:rFonts w:cs="Arial"/>
          <w:bCs/>
          <w:bdr w:val="none" w:sz="0" w:space="0" w:color="auto" w:frame="1"/>
        </w:rPr>
        <w:t xml:space="preserve"> (4):</w:t>
      </w:r>
      <w:r w:rsidRPr="00FD0348">
        <w:rPr>
          <w:rFonts w:cs="Arial"/>
          <w:bdr w:val="none" w:sz="0" w:space="0" w:color="auto" w:frame="1"/>
        </w:rPr>
        <w:t xml:space="preserve"> </w:t>
      </w:r>
      <w:r w:rsidRPr="00FD0348">
        <w:rPr>
          <w:bCs/>
          <w:bdr w:val="none" w:sz="0" w:space="0" w:color="auto" w:frame="1"/>
        </w:rPr>
        <w:t>557–592</w:t>
      </w:r>
      <w:r w:rsidR="002B5E6D">
        <w:rPr>
          <w:bCs/>
          <w:bdr w:val="none" w:sz="0" w:space="0" w:color="auto" w:frame="1"/>
        </w:rPr>
        <w:t>.</w:t>
      </w:r>
    </w:p>
    <w:p w:rsidR="00364599" w:rsidRPr="00FD0348" w:rsidRDefault="001A1C2E" w:rsidP="00470966">
      <w:pPr>
        <w:ind w:right="27"/>
      </w:pPr>
      <w:proofErr w:type="spellStart"/>
      <w:proofErr w:type="gramStart"/>
      <w:r w:rsidRPr="00FD0348">
        <w:t>Durtschi</w:t>
      </w:r>
      <w:proofErr w:type="spellEnd"/>
      <w:r w:rsidRPr="00FD0348">
        <w:t>, C. &amp; Easton, P. (2009).</w:t>
      </w:r>
      <w:proofErr w:type="gramEnd"/>
      <w:r w:rsidR="00364599" w:rsidRPr="00FD0348">
        <w:rPr>
          <w:shd w:val="clear" w:color="auto" w:fill="FFFFFF"/>
        </w:rPr>
        <w:t xml:space="preserve"> </w:t>
      </w:r>
      <w:proofErr w:type="gramStart"/>
      <w:r w:rsidR="00364599" w:rsidRPr="00FD0348">
        <w:rPr>
          <w:shd w:val="clear" w:color="auto" w:fill="FFFFFF"/>
        </w:rPr>
        <w:t>Earnings Management?</w:t>
      </w:r>
      <w:proofErr w:type="gramEnd"/>
      <w:r w:rsidR="00364599" w:rsidRPr="00FD0348">
        <w:rPr>
          <w:shd w:val="clear" w:color="auto" w:fill="FFFFFF"/>
        </w:rPr>
        <w:t xml:space="preserve"> Erroneous Inferences Based on Earnings Frequency Distributions. J</w:t>
      </w:r>
      <w:r w:rsidR="00364599" w:rsidRPr="00FD0348">
        <w:t>ournal of Accounting Research 47 (5): 1249-1281</w:t>
      </w:r>
      <w:r w:rsidR="002B5E6D">
        <w:t>.</w:t>
      </w:r>
    </w:p>
    <w:p w:rsidR="00652C8F" w:rsidRPr="00FD0348" w:rsidRDefault="00652C8F" w:rsidP="00470966">
      <w:pPr>
        <w:ind w:right="27"/>
      </w:pPr>
      <w:proofErr w:type="gramStart"/>
      <w:r w:rsidRPr="00FD0348">
        <w:t>European Commission (2006).</w:t>
      </w:r>
      <w:proofErr w:type="gramEnd"/>
      <w:r w:rsidRPr="00FD0348">
        <w:t xml:space="preserve"> </w:t>
      </w:r>
      <w:proofErr w:type="gramStart"/>
      <w:r w:rsidRPr="00FD0348">
        <w:t>Directive 2006/43/EC of the European Parliament and of the Council "8th EU-Directive".</w:t>
      </w:r>
      <w:proofErr w:type="gramEnd"/>
    </w:p>
    <w:p w:rsidR="00652C8F" w:rsidRPr="00FD0348" w:rsidRDefault="00652C8F" w:rsidP="00470966">
      <w:pPr>
        <w:ind w:right="27"/>
      </w:pPr>
      <w:proofErr w:type="gramStart"/>
      <w:r w:rsidRPr="00FD0348">
        <w:t>European Commission (2011).</w:t>
      </w:r>
      <w:proofErr w:type="gramEnd"/>
      <w:r w:rsidRPr="00FD0348">
        <w:t xml:space="preserve"> </w:t>
      </w:r>
      <w:proofErr w:type="gramStart"/>
      <w:r w:rsidRPr="00FD0348">
        <w:t>Proposal for a REGULATION OF THE EUROPEAN PARLIAMENT AND OF THE COUNCIL on specific requirements regarding statutory audit of public-interest entities.</w:t>
      </w:r>
      <w:proofErr w:type="gramEnd"/>
      <w:r w:rsidRPr="00FD0348">
        <w:t xml:space="preserve"> Brussels, 30.11.2011 </w:t>
      </w:r>
      <w:proofErr w:type="gramStart"/>
      <w:r w:rsidRPr="00FD0348">
        <w:t>COM(</w:t>
      </w:r>
      <w:proofErr w:type="gramEnd"/>
      <w:r w:rsidRPr="00FD0348">
        <w:t>2011) 779 final 2011/0359 (COD)</w:t>
      </w:r>
      <w:r w:rsidR="002B5E6D">
        <w:t>.</w:t>
      </w:r>
    </w:p>
    <w:p w:rsidR="00652C8F" w:rsidRPr="00FD0348" w:rsidRDefault="00652C8F" w:rsidP="00470966">
      <w:pPr>
        <w:ind w:right="27"/>
      </w:pPr>
      <w:r w:rsidRPr="00FD0348">
        <w:t xml:space="preserve">Ferris, S., </w:t>
      </w:r>
      <w:proofErr w:type="spellStart"/>
      <w:r w:rsidRPr="00FD0348">
        <w:t>Jagannathan</w:t>
      </w:r>
      <w:proofErr w:type="spellEnd"/>
      <w:r w:rsidRPr="00FD0348">
        <w:t xml:space="preserve">, M. &amp; Pritchard, A.C. (2003). </w:t>
      </w:r>
      <w:proofErr w:type="gramStart"/>
      <w:r w:rsidRPr="00FD0348">
        <w:t>Too busy to mind the business?</w:t>
      </w:r>
      <w:proofErr w:type="gramEnd"/>
      <w:r w:rsidRPr="00FD0348">
        <w:t xml:space="preserve"> </w:t>
      </w:r>
      <w:proofErr w:type="gramStart"/>
      <w:r w:rsidRPr="00FD0348">
        <w:t>Monitoring by directors with multiple board appointments.</w:t>
      </w:r>
      <w:proofErr w:type="gramEnd"/>
      <w:r w:rsidRPr="00FD0348">
        <w:t xml:space="preserve"> Journal of Finance 58 (3)</w:t>
      </w:r>
      <w:r w:rsidR="002B5E6D">
        <w:t>: 1087-1112</w:t>
      </w:r>
      <w:r w:rsidRPr="00FD0348">
        <w:t>.</w:t>
      </w:r>
    </w:p>
    <w:p w:rsidR="00D02FC6" w:rsidRPr="00FD0348" w:rsidRDefault="00D02FC6" w:rsidP="00470966">
      <w:pPr>
        <w:ind w:right="27"/>
      </w:pPr>
      <w:proofErr w:type="spellStart"/>
      <w:proofErr w:type="gramStart"/>
      <w:r w:rsidRPr="00FD0348">
        <w:t>Fich</w:t>
      </w:r>
      <w:proofErr w:type="spellEnd"/>
      <w:r w:rsidRPr="00FD0348">
        <w:t>, E</w:t>
      </w:r>
      <w:r w:rsidR="0061263E" w:rsidRPr="00FD0348">
        <w:t>.</w:t>
      </w:r>
      <w:r w:rsidRPr="00FD0348">
        <w:t xml:space="preserve">M. </w:t>
      </w:r>
      <w:r w:rsidR="0061263E" w:rsidRPr="00FD0348">
        <w:t>&amp;</w:t>
      </w:r>
      <w:r w:rsidRPr="00FD0348">
        <w:t xml:space="preserve"> </w:t>
      </w:r>
      <w:proofErr w:type="spellStart"/>
      <w:r w:rsidRPr="00FD0348">
        <w:t>Shivdasani</w:t>
      </w:r>
      <w:proofErr w:type="spellEnd"/>
      <w:r w:rsidR="0061263E" w:rsidRPr="00FD0348">
        <w:t>, A.</w:t>
      </w:r>
      <w:r w:rsidR="00BC0EAE" w:rsidRPr="00FD0348">
        <w:t xml:space="preserve"> (2006).</w:t>
      </w:r>
      <w:proofErr w:type="gramEnd"/>
      <w:r w:rsidRPr="00FD0348">
        <w:t xml:space="preserve"> Are busy</w:t>
      </w:r>
      <w:r w:rsidR="00BC0EAE" w:rsidRPr="00FD0348">
        <w:t xml:space="preserve"> boards effective monitors?</w:t>
      </w:r>
      <w:r w:rsidRPr="00FD0348">
        <w:t xml:space="preserve"> Journal of Finance</w:t>
      </w:r>
      <w:r w:rsidR="00BC0EAE" w:rsidRPr="00FD0348">
        <w:t xml:space="preserve"> 61 </w:t>
      </w:r>
      <w:r w:rsidR="002B5E6D">
        <w:t>(2): 689-724.</w:t>
      </w:r>
    </w:p>
    <w:p w:rsidR="00414178" w:rsidRPr="00FD0348" w:rsidRDefault="00414178" w:rsidP="00470966">
      <w:pPr>
        <w:ind w:right="27"/>
      </w:pPr>
      <w:r w:rsidRPr="00FD0348">
        <w:t xml:space="preserve">Hwang, B. and Kim, S. </w:t>
      </w:r>
      <w:r w:rsidR="00BC0EAE" w:rsidRPr="00FD0348">
        <w:t>(2009). It pays to have friends.</w:t>
      </w:r>
      <w:r w:rsidRPr="00FD0348">
        <w:t xml:space="preserve"> Jo</w:t>
      </w:r>
      <w:r w:rsidR="00BC0EAE" w:rsidRPr="00FD0348">
        <w:t>urnal of Financial Economics 93</w:t>
      </w:r>
      <w:r w:rsidR="002B5E6D">
        <w:t xml:space="preserve"> (1): 138-158.</w:t>
      </w:r>
    </w:p>
    <w:p w:rsidR="00652C8F" w:rsidRPr="00E61F65" w:rsidRDefault="00652C8F" w:rsidP="00470966">
      <w:pPr>
        <w:ind w:right="27"/>
        <w:rPr>
          <w:lang w:val="nl-NL"/>
        </w:rPr>
      </w:pPr>
      <w:proofErr w:type="spellStart"/>
      <w:proofErr w:type="gramStart"/>
      <w:r w:rsidRPr="00E61F65">
        <w:t>Hooghiemstra</w:t>
      </w:r>
      <w:proofErr w:type="spellEnd"/>
      <w:r w:rsidRPr="00E61F65">
        <w:t xml:space="preserve">, R., </w:t>
      </w:r>
      <w:proofErr w:type="spellStart"/>
      <w:r w:rsidRPr="00E61F65">
        <w:t>Lammerink</w:t>
      </w:r>
      <w:proofErr w:type="spellEnd"/>
      <w:r w:rsidRPr="00E61F65">
        <w:t xml:space="preserve">, A. &amp; </w:t>
      </w:r>
      <w:proofErr w:type="spellStart"/>
      <w:r w:rsidRPr="00E61F65">
        <w:t>Marra</w:t>
      </w:r>
      <w:proofErr w:type="spellEnd"/>
      <w:r w:rsidRPr="00E61F65">
        <w:t>, T. (2008).</w:t>
      </w:r>
      <w:proofErr w:type="gramEnd"/>
      <w:r w:rsidRPr="00E61F65">
        <w:t xml:space="preserve"> </w:t>
      </w:r>
      <w:r w:rsidRPr="00277E77">
        <w:rPr>
          <w:lang w:val="nl-NL"/>
        </w:rPr>
        <w:t xml:space="preserve">Resultaatmanipulatie en de </w:t>
      </w:r>
      <w:proofErr w:type="spellStart"/>
      <w:r w:rsidRPr="00277E77">
        <w:rPr>
          <w:lang w:val="nl-NL"/>
        </w:rPr>
        <w:t>auditcommissie</w:t>
      </w:r>
      <w:proofErr w:type="spellEnd"/>
      <w:r w:rsidRPr="00277E77">
        <w:rPr>
          <w:lang w:val="nl-NL"/>
        </w:rPr>
        <w:t xml:space="preserve">. </w:t>
      </w:r>
      <w:r w:rsidR="00DA4556">
        <w:rPr>
          <w:lang w:val="nl-NL"/>
        </w:rPr>
        <w:t>Maandblad voor Accountancy en Bedrijfseconomie 82: 370-380</w:t>
      </w:r>
      <w:r w:rsidRPr="00E61F65">
        <w:rPr>
          <w:lang w:val="nl-NL"/>
        </w:rPr>
        <w:t>.</w:t>
      </w:r>
    </w:p>
    <w:p w:rsidR="0043488A" w:rsidRPr="00FD0348" w:rsidRDefault="0043488A" w:rsidP="00470966">
      <w:pPr>
        <w:ind w:right="27"/>
      </w:pPr>
      <w:proofErr w:type="gramStart"/>
      <w:r w:rsidRPr="00FD0348">
        <w:t>Jensen, M. (2005).</w:t>
      </w:r>
      <w:proofErr w:type="gramEnd"/>
      <w:r w:rsidRPr="00FD0348">
        <w:t xml:space="preserve"> Agency costs of overvalued equity. Financial Management</w:t>
      </w:r>
      <w:r w:rsidR="00015DBD">
        <w:t xml:space="preserve"> 34(1)</w:t>
      </w:r>
      <w:r w:rsidRPr="00FD0348">
        <w:t xml:space="preserve">: 5–19. </w:t>
      </w:r>
    </w:p>
    <w:p w:rsidR="004B2B45" w:rsidRPr="00FD0348" w:rsidRDefault="004B2B45" w:rsidP="00470966">
      <w:pPr>
        <w:ind w:right="27"/>
      </w:pPr>
      <w:proofErr w:type="spellStart"/>
      <w:proofErr w:type="gramStart"/>
      <w:r w:rsidRPr="00FD0348">
        <w:lastRenderedPageBreak/>
        <w:t>Karamanou</w:t>
      </w:r>
      <w:proofErr w:type="spellEnd"/>
      <w:r w:rsidRPr="00FD0348">
        <w:t>, I., and Vafeas, N. (2005).</w:t>
      </w:r>
      <w:proofErr w:type="gramEnd"/>
      <w:r w:rsidRPr="00FD0348">
        <w:t xml:space="preserve"> The association between boards and audit committees with management earnings forecasts: An empirical analysis. </w:t>
      </w:r>
      <w:r w:rsidRPr="00470966">
        <w:rPr>
          <w:rFonts w:cs="Times-Italic"/>
          <w:iCs/>
        </w:rPr>
        <w:t>Journal of Accounting Research</w:t>
      </w:r>
      <w:r w:rsidRPr="00FD0348">
        <w:rPr>
          <w:rFonts w:cs="Times-Italic"/>
          <w:i/>
          <w:iCs/>
        </w:rPr>
        <w:t xml:space="preserve"> </w:t>
      </w:r>
      <w:r w:rsidRPr="00FD0348">
        <w:t>43 (3)</w:t>
      </w:r>
      <w:r w:rsidR="009D21B6">
        <w:t>: 453-486.</w:t>
      </w:r>
    </w:p>
    <w:p w:rsidR="00652C8F" w:rsidRPr="00FD0348" w:rsidRDefault="00652C8F" w:rsidP="00470966">
      <w:pPr>
        <w:ind w:right="27"/>
      </w:pPr>
      <w:proofErr w:type="spellStart"/>
      <w:proofErr w:type="gramStart"/>
      <w:r w:rsidRPr="00FD0348">
        <w:t>Kasznik</w:t>
      </w:r>
      <w:proofErr w:type="spellEnd"/>
      <w:r w:rsidRPr="00FD0348">
        <w:t xml:space="preserve">, R. &amp; </w:t>
      </w:r>
      <w:proofErr w:type="spellStart"/>
      <w:r w:rsidRPr="00FD0348">
        <w:t>McNichols</w:t>
      </w:r>
      <w:proofErr w:type="spellEnd"/>
      <w:r w:rsidRPr="00FD0348">
        <w:t>, M. (2002).</w:t>
      </w:r>
      <w:proofErr w:type="gramEnd"/>
      <w:r w:rsidRPr="00FD0348">
        <w:t xml:space="preserve"> </w:t>
      </w:r>
      <w:proofErr w:type="gramStart"/>
      <w:r w:rsidRPr="00FD0348">
        <w:t>Does meeting earnings expectations</w:t>
      </w:r>
      <w:proofErr w:type="gramEnd"/>
      <w:r w:rsidRPr="00FD0348">
        <w:t xml:space="preserve"> matter? Evidence from analyst forecast revisions and share prices. Journal of Accounting Research 40</w:t>
      </w:r>
      <w:r w:rsidR="009D21B6">
        <w:t xml:space="preserve"> (3)</w:t>
      </w:r>
      <w:r w:rsidR="0025056D" w:rsidRPr="00FD0348">
        <w:t>:</w:t>
      </w:r>
      <w:r w:rsidRPr="00FD0348">
        <w:t xml:space="preserve"> 727–759. </w:t>
      </w:r>
    </w:p>
    <w:p w:rsidR="00652C8F" w:rsidRPr="00FD0348" w:rsidRDefault="00652C8F" w:rsidP="00470966">
      <w:pPr>
        <w:ind w:right="27"/>
      </w:pPr>
      <w:proofErr w:type="spellStart"/>
      <w:r w:rsidRPr="00FD0348">
        <w:t>Kinney</w:t>
      </w:r>
      <w:proofErr w:type="gramStart"/>
      <w:r w:rsidRPr="00FD0348">
        <w:t>,W</w:t>
      </w:r>
      <w:proofErr w:type="spellEnd"/>
      <w:proofErr w:type="gramEnd"/>
      <w:r w:rsidRPr="00FD0348">
        <w:t xml:space="preserve">., </w:t>
      </w:r>
      <w:proofErr w:type="spellStart"/>
      <w:r w:rsidRPr="00FD0348">
        <w:t>Burgstahler</w:t>
      </w:r>
      <w:proofErr w:type="spellEnd"/>
      <w:r w:rsidRPr="00FD0348">
        <w:t xml:space="preserve">, D. &amp; Martin, R. (2002), ‘The Materiality of Earnings Surprise,’ </w:t>
      </w:r>
      <w:r w:rsidRPr="00FD0348">
        <w:rPr>
          <w:rFonts w:cs="NewBaskerville-Italic"/>
          <w:iCs/>
        </w:rPr>
        <w:t>Journal of Accounting Research</w:t>
      </w:r>
      <w:r w:rsidR="005241F9" w:rsidRPr="00FD0348">
        <w:rPr>
          <w:rFonts w:cs="NewBaskerville-Italic"/>
          <w:iCs/>
        </w:rPr>
        <w:t xml:space="preserve"> 40 (5): </w:t>
      </w:r>
      <w:r w:rsidRPr="00FD0348">
        <w:t>1297–329.</w:t>
      </w:r>
    </w:p>
    <w:p w:rsidR="00652C8F" w:rsidRPr="00FD0348" w:rsidRDefault="00652C8F" w:rsidP="00470966">
      <w:pPr>
        <w:ind w:right="27"/>
      </w:pPr>
      <w:r w:rsidRPr="00FD0348">
        <w:t xml:space="preserve">Klein, A. (2002). </w:t>
      </w:r>
      <w:proofErr w:type="gramStart"/>
      <w:r w:rsidRPr="00FD0348">
        <w:t>Audit committee, board of director characteristics, and earnings management.</w:t>
      </w:r>
      <w:proofErr w:type="gramEnd"/>
      <w:r w:rsidRPr="00FD0348">
        <w:t xml:space="preserve"> Journal</w:t>
      </w:r>
      <w:r w:rsidR="005241F9" w:rsidRPr="00FD0348">
        <w:t xml:space="preserve"> of Accounting and Economics 33</w:t>
      </w:r>
      <w:r w:rsidR="009D21B6">
        <w:t xml:space="preserve"> (3)</w:t>
      </w:r>
      <w:r w:rsidR="005241F9" w:rsidRPr="00FD0348">
        <w:t xml:space="preserve">: </w:t>
      </w:r>
      <w:r w:rsidRPr="00FD0348">
        <w:t>375–400</w:t>
      </w:r>
      <w:r w:rsidR="00015DBD">
        <w:t>.</w:t>
      </w:r>
    </w:p>
    <w:p w:rsidR="00652C8F" w:rsidRPr="00FD0348" w:rsidRDefault="00652C8F" w:rsidP="00470966">
      <w:pPr>
        <w:ind w:right="27"/>
      </w:pPr>
      <w:proofErr w:type="gramStart"/>
      <w:r w:rsidRPr="00FD0348">
        <w:t>Krishnan, J. (2005).</w:t>
      </w:r>
      <w:proofErr w:type="gramEnd"/>
      <w:r w:rsidRPr="00FD0348">
        <w:t xml:space="preserve"> </w:t>
      </w:r>
      <w:proofErr w:type="gramStart"/>
      <w:r w:rsidRPr="00FD0348">
        <w:t>Audit committee quality and internal control: An empirical analysis.</w:t>
      </w:r>
      <w:proofErr w:type="gramEnd"/>
      <w:r w:rsidRPr="00FD0348">
        <w:t xml:space="preserve"> The Accounting Review 80</w:t>
      </w:r>
      <w:r w:rsidR="009D21B6">
        <w:t xml:space="preserve"> (2)</w:t>
      </w:r>
      <w:r w:rsidRPr="00FD0348">
        <w:t>, 649-675.</w:t>
      </w:r>
    </w:p>
    <w:p w:rsidR="000A2FA9" w:rsidRPr="00FD0348" w:rsidRDefault="000A2FA9" w:rsidP="00470966">
      <w:pPr>
        <w:ind w:right="27"/>
      </w:pPr>
      <w:proofErr w:type="spellStart"/>
      <w:r w:rsidRPr="00FD0348">
        <w:t>Larcker</w:t>
      </w:r>
      <w:proofErr w:type="spellEnd"/>
      <w:r w:rsidRPr="00FD0348">
        <w:t xml:space="preserve">, D. and Richardson, S. (2004). Fees paid to audit firms, accrual choices, and corporate governance. </w:t>
      </w:r>
      <w:r w:rsidRPr="009D21B6">
        <w:rPr>
          <w:rFonts w:cs="Times-Italic"/>
          <w:iCs/>
        </w:rPr>
        <w:t>Journal of Accounting Research</w:t>
      </w:r>
      <w:r w:rsidRPr="00FD0348">
        <w:rPr>
          <w:rFonts w:cs="Times-Italic"/>
          <w:i/>
          <w:iCs/>
        </w:rPr>
        <w:t xml:space="preserve"> </w:t>
      </w:r>
      <w:r w:rsidRPr="00FD0348">
        <w:t xml:space="preserve">42 (3): 625–58. </w:t>
      </w:r>
    </w:p>
    <w:p w:rsidR="00652C8F" w:rsidRPr="00FD0348" w:rsidRDefault="00652C8F" w:rsidP="00470966">
      <w:pPr>
        <w:ind w:right="27"/>
      </w:pPr>
      <w:r w:rsidRPr="00FD0348">
        <w:t xml:space="preserve">Matsumoto, D. (2002). </w:t>
      </w:r>
      <w:proofErr w:type="gramStart"/>
      <w:r w:rsidRPr="00FD0348">
        <w:t>Management’s incentives to avoid negative earnings surprises.</w:t>
      </w:r>
      <w:proofErr w:type="gramEnd"/>
      <w:r w:rsidRPr="00FD0348">
        <w:t xml:space="preserve"> </w:t>
      </w:r>
      <w:r w:rsidRPr="00FD0348">
        <w:rPr>
          <w:iCs/>
        </w:rPr>
        <w:t xml:space="preserve">The Accounting Review </w:t>
      </w:r>
      <w:r w:rsidRPr="00FD0348">
        <w:t>77 (3): 483–514.</w:t>
      </w:r>
    </w:p>
    <w:p w:rsidR="00652C8F" w:rsidRPr="00FD0348" w:rsidRDefault="00652C8F" w:rsidP="00470966">
      <w:pPr>
        <w:ind w:right="27"/>
      </w:pPr>
      <w:proofErr w:type="gramStart"/>
      <w:r w:rsidRPr="00FD0348">
        <w:t xml:space="preserve">McDaniel, L., Martin, R.D. &amp; </w:t>
      </w:r>
      <w:proofErr w:type="spellStart"/>
      <w:r w:rsidRPr="00FD0348">
        <w:t>Maines</w:t>
      </w:r>
      <w:proofErr w:type="spellEnd"/>
      <w:r w:rsidRPr="00FD0348">
        <w:t>, L.A. (2002).</w:t>
      </w:r>
      <w:proofErr w:type="gramEnd"/>
      <w:r w:rsidRPr="00FD0348">
        <w:t xml:space="preserve"> </w:t>
      </w:r>
      <w:proofErr w:type="gramStart"/>
      <w:r w:rsidRPr="00FD0348">
        <w:t>Evaluating financial reporting quality: The effects of financial expertise vs. financial literacy.</w:t>
      </w:r>
      <w:proofErr w:type="gramEnd"/>
      <w:r w:rsidRPr="00FD0348">
        <w:t xml:space="preserve"> The Accounting Review 77</w:t>
      </w:r>
      <w:r w:rsidR="009D21B6">
        <w:t xml:space="preserve"> (1)</w:t>
      </w:r>
      <w:r w:rsidR="007540F9" w:rsidRPr="00FD0348">
        <w:t>:</w:t>
      </w:r>
      <w:r w:rsidRPr="00FD0348">
        <w:t xml:space="preserve"> 139-167.</w:t>
      </w:r>
    </w:p>
    <w:p w:rsidR="00652C8F" w:rsidRPr="00FD0348" w:rsidRDefault="00652C8F" w:rsidP="00470966">
      <w:pPr>
        <w:ind w:right="27"/>
      </w:pPr>
      <w:proofErr w:type="gramStart"/>
      <w:r w:rsidRPr="00FD0348">
        <w:t>Skinner, D. &amp; Sloan, R. (2002).</w:t>
      </w:r>
      <w:proofErr w:type="gramEnd"/>
      <w:r w:rsidRPr="00FD0348">
        <w:t xml:space="preserve"> Earnings Surprises, Growth Expectations, and Stock Returns or Don’t Let an Earnings Torpedo Sink Your Portfolio. Review of Accounting Studies 7</w:t>
      </w:r>
      <w:r w:rsidR="009D21B6">
        <w:t xml:space="preserve"> (2-3)</w:t>
      </w:r>
      <w:r w:rsidR="003A5BE6" w:rsidRPr="00FD0348">
        <w:t>:</w:t>
      </w:r>
      <w:r w:rsidRPr="00FD0348">
        <w:t xml:space="preserve"> 289–312</w:t>
      </w:r>
      <w:r w:rsidR="009D21B6">
        <w:t>.</w:t>
      </w:r>
    </w:p>
    <w:p w:rsidR="00652C8F" w:rsidRPr="00FD0348" w:rsidRDefault="00652C8F" w:rsidP="00470966">
      <w:pPr>
        <w:ind w:right="27"/>
      </w:pPr>
      <w:r w:rsidRPr="00FD0348">
        <w:t>Vafeas, N. (2005). Audit Committees, Boards, and the quality of reported earnings. Contemporary Accounting Research</w:t>
      </w:r>
      <w:r w:rsidR="003A5BE6" w:rsidRPr="00FD0348">
        <w:t xml:space="preserve"> 22 (4): </w:t>
      </w:r>
      <w:r w:rsidRPr="00FD0348">
        <w:t>1093–1122</w:t>
      </w:r>
      <w:r w:rsidR="009D21B6">
        <w:t>.</w:t>
      </w:r>
    </w:p>
    <w:p w:rsidR="00652C8F" w:rsidRPr="00FD0348" w:rsidRDefault="00652C8F" w:rsidP="00470966">
      <w:pPr>
        <w:ind w:right="27"/>
      </w:pPr>
      <w:proofErr w:type="spellStart"/>
      <w:proofErr w:type="gramStart"/>
      <w:r w:rsidRPr="00FD0348">
        <w:t>Xie</w:t>
      </w:r>
      <w:proofErr w:type="spellEnd"/>
      <w:r w:rsidRPr="00FD0348">
        <w:t xml:space="preserve">, B., Davidson, W.N. &amp; </w:t>
      </w:r>
      <w:proofErr w:type="spellStart"/>
      <w:r w:rsidRPr="00FD0348">
        <w:t>DaDalt</w:t>
      </w:r>
      <w:proofErr w:type="spellEnd"/>
      <w:r w:rsidRPr="00FD0348">
        <w:t>, P.J. (2003).</w:t>
      </w:r>
      <w:proofErr w:type="gramEnd"/>
      <w:r w:rsidRPr="00FD0348">
        <w:t xml:space="preserve"> Earnings management and corporate governance: the role of the board and the audit committee. Journal of Corporate Finance 9</w:t>
      </w:r>
      <w:r w:rsidR="009D21B6">
        <w:t xml:space="preserve"> (3)</w:t>
      </w:r>
      <w:r w:rsidR="00231EBF" w:rsidRPr="00FD0348">
        <w:t>:</w:t>
      </w:r>
      <w:r w:rsidRPr="00FD0348">
        <w:t xml:space="preserve"> 295–316</w:t>
      </w:r>
    </w:p>
    <w:p w:rsidR="00431C53" w:rsidRPr="00FD0348" w:rsidRDefault="00431C53" w:rsidP="00470966">
      <w:pPr>
        <w:ind w:right="27"/>
      </w:pPr>
      <w:proofErr w:type="spellStart"/>
      <w:r w:rsidRPr="00FD0348">
        <w:t>Yermack</w:t>
      </w:r>
      <w:proofErr w:type="spellEnd"/>
      <w:r w:rsidRPr="00FD0348">
        <w:t xml:space="preserve">, D. (1996). Higher market valuation of companies with a small board of directors. </w:t>
      </w:r>
      <w:r w:rsidRPr="009D21B6">
        <w:rPr>
          <w:rFonts w:cs="Times-Italic"/>
          <w:iCs/>
        </w:rPr>
        <w:t xml:space="preserve">Journal of Financial Economics </w:t>
      </w:r>
      <w:r w:rsidRPr="00FD0348">
        <w:t>40 (2): 185–213.</w:t>
      </w:r>
    </w:p>
    <w:p w:rsidR="00652C8F" w:rsidRPr="00FD0348" w:rsidRDefault="00652C8F" w:rsidP="00470966">
      <w:pPr>
        <w:ind w:right="27"/>
      </w:pPr>
      <w:proofErr w:type="spellStart"/>
      <w:r w:rsidRPr="00FD0348">
        <w:t>Yermack</w:t>
      </w:r>
      <w:proofErr w:type="spellEnd"/>
      <w:r w:rsidRPr="00FD0348">
        <w:t xml:space="preserve">, D. (2004). </w:t>
      </w:r>
      <w:proofErr w:type="gramStart"/>
      <w:r w:rsidRPr="00FD0348">
        <w:t>Remuneration, retention, and reputation incentives for outside directors.</w:t>
      </w:r>
      <w:proofErr w:type="gramEnd"/>
      <w:r w:rsidRPr="00FD0348">
        <w:t xml:space="preserve"> Journal of Finance 59 (5)</w:t>
      </w:r>
      <w:r w:rsidR="009D21B6">
        <w:t>: 2281-2308</w:t>
      </w:r>
      <w:r w:rsidRPr="00FD0348">
        <w:t>.</w:t>
      </w:r>
    </w:p>
    <w:sectPr w:rsidR="00652C8F" w:rsidRPr="00FD0348" w:rsidSect="00470966">
      <w:type w:val="continuous"/>
      <w:pgSz w:w="11907" w:h="16839" w:code="9"/>
      <w:pgMar w:top="1440" w:right="1080" w:bottom="1440" w:left="1080" w:header="50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3DB" w:rsidRDefault="00BF73DB" w:rsidP="00EB286A">
      <w:r>
        <w:separator/>
      </w:r>
    </w:p>
  </w:endnote>
  <w:endnote w:type="continuationSeparator" w:id="0">
    <w:p w:rsidR="00BF73DB" w:rsidRDefault="00BF73DB" w:rsidP="00EB2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5" w:rsidRDefault="00E61F65">
    <w:pPr>
      <w:pStyle w:val="Footer"/>
    </w:pPr>
    <w:r>
      <w:rPr>
        <w:noProof/>
        <w:lang w:eastAsia="zh-TW"/>
      </w:rPr>
      <w:pict>
        <v:rect id="_x0000_s133158" style="position:absolute;left:0;text-align:left;margin-left:0;margin-top:0;width:468pt;height:58.3pt;z-index:251673600;mso-width-percent:1000;mso-height-percent:810;mso-position-horizontal:center;mso-position-horizontal-relative:margin;mso-position-vertical:bottom;mso-position-vertical-relative:page;mso-width-percent:1000;mso-height-percent:810;mso-width-relative:margin;mso-height-relative:bottom-margin-area" filled="f" stroked="f">
          <v:textbox inset=",0">
            <w:txbxContent>
              <w:sdt>
                <w:sdtPr>
                  <w:alias w:val="Date"/>
                  <w:id w:val="2418791"/>
                  <w:placeholder>
                    <w:docPart w:val="BC35BE8F1BCA4BB2B1D496102E63BD08"/>
                  </w:placeholder>
                  <w:dataBinding w:prefixMappings="xmlns:ns0='http://schemas.microsoft.com/office/2006/coverPageProps'" w:xpath="/ns0:CoverPageProperties[1]/ns0:PublishDate[1]" w:storeItemID="{55AF091B-3C7A-41E3-B477-F2FDAA23CFDA}"/>
                  <w:date w:fullDate="2013-08-15T00:00:00Z">
                    <w:dateFormat w:val="MMMM d, yyyy"/>
                    <w:lid w:val="en-US"/>
                    <w:storeMappedDataAs w:val="dateTime"/>
                    <w:calendar w:val="gregorian"/>
                  </w:date>
                </w:sdtPr>
                <w:sdtContent>
                  <w:p w:rsidR="00E61F65" w:rsidRDefault="00E61F65">
                    <w:pPr>
                      <w:jc w:val="right"/>
                    </w:pPr>
                    <w:r>
                      <w:t>August 15, 2013</w:t>
                    </w:r>
                  </w:p>
                </w:sdtContent>
              </w:sdt>
            </w:txbxContent>
          </v:textbox>
          <w10:wrap anchorx="margin" anchory="page"/>
        </v:rect>
      </w:pict>
    </w:r>
    <w:r>
      <w:rPr>
        <w:noProof/>
        <w:lang w:eastAsia="zh-TW"/>
      </w:rPr>
      <w:pict>
        <v:group id="_x0000_s133154" style="position:absolute;left:0;text-align:left;margin-left:0;margin-top:0;width:6pt;height:55.35pt;z-index:251672576;mso-height-percent:780;mso-position-horizontal:left;mso-position-horizontal-relative:right-margin-area;mso-position-vertical:bottom;mso-position-vertical-relative:page;mso-height-percent:780;mso-height-relative:bottom-margin-area" coordorigin="2820,4935" coordsize="120,1320">
          <v:shapetype id="_x0000_t32" coordsize="21600,21600" o:spt="32" o:oned="t" path="m,l21600,21600e" filled="f">
            <v:path arrowok="t" fillok="f" o:connecttype="none"/>
            <o:lock v:ext="edit" shapetype="t"/>
          </v:shapetype>
          <v:shape id="_x0000_s133155" type="#_x0000_t32" style="position:absolute;left:2820;top:4935;width:0;height:1320" o:connectortype="straight" strokecolor="#4f81bd [3204]"/>
          <v:shape id="_x0000_s133156" type="#_x0000_t32" style="position:absolute;left:2880;top:4935;width:0;height:1320" o:connectortype="straight" strokecolor="#4f81bd [3204]"/>
          <v:shape id="_x0000_s133157" type="#_x0000_t32" style="position:absolute;left:2940;top:4935;width:0;height:1320" o:connectortype="straight" strokecolor="#4f81bd [3204]"/>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3DB" w:rsidRDefault="00BF73DB" w:rsidP="00EB286A">
      <w:r>
        <w:separator/>
      </w:r>
    </w:p>
  </w:footnote>
  <w:footnote w:type="continuationSeparator" w:id="0">
    <w:p w:rsidR="00BF73DB" w:rsidRDefault="00BF73DB" w:rsidP="00EB286A">
      <w:r>
        <w:continuationSeparator/>
      </w:r>
    </w:p>
  </w:footnote>
  <w:footnote w:id="1">
    <w:p w:rsidR="00E61F65" w:rsidRPr="00B13AEC" w:rsidRDefault="00E61F65" w:rsidP="002304F0">
      <w:pPr>
        <w:pStyle w:val="FootnoteText"/>
        <w:rPr>
          <w:sz w:val="14"/>
          <w:szCs w:val="14"/>
        </w:rPr>
      </w:pPr>
      <w:r w:rsidRPr="00761F95">
        <w:rPr>
          <w:rStyle w:val="FootnoteReference"/>
          <w:sz w:val="16"/>
          <w:szCs w:val="16"/>
        </w:rPr>
        <w:footnoteRef/>
      </w:r>
      <w:r w:rsidRPr="00761F95">
        <w:rPr>
          <w:sz w:val="16"/>
          <w:szCs w:val="16"/>
        </w:rPr>
        <w:t xml:space="preserve"> Public-Interest Entities (PIE) is defined as “entities which are of significant public interest because of (a) their business, (b) their size, (c) their number of employees or (d) their corporate status is such that they have a wide range of stakeholders” by the European Commission in the proposed audit reform (2011).</w:t>
      </w:r>
    </w:p>
  </w:footnote>
  <w:footnote w:id="2">
    <w:p w:rsidR="00E61F65" w:rsidRPr="00761F95" w:rsidRDefault="00E61F65">
      <w:pPr>
        <w:pStyle w:val="FootnoteText"/>
        <w:rPr>
          <w:sz w:val="16"/>
          <w:szCs w:val="16"/>
        </w:rPr>
      </w:pPr>
      <w:r w:rsidRPr="00761F95">
        <w:rPr>
          <w:rStyle w:val="FootnoteReference"/>
          <w:sz w:val="16"/>
          <w:szCs w:val="16"/>
        </w:rPr>
        <w:footnoteRef/>
      </w:r>
      <w:r w:rsidRPr="00761F95">
        <w:rPr>
          <w:sz w:val="16"/>
          <w:szCs w:val="16"/>
        </w:rPr>
        <w:t xml:space="preserve"> </w:t>
      </w:r>
      <w:proofErr w:type="spellStart"/>
      <w:r w:rsidRPr="00761F95">
        <w:rPr>
          <w:sz w:val="16"/>
          <w:szCs w:val="16"/>
        </w:rPr>
        <w:t>Dechow</w:t>
      </w:r>
      <w:proofErr w:type="spellEnd"/>
      <w:r w:rsidRPr="00761F95">
        <w:rPr>
          <w:sz w:val="16"/>
          <w:szCs w:val="16"/>
        </w:rPr>
        <w:t xml:space="preserve"> et al. (2010) lists a summary of proxies commonly used in empirical research to determine earnings quality. For each proxy: the theory, pros and cons are provided by </w:t>
      </w:r>
      <w:proofErr w:type="spellStart"/>
      <w:r w:rsidRPr="00761F95">
        <w:rPr>
          <w:sz w:val="16"/>
          <w:szCs w:val="16"/>
        </w:rPr>
        <w:t>Dechow</w:t>
      </w:r>
      <w:proofErr w:type="spellEnd"/>
      <w:r w:rsidRPr="00761F95">
        <w:rPr>
          <w:sz w:val="16"/>
          <w:szCs w:val="16"/>
        </w:rPr>
        <w:t xml:space="preserve"> et al. (2010)’s exhibit 1 on page 351-352. This list can also be found in the Appendix.</w:t>
      </w:r>
    </w:p>
  </w:footnote>
  <w:footnote w:id="3">
    <w:p w:rsidR="00E61F65" w:rsidRPr="00761F95" w:rsidRDefault="00E61F65" w:rsidP="00C6601F">
      <w:pPr>
        <w:pStyle w:val="FootnoteText"/>
        <w:rPr>
          <w:sz w:val="16"/>
          <w:szCs w:val="16"/>
        </w:rPr>
      </w:pPr>
      <w:r w:rsidRPr="00761F95">
        <w:rPr>
          <w:rStyle w:val="FootnoteReference"/>
          <w:sz w:val="16"/>
          <w:szCs w:val="16"/>
        </w:rPr>
        <w:footnoteRef/>
      </w:r>
      <w:r w:rsidRPr="00761F95">
        <w:rPr>
          <w:sz w:val="16"/>
          <w:szCs w:val="16"/>
        </w:rPr>
        <w:t xml:space="preserve"> Financial literate directors can be defined as directors who have experience in accounting, auditing, banking, investment banking, finance or block holding. </w:t>
      </w:r>
    </w:p>
  </w:footnote>
  <w:footnote w:id="4">
    <w:p w:rsidR="00E61F65" w:rsidRPr="00761F95" w:rsidRDefault="00E61F65" w:rsidP="00C6601F">
      <w:pPr>
        <w:pStyle w:val="FootnoteText"/>
        <w:rPr>
          <w:sz w:val="16"/>
          <w:szCs w:val="16"/>
        </w:rPr>
      </w:pPr>
      <w:r w:rsidRPr="00761F95">
        <w:rPr>
          <w:rStyle w:val="FootnoteReference"/>
          <w:sz w:val="16"/>
          <w:szCs w:val="16"/>
        </w:rPr>
        <w:footnoteRef/>
      </w:r>
      <w:r w:rsidRPr="00761F95">
        <w:rPr>
          <w:sz w:val="16"/>
          <w:szCs w:val="16"/>
        </w:rPr>
        <w:t xml:space="preserve"> Financial literature directors can be defined as directors who have experience in accounting, auditing, banking, investment banking, finance or block holding. </w:t>
      </w:r>
    </w:p>
  </w:footnote>
  <w:footnote w:id="5">
    <w:p w:rsidR="00E61F65" w:rsidRPr="00761F95" w:rsidRDefault="00E61F65" w:rsidP="00C6601F">
      <w:pPr>
        <w:pStyle w:val="FootnoteText"/>
        <w:rPr>
          <w:sz w:val="16"/>
          <w:szCs w:val="16"/>
        </w:rPr>
      </w:pPr>
      <w:r w:rsidRPr="00761F95">
        <w:rPr>
          <w:rStyle w:val="FootnoteReference"/>
          <w:sz w:val="16"/>
          <w:szCs w:val="16"/>
        </w:rPr>
        <w:footnoteRef/>
      </w:r>
      <w:r w:rsidRPr="00761F95">
        <w:rPr>
          <w:sz w:val="16"/>
          <w:szCs w:val="16"/>
        </w:rPr>
        <w:t xml:space="preserve"> The following audit committee characteristics: (a) equity incentives / ownership, (b) total executive / supervisory board seats, (c) and other committee service seats have also been highlighted by the Blue Ribbon Committee.</w:t>
      </w:r>
    </w:p>
  </w:footnote>
  <w:footnote w:id="6">
    <w:p w:rsidR="00E61F65" w:rsidRPr="00761F95" w:rsidRDefault="00E61F65" w:rsidP="00931E21">
      <w:pPr>
        <w:pStyle w:val="FootnoteText"/>
        <w:spacing w:line="240" w:lineRule="auto"/>
        <w:rPr>
          <w:sz w:val="16"/>
          <w:szCs w:val="16"/>
        </w:rPr>
      </w:pPr>
      <w:r w:rsidRPr="00761F95">
        <w:rPr>
          <w:rStyle w:val="FootnoteReference"/>
          <w:sz w:val="16"/>
          <w:szCs w:val="16"/>
        </w:rPr>
        <w:footnoteRef/>
      </w:r>
      <w:r w:rsidRPr="00761F95">
        <w:rPr>
          <w:sz w:val="16"/>
          <w:szCs w:val="16"/>
        </w:rPr>
        <w:t xml:space="preserve"> A board is classified as “busy board” when a majority of outside directors hold three or more directorships.</w:t>
      </w:r>
    </w:p>
  </w:footnote>
  <w:footnote w:id="7">
    <w:p w:rsidR="00E61F65" w:rsidRPr="00761F95" w:rsidRDefault="00E61F65" w:rsidP="00931E21">
      <w:pPr>
        <w:pStyle w:val="FootnoteText"/>
        <w:spacing w:line="240" w:lineRule="auto"/>
        <w:rPr>
          <w:sz w:val="16"/>
          <w:szCs w:val="16"/>
        </w:rPr>
      </w:pPr>
      <w:r w:rsidRPr="00761F95">
        <w:rPr>
          <w:rStyle w:val="FootnoteReference"/>
          <w:sz w:val="16"/>
          <w:szCs w:val="16"/>
        </w:rPr>
        <w:footnoteRef/>
      </w:r>
      <w:r w:rsidRPr="00761F95">
        <w:rPr>
          <w:sz w:val="16"/>
          <w:szCs w:val="16"/>
        </w:rPr>
        <w:t xml:space="preserve"> A director is socially tied to one another if they share two of the following informal ties: mutual alma mater, military service, regional origin education discipline and industry. </w:t>
      </w:r>
    </w:p>
  </w:footnote>
  <w:footnote w:id="8">
    <w:p w:rsidR="00E61F65" w:rsidRPr="00761F95" w:rsidRDefault="00E61F65" w:rsidP="001F696B">
      <w:pPr>
        <w:pStyle w:val="FootnoteText"/>
        <w:rPr>
          <w:sz w:val="16"/>
          <w:szCs w:val="16"/>
        </w:rPr>
      </w:pPr>
      <w:r w:rsidRPr="00761F95">
        <w:rPr>
          <w:rStyle w:val="FootnoteReference"/>
          <w:sz w:val="16"/>
          <w:szCs w:val="16"/>
        </w:rPr>
        <w:footnoteRef/>
      </w:r>
      <w:r w:rsidRPr="00761F95">
        <w:rPr>
          <w:sz w:val="16"/>
          <w:szCs w:val="16"/>
        </w:rPr>
        <w:t xml:space="preserve"> Earnings Management can be defined as influencing the entity’s accounting system to report </w:t>
      </w:r>
      <w:r>
        <w:rPr>
          <w:sz w:val="16"/>
          <w:szCs w:val="16"/>
        </w:rPr>
        <w:t xml:space="preserve">higher (lower) </w:t>
      </w:r>
      <w:r w:rsidRPr="00761F95">
        <w:rPr>
          <w:sz w:val="16"/>
          <w:szCs w:val="16"/>
        </w:rPr>
        <w:t xml:space="preserve">earnings in order to receive </w:t>
      </w:r>
      <w:r>
        <w:rPr>
          <w:sz w:val="16"/>
          <w:szCs w:val="16"/>
        </w:rPr>
        <w:t xml:space="preserve">(future) </w:t>
      </w:r>
      <w:r w:rsidRPr="00761F95">
        <w:rPr>
          <w:sz w:val="16"/>
          <w:szCs w:val="16"/>
        </w:rPr>
        <w:t>benefits in the form of compensation, reputation and</w:t>
      </w:r>
      <w:r>
        <w:rPr>
          <w:sz w:val="16"/>
          <w:szCs w:val="16"/>
        </w:rPr>
        <w:t xml:space="preserve"> </w:t>
      </w:r>
      <w:r w:rsidRPr="00761F95">
        <w:rPr>
          <w:sz w:val="16"/>
          <w:szCs w:val="16"/>
        </w:rPr>
        <w:t>/</w:t>
      </w:r>
      <w:r>
        <w:rPr>
          <w:sz w:val="16"/>
          <w:szCs w:val="16"/>
        </w:rPr>
        <w:t xml:space="preserve"> </w:t>
      </w:r>
      <w:r w:rsidRPr="00761F95">
        <w:rPr>
          <w:sz w:val="16"/>
          <w:szCs w:val="16"/>
        </w:rPr>
        <w:t>or stock ownership. Financial statements that contain a high level of managed earnings are considered to have low earnings quality seeing as earnings information that is being reported in the financial statement is not accurate.</w:t>
      </w:r>
    </w:p>
  </w:footnote>
  <w:footnote w:id="9">
    <w:p w:rsidR="00E61F65" w:rsidRPr="003100FD" w:rsidRDefault="00E61F65">
      <w:pPr>
        <w:pStyle w:val="FootnoteText"/>
        <w:rPr>
          <w:sz w:val="14"/>
          <w:szCs w:val="14"/>
        </w:rPr>
      </w:pPr>
      <w:r w:rsidRPr="00761F95">
        <w:rPr>
          <w:rStyle w:val="FootnoteReference"/>
          <w:sz w:val="16"/>
          <w:szCs w:val="16"/>
        </w:rPr>
        <w:footnoteRef/>
      </w:r>
      <w:r w:rsidRPr="00761F95">
        <w:rPr>
          <w:sz w:val="16"/>
          <w:szCs w:val="16"/>
        </w:rPr>
        <w:t xml:space="preserve"> Such as Jones (1991) Model, Improved Jones Model (</w:t>
      </w:r>
      <w:proofErr w:type="spellStart"/>
      <w:r w:rsidRPr="00761F95">
        <w:rPr>
          <w:sz w:val="16"/>
          <w:szCs w:val="16"/>
        </w:rPr>
        <w:t>Dechow</w:t>
      </w:r>
      <w:proofErr w:type="spellEnd"/>
      <w:r w:rsidRPr="00761F95">
        <w:rPr>
          <w:sz w:val="16"/>
          <w:szCs w:val="16"/>
        </w:rPr>
        <w:t xml:space="preserve"> et al. 1995)</w:t>
      </w:r>
      <w:r>
        <w:rPr>
          <w:sz w:val="16"/>
          <w:szCs w:val="16"/>
        </w:rPr>
        <w:t xml:space="preserve"> and </w:t>
      </w:r>
      <w:r w:rsidRPr="00761F95">
        <w:rPr>
          <w:sz w:val="16"/>
          <w:szCs w:val="16"/>
        </w:rPr>
        <w:t>Performance matched (Kothari et al. 2005)</w:t>
      </w:r>
      <w:r>
        <w:rPr>
          <w:sz w:val="16"/>
          <w:szCs w:val="16"/>
        </w:rPr>
        <w:t xml:space="preserve"> </w:t>
      </w:r>
    </w:p>
  </w:footnote>
  <w:footnote w:id="10">
    <w:p w:rsidR="00E61F65" w:rsidRPr="00761F95" w:rsidRDefault="00E61F65" w:rsidP="00D54DB5">
      <w:pPr>
        <w:pStyle w:val="FootnoteText"/>
        <w:spacing w:line="240" w:lineRule="auto"/>
        <w:rPr>
          <w:sz w:val="16"/>
          <w:szCs w:val="16"/>
        </w:rPr>
      </w:pPr>
      <w:r w:rsidRPr="00761F95">
        <w:rPr>
          <w:rStyle w:val="FootnoteReference"/>
          <w:sz w:val="16"/>
          <w:szCs w:val="16"/>
        </w:rPr>
        <w:footnoteRef/>
      </w:r>
      <w:r w:rsidRPr="00761F95">
        <w:rPr>
          <w:sz w:val="16"/>
          <w:szCs w:val="16"/>
        </w:rPr>
        <w:t xml:space="preserve"> Reflected in cash flow from operations and changes in working capital </w:t>
      </w:r>
    </w:p>
  </w:footnote>
  <w:footnote w:id="11">
    <w:p w:rsidR="00E61F65" w:rsidRPr="00761F95" w:rsidRDefault="00E61F65" w:rsidP="00D54DB5">
      <w:pPr>
        <w:pStyle w:val="FootnoteText"/>
        <w:spacing w:line="240" w:lineRule="auto"/>
        <w:rPr>
          <w:sz w:val="16"/>
          <w:szCs w:val="16"/>
        </w:rPr>
      </w:pPr>
      <w:r w:rsidRPr="00761F95">
        <w:rPr>
          <w:rStyle w:val="FootnoteReference"/>
          <w:sz w:val="16"/>
          <w:szCs w:val="16"/>
        </w:rPr>
        <w:footnoteRef/>
      </w:r>
      <w:r w:rsidRPr="00761F95">
        <w:rPr>
          <w:sz w:val="16"/>
          <w:szCs w:val="16"/>
        </w:rPr>
        <w:t xml:space="preserve"> Reflected in discretionary accruals</w:t>
      </w:r>
    </w:p>
  </w:footnote>
  <w:footnote w:id="12">
    <w:p w:rsidR="00E61F65" w:rsidRPr="00761F95" w:rsidRDefault="00E61F65" w:rsidP="00D54DB5">
      <w:pPr>
        <w:pStyle w:val="FootnoteText"/>
        <w:spacing w:line="240" w:lineRule="auto"/>
        <w:rPr>
          <w:sz w:val="16"/>
          <w:szCs w:val="16"/>
        </w:rPr>
      </w:pPr>
      <w:r w:rsidRPr="00761F95">
        <w:rPr>
          <w:rStyle w:val="FootnoteReference"/>
          <w:sz w:val="16"/>
          <w:szCs w:val="16"/>
        </w:rPr>
        <w:footnoteRef/>
      </w:r>
      <w:r w:rsidRPr="00761F95">
        <w:rPr>
          <w:sz w:val="16"/>
          <w:szCs w:val="16"/>
        </w:rPr>
        <w:t xml:space="preserve"> Income taxes draw the observation in the distribution towards zero and small positive profits, while negative special items, which are greater in magnitude and more common for loss entities, pulls loss observation away from zero.</w:t>
      </w:r>
    </w:p>
  </w:footnote>
  <w:footnote w:id="13">
    <w:p w:rsidR="00E61F65" w:rsidRPr="00773443" w:rsidRDefault="00E61F65" w:rsidP="00773443">
      <w:pPr>
        <w:pStyle w:val="FootnoteText"/>
        <w:rPr>
          <w:sz w:val="16"/>
          <w:szCs w:val="16"/>
        </w:rPr>
      </w:pPr>
      <w:r w:rsidRPr="00773443">
        <w:rPr>
          <w:rStyle w:val="FootnoteReference"/>
          <w:sz w:val="16"/>
          <w:szCs w:val="16"/>
        </w:rPr>
        <w:footnoteRef/>
      </w:r>
      <w:r w:rsidRPr="00773443">
        <w:rPr>
          <w:sz w:val="16"/>
          <w:szCs w:val="16"/>
        </w:rPr>
        <w:t xml:space="preserve"> </w:t>
      </w:r>
      <w:proofErr w:type="gramStart"/>
      <w:r>
        <w:rPr>
          <w:sz w:val="16"/>
          <w:szCs w:val="16"/>
        </w:rPr>
        <w:t>e.g</w:t>
      </w:r>
      <w:proofErr w:type="gramEnd"/>
      <w:r>
        <w:rPr>
          <w:sz w:val="16"/>
          <w:szCs w:val="16"/>
        </w:rPr>
        <w:t>. managing tax expenses, managing classification of items within the income statement, repurchasing shares, and / or selling fixed assets or marketable securities. (</w:t>
      </w:r>
      <w:proofErr w:type="spellStart"/>
      <w:r>
        <w:rPr>
          <w:sz w:val="16"/>
          <w:szCs w:val="16"/>
        </w:rPr>
        <w:t>Dechow</w:t>
      </w:r>
      <w:proofErr w:type="spellEnd"/>
      <w:r>
        <w:rPr>
          <w:sz w:val="16"/>
          <w:szCs w:val="16"/>
        </w:rPr>
        <w:t xml:space="preserve"> et al. 2010)</w:t>
      </w:r>
    </w:p>
  </w:footnote>
  <w:footnote w:id="14">
    <w:p w:rsidR="00E61F65" w:rsidRPr="00761F95" w:rsidRDefault="00E61F65" w:rsidP="00D44C05">
      <w:pPr>
        <w:pStyle w:val="FootnoteText"/>
        <w:rPr>
          <w:sz w:val="16"/>
          <w:szCs w:val="16"/>
        </w:rPr>
      </w:pPr>
      <w:r w:rsidRPr="00761F95">
        <w:rPr>
          <w:rStyle w:val="FootnoteReference"/>
          <w:sz w:val="16"/>
          <w:szCs w:val="16"/>
        </w:rPr>
        <w:footnoteRef/>
      </w:r>
      <w:r w:rsidRPr="00761F95">
        <w:rPr>
          <w:sz w:val="16"/>
          <w:szCs w:val="16"/>
        </w:rPr>
        <w:t xml:space="preserve"> Variables in Matsumoto’s models are: institutional ownership losses, implicit claims, long term growth opportunities, litigation risk industries, </w:t>
      </w:r>
      <w:proofErr w:type="gramStart"/>
      <w:r w:rsidRPr="00761F95">
        <w:rPr>
          <w:sz w:val="16"/>
          <w:szCs w:val="16"/>
        </w:rPr>
        <w:t>shocks</w:t>
      </w:r>
      <w:proofErr w:type="gramEnd"/>
      <w:r w:rsidRPr="00761F95">
        <w:rPr>
          <w:sz w:val="16"/>
          <w:szCs w:val="16"/>
        </w:rPr>
        <w:t xml:space="preserve"> to earnings, size and forecasting environment.</w:t>
      </w:r>
    </w:p>
  </w:footnote>
  <w:footnote w:id="15">
    <w:p w:rsidR="00E61F65" w:rsidRPr="00CA231E" w:rsidRDefault="00E61F65">
      <w:pPr>
        <w:pStyle w:val="FootnoteText"/>
        <w:rPr>
          <w:sz w:val="16"/>
          <w:szCs w:val="16"/>
        </w:rPr>
      </w:pPr>
      <w:r w:rsidRPr="00CA231E">
        <w:rPr>
          <w:rStyle w:val="FootnoteReference"/>
          <w:sz w:val="16"/>
          <w:szCs w:val="16"/>
        </w:rPr>
        <w:footnoteRef/>
      </w:r>
      <w:r w:rsidRPr="00CA231E">
        <w:rPr>
          <w:sz w:val="16"/>
          <w:szCs w:val="16"/>
        </w:rPr>
        <w:t xml:space="preserve"> </w:t>
      </w:r>
      <w:r>
        <w:rPr>
          <w:sz w:val="16"/>
          <w:szCs w:val="16"/>
        </w:rPr>
        <w:t>For the sample containing manipulated earnings the irregularity around zero is clearly present, while the irregularity disappears for the sample containing unmanaged earnings.</w:t>
      </w:r>
    </w:p>
  </w:footnote>
  <w:footnote w:id="16">
    <w:p w:rsidR="00E61F65" w:rsidRPr="00761F95" w:rsidRDefault="00E61F65" w:rsidP="00C6601F">
      <w:pPr>
        <w:pStyle w:val="FootnoteText"/>
        <w:rPr>
          <w:sz w:val="16"/>
          <w:szCs w:val="16"/>
        </w:rPr>
      </w:pPr>
      <w:r w:rsidRPr="00761F95">
        <w:rPr>
          <w:rStyle w:val="FootnoteReference"/>
          <w:sz w:val="16"/>
          <w:szCs w:val="16"/>
        </w:rPr>
        <w:footnoteRef/>
      </w:r>
      <w:r w:rsidRPr="00761F95">
        <w:rPr>
          <w:sz w:val="16"/>
          <w:szCs w:val="16"/>
        </w:rPr>
        <w:t xml:space="preserve"> Financial literat</w:t>
      </w:r>
      <w:r>
        <w:rPr>
          <w:sz w:val="16"/>
          <w:szCs w:val="16"/>
        </w:rPr>
        <w:t>e</w:t>
      </w:r>
      <w:r w:rsidRPr="00761F95">
        <w:rPr>
          <w:sz w:val="16"/>
          <w:szCs w:val="16"/>
        </w:rPr>
        <w:t xml:space="preserve"> directors can be defined as directors who have experience in accounting, auditing, banking, investment banking, finance or block holding. </w:t>
      </w:r>
    </w:p>
  </w:footnote>
  <w:footnote w:id="17">
    <w:p w:rsidR="00E61F65" w:rsidRPr="00761F95" w:rsidRDefault="00E61F65">
      <w:pPr>
        <w:pStyle w:val="FootnoteText"/>
        <w:rPr>
          <w:sz w:val="16"/>
          <w:szCs w:val="16"/>
        </w:rPr>
      </w:pPr>
      <w:r w:rsidRPr="00761F95">
        <w:rPr>
          <w:rStyle w:val="FootnoteReference"/>
          <w:sz w:val="16"/>
          <w:szCs w:val="16"/>
        </w:rPr>
        <w:footnoteRef/>
      </w:r>
      <w:r w:rsidRPr="00761F95">
        <w:rPr>
          <w:sz w:val="16"/>
          <w:szCs w:val="16"/>
        </w:rPr>
        <w:t xml:space="preserve"> Prior empirical literature focuses on the following audit committee characteristics: independence, meeting frequency, size, director’s expertise and ownership. Exhibit 2 represents a table with the objective, sample and focus of the empirical studies on the audit committee characteristics.</w:t>
      </w:r>
    </w:p>
  </w:footnote>
  <w:footnote w:id="18">
    <w:p w:rsidR="00E61F65" w:rsidRPr="00761F95" w:rsidRDefault="00E61F65" w:rsidP="00D54DB5">
      <w:pPr>
        <w:pStyle w:val="FootnoteText"/>
        <w:spacing w:line="240" w:lineRule="auto"/>
        <w:rPr>
          <w:sz w:val="16"/>
          <w:szCs w:val="16"/>
        </w:rPr>
      </w:pPr>
      <w:r w:rsidRPr="00761F95">
        <w:rPr>
          <w:rStyle w:val="FootnoteReference"/>
          <w:sz w:val="16"/>
          <w:szCs w:val="16"/>
        </w:rPr>
        <w:footnoteRef/>
      </w:r>
      <w:r w:rsidRPr="00761F95">
        <w:rPr>
          <w:sz w:val="16"/>
          <w:szCs w:val="16"/>
        </w:rPr>
        <w:t xml:space="preserve"> Thompson One (T1) made it easier to make an initial sample for my Master’s thesis due to its ability to include my proposed criteria’s as filters: (1) turnover/sales, (2) country ID-codes to identify public-interest entities in the EU-27 member states, (3) GICS code to identify public-interest entities in the necessary industries, and (4) the entity’s SEDOL code to obtain additional data from other databases.</w:t>
      </w:r>
    </w:p>
  </w:footnote>
  <w:footnote w:id="19">
    <w:p w:rsidR="00E61F65" w:rsidRPr="00761F95" w:rsidRDefault="00E61F65" w:rsidP="00D54DB5">
      <w:pPr>
        <w:pStyle w:val="FootnoteText"/>
        <w:spacing w:line="240" w:lineRule="auto"/>
        <w:rPr>
          <w:sz w:val="16"/>
          <w:szCs w:val="16"/>
        </w:rPr>
      </w:pPr>
      <w:r w:rsidRPr="00761F95">
        <w:rPr>
          <w:rStyle w:val="FootnoteReference"/>
          <w:sz w:val="16"/>
          <w:szCs w:val="16"/>
        </w:rPr>
        <w:footnoteRef/>
      </w:r>
      <w:r w:rsidRPr="00761F95">
        <w:rPr>
          <w:sz w:val="16"/>
          <w:szCs w:val="16"/>
        </w:rPr>
        <w:t xml:space="preserve"> Some Public interest entities’ annual reports contain incomplete information on their audit committee such as: no specification which directors of the supervisory board are serving on their audit committee or failing to disclose audit committee information in their annual report. Furthermore, various public interest entities didn’t disclose the amount of meetings that the audit committee had during the reporting period.</w:t>
      </w:r>
    </w:p>
  </w:footnote>
  <w:footnote w:id="20">
    <w:p w:rsidR="00E61F65" w:rsidRPr="00761F95" w:rsidRDefault="00E61F65" w:rsidP="00F85494">
      <w:pPr>
        <w:pStyle w:val="FootnoteText"/>
        <w:rPr>
          <w:sz w:val="16"/>
          <w:szCs w:val="16"/>
        </w:rPr>
      </w:pPr>
      <w:r w:rsidRPr="00761F95">
        <w:rPr>
          <w:rStyle w:val="FootnoteReference"/>
          <w:sz w:val="16"/>
          <w:szCs w:val="16"/>
        </w:rPr>
        <w:footnoteRef/>
      </w:r>
      <w:r w:rsidRPr="00761F95">
        <w:rPr>
          <w:sz w:val="16"/>
          <w:szCs w:val="16"/>
        </w:rPr>
        <w:t xml:space="preserve"> The code for the corporate governance score is CGV Score in DATASTREAM.</w:t>
      </w:r>
    </w:p>
  </w:footnote>
  <w:footnote w:id="21">
    <w:p w:rsidR="00E61F65" w:rsidRPr="00761F95" w:rsidRDefault="00E61F65">
      <w:pPr>
        <w:pStyle w:val="FootnoteText"/>
        <w:rPr>
          <w:sz w:val="16"/>
          <w:szCs w:val="16"/>
        </w:rPr>
      </w:pPr>
      <w:r w:rsidRPr="00761F95">
        <w:rPr>
          <w:rStyle w:val="FootnoteReference"/>
          <w:sz w:val="16"/>
          <w:szCs w:val="16"/>
        </w:rPr>
        <w:footnoteRef/>
      </w:r>
      <w:r w:rsidRPr="00761F95">
        <w:rPr>
          <w:sz w:val="16"/>
          <w:szCs w:val="16"/>
        </w:rPr>
        <w:t xml:space="preserve"> Laws and regulations differ across my sample of 17 EU member state, therefore I employ a fixed effect for countries in my models to account for this effect.</w:t>
      </w:r>
    </w:p>
  </w:footnote>
  <w:footnote w:id="22">
    <w:p w:rsidR="00E61F65" w:rsidRPr="00B04EF5" w:rsidRDefault="00E61F65">
      <w:pPr>
        <w:pStyle w:val="FootnoteText"/>
        <w:rPr>
          <w:sz w:val="16"/>
          <w:szCs w:val="16"/>
        </w:rPr>
      </w:pPr>
      <w:r w:rsidRPr="00B04EF5">
        <w:rPr>
          <w:rStyle w:val="FootnoteReference"/>
          <w:sz w:val="16"/>
          <w:szCs w:val="16"/>
        </w:rPr>
        <w:footnoteRef/>
      </w:r>
      <w:r w:rsidRPr="00B04EF5">
        <w:rPr>
          <w:sz w:val="16"/>
          <w:szCs w:val="16"/>
        </w:rPr>
        <w:t xml:space="preserve"> </w:t>
      </w:r>
      <w:r>
        <w:rPr>
          <w:sz w:val="16"/>
          <w:szCs w:val="16"/>
        </w:rPr>
        <w:t>The dependent variables for the logistic regression models used to capture earnings quality for my master’s thesis is set to 1 for public interest entities that are likely avoiding earnings surprises or small earnings increases. Therefore the models are capturing the likelihood of low earnings quality.</w:t>
      </w:r>
    </w:p>
  </w:footnote>
  <w:footnote w:id="23">
    <w:p w:rsidR="00E61F65" w:rsidRPr="00AB5F1F" w:rsidRDefault="00E61F65">
      <w:pPr>
        <w:pStyle w:val="FootnoteText"/>
        <w:rPr>
          <w:sz w:val="16"/>
          <w:szCs w:val="16"/>
        </w:rPr>
      </w:pPr>
      <w:r w:rsidRPr="00AB5F1F">
        <w:rPr>
          <w:rStyle w:val="FootnoteReference"/>
          <w:sz w:val="16"/>
          <w:szCs w:val="16"/>
        </w:rPr>
        <w:footnoteRef/>
      </w:r>
      <w:r w:rsidRPr="00AB5F1F">
        <w:rPr>
          <w:sz w:val="16"/>
          <w:szCs w:val="16"/>
        </w:rPr>
        <w:t xml:space="preserve"> </w:t>
      </w:r>
      <w:r>
        <w:rPr>
          <w:sz w:val="16"/>
          <w:szCs w:val="16"/>
        </w:rPr>
        <w:t xml:space="preserve">e.g. audit committee director’s ownership, block holding, total inside ownership, mean tenure per committee director, mean directorships per audit committee director or mean committee membership per audit committee director.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5" w:rsidRDefault="00E61F65">
    <w:pPr>
      <w:pStyle w:val="Header"/>
    </w:pPr>
    <w:r>
      <w:rPr>
        <w:noProof/>
        <w:lang w:eastAsia="zh-TW"/>
      </w:rPr>
      <w:pict>
        <v:shapetype id="_x0000_t202" coordsize="21600,21600" o:spt="202" path="m,l,21600r21600,l21600,xe">
          <v:stroke joinstyle="miter"/>
          <v:path gradientshapeok="t" o:connecttype="rect"/>
        </v:shapetype>
        <v:shape id="_x0000_s133141"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133141;mso-fit-shape-to-text:t" inset=",0,,0">
            <w:txbxContent>
              <w:p w:rsidR="00E61F65" w:rsidRDefault="00E61F65">
                <w:pPr>
                  <w:spacing w:line="240" w:lineRule="auto"/>
                </w:pP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65" w:rsidRDefault="00E61F65">
    <w:pPr>
      <w:pStyle w:val="Header"/>
    </w:pPr>
    <w:r>
      <w:rPr>
        <w:noProof/>
        <w:lang w:eastAsia="zh-TW"/>
      </w:rPr>
      <w:pict>
        <v:shapetype id="_x0000_t202" coordsize="21600,21600" o:spt="202" path="m,l,21600r21600,l21600,xe">
          <v:stroke joinstyle="miter"/>
          <v:path gradientshapeok="t" o:connecttype="rect"/>
        </v:shapetype>
        <v:shape id="_x0000_s133148" type="#_x0000_t202" style="position:absolute;left:0;text-align:left;margin-left:0;margin-top:0;width:468pt;height:13.45pt;z-index:251666432;mso-width-percent:1000;mso-position-horizontal:left;mso-position-horizontal-relative:margin;mso-position-vertical:center;mso-position-vertical-relative:top-margin-area;mso-width-percent:1000;mso-width-relative:margin;v-text-anchor:middle" o:allowincell="f" filled="f" stroked="f">
          <v:textbox style="mso-next-textbox:#_x0000_s133148;mso-fit-shape-to-text:t" inset=",0,,0">
            <w:txbxContent>
              <w:sdt>
                <w:sdtPr>
                  <w:alias w:val="Title"/>
                  <w:id w:val="2418778"/>
                  <w:placeholder>
                    <w:docPart w:val="23E4BF8A11634EABBB7AF7C0C78867D4"/>
                  </w:placeholder>
                  <w:dataBinding w:prefixMappings="xmlns:ns0='http://schemas.openxmlformats.org/package/2006/metadata/core-properties' xmlns:ns1='http://purl.org/dc/elements/1.1/'" w:xpath="/ns0:coreProperties[1]/ns1:title[1]" w:storeItemID="{6C3C8BC8-F283-45AE-878A-BAB7291924A1}"/>
                  <w:text/>
                </w:sdtPr>
                <w:sdtContent>
                  <w:p w:rsidR="00E61F65" w:rsidRDefault="00E61F65">
                    <w:pPr>
                      <w:spacing w:line="240" w:lineRule="auto"/>
                    </w:pPr>
                    <w:r w:rsidRPr="00235D46">
                      <w:t>THE INFLUENCE OF THE AUDIT COMMITTEE’S COMPOSITION AND EXPERTISE ON EARNINGS QUALITY IN THE EUROPEAN UNION</w:t>
                    </w:r>
                  </w:p>
                </w:sdtContent>
              </w:sdt>
            </w:txbxContent>
          </v:textbox>
          <w10:wrap anchorx="margin" anchory="margin"/>
        </v:shape>
      </w:pict>
    </w:r>
    <w:r>
      <w:rPr>
        <w:noProof/>
        <w:lang w:eastAsia="zh-TW"/>
      </w:rPr>
      <w:pict>
        <v:shape id="_x0000_s133147" type="#_x0000_t202" style="position:absolute;left:0;text-align:left;margin-left:0;margin-top:0;width:1in;height:13.45pt;z-index:251667456;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133147;mso-fit-shape-to-text:t" inset=",0,,0">
            <w:txbxContent>
              <w:p w:rsidR="00E61F65" w:rsidRDefault="00E61F65">
                <w:pPr>
                  <w:spacing w:line="240" w:lineRule="auto"/>
                  <w:jc w:val="right"/>
                  <w:rPr>
                    <w:color w:val="FFFFFF" w:themeColor="background1"/>
                  </w:rPr>
                </w:pPr>
                <w:fldSimple w:instr=" PAGE   \* MERGEFORMAT ">
                  <w:r w:rsidR="00015DBD" w:rsidRPr="00015DBD">
                    <w:rPr>
                      <w:noProof/>
                      <w:color w:val="FFFFFF" w:themeColor="background1"/>
                    </w:rPr>
                    <w:t>40</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514C"/>
    <w:multiLevelType w:val="hybridMultilevel"/>
    <w:tmpl w:val="2CDC5E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A855DC"/>
    <w:multiLevelType w:val="hybridMultilevel"/>
    <w:tmpl w:val="F27C29FA"/>
    <w:lvl w:ilvl="0" w:tplc="E1F889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C681D3D"/>
    <w:multiLevelType w:val="hybridMultilevel"/>
    <w:tmpl w:val="E4C4C24C"/>
    <w:lvl w:ilvl="0" w:tplc="04090011">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C9A2E98"/>
    <w:multiLevelType w:val="hybridMultilevel"/>
    <w:tmpl w:val="539AC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454B4D"/>
    <w:multiLevelType w:val="hybridMultilevel"/>
    <w:tmpl w:val="3EEA0D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2322D9F"/>
    <w:multiLevelType w:val="hybridMultilevel"/>
    <w:tmpl w:val="B87887B2"/>
    <w:lvl w:ilvl="0" w:tplc="E1F88970">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124472F9"/>
    <w:multiLevelType w:val="hybridMultilevel"/>
    <w:tmpl w:val="11C650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9661DD5"/>
    <w:multiLevelType w:val="hybridMultilevel"/>
    <w:tmpl w:val="27E8604C"/>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9B455F2"/>
    <w:multiLevelType w:val="hybridMultilevel"/>
    <w:tmpl w:val="FA149EE8"/>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nsid w:val="1ABC6081"/>
    <w:multiLevelType w:val="multilevel"/>
    <w:tmpl w:val="745A3D5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1B850459"/>
    <w:multiLevelType w:val="multilevel"/>
    <w:tmpl w:val="F5AE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482A0F"/>
    <w:multiLevelType w:val="hybridMultilevel"/>
    <w:tmpl w:val="5FCED7D0"/>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2">
    <w:nsid w:val="1DB60D12"/>
    <w:multiLevelType w:val="hybridMultilevel"/>
    <w:tmpl w:val="24009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8C0744"/>
    <w:multiLevelType w:val="hybridMultilevel"/>
    <w:tmpl w:val="D192872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4">
    <w:nsid w:val="298049AA"/>
    <w:multiLevelType w:val="hybridMultilevel"/>
    <w:tmpl w:val="7C402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B811E6B"/>
    <w:multiLevelType w:val="hybridMultilevel"/>
    <w:tmpl w:val="4D2E5894"/>
    <w:lvl w:ilvl="0" w:tplc="9E06F9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49A30AD"/>
    <w:multiLevelType w:val="hybridMultilevel"/>
    <w:tmpl w:val="55CCD5C4"/>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36DA198D"/>
    <w:multiLevelType w:val="hybridMultilevel"/>
    <w:tmpl w:val="BB5095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75A43F7"/>
    <w:multiLevelType w:val="hybridMultilevel"/>
    <w:tmpl w:val="234EB5D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9044E3"/>
    <w:multiLevelType w:val="hybridMultilevel"/>
    <w:tmpl w:val="09AA25A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3828251C"/>
    <w:multiLevelType w:val="hybridMultilevel"/>
    <w:tmpl w:val="A72A5FF6"/>
    <w:lvl w:ilvl="0" w:tplc="E1F88970">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3EAC0A03"/>
    <w:multiLevelType w:val="hybridMultilevel"/>
    <w:tmpl w:val="9722927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nsid w:val="3FA54FE0"/>
    <w:multiLevelType w:val="hybridMultilevel"/>
    <w:tmpl w:val="C7DCD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B07F0E"/>
    <w:multiLevelType w:val="hybridMultilevel"/>
    <w:tmpl w:val="0E485156"/>
    <w:lvl w:ilvl="0" w:tplc="FFFFFFFF">
      <w:start w:val="1"/>
      <w:numFmt w:val="bullet"/>
      <w:lvlText w:val=""/>
      <w:lvlJc w:val="left"/>
      <w:pPr>
        <w:tabs>
          <w:tab w:val="num" w:pos="780"/>
        </w:tabs>
        <w:ind w:left="780" w:hanging="360"/>
      </w:pPr>
      <w:rPr>
        <w:rFonts w:ascii="Symbol" w:hAnsi="Symbol" w:hint="default"/>
        <w:sz w:val="20"/>
      </w:rPr>
    </w:lvl>
    <w:lvl w:ilvl="1" w:tplc="FFFFFFFF">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4">
    <w:nsid w:val="46CF2F04"/>
    <w:multiLevelType w:val="hybridMultilevel"/>
    <w:tmpl w:val="C90696F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nsid w:val="48023CE6"/>
    <w:multiLevelType w:val="hybridMultilevel"/>
    <w:tmpl w:val="C3AC18E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6936AA"/>
    <w:multiLevelType w:val="hybridMultilevel"/>
    <w:tmpl w:val="C4E88464"/>
    <w:lvl w:ilvl="0" w:tplc="E1F88970">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4B7D39FF"/>
    <w:multiLevelType w:val="hybridMultilevel"/>
    <w:tmpl w:val="3A088E1C"/>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E5A2758"/>
    <w:multiLevelType w:val="hybridMultilevel"/>
    <w:tmpl w:val="4F8E53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3896D16"/>
    <w:multiLevelType w:val="hybridMultilevel"/>
    <w:tmpl w:val="745A3D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B9C3A8F"/>
    <w:multiLevelType w:val="hybridMultilevel"/>
    <w:tmpl w:val="7728CE4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nsid w:val="5C8E10B1"/>
    <w:multiLevelType w:val="hybridMultilevel"/>
    <w:tmpl w:val="17325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F6F75BF"/>
    <w:multiLevelType w:val="hybridMultilevel"/>
    <w:tmpl w:val="C4E2AE8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F730CE2"/>
    <w:multiLevelType w:val="multilevel"/>
    <w:tmpl w:val="745A3D5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3241B85"/>
    <w:multiLevelType w:val="multilevel"/>
    <w:tmpl w:val="27E8604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5">
    <w:nsid w:val="64CE751A"/>
    <w:multiLevelType w:val="hybridMultilevel"/>
    <w:tmpl w:val="8982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63664AB"/>
    <w:multiLevelType w:val="hybridMultilevel"/>
    <w:tmpl w:val="A1FA6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3B296F"/>
    <w:multiLevelType w:val="hybridMultilevel"/>
    <w:tmpl w:val="81B8E9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80C5B36"/>
    <w:multiLevelType w:val="hybridMultilevel"/>
    <w:tmpl w:val="E59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A70088F"/>
    <w:multiLevelType w:val="multilevel"/>
    <w:tmpl w:val="D14863DE"/>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0">
    <w:nsid w:val="6BF85FA9"/>
    <w:multiLevelType w:val="hybridMultilevel"/>
    <w:tmpl w:val="219A856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1">
    <w:nsid w:val="6E487C8E"/>
    <w:multiLevelType w:val="hybridMultilevel"/>
    <w:tmpl w:val="6B2E614A"/>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E632A27"/>
    <w:multiLevelType w:val="hybridMultilevel"/>
    <w:tmpl w:val="AE2C49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0484FC6"/>
    <w:multiLevelType w:val="hybridMultilevel"/>
    <w:tmpl w:val="4A0C24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16F1202"/>
    <w:multiLevelType w:val="multilevel"/>
    <w:tmpl w:val="219A856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nsid w:val="73FC5DA8"/>
    <w:multiLevelType w:val="hybridMultilevel"/>
    <w:tmpl w:val="373456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9241D9E"/>
    <w:multiLevelType w:val="hybridMultilevel"/>
    <w:tmpl w:val="EEEEB37C"/>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7">
    <w:nsid w:val="7ABD70E7"/>
    <w:multiLevelType w:val="hybridMultilevel"/>
    <w:tmpl w:val="426EE580"/>
    <w:lvl w:ilvl="0" w:tplc="E1F889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E566BE2"/>
    <w:multiLevelType w:val="hybridMultilevel"/>
    <w:tmpl w:val="12AA6EA2"/>
    <w:lvl w:ilvl="0" w:tplc="E1F8897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4"/>
  </w:num>
  <w:num w:numId="3">
    <w:abstractNumId w:val="38"/>
  </w:num>
  <w:num w:numId="4">
    <w:abstractNumId w:val="12"/>
  </w:num>
  <w:num w:numId="5">
    <w:abstractNumId w:val="45"/>
  </w:num>
  <w:num w:numId="6">
    <w:abstractNumId w:val="22"/>
  </w:num>
  <w:num w:numId="7">
    <w:abstractNumId w:val="6"/>
  </w:num>
  <w:num w:numId="8">
    <w:abstractNumId w:val="30"/>
  </w:num>
  <w:num w:numId="9">
    <w:abstractNumId w:val="1"/>
  </w:num>
  <w:num w:numId="10">
    <w:abstractNumId w:val="5"/>
  </w:num>
  <w:num w:numId="11">
    <w:abstractNumId w:val="7"/>
  </w:num>
  <w:num w:numId="12">
    <w:abstractNumId w:val="39"/>
  </w:num>
  <w:num w:numId="13">
    <w:abstractNumId w:val="34"/>
  </w:num>
  <w:num w:numId="14">
    <w:abstractNumId w:val="48"/>
  </w:num>
  <w:num w:numId="15">
    <w:abstractNumId w:val="26"/>
  </w:num>
  <w:num w:numId="16">
    <w:abstractNumId w:val="20"/>
  </w:num>
  <w:num w:numId="17">
    <w:abstractNumId w:val="40"/>
  </w:num>
  <w:num w:numId="18">
    <w:abstractNumId w:val="44"/>
  </w:num>
  <w:num w:numId="19">
    <w:abstractNumId w:val="47"/>
  </w:num>
  <w:num w:numId="20">
    <w:abstractNumId w:val="3"/>
  </w:num>
  <w:num w:numId="21">
    <w:abstractNumId w:val="43"/>
  </w:num>
  <w:num w:numId="22">
    <w:abstractNumId w:val="29"/>
  </w:num>
  <w:num w:numId="23">
    <w:abstractNumId w:val="33"/>
  </w:num>
  <w:num w:numId="24">
    <w:abstractNumId w:val="32"/>
  </w:num>
  <w:num w:numId="25">
    <w:abstractNumId w:val="9"/>
  </w:num>
  <w:num w:numId="26">
    <w:abstractNumId w:val="41"/>
  </w:num>
  <w:num w:numId="27">
    <w:abstractNumId w:val="17"/>
  </w:num>
  <w:num w:numId="28">
    <w:abstractNumId w:val="42"/>
  </w:num>
  <w:num w:numId="29">
    <w:abstractNumId w:val="4"/>
  </w:num>
  <w:num w:numId="30">
    <w:abstractNumId w:val="28"/>
  </w:num>
  <w:num w:numId="31">
    <w:abstractNumId w:val="37"/>
  </w:num>
  <w:num w:numId="32">
    <w:abstractNumId w:val="8"/>
  </w:num>
  <w:num w:numId="33">
    <w:abstractNumId w:val="15"/>
  </w:num>
  <w:num w:numId="34">
    <w:abstractNumId w:val="2"/>
  </w:num>
  <w:num w:numId="35">
    <w:abstractNumId w:val="19"/>
  </w:num>
  <w:num w:numId="36">
    <w:abstractNumId w:val="25"/>
  </w:num>
  <w:num w:numId="37">
    <w:abstractNumId w:val="0"/>
  </w:num>
  <w:num w:numId="38">
    <w:abstractNumId w:val="31"/>
  </w:num>
  <w:num w:numId="39">
    <w:abstractNumId w:val="13"/>
  </w:num>
  <w:num w:numId="40">
    <w:abstractNumId w:val="27"/>
  </w:num>
  <w:num w:numId="41">
    <w:abstractNumId w:val="16"/>
  </w:num>
  <w:num w:numId="42">
    <w:abstractNumId w:val="35"/>
  </w:num>
  <w:num w:numId="43">
    <w:abstractNumId w:val="18"/>
  </w:num>
  <w:num w:numId="44">
    <w:abstractNumId w:val="36"/>
  </w:num>
  <w:num w:numId="45">
    <w:abstractNumId w:val="10"/>
  </w:num>
  <w:num w:numId="46">
    <w:abstractNumId w:val="46"/>
  </w:num>
  <w:num w:numId="47">
    <w:abstractNumId w:val="11"/>
  </w:num>
  <w:num w:numId="48">
    <w:abstractNumId w:val="21"/>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hyphenationZone w:val="425"/>
  <w:drawingGridHorizontalSpacing w:val="110"/>
  <w:displayHorizontalDrawingGridEvery w:val="2"/>
  <w:characterSpacingControl w:val="doNotCompress"/>
  <w:hdrShapeDefaults>
    <o:shapedefaults v:ext="edit" spidmax="175106"/>
    <o:shapelayout v:ext="edit">
      <o:idmap v:ext="edit" data="130"/>
      <o:rules v:ext="edit">
        <o:r id="V:Rule4" type="connector" idref="#_x0000_s133156"/>
        <o:r id="V:Rule5" type="connector" idref="#_x0000_s133155"/>
        <o:r id="V:Rule6" type="connector" idref="#_x0000_s133157"/>
      </o:rules>
    </o:shapelayout>
  </w:hdrShapeDefaults>
  <w:footnotePr>
    <w:footnote w:id="-1"/>
    <w:footnote w:id="0"/>
  </w:footnotePr>
  <w:endnotePr>
    <w:endnote w:id="-1"/>
    <w:endnote w:id="0"/>
  </w:endnotePr>
  <w:compat>
    <w:useFELayout/>
  </w:compat>
  <w:rsids>
    <w:rsidRoot w:val="00DF48CF"/>
    <w:rsid w:val="00000AD0"/>
    <w:rsid w:val="00000BBD"/>
    <w:rsid w:val="00001075"/>
    <w:rsid w:val="000031F3"/>
    <w:rsid w:val="00003203"/>
    <w:rsid w:val="00005247"/>
    <w:rsid w:val="0000680A"/>
    <w:rsid w:val="00007ABE"/>
    <w:rsid w:val="00007CEE"/>
    <w:rsid w:val="000101B9"/>
    <w:rsid w:val="00010587"/>
    <w:rsid w:val="00012AD3"/>
    <w:rsid w:val="00014176"/>
    <w:rsid w:val="000142A7"/>
    <w:rsid w:val="00015288"/>
    <w:rsid w:val="000152AC"/>
    <w:rsid w:val="00015DBD"/>
    <w:rsid w:val="000160FB"/>
    <w:rsid w:val="00016336"/>
    <w:rsid w:val="000165E8"/>
    <w:rsid w:val="00016C12"/>
    <w:rsid w:val="000173A8"/>
    <w:rsid w:val="00021375"/>
    <w:rsid w:val="00021A2D"/>
    <w:rsid w:val="00023793"/>
    <w:rsid w:val="00024D13"/>
    <w:rsid w:val="000256C1"/>
    <w:rsid w:val="00025A22"/>
    <w:rsid w:val="000268F4"/>
    <w:rsid w:val="00026DDA"/>
    <w:rsid w:val="00027754"/>
    <w:rsid w:val="00027A81"/>
    <w:rsid w:val="00031539"/>
    <w:rsid w:val="00032534"/>
    <w:rsid w:val="000334DE"/>
    <w:rsid w:val="00036EE1"/>
    <w:rsid w:val="00037E5C"/>
    <w:rsid w:val="0004072D"/>
    <w:rsid w:val="000413F0"/>
    <w:rsid w:val="00041461"/>
    <w:rsid w:val="00041551"/>
    <w:rsid w:val="000419A6"/>
    <w:rsid w:val="000419EA"/>
    <w:rsid w:val="00041DBA"/>
    <w:rsid w:val="00041E30"/>
    <w:rsid w:val="00042F6B"/>
    <w:rsid w:val="000434E5"/>
    <w:rsid w:val="00043756"/>
    <w:rsid w:val="00043FA8"/>
    <w:rsid w:val="00045A59"/>
    <w:rsid w:val="00046122"/>
    <w:rsid w:val="00047BC6"/>
    <w:rsid w:val="00047DB0"/>
    <w:rsid w:val="000502C2"/>
    <w:rsid w:val="00051C56"/>
    <w:rsid w:val="000548F9"/>
    <w:rsid w:val="00054E89"/>
    <w:rsid w:val="00054FB9"/>
    <w:rsid w:val="000560A8"/>
    <w:rsid w:val="000604A9"/>
    <w:rsid w:val="00060A49"/>
    <w:rsid w:val="00060BD9"/>
    <w:rsid w:val="0006190A"/>
    <w:rsid w:val="00061C65"/>
    <w:rsid w:val="00063A65"/>
    <w:rsid w:val="00063E37"/>
    <w:rsid w:val="000642DF"/>
    <w:rsid w:val="000700C6"/>
    <w:rsid w:val="00071AB5"/>
    <w:rsid w:val="00072825"/>
    <w:rsid w:val="00073109"/>
    <w:rsid w:val="00074881"/>
    <w:rsid w:val="00075707"/>
    <w:rsid w:val="00081B5F"/>
    <w:rsid w:val="00081CB7"/>
    <w:rsid w:val="00081D18"/>
    <w:rsid w:val="00081E2D"/>
    <w:rsid w:val="00082424"/>
    <w:rsid w:val="000830EE"/>
    <w:rsid w:val="000836CE"/>
    <w:rsid w:val="0008390C"/>
    <w:rsid w:val="00084256"/>
    <w:rsid w:val="000844AF"/>
    <w:rsid w:val="00084732"/>
    <w:rsid w:val="00087080"/>
    <w:rsid w:val="00087D67"/>
    <w:rsid w:val="00091D19"/>
    <w:rsid w:val="00093BEC"/>
    <w:rsid w:val="000940BD"/>
    <w:rsid w:val="00094E8B"/>
    <w:rsid w:val="00095375"/>
    <w:rsid w:val="000969DE"/>
    <w:rsid w:val="00096F64"/>
    <w:rsid w:val="000A0554"/>
    <w:rsid w:val="000A09A7"/>
    <w:rsid w:val="000A1E5F"/>
    <w:rsid w:val="000A2121"/>
    <w:rsid w:val="000A2FA9"/>
    <w:rsid w:val="000A30B5"/>
    <w:rsid w:val="000A4D0A"/>
    <w:rsid w:val="000A6431"/>
    <w:rsid w:val="000A7332"/>
    <w:rsid w:val="000B0AD9"/>
    <w:rsid w:val="000B29F7"/>
    <w:rsid w:val="000B2EF4"/>
    <w:rsid w:val="000B5945"/>
    <w:rsid w:val="000B59FB"/>
    <w:rsid w:val="000B5B2E"/>
    <w:rsid w:val="000B6964"/>
    <w:rsid w:val="000C11F8"/>
    <w:rsid w:val="000C12C8"/>
    <w:rsid w:val="000C1FA0"/>
    <w:rsid w:val="000C2370"/>
    <w:rsid w:val="000C2CD4"/>
    <w:rsid w:val="000C3ACA"/>
    <w:rsid w:val="000C51CF"/>
    <w:rsid w:val="000C5995"/>
    <w:rsid w:val="000C6318"/>
    <w:rsid w:val="000C6D5A"/>
    <w:rsid w:val="000C6DDD"/>
    <w:rsid w:val="000C7AC6"/>
    <w:rsid w:val="000C7E2C"/>
    <w:rsid w:val="000D0197"/>
    <w:rsid w:val="000D0550"/>
    <w:rsid w:val="000D055A"/>
    <w:rsid w:val="000D11FC"/>
    <w:rsid w:val="000D134A"/>
    <w:rsid w:val="000D1B6F"/>
    <w:rsid w:val="000D3463"/>
    <w:rsid w:val="000D374B"/>
    <w:rsid w:val="000D5259"/>
    <w:rsid w:val="000D5CAA"/>
    <w:rsid w:val="000D61D3"/>
    <w:rsid w:val="000D696B"/>
    <w:rsid w:val="000D6E06"/>
    <w:rsid w:val="000D7161"/>
    <w:rsid w:val="000D7AC5"/>
    <w:rsid w:val="000E047A"/>
    <w:rsid w:val="000E1272"/>
    <w:rsid w:val="000E140C"/>
    <w:rsid w:val="000E2636"/>
    <w:rsid w:val="000E2CAB"/>
    <w:rsid w:val="000E2E73"/>
    <w:rsid w:val="000E2F92"/>
    <w:rsid w:val="000E5539"/>
    <w:rsid w:val="000E5614"/>
    <w:rsid w:val="000E6C99"/>
    <w:rsid w:val="000E6DD4"/>
    <w:rsid w:val="000E7E64"/>
    <w:rsid w:val="000E7EB7"/>
    <w:rsid w:val="000F0C27"/>
    <w:rsid w:val="000F2A2D"/>
    <w:rsid w:val="000F3CC2"/>
    <w:rsid w:val="000F4F02"/>
    <w:rsid w:val="000F5FB5"/>
    <w:rsid w:val="000F6053"/>
    <w:rsid w:val="000F7111"/>
    <w:rsid w:val="000F7523"/>
    <w:rsid w:val="000F7BCA"/>
    <w:rsid w:val="00101756"/>
    <w:rsid w:val="0010175E"/>
    <w:rsid w:val="00101A9B"/>
    <w:rsid w:val="00101F2A"/>
    <w:rsid w:val="00103AFF"/>
    <w:rsid w:val="00103FAB"/>
    <w:rsid w:val="00103FEC"/>
    <w:rsid w:val="0010437E"/>
    <w:rsid w:val="00104CC5"/>
    <w:rsid w:val="001065AC"/>
    <w:rsid w:val="001066FD"/>
    <w:rsid w:val="0010773F"/>
    <w:rsid w:val="0011066F"/>
    <w:rsid w:val="00110921"/>
    <w:rsid w:val="00112246"/>
    <w:rsid w:val="001123C6"/>
    <w:rsid w:val="00114F90"/>
    <w:rsid w:val="001157AC"/>
    <w:rsid w:val="0011662F"/>
    <w:rsid w:val="001172D8"/>
    <w:rsid w:val="00117603"/>
    <w:rsid w:val="00117A2D"/>
    <w:rsid w:val="00117BF7"/>
    <w:rsid w:val="00120403"/>
    <w:rsid w:val="00120B57"/>
    <w:rsid w:val="0012161E"/>
    <w:rsid w:val="00121EFE"/>
    <w:rsid w:val="00122530"/>
    <w:rsid w:val="00122BCB"/>
    <w:rsid w:val="0012434D"/>
    <w:rsid w:val="00125B5D"/>
    <w:rsid w:val="00125E73"/>
    <w:rsid w:val="00126687"/>
    <w:rsid w:val="001268DE"/>
    <w:rsid w:val="00130587"/>
    <w:rsid w:val="001361BC"/>
    <w:rsid w:val="00136B7D"/>
    <w:rsid w:val="00140325"/>
    <w:rsid w:val="001403A2"/>
    <w:rsid w:val="001410A3"/>
    <w:rsid w:val="001419B6"/>
    <w:rsid w:val="00141D84"/>
    <w:rsid w:val="00141F63"/>
    <w:rsid w:val="0014350B"/>
    <w:rsid w:val="001442CF"/>
    <w:rsid w:val="00144A7F"/>
    <w:rsid w:val="00145723"/>
    <w:rsid w:val="00146118"/>
    <w:rsid w:val="0014769B"/>
    <w:rsid w:val="00151D8F"/>
    <w:rsid w:val="001523C1"/>
    <w:rsid w:val="00152D44"/>
    <w:rsid w:val="001546D3"/>
    <w:rsid w:val="001552ED"/>
    <w:rsid w:val="00155357"/>
    <w:rsid w:val="00155FEC"/>
    <w:rsid w:val="00157EE6"/>
    <w:rsid w:val="00160494"/>
    <w:rsid w:val="00160786"/>
    <w:rsid w:val="0016333A"/>
    <w:rsid w:val="00163600"/>
    <w:rsid w:val="001636DE"/>
    <w:rsid w:val="001647F7"/>
    <w:rsid w:val="00165772"/>
    <w:rsid w:val="0016580B"/>
    <w:rsid w:val="00165FE8"/>
    <w:rsid w:val="00166441"/>
    <w:rsid w:val="001672AF"/>
    <w:rsid w:val="00170823"/>
    <w:rsid w:val="0017128F"/>
    <w:rsid w:val="00171B34"/>
    <w:rsid w:val="00172A06"/>
    <w:rsid w:val="00172F54"/>
    <w:rsid w:val="00173894"/>
    <w:rsid w:val="00173EFA"/>
    <w:rsid w:val="0017424F"/>
    <w:rsid w:val="00174839"/>
    <w:rsid w:val="001758B8"/>
    <w:rsid w:val="00176C9D"/>
    <w:rsid w:val="00180583"/>
    <w:rsid w:val="00181408"/>
    <w:rsid w:val="00181D8A"/>
    <w:rsid w:val="001826EA"/>
    <w:rsid w:val="00182AC9"/>
    <w:rsid w:val="00182ACC"/>
    <w:rsid w:val="0018300B"/>
    <w:rsid w:val="001836B7"/>
    <w:rsid w:val="00183912"/>
    <w:rsid w:val="00183C81"/>
    <w:rsid w:val="00185BE9"/>
    <w:rsid w:val="00187F45"/>
    <w:rsid w:val="00190195"/>
    <w:rsid w:val="00190A0F"/>
    <w:rsid w:val="00190A30"/>
    <w:rsid w:val="0019296F"/>
    <w:rsid w:val="001944E0"/>
    <w:rsid w:val="00194592"/>
    <w:rsid w:val="00197BFC"/>
    <w:rsid w:val="001A133E"/>
    <w:rsid w:val="001A1C2E"/>
    <w:rsid w:val="001A24AD"/>
    <w:rsid w:val="001A2B08"/>
    <w:rsid w:val="001A2B1C"/>
    <w:rsid w:val="001A307B"/>
    <w:rsid w:val="001A38CE"/>
    <w:rsid w:val="001A416D"/>
    <w:rsid w:val="001A6914"/>
    <w:rsid w:val="001B0090"/>
    <w:rsid w:val="001B0288"/>
    <w:rsid w:val="001B0DEA"/>
    <w:rsid w:val="001B192A"/>
    <w:rsid w:val="001B1AB9"/>
    <w:rsid w:val="001B2569"/>
    <w:rsid w:val="001B27D8"/>
    <w:rsid w:val="001B3167"/>
    <w:rsid w:val="001B3B74"/>
    <w:rsid w:val="001B3EA2"/>
    <w:rsid w:val="001B5099"/>
    <w:rsid w:val="001B6475"/>
    <w:rsid w:val="001B70FA"/>
    <w:rsid w:val="001B796D"/>
    <w:rsid w:val="001C0DE4"/>
    <w:rsid w:val="001C1135"/>
    <w:rsid w:val="001C160C"/>
    <w:rsid w:val="001C19F7"/>
    <w:rsid w:val="001C2725"/>
    <w:rsid w:val="001C2B25"/>
    <w:rsid w:val="001C329C"/>
    <w:rsid w:val="001C4BB0"/>
    <w:rsid w:val="001C6C77"/>
    <w:rsid w:val="001C756A"/>
    <w:rsid w:val="001C7F71"/>
    <w:rsid w:val="001D242F"/>
    <w:rsid w:val="001D2D0E"/>
    <w:rsid w:val="001D3069"/>
    <w:rsid w:val="001D48C2"/>
    <w:rsid w:val="001D603C"/>
    <w:rsid w:val="001E04A1"/>
    <w:rsid w:val="001E3595"/>
    <w:rsid w:val="001E3683"/>
    <w:rsid w:val="001E417E"/>
    <w:rsid w:val="001E4B85"/>
    <w:rsid w:val="001E5EBC"/>
    <w:rsid w:val="001E6C4E"/>
    <w:rsid w:val="001F0DDB"/>
    <w:rsid w:val="001F1108"/>
    <w:rsid w:val="001F19DB"/>
    <w:rsid w:val="001F3446"/>
    <w:rsid w:val="001F3722"/>
    <w:rsid w:val="001F4D49"/>
    <w:rsid w:val="001F4DA7"/>
    <w:rsid w:val="001F4FD5"/>
    <w:rsid w:val="001F59DB"/>
    <w:rsid w:val="001F696B"/>
    <w:rsid w:val="00200479"/>
    <w:rsid w:val="002006AA"/>
    <w:rsid w:val="00202B93"/>
    <w:rsid w:val="00202C9D"/>
    <w:rsid w:val="00203087"/>
    <w:rsid w:val="00203479"/>
    <w:rsid w:val="00203CC5"/>
    <w:rsid w:val="00204345"/>
    <w:rsid w:val="002060BD"/>
    <w:rsid w:val="00206689"/>
    <w:rsid w:val="00206CC3"/>
    <w:rsid w:val="0020713F"/>
    <w:rsid w:val="00210CCF"/>
    <w:rsid w:val="00211018"/>
    <w:rsid w:val="00216257"/>
    <w:rsid w:val="00216EDB"/>
    <w:rsid w:val="00216F19"/>
    <w:rsid w:val="002178BA"/>
    <w:rsid w:val="00220AAB"/>
    <w:rsid w:val="00221580"/>
    <w:rsid w:val="002217D1"/>
    <w:rsid w:val="002228BC"/>
    <w:rsid w:val="00222A0B"/>
    <w:rsid w:val="00224709"/>
    <w:rsid w:val="0022493E"/>
    <w:rsid w:val="00225412"/>
    <w:rsid w:val="0022605D"/>
    <w:rsid w:val="00226357"/>
    <w:rsid w:val="0022696D"/>
    <w:rsid w:val="00227752"/>
    <w:rsid w:val="002304F0"/>
    <w:rsid w:val="00230C96"/>
    <w:rsid w:val="00231EBF"/>
    <w:rsid w:val="00232295"/>
    <w:rsid w:val="00233CA1"/>
    <w:rsid w:val="0023403F"/>
    <w:rsid w:val="00235CD3"/>
    <w:rsid w:val="00235D46"/>
    <w:rsid w:val="00235FFF"/>
    <w:rsid w:val="002377A2"/>
    <w:rsid w:val="00237D00"/>
    <w:rsid w:val="002401BC"/>
    <w:rsid w:val="002405E9"/>
    <w:rsid w:val="002448F8"/>
    <w:rsid w:val="002463DE"/>
    <w:rsid w:val="002478A6"/>
    <w:rsid w:val="0025056D"/>
    <w:rsid w:val="002511A2"/>
    <w:rsid w:val="002516A7"/>
    <w:rsid w:val="002555C6"/>
    <w:rsid w:val="0025565F"/>
    <w:rsid w:val="002571EC"/>
    <w:rsid w:val="00257378"/>
    <w:rsid w:val="00260BD2"/>
    <w:rsid w:val="00260D67"/>
    <w:rsid w:val="00261CA8"/>
    <w:rsid w:val="00261D81"/>
    <w:rsid w:val="00265734"/>
    <w:rsid w:val="00267B49"/>
    <w:rsid w:val="00270DE0"/>
    <w:rsid w:val="00272354"/>
    <w:rsid w:val="00272CC7"/>
    <w:rsid w:val="00272CFF"/>
    <w:rsid w:val="00272E88"/>
    <w:rsid w:val="002748A1"/>
    <w:rsid w:val="0027525A"/>
    <w:rsid w:val="00275E96"/>
    <w:rsid w:val="002762F2"/>
    <w:rsid w:val="0027720C"/>
    <w:rsid w:val="00277E77"/>
    <w:rsid w:val="002825E9"/>
    <w:rsid w:val="00283E00"/>
    <w:rsid w:val="00284101"/>
    <w:rsid w:val="0028427E"/>
    <w:rsid w:val="0028469A"/>
    <w:rsid w:val="00286D9F"/>
    <w:rsid w:val="00286EE4"/>
    <w:rsid w:val="0028768D"/>
    <w:rsid w:val="00291791"/>
    <w:rsid w:val="002922AC"/>
    <w:rsid w:val="00293512"/>
    <w:rsid w:val="002949C2"/>
    <w:rsid w:val="00294DC7"/>
    <w:rsid w:val="00295946"/>
    <w:rsid w:val="0029687A"/>
    <w:rsid w:val="00297F0B"/>
    <w:rsid w:val="002A08A3"/>
    <w:rsid w:val="002A0DE8"/>
    <w:rsid w:val="002A1D5B"/>
    <w:rsid w:val="002A355E"/>
    <w:rsid w:val="002A49FE"/>
    <w:rsid w:val="002A5B8E"/>
    <w:rsid w:val="002A63FC"/>
    <w:rsid w:val="002A73DA"/>
    <w:rsid w:val="002A784D"/>
    <w:rsid w:val="002B0322"/>
    <w:rsid w:val="002B28C4"/>
    <w:rsid w:val="002B5E6D"/>
    <w:rsid w:val="002B6FDE"/>
    <w:rsid w:val="002B701C"/>
    <w:rsid w:val="002C01C6"/>
    <w:rsid w:val="002C05E6"/>
    <w:rsid w:val="002C0D26"/>
    <w:rsid w:val="002C25D2"/>
    <w:rsid w:val="002C2D51"/>
    <w:rsid w:val="002C2D6C"/>
    <w:rsid w:val="002C37BC"/>
    <w:rsid w:val="002C3949"/>
    <w:rsid w:val="002C51C9"/>
    <w:rsid w:val="002C5DEF"/>
    <w:rsid w:val="002C65B2"/>
    <w:rsid w:val="002C6BE3"/>
    <w:rsid w:val="002C7622"/>
    <w:rsid w:val="002C785C"/>
    <w:rsid w:val="002C7BC2"/>
    <w:rsid w:val="002D079B"/>
    <w:rsid w:val="002D0A1F"/>
    <w:rsid w:val="002D0DD1"/>
    <w:rsid w:val="002D1595"/>
    <w:rsid w:val="002D1E53"/>
    <w:rsid w:val="002D2578"/>
    <w:rsid w:val="002D3FA8"/>
    <w:rsid w:val="002D4062"/>
    <w:rsid w:val="002D5071"/>
    <w:rsid w:val="002D571B"/>
    <w:rsid w:val="002D6C2F"/>
    <w:rsid w:val="002D6F78"/>
    <w:rsid w:val="002E19EB"/>
    <w:rsid w:val="002E232B"/>
    <w:rsid w:val="002E4AB2"/>
    <w:rsid w:val="002E5A18"/>
    <w:rsid w:val="002E7C4C"/>
    <w:rsid w:val="002E7F0D"/>
    <w:rsid w:val="002F207B"/>
    <w:rsid w:val="002F4DC9"/>
    <w:rsid w:val="002F5661"/>
    <w:rsid w:val="002F5963"/>
    <w:rsid w:val="002F5A24"/>
    <w:rsid w:val="0030115B"/>
    <w:rsid w:val="00301184"/>
    <w:rsid w:val="003020B2"/>
    <w:rsid w:val="00302377"/>
    <w:rsid w:val="00302A8A"/>
    <w:rsid w:val="00302C8A"/>
    <w:rsid w:val="003042B7"/>
    <w:rsid w:val="0030444C"/>
    <w:rsid w:val="003100FD"/>
    <w:rsid w:val="00311ACE"/>
    <w:rsid w:val="00311F33"/>
    <w:rsid w:val="003120BF"/>
    <w:rsid w:val="00313517"/>
    <w:rsid w:val="00313530"/>
    <w:rsid w:val="00313C9F"/>
    <w:rsid w:val="003141B5"/>
    <w:rsid w:val="00314EEB"/>
    <w:rsid w:val="00315816"/>
    <w:rsid w:val="00316677"/>
    <w:rsid w:val="00320CDC"/>
    <w:rsid w:val="0032156E"/>
    <w:rsid w:val="00321A41"/>
    <w:rsid w:val="00321E5A"/>
    <w:rsid w:val="0032283E"/>
    <w:rsid w:val="00323243"/>
    <w:rsid w:val="00323FF6"/>
    <w:rsid w:val="00324054"/>
    <w:rsid w:val="003257CF"/>
    <w:rsid w:val="00326B8D"/>
    <w:rsid w:val="00330D80"/>
    <w:rsid w:val="00334B77"/>
    <w:rsid w:val="0033562B"/>
    <w:rsid w:val="003356C5"/>
    <w:rsid w:val="00336BCB"/>
    <w:rsid w:val="0034079B"/>
    <w:rsid w:val="0034139F"/>
    <w:rsid w:val="0034220A"/>
    <w:rsid w:val="00344AFF"/>
    <w:rsid w:val="00346544"/>
    <w:rsid w:val="00347782"/>
    <w:rsid w:val="0035090B"/>
    <w:rsid w:val="003513A0"/>
    <w:rsid w:val="003515BD"/>
    <w:rsid w:val="00352C18"/>
    <w:rsid w:val="003546EA"/>
    <w:rsid w:val="00354ABF"/>
    <w:rsid w:val="00355528"/>
    <w:rsid w:val="00355B4F"/>
    <w:rsid w:val="003570BB"/>
    <w:rsid w:val="003576F6"/>
    <w:rsid w:val="00357FF6"/>
    <w:rsid w:val="0036134D"/>
    <w:rsid w:val="0036141B"/>
    <w:rsid w:val="00361521"/>
    <w:rsid w:val="00361B6F"/>
    <w:rsid w:val="003622A0"/>
    <w:rsid w:val="0036267E"/>
    <w:rsid w:val="00363ACC"/>
    <w:rsid w:val="00363B02"/>
    <w:rsid w:val="00364599"/>
    <w:rsid w:val="00364E97"/>
    <w:rsid w:val="00365195"/>
    <w:rsid w:val="0036770F"/>
    <w:rsid w:val="00367E6C"/>
    <w:rsid w:val="00370063"/>
    <w:rsid w:val="00370640"/>
    <w:rsid w:val="00370E74"/>
    <w:rsid w:val="0037251A"/>
    <w:rsid w:val="00373A0A"/>
    <w:rsid w:val="003745D8"/>
    <w:rsid w:val="00375A91"/>
    <w:rsid w:val="00375F4D"/>
    <w:rsid w:val="003763D2"/>
    <w:rsid w:val="00376663"/>
    <w:rsid w:val="0038097D"/>
    <w:rsid w:val="0038263F"/>
    <w:rsid w:val="00382645"/>
    <w:rsid w:val="0038558E"/>
    <w:rsid w:val="00386F92"/>
    <w:rsid w:val="00387D5F"/>
    <w:rsid w:val="00387EB0"/>
    <w:rsid w:val="00390472"/>
    <w:rsid w:val="00391B6B"/>
    <w:rsid w:val="00393474"/>
    <w:rsid w:val="0039356D"/>
    <w:rsid w:val="00393B0B"/>
    <w:rsid w:val="00394302"/>
    <w:rsid w:val="0039467D"/>
    <w:rsid w:val="003948EE"/>
    <w:rsid w:val="003954F6"/>
    <w:rsid w:val="003975E7"/>
    <w:rsid w:val="0039786E"/>
    <w:rsid w:val="00397EEA"/>
    <w:rsid w:val="003A0A59"/>
    <w:rsid w:val="003A0E0F"/>
    <w:rsid w:val="003A1559"/>
    <w:rsid w:val="003A2A49"/>
    <w:rsid w:val="003A3324"/>
    <w:rsid w:val="003A5BE6"/>
    <w:rsid w:val="003A6763"/>
    <w:rsid w:val="003A74CA"/>
    <w:rsid w:val="003A7599"/>
    <w:rsid w:val="003A76D0"/>
    <w:rsid w:val="003A7AFE"/>
    <w:rsid w:val="003B14C9"/>
    <w:rsid w:val="003B17D3"/>
    <w:rsid w:val="003B23A2"/>
    <w:rsid w:val="003B3DAB"/>
    <w:rsid w:val="003B4DD4"/>
    <w:rsid w:val="003B5D80"/>
    <w:rsid w:val="003B7145"/>
    <w:rsid w:val="003B7D66"/>
    <w:rsid w:val="003C1125"/>
    <w:rsid w:val="003C12CA"/>
    <w:rsid w:val="003C283E"/>
    <w:rsid w:val="003C3234"/>
    <w:rsid w:val="003C3F0D"/>
    <w:rsid w:val="003C409E"/>
    <w:rsid w:val="003C5338"/>
    <w:rsid w:val="003C59F5"/>
    <w:rsid w:val="003C5F21"/>
    <w:rsid w:val="003C6658"/>
    <w:rsid w:val="003D1ED5"/>
    <w:rsid w:val="003D2F94"/>
    <w:rsid w:val="003D58F7"/>
    <w:rsid w:val="003D5AA4"/>
    <w:rsid w:val="003D5DC3"/>
    <w:rsid w:val="003D7F62"/>
    <w:rsid w:val="003E027F"/>
    <w:rsid w:val="003E1133"/>
    <w:rsid w:val="003E17A0"/>
    <w:rsid w:val="003E2CA4"/>
    <w:rsid w:val="003E3326"/>
    <w:rsid w:val="003E38DA"/>
    <w:rsid w:val="003E3E26"/>
    <w:rsid w:val="003E427F"/>
    <w:rsid w:val="003E4652"/>
    <w:rsid w:val="003E4E36"/>
    <w:rsid w:val="003E4F94"/>
    <w:rsid w:val="003E53BB"/>
    <w:rsid w:val="003E5A5F"/>
    <w:rsid w:val="003F0AE7"/>
    <w:rsid w:val="003F1D38"/>
    <w:rsid w:val="003F230C"/>
    <w:rsid w:val="003F65F3"/>
    <w:rsid w:val="003F68A0"/>
    <w:rsid w:val="003F7133"/>
    <w:rsid w:val="004002A4"/>
    <w:rsid w:val="004005DA"/>
    <w:rsid w:val="00400CDB"/>
    <w:rsid w:val="0040154F"/>
    <w:rsid w:val="004024B4"/>
    <w:rsid w:val="00403E79"/>
    <w:rsid w:val="004046DA"/>
    <w:rsid w:val="00404E1F"/>
    <w:rsid w:val="00405EF0"/>
    <w:rsid w:val="00407021"/>
    <w:rsid w:val="004077C6"/>
    <w:rsid w:val="00410209"/>
    <w:rsid w:val="0041174A"/>
    <w:rsid w:val="00412A4E"/>
    <w:rsid w:val="004136E4"/>
    <w:rsid w:val="00414178"/>
    <w:rsid w:val="00414962"/>
    <w:rsid w:val="00414D17"/>
    <w:rsid w:val="00415992"/>
    <w:rsid w:val="0041768F"/>
    <w:rsid w:val="00417C42"/>
    <w:rsid w:val="004205B4"/>
    <w:rsid w:val="00422F83"/>
    <w:rsid w:val="00423561"/>
    <w:rsid w:val="00423B75"/>
    <w:rsid w:val="0042422C"/>
    <w:rsid w:val="00425A3E"/>
    <w:rsid w:val="00425DE7"/>
    <w:rsid w:val="00426CF9"/>
    <w:rsid w:val="00426D74"/>
    <w:rsid w:val="00430B29"/>
    <w:rsid w:val="00431C53"/>
    <w:rsid w:val="00433BE1"/>
    <w:rsid w:val="004340CD"/>
    <w:rsid w:val="00434178"/>
    <w:rsid w:val="0043488A"/>
    <w:rsid w:val="0043534C"/>
    <w:rsid w:val="0043540C"/>
    <w:rsid w:val="0043550D"/>
    <w:rsid w:val="0043659C"/>
    <w:rsid w:val="004365C6"/>
    <w:rsid w:val="00436B59"/>
    <w:rsid w:val="00436F8F"/>
    <w:rsid w:val="004416E8"/>
    <w:rsid w:val="00442137"/>
    <w:rsid w:val="00443F01"/>
    <w:rsid w:val="00444018"/>
    <w:rsid w:val="00446F08"/>
    <w:rsid w:val="00447408"/>
    <w:rsid w:val="004478FA"/>
    <w:rsid w:val="004503A3"/>
    <w:rsid w:val="00450D06"/>
    <w:rsid w:val="004513EE"/>
    <w:rsid w:val="004514C3"/>
    <w:rsid w:val="004528DF"/>
    <w:rsid w:val="0045406E"/>
    <w:rsid w:val="004545FB"/>
    <w:rsid w:val="00454A68"/>
    <w:rsid w:val="0045557D"/>
    <w:rsid w:val="00455933"/>
    <w:rsid w:val="00457EC4"/>
    <w:rsid w:val="004604EF"/>
    <w:rsid w:val="00461231"/>
    <w:rsid w:val="00461407"/>
    <w:rsid w:val="00464D4C"/>
    <w:rsid w:val="00465489"/>
    <w:rsid w:val="00465B55"/>
    <w:rsid w:val="004665F5"/>
    <w:rsid w:val="00466B42"/>
    <w:rsid w:val="004674C8"/>
    <w:rsid w:val="0047009E"/>
    <w:rsid w:val="0047026A"/>
    <w:rsid w:val="00470966"/>
    <w:rsid w:val="00470B74"/>
    <w:rsid w:val="00471AF8"/>
    <w:rsid w:val="004737B9"/>
    <w:rsid w:val="0047457A"/>
    <w:rsid w:val="00475AC8"/>
    <w:rsid w:val="0047611C"/>
    <w:rsid w:val="00476322"/>
    <w:rsid w:val="00476AFC"/>
    <w:rsid w:val="0048046E"/>
    <w:rsid w:val="0048085F"/>
    <w:rsid w:val="004814AE"/>
    <w:rsid w:val="0048187D"/>
    <w:rsid w:val="00482777"/>
    <w:rsid w:val="0048289C"/>
    <w:rsid w:val="00483AE0"/>
    <w:rsid w:val="00485610"/>
    <w:rsid w:val="00487960"/>
    <w:rsid w:val="00487B63"/>
    <w:rsid w:val="00487FC3"/>
    <w:rsid w:val="004900D7"/>
    <w:rsid w:val="00490CC2"/>
    <w:rsid w:val="00491720"/>
    <w:rsid w:val="00492A12"/>
    <w:rsid w:val="00494A2C"/>
    <w:rsid w:val="004951EC"/>
    <w:rsid w:val="00496CCF"/>
    <w:rsid w:val="00497F01"/>
    <w:rsid w:val="004A0BCC"/>
    <w:rsid w:val="004A1299"/>
    <w:rsid w:val="004A28B2"/>
    <w:rsid w:val="004A322D"/>
    <w:rsid w:val="004A37E2"/>
    <w:rsid w:val="004A504B"/>
    <w:rsid w:val="004A5ED3"/>
    <w:rsid w:val="004B0AB9"/>
    <w:rsid w:val="004B0C3C"/>
    <w:rsid w:val="004B10FB"/>
    <w:rsid w:val="004B2B45"/>
    <w:rsid w:val="004B2D43"/>
    <w:rsid w:val="004B2FB5"/>
    <w:rsid w:val="004B4A8F"/>
    <w:rsid w:val="004B5240"/>
    <w:rsid w:val="004B7433"/>
    <w:rsid w:val="004B7468"/>
    <w:rsid w:val="004B79DB"/>
    <w:rsid w:val="004C0FE1"/>
    <w:rsid w:val="004C3012"/>
    <w:rsid w:val="004C30B2"/>
    <w:rsid w:val="004C40F1"/>
    <w:rsid w:val="004C46A7"/>
    <w:rsid w:val="004C5C0D"/>
    <w:rsid w:val="004D01C3"/>
    <w:rsid w:val="004D0C6C"/>
    <w:rsid w:val="004D1A51"/>
    <w:rsid w:val="004D4010"/>
    <w:rsid w:val="004D503D"/>
    <w:rsid w:val="004E0281"/>
    <w:rsid w:val="004E0BD7"/>
    <w:rsid w:val="004E0FF3"/>
    <w:rsid w:val="004E25E2"/>
    <w:rsid w:val="004E5CD2"/>
    <w:rsid w:val="004E5EC7"/>
    <w:rsid w:val="004E6EEA"/>
    <w:rsid w:val="004E7E5A"/>
    <w:rsid w:val="004F0254"/>
    <w:rsid w:val="004F02BA"/>
    <w:rsid w:val="004F1CDF"/>
    <w:rsid w:val="004F28BB"/>
    <w:rsid w:val="004F4FBB"/>
    <w:rsid w:val="004F59F4"/>
    <w:rsid w:val="004F6EC5"/>
    <w:rsid w:val="004F7277"/>
    <w:rsid w:val="005001A1"/>
    <w:rsid w:val="0050207B"/>
    <w:rsid w:val="0050221A"/>
    <w:rsid w:val="00504C01"/>
    <w:rsid w:val="005057E2"/>
    <w:rsid w:val="00505B00"/>
    <w:rsid w:val="00506701"/>
    <w:rsid w:val="0051022F"/>
    <w:rsid w:val="0051037A"/>
    <w:rsid w:val="00511A58"/>
    <w:rsid w:val="00512CA8"/>
    <w:rsid w:val="00513031"/>
    <w:rsid w:val="00513167"/>
    <w:rsid w:val="00515786"/>
    <w:rsid w:val="005164CC"/>
    <w:rsid w:val="00516591"/>
    <w:rsid w:val="00517E99"/>
    <w:rsid w:val="0052067B"/>
    <w:rsid w:val="005206EC"/>
    <w:rsid w:val="00520D51"/>
    <w:rsid w:val="00521E0B"/>
    <w:rsid w:val="0052215F"/>
    <w:rsid w:val="005241F9"/>
    <w:rsid w:val="00524C12"/>
    <w:rsid w:val="0052583E"/>
    <w:rsid w:val="00525F3A"/>
    <w:rsid w:val="005266F7"/>
    <w:rsid w:val="00526B33"/>
    <w:rsid w:val="005326D4"/>
    <w:rsid w:val="00533F14"/>
    <w:rsid w:val="00533FD1"/>
    <w:rsid w:val="005340B7"/>
    <w:rsid w:val="00534CDD"/>
    <w:rsid w:val="00535C8F"/>
    <w:rsid w:val="005368E6"/>
    <w:rsid w:val="00536987"/>
    <w:rsid w:val="00537F1B"/>
    <w:rsid w:val="00541B67"/>
    <w:rsid w:val="00542819"/>
    <w:rsid w:val="005430BF"/>
    <w:rsid w:val="005430C0"/>
    <w:rsid w:val="00546BC4"/>
    <w:rsid w:val="0054702C"/>
    <w:rsid w:val="0054722E"/>
    <w:rsid w:val="005476F2"/>
    <w:rsid w:val="00547881"/>
    <w:rsid w:val="00547B6B"/>
    <w:rsid w:val="005501AB"/>
    <w:rsid w:val="005548DA"/>
    <w:rsid w:val="005549C7"/>
    <w:rsid w:val="00555F6D"/>
    <w:rsid w:val="00556667"/>
    <w:rsid w:val="005567FE"/>
    <w:rsid w:val="00556A3A"/>
    <w:rsid w:val="00556F45"/>
    <w:rsid w:val="00557CF2"/>
    <w:rsid w:val="00557E23"/>
    <w:rsid w:val="0056208A"/>
    <w:rsid w:val="0056259B"/>
    <w:rsid w:val="00562658"/>
    <w:rsid w:val="0056543A"/>
    <w:rsid w:val="00565D9A"/>
    <w:rsid w:val="00566574"/>
    <w:rsid w:val="00566A53"/>
    <w:rsid w:val="00570D76"/>
    <w:rsid w:val="00570DDE"/>
    <w:rsid w:val="0057256D"/>
    <w:rsid w:val="0057477B"/>
    <w:rsid w:val="0057482B"/>
    <w:rsid w:val="00575702"/>
    <w:rsid w:val="00577880"/>
    <w:rsid w:val="00577B7D"/>
    <w:rsid w:val="00577C08"/>
    <w:rsid w:val="00580161"/>
    <w:rsid w:val="00580DCF"/>
    <w:rsid w:val="005811BF"/>
    <w:rsid w:val="00583BC0"/>
    <w:rsid w:val="00583D81"/>
    <w:rsid w:val="0058452A"/>
    <w:rsid w:val="005848A7"/>
    <w:rsid w:val="00585212"/>
    <w:rsid w:val="00585715"/>
    <w:rsid w:val="00586548"/>
    <w:rsid w:val="0058696B"/>
    <w:rsid w:val="00586D5B"/>
    <w:rsid w:val="00587668"/>
    <w:rsid w:val="00591652"/>
    <w:rsid w:val="00591798"/>
    <w:rsid w:val="005921E4"/>
    <w:rsid w:val="00592C6C"/>
    <w:rsid w:val="005943AC"/>
    <w:rsid w:val="0059683F"/>
    <w:rsid w:val="0059736C"/>
    <w:rsid w:val="005974B2"/>
    <w:rsid w:val="00597EF4"/>
    <w:rsid w:val="00597F66"/>
    <w:rsid w:val="005A17F7"/>
    <w:rsid w:val="005A1B02"/>
    <w:rsid w:val="005A2C5B"/>
    <w:rsid w:val="005A4008"/>
    <w:rsid w:val="005A535B"/>
    <w:rsid w:val="005B0277"/>
    <w:rsid w:val="005B04C8"/>
    <w:rsid w:val="005B1A8B"/>
    <w:rsid w:val="005B1D43"/>
    <w:rsid w:val="005B25F9"/>
    <w:rsid w:val="005B2963"/>
    <w:rsid w:val="005B2C22"/>
    <w:rsid w:val="005B33B5"/>
    <w:rsid w:val="005B5785"/>
    <w:rsid w:val="005B5BE1"/>
    <w:rsid w:val="005B5C22"/>
    <w:rsid w:val="005B77CE"/>
    <w:rsid w:val="005C01F5"/>
    <w:rsid w:val="005C0C21"/>
    <w:rsid w:val="005C3239"/>
    <w:rsid w:val="005C3452"/>
    <w:rsid w:val="005C66F6"/>
    <w:rsid w:val="005C6C53"/>
    <w:rsid w:val="005C6E48"/>
    <w:rsid w:val="005C7025"/>
    <w:rsid w:val="005C730F"/>
    <w:rsid w:val="005C7754"/>
    <w:rsid w:val="005C7758"/>
    <w:rsid w:val="005C799D"/>
    <w:rsid w:val="005C7B7F"/>
    <w:rsid w:val="005D0A72"/>
    <w:rsid w:val="005D1458"/>
    <w:rsid w:val="005D1B31"/>
    <w:rsid w:val="005D2324"/>
    <w:rsid w:val="005D3220"/>
    <w:rsid w:val="005D35EC"/>
    <w:rsid w:val="005D6593"/>
    <w:rsid w:val="005D788A"/>
    <w:rsid w:val="005E119F"/>
    <w:rsid w:val="005E1456"/>
    <w:rsid w:val="005E1FD3"/>
    <w:rsid w:val="005E33F4"/>
    <w:rsid w:val="005E4D45"/>
    <w:rsid w:val="005E51DC"/>
    <w:rsid w:val="005E53D3"/>
    <w:rsid w:val="005E58F8"/>
    <w:rsid w:val="005E5BE6"/>
    <w:rsid w:val="005E62AB"/>
    <w:rsid w:val="005E63EB"/>
    <w:rsid w:val="005E78DD"/>
    <w:rsid w:val="005F1B1C"/>
    <w:rsid w:val="005F2AC7"/>
    <w:rsid w:val="005F3724"/>
    <w:rsid w:val="005F5AA4"/>
    <w:rsid w:val="005F6D82"/>
    <w:rsid w:val="005F7115"/>
    <w:rsid w:val="00601FCC"/>
    <w:rsid w:val="00602531"/>
    <w:rsid w:val="00602B98"/>
    <w:rsid w:val="006048EB"/>
    <w:rsid w:val="0060516A"/>
    <w:rsid w:val="006107B3"/>
    <w:rsid w:val="006109F9"/>
    <w:rsid w:val="0061263E"/>
    <w:rsid w:val="006135B8"/>
    <w:rsid w:val="00613A25"/>
    <w:rsid w:val="00614C72"/>
    <w:rsid w:val="00615DEB"/>
    <w:rsid w:val="00615EDF"/>
    <w:rsid w:val="006161E7"/>
    <w:rsid w:val="00616ED0"/>
    <w:rsid w:val="00617552"/>
    <w:rsid w:val="0062176C"/>
    <w:rsid w:val="00621B94"/>
    <w:rsid w:val="00621D3C"/>
    <w:rsid w:val="006227C2"/>
    <w:rsid w:val="0062349E"/>
    <w:rsid w:val="006239F6"/>
    <w:rsid w:val="0062753A"/>
    <w:rsid w:val="0062757C"/>
    <w:rsid w:val="006301DA"/>
    <w:rsid w:val="00630E62"/>
    <w:rsid w:val="00630FF7"/>
    <w:rsid w:val="00631BE9"/>
    <w:rsid w:val="00631FDC"/>
    <w:rsid w:val="0063482E"/>
    <w:rsid w:val="00634FF9"/>
    <w:rsid w:val="006351F7"/>
    <w:rsid w:val="00635912"/>
    <w:rsid w:val="00635E6D"/>
    <w:rsid w:val="00635F1B"/>
    <w:rsid w:val="0063658D"/>
    <w:rsid w:val="00636B06"/>
    <w:rsid w:val="00636EF2"/>
    <w:rsid w:val="0063703A"/>
    <w:rsid w:val="00637D04"/>
    <w:rsid w:val="00640121"/>
    <w:rsid w:val="0064052B"/>
    <w:rsid w:val="006419ED"/>
    <w:rsid w:val="006437CD"/>
    <w:rsid w:val="0064403F"/>
    <w:rsid w:val="00647308"/>
    <w:rsid w:val="006474A4"/>
    <w:rsid w:val="006474BF"/>
    <w:rsid w:val="00647523"/>
    <w:rsid w:val="00647EF2"/>
    <w:rsid w:val="006506B5"/>
    <w:rsid w:val="006509FD"/>
    <w:rsid w:val="00651330"/>
    <w:rsid w:val="00651F3E"/>
    <w:rsid w:val="006522F7"/>
    <w:rsid w:val="00652ABE"/>
    <w:rsid w:val="00652C8F"/>
    <w:rsid w:val="00654DD4"/>
    <w:rsid w:val="00657AD9"/>
    <w:rsid w:val="00657DF8"/>
    <w:rsid w:val="00660E6F"/>
    <w:rsid w:val="006612BD"/>
    <w:rsid w:val="00661940"/>
    <w:rsid w:val="00661995"/>
    <w:rsid w:val="0066282E"/>
    <w:rsid w:val="00662F24"/>
    <w:rsid w:val="00663587"/>
    <w:rsid w:val="00663E19"/>
    <w:rsid w:val="00664A9A"/>
    <w:rsid w:val="006663A8"/>
    <w:rsid w:val="00666AE2"/>
    <w:rsid w:val="00666CA2"/>
    <w:rsid w:val="006671FD"/>
    <w:rsid w:val="006703DC"/>
    <w:rsid w:val="00670EE4"/>
    <w:rsid w:val="00672399"/>
    <w:rsid w:val="006731DD"/>
    <w:rsid w:val="006735D8"/>
    <w:rsid w:val="00673DAB"/>
    <w:rsid w:val="006748D0"/>
    <w:rsid w:val="00674A13"/>
    <w:rsid w:val="00674E16"/>
    <w:rsid w:val="00675CBF"/>
    <w:rsid w:val="006760F3"/>
    <w:rsid w:val="00676A5A"/>
    <w:rsid w:val="00676C16"/>
    <w:rsid w:val="00676E74"/>
    <w:rsid w:val="0067747C"/>
    <w:rsid w:val="00680F14"/>
    <w:rsid w:val="006813B7"/>
    <w:rsid w:val="00682055"/>
    <w:rsid w:val="006835E2"/>
    <w:rsid w:val="00684CF4"/>
    <w:rsid w:val="00685B06"/>
    <w:rsid w:val="00686684"/>
    <w:rsid w:val="006869DA"/>
    <w:rsid w:val="00686FAC"/>
    <w:rsid w:val="00686FB5"/>
    <w:rsid w:val="00687CE1"/>
    <w:rsid w:val="00690261"/>
    <w:rsid w:val="00692BBD"/>
    <w:rsid w:val="006932A4"/>
    <w:rsid w:val="00693ABB"/>
    <w:rsid w:val="00693FD5"/>
    <w:rsid w:val="0069526D"/>
    <w:rsid w:val="006956BD"/>
    <w:rsid w:val="006A0475"/>
    <w:rsid w:val="006A0747"/>
    <w:rsid w:val="006A0B98"/>
    <w:rsid w:val="006A0C9A"/>
    <w:rsid w:val="006A19E2"/>
    <w:rsid w:val="006A23EA"/>
    <w:rsid w:val="006A30C2"/>
    <w:rsid w:val="006A3AD1"/>
    <w:rsid w:val="006A4091"/>
    <w:rsid w:val="006A488D"/>
    <w:rsid w:val="006A51D0"/>
    <w:rsid w:val="006A6D43"/>
    <w:rsid w:val="006B04A8"/>
    <w:rsid w:val="006B05A8"/>
    <w:rsid w:val="006B17BC"/>
    <w:rsid w:val="006B2D97"/>
    <w:rsid w:val="006B33B6"/>
    <w:rsid w:val="006B4024"/>
    <w:rsid w:val="006B43F9"/>
    <w:rsid w:val="006B45A1"/>
    <w:rsid w:val="006B5CD5"/>
    <w:rsid w:val="006B690D"/>
    <w:rsid w:val="006B6AA8"/>
    <w:rsid w:val="006B7233"/>
    <w:rsid w:val="006B7FBC"/>
    <w:rsid w:val="006C06CF"/>
    <w:rsid w:val="006C0AFF"/>
    <w:rsid w:val="006C205D"/>
    <w:rsid w:val="006C479D"/>
    <w:rsid w:val="006C480F"/>
    <w:rsid w:val="006C48FD"/>
    <w:rsid w:val="006C5938"/>
    <w:rsid w:val="006C5B38"/>
    <w:rsid w:val="006C6579"/>
    <w:rsid w:val="006D0929"/>
    <w:rsid w:val="006D0D1E"/>
    <w:rsid w:val="006D13D7"/>
    <w:rsid w:val="006D158F"/>
    <w:rsid w:val="006D171B"/>
    <w:rsid w:val="006D18C6"/>
    <w:rsid w:val="006D3C08"/>
    <w:rsid w:val="006D3E11"/>
    <w:rsid w:val="006D418D"/>
    <w:rsid w:val="006D4D13"/>
    <w:rsid w:val="006D5EB4"/>
    <w:rsid w:val="006D6845"/>
    <w:rsid w:val="006D77BC"/>
    <w:rsid w:val="006E0229"/>
    <w:rsid w:val="006E18D1"/>
    <w:rsid w:val="006E1C0D"/>
    <w:rsid w:val="006E1CDE"/>
    <w:rsid w:val="006E238D"/>
    <w:rsid w:val="006E240F"/>
    <w:rsid w:val="006E2A98"/>
    <w:rsid w:val="006E2DBD"/>
    <w:rsid w:val="006E3E9F"/>
    <w:rsid w:val="006E4308"/>
    <w:rsid w:val="006E4C47"/>
    <w:rsid w:val="006E5BCD"/>
    <w:rsid w:val="006F0DF8"/>
    <w:rsid w:val="006F211F"/>
    <w:rsid w:val="006F249C"/>
    <w:rsid w:val="006F29F3"/>
    <w:rsid w:val="006F2FE6"/>
    <w:rsid w:val="006F6D1A"/>
    <w:rsid w:val="007000E2"/>
    <w:rsid w:val="00702981"/>
    <w:rsid w:val="00702DC4"/>
    <w:rsid w:val="00704760"/>
    <w:rsid w:val="00705267"/>
    <w:rsid w:val="00705B61"/>
    <w:rsid w:val="00705F12"/>
    <w:rsid w:val="00706D3C"/>
    <w:rsid w:val="00707422"/>
    <w:rsid w:val="007113B1"/>
    <w:rsid w:val="00711558"/>
    <w:rsid w:val="00711828"/>
    <w:rsid w:val="00711B05"/>
    <w:rsid w:val="00711BDA"/>
    <w:rsid w:val="00713233"/>
    <w:rsid w:val="00713289"/>
    <w:rsid w:val="007133C5"/>
    <w:rsid w:val="007167AF"/>
    <w:rsid w:val="00716896"/>
    <w:rsid w:val="00716EBA"/>
    <w:rsid w:val="00720B1E"/>
    <w:rsid w:val="00721603"/>
    <w:rsid w:val="00722A71"/>
    <w:rsid w:val="00723490"/>
    <w:rsid w:val="00723516"/>
    <w:rsid w:val="0072412D"/>
    <w:rsid w:val="00724A3D"/>
    <w:rsid w:val="007253E6"/>
    <w:rsid w:val="00726080"/>
    <w:rsid w:val="00726A7E"/>
    <w:rsid w:val="00731A2E"/>
    <w:rsid w:val="00731DBD"/>
    <w:rsid w:val="007330B4"/>
    <w:rsid w:val="00734719"/>
    <w:rsid w:val="007347E1"/>
    <w:rsid w:val="00734A5A"/>
    <w:rsid w:val="00734DD4"/>
    <w:rsid w:val="00735229"/>
    <w:rsid w:val="00736B07"/>
    <w:rsid w:val="00737DD8"/>
    <w:rsid w:val="00740244"/>
    <w:rsid w:val="0074078C"/>
    <w:rsid w:val="00741178"/>
    <w:rsid w:val="00741E50"/>
    <w:rsid w:val="00743B81"/>
    <w:rsid w:val="00743DC1"/>
    <w:rsid w:val="00745031"/>
    <w:rsid w:val="00745CB2"/>
    <w:rsid w:val="00745EF0"/>
    <w:rsid w:val="007466CF"/>
    <w:rsid w:val="0074670A"/>
    <w:rsid w:val="00747118"/>
    <w:rsid w:val="007474EE"/>
    <w:rsid w:val="00750712"/>
    <w:rsid w:val="00751441"/>
    <w:rsid w:val="00751A6D"/>
    <w:rsid w:val="007532E6"/>
    <w:rsid w:val="007535B0"/>
    <w:rsid w:val="0075389B"/>
    <w:rsid w:val="007540F9"/>
    <w:rsid w:val="00761F95"/>
    <w:rsid w:val="00762760"/>
    <w:rsid w:val="007628DB"/>
    <w:rsid w:val="007629A5"/>
    <w:rsid w:val="00762C78"/>
    <w:rsid w:val="00762F0E"/>
    <w:rsid w:val="007637C9"/>
    <w:rsid w:val="007639CA"/>
    <w:rsid w:val="00763A4E"/>
    <w:rsid w:val="00763ED1"/>
    <w:rsid w:val="007646DF"/>
    <w:rsid w:val="0076485F"/>
    <w:rsid w:val="00764C97"/>
    <w:rsid w:val="0076543A"/>
    <w:rsid w:val="00767626"/>
    <w:rsid w:val="00767B69"/>
    <w:rsid w:val="00767CB4"/>
    <w:rsid w:val="00767D95"/>
    <w:rsid w:val="00767E6B"/>
    <w:rsid w:val="00767EA1"/>
    <w:rsid w:val="00770A98"/>
    <w:rsid w:val="00771267"/>
    <w:rsid w:val="00771ACC"/>
    <w:rsid w:val="007725EF"/>
    <w:rsid w:val="00772CDA"/>
    <w:rsid w:val="007731F5"/>
    <w:rsid w:val="00773443"/>
    <w:rsid w:val="00775247"/>
    <w:rsid w:val="00777852"/>
    <w:rsid w:val="00777C07"/>
    <w:rsid w:val="007800C4"/>
    <w:rsid w:val="00781C4C"/>
    <w:rsid w:val="00781FE2"/>
    <w:rsid w:val="0078250D"/>
    <w:rsid w:val="0078263D"/>
    <w:rsid w:val="00783624"/>
    <w:rsid w:val="00783B6C"/>
    <w:rsid w:val="00785094"/>
    <w:rsid w:val="00785671"/>
    <w:rsid w:val="00785F97"/>
    <w:rsid w:val="0078653F"/>
    <w:rsid w:val="00786E69"/>
    <w:rsid w:val="00787185"/>
    <w:rsid w:val="007874EE"/>
    <w:rsid w:val="007877EE"/>
    <w:rsid w:val="0079119C"/>
    <w:rsid w:val="00791328"/>
    <w:rsid w:val="00791824"/>
    <w:rsid w:val="0079182C"/>
    <w:rsid w:val="00791B3E"/>
    <w:rsid w:val="00792194"/>
    <w:rsid w:val="00793F8E"/>
    <w:rsid w:val="00794196"/>
    <w:rsid w:val="00794F5C"/>
    <w:rsid w:val="00795866"/>
    <w:rsid w:val="00795DE1"/>
    <w:rsid w:val="00797965"/>
    <w:rsid w:val="007A0E20"/>
    <w:rsid w:val="007A1635"/>
    <w:rsid w:val="007A170B"/>
    <w:rsid w:val="007A1769"/>
    <w:rsid w:val="007A1AEC"/>
    <w:rsid w:val="007A1E06"/>
    <w:rsid w:val="007A35C5"/>
    <w:rsid w:val="007A37AE"/>
    <w:rsid w:val="007A4D09"/>
    <w:rsid w:val="007A5346"/>
    <w:rsid w:val="007A5722"/>
    <w:rsid w:val="007B0563"/>
    <w:rsid w:val="007B05A4"/>
    <w:rsid w:val="007B0C3E"/>
    <w:rsid w:val="007B1DF7"/>
    <w:rsid w:val="007B28CB"/>
    <w:rsid w:val="007B30E4"/>
    <w:rsid w:val="007B32A2"/>
    <w:rsid w:val="007B42EF"/>
    <w:rsid w:val="007B53C7"/>
    <w:rsid w:val="007B67DF"/>
    <w:rsid w:val="007B7EB9"/>
    <w:rsid w:val="007C0855"/>
    <w:rsid w:val="007C238F"/>
    <w:rsid w:val="007C2DBB"/>
    <w:rsid w:val="007C3477"/>
    <w:rsid w:val="007C43DB"/>
    <w:rsid w:val="007C5D6E"/>
    <w:rsid w:val="007C5E4B"/>
    <w:rsid w:val="007C69B0"/>
    <w:rsid w:val="007C6CCE"/>
    <w:rsid w:val="007C6FBC"/>
    <w:rsid w:val="007C71E9"/>
    <w:rsid w:val="007C766A"/>
    <w:rsid w:val="007C799B"/>
    <w:rsid w:val="007D1214"/>
    <w:rsid w:val="007D1892"/>
    <w:rsid w:val="007D1993"/>
    <w:rsid w:val="007D25D1"/>
    <w:rsid w:val="007D2EEC"/>
    <w:rsid w:val="007D4CEC"/>
    <w:rsid w:val="007D57D8"/>
    <w:rsid w:val="007D6038"/>
    <w:rsid w:val="007D67C7"/>
    <w:rsid w:val="007E016F"/>
    <w:rsid w:val="007E023D"/>
    <w:rsid w:val="007E061C"/>
    <w:rsid w:val="007E073C"/>
    <w:rsid w:val="007E0E73"/>
    <w:rsid w:val="007E1A2E"/>
    <w:rsid w:val="007E1D15"/>
    <w:rsid w:val="007E23BE"/>
    <w:rsid w:val="007E26D9"/>
    <w:rsid w:val="007E35B1"/>
    <w:rsid w:val="007E3C67"/>
    <w:rsid w:val="007E4999"/>
    <w:rsid w:val="007E59C4"/>
    <w:rsid w:val="007E62E0"/>
    <w:rsid w:val="007E7227"/>
    <w:rsid w:val="007F0432"/>
    <w:rsid w:val="007F0716"/>
    <w:rsid w:val="007F0B52"/>
    <w:rsid w:val="007F13C6"/>
    <w:rsid w:val="007F1632"/>
    <w:rsid w:val="007F2DFC"/>
    <w:rsid w:val="007F2F34"/>
    <w:rsid w:val="007F39E3"/>
    <w:rsid w:val="007F4543"/>
    <w:rsid w:val="007F676D"/>
    <w:rsid w:val="00800B8F"/>
    <w:rsid w:val="00803C29"/>
    <w:rsid w:val="008043E7"/>
    <w:rsid w:val="0080455C"/>
    <w:rsid w:val="008045DD"/>
    <w:rsid w:val="0080571E"/>
    <w:rsid w:val="0080653E"/>
    <w:rsid w:val="00807646"/>
    <w:rsid w:val="00810459"/>
    <w:rsid w:val="00814028"/>
    <w:rsid w:val="008143BB"/>
    <w:rsid w:val="0081440A"/>
    <w:rsid w:val="0081474C"/>
    <w:rsid w:val="008158A2"/>
    <w:rsid w:val="00815A3C"/>
    <w:rsid w:val="00815AEF"/>
    <w:rsid w:val="00815B02"/>
    <w:rsid w:val="00815C8B"/>
    <w:rsid w:val="008173F0"/>
    <w:rsid w:val="00820270"/>
    <w:rsid w:val="008207AA"/>
    <w:rsid w:val="00823EDB"/>
    <w:rsid w:val="008248AC"/>
    <w:rsid w:val="0082522A"/>
    <w:rsid w:val="00825E86"/>
    <w:rsid w:val="00826B4F"/>
    <w:rsid w:val="00831432"/>
    <w:rsid w:val="008314BA"/>
    <w:rsid w:val="008315C7"/>
    <w:rsid w:val="00831727"/>
    <w:rsid w:val="00831797"/>
    <w:rsid w:val="0083179E"/>
    <w:rsid w:val="00831E08"/>
    <w:rsid w:val="00831FFB"/>
    <w:rsid w:val="00833590"/>
    <w:rsid w:val="008336FD"/>
    <w:rsid w:val="0083389D"/>
    <w:rsid w:val="00833A2E"/>
    <w:rsid w:val="00833A79"/>
    <w:rsid w:val="00834C00"/>
    <w:rsid w:val="00834D07"/>
    <w:rsid w:val="00835B97"/>
    <w:rsid w:val="00835C55"/>
    <w:rsid w:val="008367E9"/>
    <w:rsid w:val="00836A22"/>
    <w:rsid w:val="008374CB"/>
    <w:rsid w:val="00837CFF"/>
    <w:rsid w:val="00840E14"/>
    <w:rsid w:val="00841E67"/>
    <w:rsid w:val="00841EE6"/>
    <w:rsid w:val="00842F94"/>
    <w:rsid w:val="00844004"/>
    <w:rsid w:val="00844300"/>
    <w:rsid w:val="0084476A"/>
    <w:rsid w:val="008449EB"/>
    <w:rsid w:val="00846E76"/>
    <w:rsid w:val="00847AFA"/>
    <w:rsid w:val="00847C80"/>
    <w:rsid w:val="00850299"/>
    <w:rsid w:val="00850311"/>
    <w:rsid w:val="00852A7D"/>
    <w:rsid w:val="00852C6A"/>
    <w:rsid w:val="008533D2"/>
    <w:rsid w:val="008536EE"/>
    <w:rsid w:val="00853A64"/>
    <w:rsid w:val="00854A97"/>
    <w:rsid w:val="00854C9F"/>
    <w:rsid w:val="00856EF8"/>
    <w:rsid w:val="00857528"/>
    <w:rsid w:val="00857636"/>
    <w:rsid w:val="00861724"/>
    <w:rsid w:val="00861E6D"/>
    <w:rsid w:val="0086257D"/>
    <w:rsid w:val="00863078"/>
    <w:rsid w:val="00863693"/>
    <w:rsid w:val="00865F44"/>
    <w:rsid w:val="0086696F"/>
    <w:rsid w:val="008678CA"/>
    <w:rsid w:val="00867F79"/>
    <w:rsid w:val="0087183F"/>
    <w:rsid w:val="00872014"/>
    <w:rsid w:val="008720CE"/>
    <w:rsid w:val="0087213C"/>
    <w:rsid w:val="00872A5C"/>
    <w:rsid w:val="0087321D"/>
    <w:rsid w:val="0087390A"/>
    <w:rsid w:val="00874612"/>
    <w:rsid w:val="00874B3B"/>
    <w:rsid w:val="008755EB"/>
    <w:rsid w:val="00876348"/>
    <w:rsid w:val="008775F7"/>
    <w:rsid w:val="00877ED4"/>
    <w:rsid w:val="00880110"/>
    <w:rsid w:val="00881435"/>
    <w:rsid w:val="00882117"/>
    <w:rsid w:val="00882C6D"/>
    <w:rsid w:val="00882DB5"/>
    <w:rsid w:val="0088323D"/>
    <w:rsid w:val="0088362A"/>
    <w:rsid w:val="00883D03"/>
    <w:rsid w:val="0088486A"/>
    <w:rsid w:val="00885202"/>
    <w:rsid w:val="0088784A"/>
    <w:rsid w:val="00887C34"/>
    <w:rsid w:val="00890382"/>
    <w:rsid w:val="0089207E"/>
    <w:rsid w:val="00892C8B"/>
    <w:rsid w:val="00892D58"/>
    <w:rsid w:val="00892ED4"/>
    <w:rsid w:val="008930C4"/>
    <w:rsid w:val="00893E50"/>
    <w:rsid w:val="00893F9C"/>
    <w:rsid w:val="0089470E"/>
    <w:rsid w:val="0089546A"/>
    <w:rsid w:val="00895FA8"/>
    <w:rsid w:val="008971AA"/>
    <w:rsid w:val="0089791C"/>
    <w:rsid w:val="008A0448"/>
    <w:rsid w:val="008A0499"/>
    <w:rsid w:val="008A1208"/>
    <w:rsid w:val="008A13BE"/>
    <w:rsid w:val="008A146A"/>
    <w:rsid w:val="008A21B4"/>
    <w:rsid w:val="008A2520"/>
    <w:rsid w:val="008A485D"/>
    <w:rsid w:val="008A4B69"/>
    <w:rsid w:val="008A5782"/>
    <w:rsid w:val="008A6116"/>
    <w:rsid w:val="008A6C8F"/>
    <w:rsid w:val="008A7389"/>
    <w:rsid w:val="008B2165"/>
    <w:rsid w:val="008B2C39"/>
    <w:rsid w:val="008B2ECB"/>
    <w:rsid w:val="008B4C62"/>
    <w:rsid w:val="008B4D93"/>
    <w:rsid w:val="008B4FEF"/>
    <w:rsid w:val="008B5258"/>
    <w:rsid w:val="008B72D0"/>
    <w:rsid w:val="008B7F36"/>
    <w:rsid w:val="008C108D"/>
    <w:rsid w:val="008C37A0"/>
    <w:rsid w:val="008C3859"/>
    <w:rsid w:val="008C3F0E"/>
    <w:rsid w:val="008C5566"/>
    <w:rsid w:val="008C698C"/>
    <w:rsid w:val="008C7330"/>
    <w:rsid w:val="008C75A3"/>
    <w:rsid w:val="008C783F"/>
    <w:rsid w:val="008D0232"/>
    <w:rsid w:val="008D1E98"/>
    <w:rsid w:val="008D262E"/>
    <w:rsid w:val="008D2FBE"/>
    <w:rsid w:val="008D3919"/>
    <w:rsid w:val="008D43E2"/>
    <w:rsid w:val="008D5AC5"/>
    <w:rsid w:val="008D63CD"/>
    <w:rsid w:val="008D66F0"/>
    <w:rsid w:val="008D6E82"/>
    <w:rsid w:val="008D70ED"/>
    <w:rsid w:val="008E2ADD"/>
    <w:rsid w:val="008E31E9"/>
    <w:rsid w:val="008E6C6C"/>
    <w:rsid w:val="008E720B"/>
    <w:rsid w:val="008E7D66"/>
    <w:rsid w:val="008E7EE2"/>
    <w:rsid w:val="008F0307"/>
    <w:rsid w:val="008F04E6"/>
    <w:rsid w:val="008F0828"/>
    <w:rsid w:val="008F0BBF"/>
    <w:rsid w:val="008F137D"/>
    <w:rsid w:val="008F17F7"/>
    <w:rsid w:val="008F300C"/>
    <w:rsid w:val="008F479E"/>
    <w:rsid w:val="008F5697"/>
    <w:rsid w:val="008F56ED"/>
    <w:rsid w:val="008F58F4"/>
    <w:rsid w:val="008F5D06"/>
    <w:rsid w:val="00900159"/>
    <w:rsid w:val="0090048A"/>
    <w:rsid w:val="009010ED"/>
    <w:rsid w:val="00901407"/>
    <w:rsid w:val="0090179B"/>
    <w:rsid w:val="009023C8"/>
    <w:rsid w:val="0090315B"/>
    <w:rsid w:val="00904ACF"/>
    <w:rsid w:val="009070A7"/>
    <w:rsid w:val="0091115F"/>
    <w:rsid w:val="00911824"/>
    <w:rsid w:val="00911A7C"/>
    <w:rsid w:val="00911D8D"/>
    <w:rsid w:val="00912AB2"/>
    <w:rsid w:val="0091312E"/>
    <w:rsid w:val="00913487"/>
    <w:rsid w:val="009136C5"/>
    <w:rsid w:val="0091431C"/>
    <w:rsid w:val="00914E3A"/>
    <w:rsid w:val="00915A3F"/>
    <w:rsid w:val="00916589"/>
    <w:rsid w:val="00916B2F"/>
    <w:rsid w:val="00920E11"/>
    <w:rsid w:val="0092141C"/>
    <w:rsid w:val="00921433"/>
    <w:rsid w:val="0092342F"/>
    <w:rsid w:val="00925513"/>
    <w:rsid w:val="0093049F"/>
    <w:rsid w:val="009307BC"/>
    <w:rsid w:val="00930907"/>
    <w:rsid w:val="00931E21"/>
    <w:rsid w:val="00932BF1"/>
    <w:rsid w:val="00932CAA"/>
    <w:rsid w:val="00932D06"/>
    <w:rsid w:val="00935062"/>
    <w:rsid w:val="0093673B"/>
    <w:rsid w:val="0093734D"/>
    <w:rsid w:val="0094047B"/>
    <w:rsid w:val="00943A47"/>
    <w:rsid w:val="00943D7A"/>
    <w:rsid w:val="00944579"/>
    <w:rsid w:val="009446C8"/>
    <w:rsid w:val="00945018"/>
    <w:rsid w:val="0094553C"/>
    <w:rsid w:val="00945889"/>
    <w:rsid w:val="00946508"/>
    <w:rsid w:val="0094660C"/>
    <w:rsid w:val="0094662F"/>
    <w:rsid w:val="00946E42"/>
    <w:rsid w:val="0094779C"/>
    <w:rsid w:val="009502B4"/>
    <w:rsid w:val="00950431"/>
    <w:rsid w:val="0095150B"/>
    <w:rsid w:val="00951D36"/>
    <w:rsid w:val="00952571"/>
    <w:rsid w:val="00953985"/>
    <w:rsid w:val="00953E6D"/>
    <w:rsid w:val="00954804"/>
    <w:rsid w:val="009556B5"/>
    <w:rsid w:val="00955A03"/>
    <w:rsid w:val="00955F0D"/>
    <w:rsid w:val="009571BD"/>
    <w:rsid w:val="00957243"/>
    <w:rsid w:val="00957DB1"/>
    <w:rsid w:val="0096051F"/>
    <w:rsid w:val="00960B15"/>
    <w:rsid w:val="00961514"/>
    <w:rsid w:val="009615BF"/>
    <w:rsid w:val="009621C8"/>
    <w:rsid w:val="00964187"/>
    <w:rsid w:val="009644AB"/>
    <w:rsid w:val="00964B49"/>
    <w:rsid w:val="00965281"/>
    <w:rsid w:val="00965BE7"/>
    <w:rsid w:val="00966065"/>
    <w:rsid w:val="0096635E"/>
    <w:rsid w:val="00967593"/>
    <w:rsid w:val="00971F87"/>
    <w:rsid w:val="0097289B"/>
    <w:rsid w:val="009736EE"/>
    <w:rsid w:val="0097402B"/>
    <w:rsid w:val="00974D93"/>
    <w:rsid w:val="00976054"/>
    <w:rsid w:val="00976652"/>
    <w:rsid w:val="00976CD1"/>
    <w:rsid w:val="00976F87"/>
    <w:rsid w:val="009826F2"/>
    <w:rsid w:val="0098380E"/>
    <w:rsid w:val="0098500F"/>
    <w:rsid w:val="00985188"/>
    <w:rsid w:val="00985E66"/>
    <w:rsid w:val="00986A77"/>
    <w:rsid w:val="00986D28"/>
    <w:rsid w:val="00986D87"/>
    <w:rsid w:val="00990239"/>
    <w:rsid w:val="00991017"/>
    <w:rsid w:val="009914F6"/>
    <w:rsid w:val="00992578"/>
    <w:rsid w:val="009929F0"/>
    <w:rsid w:val="00992E13"/>
    <w:rsid w:val="00993A8C"/>
    <w:rsid w:val="00994CE9"/>
    <w:rsid w:val="00995ACB"/>
    <w:rsid w:val="0099693A"/>
    <w:rsid w:val="00996CBE"/>
    <w:rsid w:val="009977D2"/>
    <w:rsid w:val="00997CAC"/>
    <w:rsid w:val="009A1316"/>
    <w:rsid w:val="009A135B"/>
    <w:rsid w:val="009A1715"/>
    <w:rsid w:val="009A1CF0"/>
    <w:rsid w:val="009A2C59"/>
    <w:rsid w:val="009A404E"/>
    <w:rsid w:val="009A621B"/>
    <w:rsid w:val="009A77C7"/>
    <w:rsid w:val="009A7AB8"/>
    <w:rsid w:val="009B0759"/>
    <w:rsid w:val="009B139B"/>
    <w:rsid w:val="009B152D"/>
    <w:rsid w:val="009B3C58"/>
    <w:rsid w:val="009B3D1B"/>
    <w:rsid w:val="009B6191"/>
    <w:rsid w:val="009B6C59"/>
    <w:rsid w:val="009B7C6D"/>
    <w:rsid w:val="009C1923"/>
    <w:rsid w:val="009C19CB"/>
    <w:rsid w:val="009C2B7D"/>
    <w:rsid w:val="009C359E"/>
    <w:rsid w:val="009C3F6C"/>
    <w:rsid w:val="009C46A1"/>
    <w:rsid w:val="009C47F4"/>
    <w:rsid w:val="009C4DA6"/>
    <w:rsid w:val="009C599D"/>
    <w:rsid w:val="009C7EC5"/>
    <w:rsid w:val="009D0244"/>
    <w:rsid w:val="009D0D22"/>
    <w:rsid w:val="009D21B6"/>
    <w:rsid w:val="009D2CDB"/>
    <w:rsid w:val="009D33E3"/>
    <w:rsid w:val="009D3D71"/>
    <w:rsid w:val="009D41E7"/>
    <w:rsid w:val="009D4351"/>
    <w:rsid w:val="009D4537"/>
    <w:rsid w:val="009D58C5"/>
    <w:rsid w:val="009D5A3A"/>
    <w:rsid w:val="009D5BC5"/>
    <w:rsid w:val="009D5CE0"/>
    <w:rsid w:val="009D6259"/>
    <w:rsid w:val="009D6F48"/>
    <w:rsid w:val="009D6FD8"/>
    <w:rsid w:val="009D79A9"/>
    <w:rsid w:val="009E0014"/>
    <w:rsid w:val="009E1A7E"/>
    <w:rsid w:val="009E1BB9"/>
    <w:rsid w:val="009E1E28"/>
    <w:rsid w:val="009E2D6A"/>
    <w:rsid w:val="009E2EA5"/>
    <w:rsid w:val="009E395F"/>
    <w:rsid w:val="009E3A3E"/>
    <w:rsid w:val="009E3C68"/>
    <w:rsid w:val="009E60DA"/>
    <w:rsid w:val="009E6127"/>
    <w:rsid w:val="009F0687"/>
    <w:rsid w:val="009F17B4"/>
    <w:rsid w:val="009F1B27"/>
    <w:rsid w:val="009F3B15"/>
    <w:rsid w:val="009F48C1"/>
    <w:rsid w:val="009F5ACF"/>
    <w:rsid w:val="009F6209"/>
    <w:rsid w:val="009F68E7"/>
    <w:rsid w:val="00A00A80"/>
    <w:rsid w:val="00A01560"/>
    <w:rsid w:val="00A0344A"/>
    <w:rsid w:val="00A04092"/>
    <w:rsid w:val="00A0454F"/>
    <w:rsid w:val="00A0456D"/>
    <w:rsid w:val="00A056E0"/>
    <w:rsid w:val="00A05E19"/>
    <w:rsid w:val="00A0679A"/>
    <w:rsid w:val="00A07324"/>
    <w:rsid w:val="00A07527"/>
    <w:rsid w:val="00A10212"/>
    <w:rsid w:val="00A1063C"/>
    <w:rsid w:val="00A10B58"/>
    <w:rsid w:val="00A10BB1"/>
    <w:rsid w:val="00A1183F"/>
    <w:rsid w:val="00A12A6C"/>
    <w:rsid w:val="00A146F5"/>
    <w:rsid w:val="00A1500B"/>
    <w:rsid w:val="00A173B2"/>
    <w:rsid w:val="00A17992"/>
    <w:rsid w:val="00A20382"/>
    <w:rsid w:val="00A208B0"/>
    <w:rsid w:val="00A2156E"/>
    <w:rsid w:val="00A21ABD"/>
    <w:rsid w:val="00A22A62"/>
    <w:rsid w:val="00A23CCF"/>
    <w:rsid w:val="00A24116"/>
    <w:rsid w:val="00A2682A"/>
    <w:rsid w:val="00A26C65"/>
    <w:rsid w:val="00A2767A"/>
    <w:rsid w:val="00A30970"/>
    <w:rsid w:val="00A32049"/>
    <w:rsid w:val="00A327A1"/>
    <w:rsid w:val="00A32DB5"/>
    <w:rsid w:val="00A33B2B"/>
    <w:rsid w:val="00A3414C"/>
    <w:rsid w:val="00A3443D"/>
    <w:rsid w:val="00A365A2"/>
    <w:rsid w:val="00A40333"/>
    <w:rsid w:val="00A41116"/>
    <w:rsid w:val="00A4133D"/>
    <w:rsid w:val="00A41442"/>
    <w:rsid w:val="00A42005"/>
    <w:rsid w:val="00A42257"/>
    <w:rsid w:val="00A4269B"/>
    <w:rsid w:val="00A42AAD"/>
    <w:rsid w:val="00A43592"/>
    <w:rsid w:val="00A439F4"/>
    <w:rsid w:val="00A453A4"/>
    <w:rsid w:val="00A460E7"/>
    <w:rsid w:val="00A467EC"/>
    <w:rsid w:val="00A50880"/>
    <w:rsid w:val="00A51CD3"/>
    <w:rsid w:val="00A53369"/>
    <w:rsid w:val="00A53FBD"/>
    <w:rsid w:val="00A5425D"/>
    <w:rsid w:val="00A55037"/>
    <w:rsid w:val="00A55C99"/>
    <w:rsid w:val="00A562CF"/>
    <w:rsid w:val="00A5679A"/>
    <w:rsid w:val="00A567C0"/>
    <w:rsid w:val="00A604C4"/>
    <w:rsid w:val="00A62B0F"/>
    <w:rsid w:val="00A63C34"/>
    <w:rsid w:val="00A64979"/>
    <w:rsid w:val="00A675E2"/>
    <w:rsid w:val="00A6782C"/>
    <w:rsid w:val="00A70F3D"/>
    <w:rsid w:val="00A70F87"/>
    <w:rsid w:val="00A7182D"/>
    <w:rsid w:val="00A71CD8"/>
    <w:rsid w:val="00A71E29"/>
    <w:rsid w:val="00A725FF"/>
    <w:rsid w:val="00A730DE"/>
    <w:rsid w:val="00A73A87"/>
    <w:rsid w:val="00A81018"/>
    <w:rsid w:val="00A815A8"/>
    <w:rsid w:val="00A8180E"/>
    <w:rsid w:val="00A86A36"/>
    <w:rsid w:val="00A91122"/>
    <w:rsid w:val="00A919B2"/>
    <w:rsid w:val="00A92668"/>
    <w:rsid w:val="00A92F13"/>
    <w:rsid w:val="00A93177"/>
    <w:rsid w:val="00A93465"/>
    <w:rsid w:val="00A9348E"/>
    <w:rsid w:val="00A944EC"/>
    <w:rsid w:val="00A96547"/>
    <w:rsid w:val="00AA0C25"/>
    <w:rsid w:val="00AA31CF"/>
    <w:rsid w:val="00AA3BBB"/>
    <w:rsid w:val="00AA4621"/>
    <w:rsid w:val="00AA4EC1"/>
    <w:rsid w:val="00AA54EF"/>
    <w:rsid w:val="00AA69DA"/>
    <w:rsid w:val="00AA6EED"/>
    <w:rsid w:val="00AA7456"/>
    <w:rsid w:val="00AA7830"/>
    <w:rsid w:val="00AA7872"/>
    <w:rsid w:val="00AA7FB6"/>
    <w:rsid w:val="00AB1554"/>
    <w:rsid w:val="00AB28C7"/>
    <w:rsid w:val="00AB28CF"/>
    <w:rsid w:val="00AB29B4"/>
    <w:rsid w:val="00AB2E45"/>
    <w:rsid w:val="00AB2E90"/>
    <w:rsid w:val="00AB33A9"/>
    <w:rsid w:val="00AB4150"/>
    <w:rsid w:val="00AB4EAC"/>
    <w:rsid w:val="00AB51A4"/>
    <w:rsid w:val="00AB52C9"/>
    <w:rsid w:val="00AB5C2F"/>
    <w:rsid w:val="00AB5E17"/>
    <w:rsid w:val="00AB5F1F"/>
    <w:rsid w:val="00AB6724"/>
    <w:rsid w:val="00AB6A95"/>
    <w:rsid w:val="00AB703C"/>
    <w:rsid w:val="00AB70C0"/>
    <w:rsid w:val="00AC07EA"/>
    <w:rsid w:val="00AC0B69"/>
    <w:rsid w:val="00AC0C27"/>
    <w:rsid w:val="00AC0ECE"/>
    <w:rsid w:val="00AC1077"/>
    <w:rsid w:val="00AC12FF"/>
    <w:rsid w:val="00AC16D6"/>
    <w:rsid w:val="00AC261D"/>
    <w:rsid w:val="00AC3CA8"/>
    <w:rsid w:val="00AC48C8"/>
    <w:rsid w:val="00AD27E4"/>
    <w:rsid w:val="00AD2BD0"/>
    <w:rsid w:val="00AD5BAF"/>
    <w:rsid w:val="00AD6CAC"/>
    <w:rsid w:val="00AD7AB7"/>
    <w:rsid w:val="00AE029F"/>
    <w:rsid w:val="00AE1D2F"/>
    <w:rsid w:val="00AE27D4"/>
    <w:rsid w:val="00AE2832"/>
    <w:rsid w:val="00AE6153"/>
    <w:rsid w:val="00AE6287"/>
    <w:rsid w:val="00AE6952"/>
    <w:rsid w:val="00AE6B63"/>
    <w:rsid w:val="00AF0946"/>
    <w:rsid w:val="00AF0C61"/>
    <w:rsid w:val="00AF0CD0"/>
    <w:rsid w:val="00AF0E89"/>
    <w:rsid w:val="00AF21E9"/>
    <w:rsid w:val="00AF25FE"/>
    <w:rsid w:val="00AF3982"/>
    <w:rsid w:val="00AF563E"/>
    <w:rsid w:val="00B000CF"/>
    <w:rsid w:val="00B01773"/>
    <w:rsid w:val="00B024CC"/>
    <w:rsid w:val="00B030F0"/>
    <w:rsid w:val="00B036AA"/>
    <w:rsid w:val="00B044BB"/>
    <w:rsid w:val="00B04EA1"/>
    <w:rsid w:val="00B04EF5"/>
    <w:rsid w:val="00B05AA1"/>
    <w:rsid w:val="00B10460"/>
    <w:rsid w:val="00B104B0"/>
    <w:rsid w:val="00B109AD"/>
    <w:rsid w:val="00B1147B"/>
    <w:rsid w:val="00B11903"/>
    <w:rsid w:val="00B119C4"/>
    <w:rsid w:val="00B11F32"/>
    <w:rsid w:val="00B134F0"/>
    <w:rsid w:val="00B13AEC"/>
    <w:rsid w:val="00B15E7B"/>
    <w:rsid w:val="00B15EE4"/>
    <w:rsid w:val="00B16FEF"/>
    <w:rsid w:val="00B2003D"/>
    <w:rsid w:val="00B20310"/>
    <w:rsid w:val="00B20B53"/>
    <w:rsid w:val="00B22075"/>
    <w:rsid w:val="00B22A20"/>
    <w:rsid w:val="00B22BD3"/>
    <w:rsid w:val="00B22CB0"/>
    <w:rsid w:val="00B234AD"/>
    <w:rsid w:val="00B235B3"/>
    <w:rsid w:val="00B25B6E"/>
    <w:rsid w:val="00B263D0"/>
    <w:rsid w:val="00B274A7"/>
    <w:rsid w:val="00B27ED8"/>
    <w:rsid w:val="00B30572"/>
    <w:rsid w:val="00B32591"/>
    <w:rsid w:val="00B33F40"/>
    <w:rsid w:val="00B3415D"/>
    <w:rsid w:val="00B35021"/>
    <w:rsid w:val="00B35323"/>
    <w:rsid w:val="00B35A63"/>
    <w:rsid w:val="00B364F7"/>
    <w:rsid w:val="00B37C83"/>
    <w:rsid w:val="00B37D2F"/>
    <w:rsid w:val="00B414BF"/>
    <w:rsid w:val="00B41760"/>
    <w:rsid w:val="00B42F1A"/>
    <w:rsid w:val="00B43ECD"/>
    <w:rsid w:val="00B44604"/>
    <w:rsid w:val="00B44B9A"/>
    <w:rsid w:val="00B4567E"/>
    <w:rsid w:val="00B47CB2"/>
    <w:rsid w:val="00B47F48"/>
    <w:rsid w:val="00B50643"/>
    <w:rsid w:val="00B50859"/>
    <w:rsid w:val="00B52DD1"/>
    <w:rsid w:val="00B5305A"/>
    <w:rsid w:val="00B539C1"/>
    <w:rsid w:val="00B56116"/>
    <w:rsid w:val="00B566C1"/>
    <w:rsid w:val="00B612B3"/>
    <w:rsid w:val="00B6149E"/>
    <w:rsid w:val="00B614A0"/>
    <w:rsid w:val="00B628E2"/>
    <w:rsid w:val="00B63208"/>
    <w:rsid w:val="00B633FF"/>
    <w:rsid w:val="00B6413C"/>
    <w:rsid w:val="00B6421B"/>
    <w:rsid w:val="00B65CB1"/>
    <w:rsid w:val="00B66983"/>
    <w:rsid w:val="00B676AB"/>
    <w:rsid w:val="00B71803"/>
    <w:rsid w:val="00B721BE"/>
    <w:rsid w:val="00B722DE"/>
    <w:rsid w:val="00B72D1F"/>
    <w:rsid w:val="00B72FEE"/>
    <w:rsid w:val="00B73D0B"/>
    <w:rsid w:val="00B750F3"/>
    <w:rsid w:val="00B758C9"/>
    <w:rsid w:val="00B76088"/>
    <w:rsid w:val="00B761A5"/>
    <w:rsid w:val="00B77340"/>
    <w:rsid w:val="00B777CC"/>
    <w:rsid w:val="00B80E56"/>
    <w:rsid w:val="00B82CCB"/>
    <w:rsid w:val="00B8485D"/>
    <w:rsid w:val="00B84951"/>
    <w:rsid w:val="00B85218"/>
    <w:rsid w:val="00B856CB"/>
    <w:rsid w:val="00B858A9"/>
    <w:rsid w:val="00B85C23"/>
    <w:rsid w:val="00B90371"/>
    <w:rsid w:val="00B915E8"/>
    <w:rsid w:val="00B93507"/>
    <w:rsid w:val="00B93E68"/>
    <w:rsid w:val="00B944FD"/>
    <w:rsid w:val="00B964B5"/>
    <w:rsid w:val="00B967B4"/>
    <w:rsid w:val="00B96A4F"/>
    <w:rsid w:val="00B972DE"/>
    <w:rsid w:val="00B9797A"/>
    <w:rsid w:val="00BA0087"/>
    <w:rsid w:val="00BA0676"/>
    <w:rsid w:val="00BA0DAD"/>
    <w:rsid w:val="00BA10BD"/>
    <w:rsid w:val="00BA124D"/>
    <w:rsid w:val="00BA15E6"/>
    <w:rsid w:val="00BA215F"/>
    <w:rsid w:val="00BA5A47"/>
    <w:rsid w:val="00BA5E8C"/>
    <w:rsid w:val="00BB0183"/>
    <w:rsid w:val="00BB221A"/>
    <w:rsid w:val="00BB2294"/>
    <w:rsid w:val="00BB2D78"/>
    <w:rsid w:val="00BB35C2"/>
    <w:rsid w:val="00BB3BAF"/>
    <w:rsid w:val="00BB3D0E"/>
    <w:rsid w:val="00BB4BCE"/>
    <w:rsid w:val="00BB5651"/>
    <w:rsid w:val="00BB6F56"/>
    <w:rsid w:val="00BC09FB"/>
    <w:rsid w:val="00BC0EAE"/>
    <w:rsid w:val="00BC1D1E"/>
    <w:rsid w:val="00BC1F8D"/>
    <w:rsid w:val="00BC2E2C"/>
    <w:rsid w:val="00BC42E0"/>
    <w:rsid w:val="00BC4788"/>
    <w:rsid w:val="00BC55A5"/>
    <w:rsid w:val="00BC5918"/>
    <w:rsid w:val="00BC646D"/>
    <w:rsid w:val="00BC70C3"/>
    <w:rsid w:val="00BC7128"/>
    <w:rsid w:val="00BD01A1"/>
    <w:rsid w:val="00BD084F"/>
    <w:rsid w:val="00BD1DE6"/>
    <w:rsid w:val="00BD2772"/>
    <w:rsid w:val="00BD2BC9"/>
    <w:rsid w:val="00BD5FB7"/>
    <w:rsid w:val="00BD6524"/>
    <w:rsid w:val="00BD7959"/>
    <w:rsid w:val="00BE02AE"/>
    <w:rsid w:val="00BE0BB8"/>
    <w:rsid w:val="00BE0D32"/>
    <w:rsid w:val="00BE1361"/>
    <w:rsid w:val="00BE18AB"/>
    <w:rsid w:val="00BE1F59"/>
    <w:rsid w:val="00BE39D6"/>
    <w:rsid w:val="00BE594D"/>
    <w:rsid w:val="00BE65B2"/>
    <w:rsid w:val="00BE68A1"/>
    <w:rsid w:val="00BE69FA"/>
    <w:rsid w:val="00BE7BF3"/>
    <w:rsid w:val="00BE7FF6"/>
    <w:rsid w:val="00BF1800"/>
    <w:rsid w:val="00BF1EA2"/>
    <w:rsid w:val="00BF3569"/>
    <w:rsid w:val="00BF3D63"/>
    <w:rsid w:val="00BF4032"/>
    <w:rsid w:val="00BF73DB"/>
    <w:rsid w:val="00BF74AD"/>
    <w:rsid w:val="00BF7A10"/>
    <w:rsid w:val="00C00F7A"/>
    <w:rsid w:val="00C01EB8"/>
    <w:rsid w:val="00C0296F"/>
    <w:rsid w:val="00C04304"/>
    <w:rsid w:val="00C0540A"/>
    <w:rsid w:val="00C07621"/>
    <w:rsid w:val="00C079E4"/>
    <w:rsid w:val="00C10EA4"/>
    <w:rsid w:val="00C13364"/>
    <w:rsid w:val="00C14AEE"/>
    <w:rsid w:val="00C1509D"/>
    <w:rsid w:val="00C165E0"/>
    <w:rsid w:val="00C17968"/>
    <w:rsid w:val="00C179C5"/>
    <w:rsid w:val="00C17F3E"/>
    <w:rsid w:val="00C20886"/>
    <w:rsid w:val="00C20B7D"/>
    <w:rsid w:val="00C21CDA"/>
    <w:rsid w:val="00C21D0B"/>
    <w:rsid w:val="00C220EE"/>
    <w:rsid w:val="00C22488"/>
    <w:rsid w:val="00C244B8"/>
    <w:rsid w:val="00C2465C"/>
    <w:rsid w:val="00C259DC"/>
    <w:rsid w:val="00C302F9"/>
    <w:rsid w:val="00C30652"/>
    <w:rsid w:val="00C30FD2"/>
    <w:rsid w:val="00C31703"/>
    <w:rsid w:val="00C31BC0"/>
    <w:rsid w:val="00C32D01"/>
    <w:rsid w:val="00C33575"/>
    <w:rsid w:val="00C3401C"/>
    <w:rsid w:val="00C36476"/>
    <w:rsid w:val="00C364C3"/>
    <w:rsid w:val="00C369FE"/>
    <w:rsid w:val="00C36F27"/>
    <w:rsid w:val="00C40444"/>
    <w:rsid w:val="00C405B7"/>
    <w:rsid w:val="00C415AE"/>
    <w:rsid w:val="00C41645"/>
    <w:rsid w:val="00C438E5"/>
    <w:rsid w:val="00C43DE1"/>
    <w:rsid w:val="00C442B5"/>
    <w:rsid w:val="00C45FB3"/>
    <w:rsid w:val="00C46736"/>
    <w:rsid w:val="00C46E3F"/>
    <w:rsid w:val="00C50B71"/>
    <w:rsid w:val="00C510D1"/>
    <w:rsid w:val="00C539E0"/>
    <w:rsid w:val="00C53D84"/>
    <w:rsid w:val="00C54624"/>
    <w:rsid w:val="00C54F6F"/>
    <w:rsid w:val="00C561F2"/>
    <w:rsid w:val="00C56B60"/>
    <w:rsid w:val="00C56EB4"/>
    <w:rsid w:val="00C57913"/>
    <w:rsid w:val="00C621E4"/>
    <w:rsid w:val="00C62818"/>
    <w:rsid w:val="00C62937"/>
    <w:rsid w:val="00C63B37"/>
    <w:rsid w:val="00C642CA"/>
    <w:rsid w:val="00C64F68"/>
    <w:rsid w:val="00C65931"/>
    <w:rsid w:val="00C6601F"/>
    <w:rsid w:val="00C6732F"/>
    <w:rsid w:val="00C702F8"/>
    <w:rsid w:val="00C70E59"/>
    <w:rsid w:val="00C713C6"/>
    <w:rsid w:val="00C72190"/>
    <w:rsid w:val="00C74447"/>
    <w:rsid w:val="00C74A0C"/>
    <w:rsid w:val="00C7523A"/>
    <w:rsid w:val="00C7717D"/>
    <w:rsid w:val="00C77C8C"/>
    <w:rsid w:val="00C80F0E"/>
    <w:rsid w:val="00C81120"/>
    <w:rsid w:val="00C82C18"/>
    <w:rsid w:val="00C8327B"/>
    <w:rsid w:val="00C8464E"/>
    <w:rsid w:val="00C84FF7"/>
    <w:rsid w:val="00C8799F"/>
    <w:rsid w:val="00C908F2"/>
    <w:rsid w:val="00C90989"/>
    <w:rsid w:val="00C90A3B"/>
    <w:rsid w:val="00C9184A"/>
    <w:rsid w:val="00C927BC"/>
    <w:rsid w:val="00C92AB8"/>
    <w:rsid w:val="00C92F9B"/>
    <w:rsid w:val="00C94771"/>
    <w:rsid w:val="00C96270"/>
    <w:rsid w:val="00C96AB9"/>
    <w:rsid w:val="00C97A4A"/>
    <w:rsid w:val="00CA1299"/>
    <w:rsid w:val="00CA1CAD"/>
    <w:rsid w:val="00CA231E"/>
    <w:rsid w:val="00CA2BD9"/>
    <w:rsid w:val="00CA5258"/>
    <w:rsid w:val="00CA5414"/>
    <w:rsid w:val="00CA5ED0"/>
    <w:rsid w:val="00CA621A"/>
    <w:rsid w:val="00CA7014"/>
    <w:rsid w:val="00CA7768"/>
    <w:rsid w:val="00CA7DE8"/>
    <w:rsid w:val="00CB3DAC"/>
    <w:rsid w:val="00CB3F0B"/>
    <w:rsid w:val="00CB4092"/>
    <w:rsid w:val="00CB49A9"/>
    <w:rsid w:val="00CB4A36"/>
    <w:rsid w:val="00CB642A"/>
    <w:rsid w:val="00CC0357"/>
    <w:rsid w:val="00CC04F1"/>
    <w:rsid w:val="00CC1F18"/>
    <w:rsid w:val="00CC2144"/>
    <w:rsid w:val="00CC22E7"/>
    <w:rsid w:val="00CC2C10"/>
    <w:rsid w:val="00CC6DC6"/>
    <w:rsid w:val="00CC75C5"/>
    <w:rsid w:val="00CC794D"/>
    <w:rsid w:val="00CD29B8"/>
    <w:rsid w:val="00CD2B3E"/>
    <w:rsid w:val="00CD360E"/>
    <w:rsid w:val="00CD4126"/>
    <w:rsid w:val="00CD4CF1"/>
    <w:rsid w:val="00CD4ED7"/>
    <w:rsid w:val="00CD4FEC"/>
    <w:rsid w:val="00CD513A"/>
    <w:rsid w:val="00CD6A38"/>
    <w:rsid w:val="00CD72F6"/>
    <w:rsid w:val="00CE1699"/>
    <w:rsid w:val="00CE1CF8"/>
    <w:rsid w:val="00CE24B6"/>
    <w:rsid w:val="00CE320C"/>
    <w:rsid w:val="00CE38A3"/>
    <w:rsid w:val="00CE43FE"/>
    <w:rsid w:val="00CE48F1"/>
    <w:rsid w:val="00CE502D"/>
    <w:rsid w:val="00CE6B33"/>
    <w:rsid w:val="00CE7055"/>
    <w:rsid w:val="00CE73D7"/>
    <w:rsid w:val="00CF0100"/>
    <w:rsid w:val="00CF1298"/>
    <w:rsid w:val="00CF21BC"/>
    <w:rsid w:val="00CF2989"/>
    <w:rsid w:val="00CF40FF"/>
    <w:rsid w:val="00CF4D90"/>
    <w:rsid w:val="00CF4DF7"/>
    <w:rsid w:val="00CF57F0"/>
    <w:rsid w:val="00CF6112"/>
    <w:rsid w:val="00CF6132"/>
    <w:rsid w:val="00CF69F3"/>
    <w:rsid w:val="00CF7937"/>
    <w:rsid w:val="00CF7F58"/>
    <w:rsid w:val="00D0102A"/>
    <w:rsid w:val="00D014C8"/>
    <w:rsid w:val="00D02733"/>
    <w:rsid w:val="00D02FC6"/>
    <w:rsid w:val="00D03014"/>
    <w:rsid w:val="00D034F2"/>
    <w:rsid w:val="00D036B2"/>
    <w:rsid w:val="00D04759"/>
    <w:rsid w:val="00D04943"/>
    <w:rsid w:val="00D04DC8"/>
    <w:rsid w:val="00D04E1E"/>
    <w:rsid w:val="00D05001"/>
    <w:rsid w:val="00D06A92"/>
    <w:rsid w:val="00D073D7"/>
    <w:rsid w:val="00D07EEC"/>
    <w:rsid w:val="00D10AA9"/>
    <w:rsid w:val="00D10BB3"/>
    <w:rsid w:val="00D10F3F"/>
    <w:rsid w:val="00D110E1"/>
    <w:rsid w:val="00D128DF"/>
    <w:rsid w:val="00D13FEE"/>
    <w:rsid w:val="00D17FF9"/>
    <w:rsid w:val="00D201E7"/>
    <w:rsid w:val="00D20F7A"/>
    <w:rsid w:val="00D21807"/>
    <w:rsid w:val="00D21DDE"/>
    <w:rsid w:val="00D22E0B"/>
    <w:rsid w:val="00D236BB"/>
    <w:rsid w:val="00D24CCA"/>
    <w:rsid w:val="00D26E1A"/>
    <w:rsid w:val="00D27F88"/>
    <w:rsid w:val="00D31764"/>
    <w:rsid w:val="00D32E78"/>
    <w:rsid w:val="00D33607"/>
    <w:rsid w:val="00D33CB4"/>
    <w:rsid w:val="00D35567"/>
    <w:rsid w:val="00D35976"/>
    <w:rsid w:val="00D36568"/>
    <w:rsid w:val="00D37631"/>
    <w:rsid w:val="00D377F3"/>
    <w:rsid w:val="00D37FC8"/>
    <w:rsid w:val="00D40302"/>
    <w:rsid w:val="00D414C9"/>
    <w:rsid w:val="00D41648"/>
    <w:rsid w:val="00D43635"/>
    <w:rsid w:val="00D4467C"/>
    <w:rsid w:val="00D44C05"/>
    <w:rsid w:val="00D45E17"/>
    <w:rsid w:val="00D462FB"/>
    <w:rsid w:val="00D4658D"/>
    <w:rsid w:val="00D46A46"/>
    <w:rsid w:val="00D46A4A"/>
    <w:rsid w:val="00D4721F"/>
    <w:rsid w:val="00D47C6F"/>
    <w:rsid w:val="00D526FB"/>
    <w:rsid w:val="00D52DEF"/>
    <w:rsid w:val="00D537A0"/>
    <w:rsid w:val="00D5495E"/>
    <w:rsid w:val="00D54DB5"/>
    <w:rsid w:val="00D55BCC"/>
    <w:rsid w:val="00D55FD0"/>
    <w:rsid w:val="00D56D6F"/>
    <w:rsid w:val="00D571BB"/>
    <w:rsid w:val="00D576AB"/>
    <w:rsid w:val="00D57838"/>
    <w:rsid w:val="00D60C26"/>
    <w:rsid w:val="00D61B1C"/>
    <w:rsid w:val="00D621AD"/>
    <w:rsid w:val="00D625FC"/>
    <w:rsid w:val="00D64208"/>
    <w:rsid w:val="00D651D7"/>
    <w:rsid w:val="00D65220"/>
    <w:rsid w:val="00D670DB"/>
    <w:rsid w:val="00D70C09"/>
    <w:rsid w:val="00D71786"/>
    <w:rsid w:val="00D71963"/>
    <w:rsid w:val="00D71D47"/>
    <w:rsid w:val="00D72FB4"/>
    <w:rsid w:val="00D730C0"/>
    <w:rsid w:val="00D731FA"/>
    <w:rsid w:val="00D73477"/>
    <w:rsid w:val="00D74CE5"/>
    <w:rsid w:val="00D75EBB"/>
    <w:rsid w:val="00D76552"/>
    <w:rsid w:val="00D766CD"/>
    <w:rsid w:val="00D77A6E"/>
    <w:rsid w:val="00D812FE"/>
    <w:rsid w:val="00D83288"/>
    <w:rsid w:val="00D85259"/>
    <w:rsid w:val="00D85D67"/>
    <w:rsid w:val="00D85EA9"/>
    <w:rsid w:val="00D90CB7"/>
    <w:rsid w:val="00D91192"/>
    <w:rsid w:val="00D911A7"/>
    <w:rsid w:val="00D9227F"/>
    <w:rsid w:val="00D92E54"/>
    <w:rsid w:val="00D9317B"/>
    <w:rsid w:val="00D93599"/>
    <w:rsid w:val="00D944CB"/>
    <w:rsid w:val="00D9731C"/>
    <w:rsid w:val="00D97934"/>
    <w:rsid w:val="00D97EEF"/>
    <w:rsid w:val="00DA1493"/>
    <w:rsid w:val="00DA1F07"/>
    <w:rsid w:val="00DA2EF4"/>
    <w:rsid w:val="00DA4255"/>
    <w:rsid w:val="00DA4424"/>
    <w:rsid w:val="00DA4556"/>
    <w:rsid w:val="00DA53AD"/>
    <w:rsid w:val="00DA6A28"/>
    <w:rsid w:val="00DA7674"/>
    <w:rsid w:val="00DB0913"/>
    <w:rsid w:val="00DB1A6F"/>
    <w:rsid w:val="00DB43EF"/>
    <w:rsid w:val="00DC06A3"/>
    <w:rsid w:val="00DC0FE4"/>
    <w:rsid w:val="00DC3091"/>
    <w:rsid w:val="00DC37F1"/>
    <w:rsid w:val="00DC4EB6"/>
    <w:rsid w:val="00DC550C"/>
    <w:rsid w:val="00DC773B"/>
    <w:rsid w:val="00DD01A9"/>
    <w:rsid w:val="00DD07C4"/>
    <w:rsid w:val="00DD182F"/>
    <w:rsid w:val="00DD265B"/>
    <w:rsid w:val="00DD2E30"/>
    <w:rsid w:val="00DD48C4"/>
    <w:rsid w:val="00DD4AE7"/>
    <w:rsid w:val="00DD4B86"/>
    <w:rsid w:val="00DD5077"/>
    <w:rsid w:val="00DD53BA"/>
    <w:rsid w:val="00DD5867"/>
    <w:rsid w:val="00DD587F"/>
    <w:rsid w:val="00DD5E88"/>
    <w:rsid w:val="00DE02EF"/>
    <w:rsid w:val="00DE08F6"/>
    <w:rsid w:val="00DE119E"/>
    <w:rsid w:val="00DE2350"/>
    <w:rsid w:val="00DE383F"/>
    <w:rsid w:val="00DE3C2F"/>
    <w:rsid w:val="00DE4FDD"/>
    <w:rsid w:val="00DE50C7"/>
    <w:rsid w:val="00DE5620"/>
    <w:rsid w:val="00DE64EB"/>
    <w:rsid w:val="00DE6D7E"/>
    <w:rsid w:val="00DF14BD"/>
    <w:rsid w:val="00DF1642"/>
    <w:rsid w:val="00DF44E7"/>
    <w:rsid w:val="00DF48CF"/>
    <w:rsid w:val="00DF5BCB"/>
    <w:rsid w:val="00DF6DEF"/>
    <w:rsid w:val="00DF7420"/>
    <w:rsid w:val="00DF7F52"/>
    <w:rsid w:val="00E01C24"/>
    <w:rsid w:val="00E02098"/>
    <w:rsid w:val="00E03164"/>
    <w:rsid w:val="00E03979"/>
    <w:rsid w:val="00E0440A"/>
    <w:rsid w:val="00E04E6C"/>
    <w:rsid w:val="00E056A2"/>
    <w:rsid w:val="00E07483"/>
    <w:rsid w:val="00E1054A"/>
    <w:rsid w:val="00E10B1A"/>
    <w:rsid w:val="00E160B4"/>
    <w:rsid w:val="00E163AD"/>
    <w:rsid w:val="00E16A43"/>
    <w:rsid w:val="00E16D97"/>
    <w:rsid w:val="00E20502"/>
    <w:rsid w:val="00E213EE"/>
    <w:rsid w:val="00E21B8D"/>
    <w:rsid w:val="00E22EB7"/>
    <w:rsid w:val="00E22F46"/>
    <w:rsid w:val="00E242D6"/>
    <w:rsid w:val="00E244CF"/>
    <w:rsid w:val="00E26369"/>
    <w:rsid w:val="00E26EBB"/>
    <w:rsid w:val="00E279AC"/>
    <w:rsid w:val="00E308AA"/>
    <w:rsid w:val="00E31023"/>
    <w:rsid w:val="00E3209B"/>
    <w:rsid w:val="00E343F3"/>
    <w:rsid w:val="00E34527"/>
    <w:rsid w:val="00E35C03"/>
    <w:rsid w:val="00E35E13"/>
    <w:rsid w:val="00E36989"/>
    <w:rsid w:val="00E40AD6"/>
    <w:rsid w:val="00E411F1"/>
    <w:rsid w:val="00E42B25"/>
    <w:rsid w:val="00E42B56"/>
    <w:rsid w:val="00E43584"/>
    <w:rsid w:val="00E441A2"/>
    <w:rsid w:val="00E444C1"/>
    <w:rsid w:val="00E450E6"/>
    <w:rsid w:val="00E463CB"/>
    <w:rsid w:val="00E4675B"/>
    <w:rsid w:val="00E46CB3"/>
    <w:rsid w:val="00E47FED"/>
    <w:rsid w:val="00E50A89"/>
    <w:rsid w:val="00E53876"/>
    <w:rsid w:val="00E53E45"/>
    <w:rsid w:val="00E54948"/>
    <w:rsid w:val="00E5503C"/>
    <w:rsid w:val="00E55068"/>
    <w:rsid w:val="00E55452"/>
    <w:rsid w:val="00E57173"/>
    <w:rsid w:val="00E6178E"/>
    <w:rsid w:val="00E61F65"/>
    <w:rsid w:val="00E61FD4"/>
    <w:rsid w:val="00E6404C"/>
    <w:rsid w:val="00E643B3"/>
    <w:rsid w:val="00E648FA"/>
    <w:rsid w:val="00E64CEF"/>
    <w:rsid w:val="00E67865"/>
    <w:rsid w:val="00E70029"/>
    <w:rsid w:val="00E71CED"/>
    <w:rsid w:val="00E7209A"/>
    <w:rsid w:val="00E72EBF"/>
    <w:rsid w:val="00E74941"/>
    <w:rsid w:val="00E74A39"/>
    <w:rsid w:val="00E74ADD"/>
    <w:rsid w:val="00E75B0A"/>
    <w:rsid w:val="00E762A2"/>
    <w:rsid w:val="00E76D0B"/>
    <w:rsid w:val="00E76F11"/>
    <w:rsid w:val="00E77FB5"/>
    <w:rsid w:val="00E80819"/>
    <w:rsid w:val="00E819C8"/>
    <w:rsid w:val="00E82F20"/>
    <w:rsid w:val="00E83410"/>
    <w:rsid w:val="00E84A93"/>
    <w:rsid w:val="00E84B39"/>
    <w:rsid w:val="00E85E76"/>
    <w:rsid w:val="00E8626F"/>
    <w:rsid w:val="00E86956"/>
    <w:rsid w:val="00E87289"/>
    <w:rsid w:val="00E90738"/>
    <w:rsid w:val="00E90CE9"/>
    <w:rsid w:val="00E91E95"/>
    <w:rsid w:val="00E92446"/>
    <w:rsid w:val="00E925B9"/>
    <w:rsid w:val="00E93022"/>
    <w:rsid w:val="00E943AC"/>
    <w:rsid w:val="00E94621"/>
    <w:rsid w:val="00E946EB"/>
    <w:rsid w:val="00E9492D"/>
    <w:rsid w:val="00E94E37"/>
    <w:rsid w:val="00E95086"/>
    <w:rsid w:val="00E968F3"/>
    <w:rsid w:val="00E97FDC"/>
    <w:rsid w:val="00EA0130"/>
    <w:rsid w:val="00EA041C"/>
    <w:rsid w:val="00EA387B"/>
    <w:rsid w:val="00EA47D0"/>
    <w:rsid w:val="00EA5A39"/>
    <w:rsid w:val="00EA63B9"/>
    <w:rsid w:val="00EA6727"/>
    <w:rsid w:val="00EA7854"/>
    <w:rsid w:val="00EA7989"/>
    <w:rsid w:val="00EB0982"/>
    <w:rsid w:val="00EB1610"/>
    <w:rsid w:val="00EB286A"/>
    <w:rsid w:val="00EB30EC"/>
    <w:rsid w:val="00EB33DE"/>
    <w:rsid w:val="00EB4C7B"/>
    <w:rsid w:val="00EB4E69"/>
    <w:rsid w:val="00EB509B"/>
    <w:rsid w:val="00EB511E"/>
    <w:rsid w:val="00EB5BDF"/>
    <w:rsid w:val="00EB692E"/>
    <w:rsid w:val="00EC08EB"/>
    <w:rsid w:val="00EC1798"/>
    <w:rsid w:val="00EC17D5"/>
    <w:rsid w:val="00EC7337"/>
    <w:rsid w:val="00ED0650"/>
    <w:rsid w:val="00ED18BE"/>
    <w:rsid w:val="00ED2176"/>
    <w:rsid w:val="00ED24FD"/>
    <w:rsid w:val="00ED4EAA"/>
    <w:rsid w:val="00ED60FA"/>
    <w:rsid w:val="00ED6609"/>
    <w:rsid w:val="00ED6FD7"/>
    <w:rsid w:val="00EE004F"/>
    <w:rsid w:val="00EE1151"/>
    <w:rsid w:val="00EE219A"/>
    <w:rsid w:val="00EE27CC"/>
    <w:rsid w:val="00EE295E"/>
    <w:rsid w:val="00EE55B4"/>
    <w:rsid w:val="00EE643E"/>
    <w:rsid w:val="00EE7A30"/>
    <w:rsid w:val="00EF0A33"/>
    <w:rsid w:val="00EF1D65"/>
    <w:rsid w:val="00EF2ACC"/>
    <w:rsid w:val="00EF328D"/>
    <w:rsid w:val="00EF3711"/>
    <w:rsid w:val="00EF3BEC"/>
    <w:rsid w:val="00EF43B0"/>
    <w:rsid w:val="00EF6689"/>
    <w:rsid w:val="00EF7B34"/>
    <w:rsid w:val="00EF7BFB"/>
    <w:rsid w:val="00F016D6"/>
    <w:rsid w:val="00F01EFB"/>
    <w:rsid w:val="00F04454"/>
    <w:rsid w:val="00F04B3E"/>
    <w:rsid w:val="00F0796A"/>
    <w:rsid w:val="00F10848"/>
    <w:rsid w:val="00F10B2C"/>
    <w:rsid w:val="00F1139B"/>
    <w:rsid w:val="00F11D42"/>
    <w:rsid w:val="00F1408B"/>
    <w:rsid w:val="00F14A70"/>
    <w:rsid w:val="00F170CC"/>
    <w:rsid w:val="00F204B8"/>
    <w:rsid w:val="00F218F3"/>
    <w:rsid w:val="00F21923"/>
    <w:rsid w:val="00F21EBA"/>
    <w:rsid w:val="00F2297A"/>
    <w:rsid w:val="00F232D9"/>
    <w:rsid w:val="00F2379D"/>
    <w:rsid w:val="00F24319"/>
    <w:rsid w:val="00F261A2"/>
    <w:rsid w:val="00F26423"/>
    <w:rsid w:val="00F26531"/>
    <w:rsid w:val="00F26F45"/>
    <w:rsid w:val="00F30E08"/>
    <w:rsid w:val="00F312D5"/>
    <w:rsid w:val="00F32F48"/>
    <w:rsid w:val="00F336C1"/>
    <w:rsid w:val="00F33EF6"/>
    <w:rsid w:val="00F35845"/>
    <w:rsid w:val="00F412C2"/>
    <w:rsid w:val="00F41C0D"/>
    <w:rsid w:val="00F4256B"/>
    <w:rsid w:val="00F42A88"/>
    <w:rsid w:val="00F42ACE"/>
    <w:rsid w:val="00F42F0B"/>
    <w:rsid w:val="00F43223"/>
    <w:rsid w:val="00F440A3"/>
    <w:rsid w:val="00F45554"/>
    <w:rsid w:val="00F45F14"/>
    <w:rsid w:val="00F469ED"/>
    <w:rsid w:val="00F50C36"/>
    <w:rsid w:val="00F52B8F"/>
    <w:rsid w:val="00F53861"/>
    <w:rsid w:val="00F53EA2"/>
    <w:rsid w:val="00F54416"/>
    <w:rsid w:val="00F54628"/>
    <w:rsid w:val="00F54C83"/>
    <w:rsid w:val="00F57295"/>
    <w:rsid w:val="00F57F76"/>
    <w:rsid w:val="00F63247"/>
    <w:rsid w:val="00F63CAB"/>
    <w:rsid w:val="00F64C96"/>
    <w:rsid w:val="00F65BFA"/>
    <w:rsid w:val="00F66121"/>
    <w:rsid w:val="00F67697"/>
    <w:rsid w:val="00F67929"/>
    <w:rsid w:val="00F67AE6"/>
    <w:rsid w:val="00F70433"/>
    <w:rsid w:val="00F71A7F"/>
    <w:rsid w:val="00F72A2F"/>
    <w:rsid w:val="00F735D2"/>
    <w:rsid w:val="00F743ED"/>
    <w:rsid w:val="00F74414"/>
    <w:rsid w:val="00F75255"/>
    <w:rsid w:val="00F75D08"/>
    <w:rsid w:val="00F76AA2"/>
    <w:rsid w:val="00F770CE"/>
    <w:rsid w:val="00F80D9B"/>
    <w:rsid w:val="00F8254D"/>
    <w:rsid w:val="00F82E25"/>
    <w:rsid w:val="00F83642"/>
    <w:rsid w:val="00F84362"/>
    <w:rsid w:val="00F84A3C"/>
    <w:rsid w:val="00F8511E"/>
    <w:rsid w:val="00F85150"/>
    <w:rsid w:val="00F85494"/>
    <w:rsid w:val="00F85C76"/>
    <w:rsid w:val="00F85CD3"/>
    <w:rsid w:val="00F86B0C"/>
    <w:rsid w:val="00F90725"/>
    <w:rsid w:val="00F920E1"/>
    <w:rsid w:val="00F92981"/>
    <w:rsid w:val="00F93B93"/>
    <w:rsid w:val="00F9415E"/>
    <w:rsid w:val="00F953F4"/>
    <w:rsid w:val="00FA03E0"/>
    <w:rsid w:val="00FA187E"/>
    <w:rsid w:val="00FA2869"/>
    <w:rsid w:val="00FA2A74"/>
    <w:rsid w:val="00FA30C2"/>
    <w:rsid w:val="00FA3F57"/>
    <w:rsid w:val="00FA4313"/>
    <w:rsid w:val="00FA4C85"/>
    <w:rsid w:val="00FA5145"/>
    <w:rsid w:val="00FA5403"/>
    <w:rsid w:val="00FA6D3E"/>
    <w:rsid w:val="00FA7BBE"/>
    <w:rsid w:val="00FB0C77"/>
    <w:rsid w:val="00FB0DB0"/>
    <w:rsid w:val="00FB0E69"/>
    <w:rsid w:val="00FB120E"/>
    <w:rsid w:val="00FB154D"/>
    <w:rsid w:val="00FB387C"/>
    <w:rsid w:val="00FB4349"/>
    <w:rsid w:val="00FB50F8"/>
    <w:rsid w:val="00FB7BE7"/>
    <w:rsid w:val="00FB7D7A"/>
    <w:rsid w:val="00FB7E4C"/>
    <w:rsid w:val="00FC1E96"/>
    <w:rsid w:val="00FC3AD6"/>
    <w:rsid w:val="00FC3B0C"/>
    <w:rsid w:val="00FC4C2D"/>
    <w:rsid w:val="00FC53D6"/>
    <w:rsid w:val="00FC5CBF"/>
    <w:rsid w:val="00FC63CD"/>
    <w:rsid w:val="00FC6A1E"/>
    <w:rsid w:val="00FC7A0C"/>
    <w:rsid w:val="00FC7D24"/>
    <w:rsid w:val="00FD0348"/>
    <w:rsid w:val="00FD0C01"/>
    <w:rsid w:val="00FD29D7"/>
    <w:rsid w:val="00FD4C33"/>
    <w:rsid w:val="00FE04D1"/>
    <w:rsid w:val="00FE06E3"/>
    <w:rsid w:val="00FE1187"/>
    <w:rsid w:val="00FE2133"/>
    <w:rsid w:val="00FE2D9E"/>
    <w:rsid w:val="00FE6918"/>
    <w:rsid w:val="00FE7DBC"/>
    <w:rsid w:val="00FE7F21"/>
    <w:rsid w:val="00FF004C"/>
    <w:rsid w:val="00FF050E"/>
    <w:rsid w:val="00FF09B0"/>
    <w:rsid w:val="00FF09F3"/>
    <w:rsid w:val="00FF2574"/>
    <w:rsid w:val="00FF33D1"/>
    <w:rsid w:val="00FF421D"/>
    <w:rsid w:val="00FF497E"/>
    <w:rsid w:val="00FF4F7E"/>
    <w:rsid w:val="00FF5447"/>
    <w:rsid w:val="00FF6BA1"/>
    <w:rsid w:val="00FF6D0B"/>
    <w:rsid w:val="00FF769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08"/>
    <w:pPr>
      <w:spacing w:before="100" w:after="0" w:line="312" w:lineRule="auto"/>
      <w:ind w:firstLine="144"/>
      <w:jc w:val="both"/>
    </w:pPr>
    <w:rPr>
      <w:sz w:val="24"/>
      <w:szCs w:val="20"/>
    </w:rPr>
  </w:style>
  <w:style w:type="paragraph" w:styleId="Heading1">
    <w:name w:val="heading 1"/>
    <w:basedOn w:val="Normal"/>
    <w:next w:val="Normal"/>
    <w:link w:val="Heading1Char"/>
    <w:uiPriority w:val="9"/>
    <w:qFormat/>
    <w:rsid w:val="0071689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716896"/>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Cs w:val="22"/>
    </w:rPr>
  </w:style>
  <w:style w:type="paragraph" w:styleId="Heading3">
    <w:name w:val="heading 3"/>
    <w:basedOn w:val="Normal"/>
    <w:next w:val="Normal"/>
    <w:link w:val="Heading3Char"/>
    <w:uiPriority w:val="9"/>
    <w:semiHidden/>
    <w:unhideWhenUsed/>
    <w:qFormat/>
    <w:locked/>
    <w:rsid w:val="00716896"/>
    <w:pPr>
      <w:pBdr>
        <w:top w:val="single" w:sz="6" w:space="2" w:color="4F81BD" w:themeColor="accent1"/>
        <w:left w:val="single" w:sz="6" w:space="2" w:color="4F81BD" w:themeColor="accent1"/>
      </w:pBdr>
      <w:spacing w:before="300"/>
      <w:outlineLvl w:val="2"/>
    </w:pPr>
    <w:rPr>
      <w:caps/>
      <w:color w:val="243F60" w:themeColor="accent1" w:themeShade="7F"/>
      <w:spacing w:val="15"/>
      <w:szCs w:val="22"/>
    </w:rPr>
  </w:style>
  <w:style w:type="paragraph" w:styleId="Heading4">
    <w:name w:val="heading 4"/>
    <w:basedOn w:val="Normal"/>
    <w:next w:val="Normal"/>
    <w:link w:val="Heading4Char"/>
    <w:uiPriority w:val="9"/>
    <w:semiHidden/>
    <w:unhideWhenUsed/>
    <w:qFormat/>
    <w:locked/>
    <w:rsid w:val="00716896"/>
    <w:pPr>
      <w:pBdr>
        <w:top w:val="dotted" w:sz="6" w:space="2" w:color="4F81BD" w:themeColor="accent1"/>
        <w:left w:val="dotted" w:sz="6" w:space="2" w:color="4F81BD" w:themeColor="accent1"/>
      </w:pBdr>
      <w:spacing w:before="300"/>
      <w:outlineLvl w:val="3"/>
    </w:pPr>
    <w:rPr>
      <w:caps/>
      <w:color w:val="365F91" w:themeColor="accent1" w:themeShade="BF"/>
      <w:spacing w:val="10"/>
      <w:szCs w:val="22"/>
    </w:rPr>
  </w:style>
  <w:style w:type="paragraph" w:styleId="Heading5">
    <w:name w:val="heading 5"/>
    <w:basedOn w:val="Normal"/>
    <w:next w:val="Normal"/>
    <w:link w:val="Heading5Char"/>
    <w:uiPriority w:val="9"/>
    <w:semiHidden/>
    <w:unhideWhenUsed/>
    <w:qFormat/>
    <w:locked/>
    <w:rsid w:val="00716896"/>
    <w:pPr>
      <w:pBdr>
        <w:bottom w:val="single" w:sz="6" w:space="1" w:color="4F81BD" w:themeColor="accent1"/>
      </w:pBdr>
      <w:spacing w:before="30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locked/>
    <w:rsid w:val="00716896"/>
    <w:pPr>
      <w:pBdr>
        <w:bottom w:val="dotted" w:sz="6" w:space="1" w:color="4F81BD" w:themeColor="accent1"/>
      </w:pBdr>
      <w:spacing w:before="30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locked/>
    <w:rsid w:val="00716896"/>
    <w:pPr>
      <w:spacing w:before="30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locked/>
    <w:rsid w:val="00716896"/>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716896"/>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6896"/>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locked/>
    <w:rsid w:val="00716896"/>
    <w:rPr>
      <w:caps/>
      <w:spacing w:val="15"/>
      <w:shd w:val="clear" w:color="auto" w:fill="DBE5F1" w:themeFill="accent1" w:themeFillTint="33"/>
    </w:rPr>
  </w:style>
  <w:style w:type="paragraph" w:customStyle="1" w:styleId="Default">
    <w:name w:val="Default"/>
    <w:rsid w:val="00363ACC"/>
    <w:pPr>
      <w:autoSpaceDE w:val="0"/>
      <w:autoSpaceDN w:val="0"/>
      <w:adjustRightInd w:val="0"/>
    </w:pPr>
    <w:rPr>
      <w:rFonts w:ascii="Code" w:hAnsi="Code" w:cs="Code"/>
      <w:color w:val="000000"/>
      <w:sz w:val="24"/>
      <w:szCs w:val="24"/>
    </w:rPr>
  </w:style>
  <w:style w:type="paragraph" w:styleId="FootnoteText">
    <w:name w:val="footnote text"/>
    <w:basedOn w:val="Normal"/>
    <w:link w:val="FootnoteTextChar"/>
    <w:uiPriority w:val="99"/>
    <w:semiHidden/>
    <w:rsid w:val="00423B75"/>
  </w:style>
  <w:style w:type="character" w:customStyle="1" w:styleId="FootnoteTextChar">
    <w:name w:val="Footnote Text Char"/>
    <w:basedOn w:val="DefaultParagraphFont"/>
    <w:link w:val="FootnoteText"/>
    <w:uiPriority w:val="99"/>
    <w:semiHidden/>
    <w:locked/>
    <w:rsid w:val="00423B75"/>
    <w:rPr>
      <w:rFonts w:cs="Times New Roman"/>
      <w:lang w:val="en-US" w:eastAsia="en-US" w:bidi="ar-SA"/>
    </w:rPr>
  </w:style>
  <w:style w:type="character" w:styleId="FootnoteReference">
    <w:name w:val="footnote reference"/>
    <w:basedOn w:val="DefaultParagraphFont"/>
    <w:uiPriority w:val="99"/>
    <w:semiHidden/>
    <w:rsid w:val="000D11FC"/>
    <w:rPr>
      <w:rFonts w:cs="Times New Roman"/>
      <w:vertAlign w:val="superscript"/>
    </w:rPr>
  </w:style>
  <w:style w:type="paragraph" w:styleId="NoSpacing">
    <w:name w:val="No Spacing"/>
    <w:basedOn w:val="Normal"/>
    <w:link w:val="NoSpacingChar"/>
    <w:uiPriority w:val="1"/>
    <w:qFormat/>
    <w:rsid w:val="00716896"/>
    <w:pPr>
      <w:spacing w:before="0" w:line="240" w:lineRule="auto"/>
    </w:pPr>
  </w:style>
  <w:style w:type="character" w:customStyle="1" w:styleId="NoSpacingChar">
    <w:name w:val="No Spacing Char"/>
    <w:basedOn w:val="DefaultParagraphFont"/>
    <w:link w:val="NoSpacing"/>
    <w:uiPriority w:val="1"/>
    <w:locked/>
    <w:rsid w:val="00716896"/>
    <w:rPr>
      <w:sz w:val="20"/>
      <w:szCs w:val="20"/>
    </w:rPr>
  </w:style>
  <w:style w:type="paragraph" w:styleId="BalloonText">
    <w:name w:val="Balloon Text"/>
    <w:basedOn w:val="Normal"/>
    <w:link w:val="BalloonTextChar"/>
    <w:uiPriority w:val="99"/>
    <w:rsid w:val="00272CC7"/>
    <w:rPr>
      <w:rFonts w:ascii="Tahoma" w:hAnsi="Tahoma" w:cs="Tahoma"/>
      <w:sz w:val="16"/>
      <w:szCs w:val="16"/>
    </w:rPr>
  </w:style>
  <w:style w:type="character" w:customStyle="1" w:styleId="BalloonTextChar">
    <w:name w:val="Balloon Text Char"/>
    <w:basedOn w:val="DefaultParagraphFont"/>
    <w:link w:val="BalloonText"/>
    <w:uiPriority w:val="99"/>
    <w:locked/>
    <w:rsid w:val="00272CC7"/>
    <w:rPr>
      <w:rFonts w:ascii="Tahoma" w:hAnsi="Tahoma" w:cs="Tahoma"/>
      <w:sz w:val="16"/>
      <w:szCs w:val="16"/>
    </w:rPr>
  </w:style>
  <w:style w:type="character" w:styleId="Strong">
    <w:name w:val="Strong"/>
    <w:uiPriority w:val="22"/>
    <w:qFormat/>
    <w:rsid w:val="00716896"/>
    <w:rPr>
      <w:b/>
      <w:bCs/>
    </w:rPr>
  </w:style>
  <w:style w:type="character" w:styleId="Emphasis">
    <w:name w:val="Emphasis"/>
    <w:uiPriority w:val="20"/>
    <w:qFormat/>
    <w:rsid w:val="00716896"/>
    <w:rPr>
      <w:caps/>
      <w:color w:val="243F60" w:themeColor="accent1" w:themeShade="7F"/>
      <w:spacing w:val="5"/>
    </w:rPr>
  </w:style>
  <w:style w:type="character" w:styleId="Hyperlink">
    <w:name w:val="Hyperlink"/>
    <w:basedOn w:val="DefaultParagraphFont"/>
    <w:uiPriority w:val="99"/>
    <w:rsid w:val="0011066F"/>
    <w:rPr>
      <w:rFonts w:cs="Times New Roman"/>
      <w:color w:val="0000FF"/>
      <w:u w:val="single"/>
    </w:rPr>
  </w:style>
  <w:style w:type="paragraph" w:customStyle="1" w:styleId="articledetails">
    <w:name w:val="articledetails"/>
    <w:basedOn w:val="Normal"/>
    <w:rsid w:val="0011066F"/>
    <w:pPr>
      <w:spacing w:after="100" w:afterAutospacing="1" w:line="240" w:lineRule="auto"/>
      <w:jc w:val="left"/>
    </w:pPr>
  </w:style>
  <w:style w:type="character" w:styleId="FollowedHyperlink">
    <w:name w:val="FollowedHyperlink"/>
    <w:basedOn w:val="DefaultParagraphFont"/>
    <w:uiPriority w:val="99"/>
    <w:semiHidden/>
    <w:rsid w:val="0011066F"/>
    <w:rPr>
      <w:rFonts w:cs="Times New Roman"/>
      <w:color w:val="800080"/>
      <w:u w:val="single"/>
    </w:rPr>
  </w:style>
  <w:style w:type="paragraph" w:styleId="Header">
    <w:name w:val="header"/>
    <w:basedOn w:val="Normal"/>
    <w:link w:val="HeaderChar"/>
    <w:uiPriority w:val="99"/>
    <w:rsid w:val="0051037A"/>
    <w:pPr>
      <w:tabs>
        <w:tab w:val="center" w:pos="4680"/>
        <w:tab w:val="right" w:pos="9360"/>
      </w:tabs>
      <w:spacing w:line="240" w:lineRule="auto"/>
    </w:pPr>
  </w:style>
  <w:style w:type="character" w:customStyle="1" w:styleId="HeaderChar">
    <w:name w:val="Header Char"/>
    <w:basedOn w:val="DefaultParagraphFont"/>
    <w:link w:val="Header"/>
    <w:uiPriority w:val="99"/>
    <w:locked/>
    <w:rsid w:val="0051037A"/>
    <w:rPr>
      <w:rFonts w:cs="Times New Roman"/>
      <w:sz w:val="24"/>
      <w:szCs w:val="24"/>
    </w:rPr>
  </w:style>
  <w:style w:type="paragraph" w:styleId="Footer">
    <w:name w:val="footer"/>
    <w:basedOn w:val="Normal"/>
    <w:link w:val="FooterChar"/>
    <w:uiPriority w:val="99"/>
    <w:rsid w:val="0051037A"/>
    <w:pPr>
      <w:tabs>
        <w:tab w:val="center" w:pos="4680"/>
        <w:tab w:val="right" w:pos="9360"/>
      </w:tabs>
      <w:spacing w:line="240" w:lineRule="auto"/>
    </w:pPr>
  </w:style>
  <w:style w:type="character" w:customStyle="1" w:styleId="FooterChar">
    <w:name w:val="Footer Char"/>
    <w:basedOn w:val="DefaultParagraphFont"/>
    <w:link w:val="Footer"/>
    <w:uiPriority w:val="99"/>
    <w:locked/>
    <w:rsid w:val="0051037A"/>
    <w:rPr>
      <w:rFonts w:cs="Times New Roman"/>
      <w:sz w:val="24"/>
      <w:szCs w:val="24"/>
    </w:rPr>
  </w:style>
  <w:style w:type="paragraph" w:styleId="ListParagraph">
    <w:name w:val="List Paragraph"/>
    <w:basedOn w:val="Normal"/>
    <w:uiPriority w:val="34"/>
    <w:qFormat/>
    <w:rsid w:val="00716896"/>
    <w:pPr>
      <w:ind w:left="720"/>
      <w:contextualSpacing/>
    </w:pPr>
  </w:style>
  <w:style w:type="paragraph" w:customStyle="1" w:styleId="Style1">
    <w:name w:val="Style1"/>
    <w:basedOn w:val="FootnoteText"/>
    <w:uiPriority w:val="99"/>
    <w:rsid w:val="00F24319"/>
    <w:pPr>
      <w:spacing w:line="360" w:lineRule="auto"/>
    </w:pPr>
  </w:style>
  <w:style w:type="paragraph" w:customStyle="1" w:styleId="Style8ptLeft075">
    <w:name w:val="Style 8 pt Left:  0.75&quot;"/>
    <w:basedOn w:val="Normal"/>
    <w:uiPriority w:val="99"/>
    <w:rsid w:val="003954F6"/>
    <w:pPr>
      <w:ind w:left="1080"/>
    </w:pPr>
    <w:rPr>
      <w:sz w:val="16"/>
    </w:rPr>
  </w:style>
  <w:style w:type="paragraph" w:styleId="TOC2">
    <w:name w:val="toc 2"/>
    <w:basedOn w:val="Normal"/>
    <w:next w:val="Normal"/>
    <w:autoRedefine/>
    <w:uiPriority w:val="39"/>
    <w:qFormat/>
    <w:locked/>
    <w:rsid w:val="00364E97"/>
    <w:pPr>
      <w:spacing w:before="0"/>
      <w:ind w:firstLine="0"/>
      <w:jc w:val="left"/>
    </w:pPr>
    <w:rPr>
      <w:b/>
      <w:bCs/>
      <w:smallCaps/>
      <w:szCs w:val="22"/>
    </w:rPr>
  </w:style>
  <w:style w:type="paragraph" w:styleId="TOC1">
    <w:name w:val="toc 1"/>
    <w:basedOn w:val="Normal"/>
    <w:next w:val="Normal"/>
    <w:autoRedefine/>
    <w:uiPriority w:val="39"/>
    <w:qFormat/>
    <w:locked/>
    <w:rsid w:val="00470966"/>
    <w:pPr>
      <w:spacing w:before="360" w:after="360"/>
      <w:ind w:firstLine="0"/>
      <w:jc w:val="left"/>
    </w:pPr>
    <w:rPr>
      <w:b/>
      <w:bCs/>
      <w:caps/>
      <w:szCs w:val="22"/>
      <w:u w:val="single"/>
    </w:rPr>
  </w:style>
  <w:style w:type="character" w:styleId="PageNumber">
    <w:name w:val="page number"/>
    <w:basedOn w:val="DefaultParagraphFont"/>
    <w:uiPriority w:val="99"/>
    <w:rsid w:val="00364E97"/>
    <w:rPr>
      <w:rFonts w:cs="Times New Roman"/>
    </w:rPr>
  </w:style>
  <w:style w:type="paragraph" w:styleId="Subtitle">
    <w:name w:val="Subtitle"/>
    <w:basedOn w:val="Normal"/>
    <w:next w:val="Normal"/>
    <w:link w:val="SubtitleChar"/>
    <w:uiPriority w:val="11"/>
    <w:qFormat/>
    <w:locked/>
    <w:rsid w:val="00716896"/>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716896"/>
    <w:rPr>
      <w:caps/>
      <w:color w:val="595959" w:themeColor="text1" w:themeTint="A6"/>
      <w:spacing w:val="10"/>
      <w:sz w:val="24"/>
      <w:szCs w:val="24"/>
    </w:rPr>
  </w:style>
  <w:style w:type="paragraph" w:styleId="DocumentMap">
    <w:name w:val="Document Map"/>
    <w:basedOn w:val="Normal"/>
    <w:link w:val="DocumentMapChar"/>
    <w:uiPriority w:val="99"/>
    <w:semiHidden/>
    <w:unhideWhenUsed/>
    <w:rsid w:val="00F33EF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33EF6"/>
    <w:rPr>
      <w:rFonts w:ascii="Tahoma" w:hAnsi="Tahoma" w:cs="Tahoma"/>
      <w:sz w:val="16"/>
      <w:szCs w:val="16"/>
    </w:rPr>
  </w:style>
  <w:style w:type="character" w:customStyle="1" w:styleId="apple-converted-space">
    <w:name w:val="apple-converted-space"/>
    <w:basedOn w:val="DefaultParagraphFont"/>
    <w:rsid w:val="003576F6"/>
  </w:style>
  <w:style w:type="paragraph" w:customStyle="1" w:styleId="xl65">
    <w:name w:val="xl65"/>
    <w:basedOn w:val="Normal"/>
    <w:rsid w:val="00F1139B"/>
    <w:pPr>
      <w:pBdr>
        <w:bottom w:val="single" w:sz="8" w:space="0" w:color="auto"/>
      </w:pBdr>
      <w:spacing w:beforeAutospacing="1" w:after="100" w:afterAutospacing="1" w:line="240" w:lineRule="auto"/>
      <w:ind w:firstLine="0"/>
      <w:jc w:val="left"/>
    </w:pPr>
    <w:rPr>
      <w:rFonts w:ascii="Arial" w:hAnsi="Arial" w:cs="Arial"/>
      <w:sz w:val="14"/>
      <w:szCs w:val="14"/>
    </w:rPr>
  </w:style>
  <w:style w:type="paragraph" w:customStyle="1" w:styleId="xl66">
    <w:name w:val="xl66"/>
    <w:basedOn w:val="Normal"/>
    <w:rsid w:val="00F1139B"/>
    <w:pPr>
      <w:spacing w:beforeAutospacing="1" w:after="100" w:afterAutospacing="1" w:line="240" w:lineRule="auto"/>
      <w:ind w:firstLine="0"/>
      <w:jc w:val="left"/>
    </w:pPr>
    <w:rPr>
      <w:rFonts w:ascii="Arial" w:hAnsi="Arial" w:cs="Arial"/>
      <w:sz w:val="14"/>
      <w:szCs w:val="14"/>
    </w:rPr>
  </w:style>
  <w:style w:type="paragraph" w:customStyle="1" w:styleId="xl67">
    <w:name w:val="xl67"/>
    <w:basedOn w:val="Normal"/>
    <w:rsid w:val="00F1139B"/>
    <w:pPr>
      <w:pBdr>
        <w:bottom w:val="single" w:sz="8" w:space="0" w:color="auto"/>
      </w:pBdr>
      <w:spacing w:beforeAutospacing="1" w:after="100" w:afterAutospacing="1" w:line="240" w:lineRule="auto"/>
      <w:ind w:firstLine="0"/>
      <w:jc w:val="left"/>
    </w:pPr>
    <w:rPr>
      <w:rFonts w:ascii="Calibri" w:hAnsi="Calibri"/>
      <w:sz w:val="14"/>
      <w:szCs w:val="14"/>
    </w:rPr>
  </w:style>
  <w:style w:type="paragraph" w:customStyle="1" w:styleId="xl68">
    <w:name w:val="xl68"/>
    <w:basedOn w:val="Normal"/>
    <w:rsid w:val="00F1139B"/>
    <w:pPr>
      <w:pBdr>
        <w:bottom w:val="single" w:sz="8" w:space="0" w:color="auto"/>
      </w:pBdr>
      <w:spacing w:beforeAutospacing="1" w:after="100" w:afterAutospacing="1" w:line="240" w:lineRule="auto"/>
      <w:ind w:firstLine="0"/>
      <w:jc w:val="center"/>
      <w:textAlignment w:val="center"/>
    </w:pPr>
    <w:rPr>
      <w:rFonts w:ascii="Calibri" w:hAnsi="Calibri"/>
      <w:sz w:val="14"/>
      <w:szCs w:val="14"/>
    </w:rPr>
  </w:style>
  <w:style w:type="paragraph" w:customStyle="1" w:styleId="xl69">
    <w:name w:val="xl69"/>
    <w:basedOn w:val="Normal"/>
    <w:rsid w:val="00F1139B"/>
    <w:pPr>
      <w:spacing w:beforeAutospacing="1" w:after="100" w:afterAutospacing="1" w:line="240" w:lineRule="auto"/>
      <w:ind w:firstLine="0"/>
      <w:jc w:val="left"/>
    </w:pPr>
    <w:rPr>
      <w:rFonts w:ascii="Calibri" w:hAnsi="Calibri"/>
      <w:sz w:val="14"/>
      <w:szCs w:val="14"/>
    </w:rPr>
  </w:style>
  <w:style w:type="paragraph" w:customStyle="1" w:styleId="xl70">
    <w:name w:val="xl70"/>
    <w:basedOn w:val="Normal"/>
    <w:rsid w:val="00F1139B"/>
    <w:pPr>
      <w:spacing w:beforeAutospacing="1" w:after="100" w:afterAutospacing="1" w:line="240" w:lineRule="auto"/>
      <w:ind w:firstLine="0"/>
      <w:jc w:val="left"/>
    </w:pPr>
    <w:rPr>
      <w:rFonts w:ascii="Calibri" w:hAnsi="Calibri"/>
      <w:sz w:val="14"/>
      <w:szCs w:val="14"/>
    </w:rPr>
  </w:style>
  <w:style w:type="paragraph" w:customStyle="1" w:styleId="xl71">
    <w:name w:val="xl71"/>
    <w:basedOn w:val="Normal"/>
    <w:rsid w:val="00F1139B"/>
    <w:pPr>
      <w:spacing w:beforeAutospacing="1" w:after="100" w:afterAutospacing="1" w:line="240" w:lineRule="auto"/>
      <w:ind w:firstLine="0"/>
      <w:jc w:val="left"/>
    </w:pPr>
    <w:rPr>
      <w:rFonts w:ascii="Calibri" w:hAnsi="Calibri"/>
      <w:sz w:val="14"/>
      <w:szCs w:val="14"/>
    </w:rPr>
  </w:style>
  <w:style w:type="paragraph" w:customStyle="1" w:styleId="xl72">
    <w:name w:val="xl72"/>
    <w:basedOn w:val="Normal"/>
    <w:rsid w:val="00F1139B"/>
    <w:pPr>
      <w:pBdr>
        <w:right w:val="single" w:sz="4" w:space="0" w:color="auto"/>
      </w:pBdr>
      <w:spacing w:beforeAutospacing="1" w:after="100" w:afterAutospacing="1" w:line="240" w:lineRule="auto"/>
      <w:ind w:firstLine="0"/>
      <w:jc w:val="left"/>
    </w:pPr>
    <w:rPr>
      <w:rFonts w:ascii="Calibri" w:hAnsi="Calibri"/>
      <w:sz w:val="14"/>
      <w:szCs w:val="14"/>
    </w:rPr>
  </w:style>
  <w:style w:type="paragraph" w:customStyle="1" w:styleId="xl73">
    <w:name w:val="xl73"/>
    <w:basedOn w:val="Normal"/>
    <w:rsid w:val="00F1139B"/>
    <w:pPr>
      <w:pBdr>
        <w:bottom w:val="single" w:sz="8" w:space="0" w:color="auto"/>
      </w:pBdr>
      <w:spacing w:beforeAutospacing="1" w:after="100" w:afterAutospacing="1" w:line="240" w:lineRule="auto"/>
      <w:ind w:firstLine="0"/>
      <w:jc w:val="left"/>
      <w:textAlignment w:val="center"/>
    </w:pPr>
    <w:rPr>
      <w:rFonts w:ascii="Calibri" w:hAnsi="Calibri"/>
      <w:sz w:val="14"/>
      <w:szCs w:val="14"/>
    </w:rPr>
  </w:style>
  <w:style w:type="paragraph" w:customStyle="1" w:styleId="xl74">
    <w:name w:val="xl74"/>
    <w:basedOn w:val="Normal"/>
    <w:rsid w:val="00F1139B"/>
    <w:pPr>
      <w:pBdr>
        <w:right w:val="single" w:sz="4" w:space="0" w:color="auto"/>
      </w:pBdr>
      <w:spacing w:beforeAutospacing="1" w:after="100" w:afterAutospacing="1" w:line="240" w:lineRule="auto"/>
      <w:ind w:firstLine="0"/>
      <w:jc w:val="left"/>
    </w:pPr>
    <w:rPr>
      <w:rFonts w:ascii="Calibri" w:hAnsi="Calibri"/>
      <w:sz w:val="14"/>
      <w:szCs w:val="14"/>
    </w:rPr>
  </w:style>
  <w:style w:type="paragraph" w:customStyle="1" w:styleId="xl75">
    <w:name w:val="xl75"/>
    <w:basedOn w:val="Normal"/>
    <w:rsid w:val="00F1139B"/>
    <w:pPr>
      <w:pBdr>
        <w:right w:val="single" w:sz="4" w:space="0" w:color="auto"/>
      </w:pBdr>
      <w:spacing w:beforeAutospacing="1" w:after="100" w:afterAutospacing="1" w:line="240" w:lineRule="auto"/>
      <w:ind w:firstLine="0"/>
      <w:jc w:val="left"/>
    </w:pPr>
    <w:rPr>
      <w:rFonts w:ascii="Calibri" w:hAnsi="Calibri"/>
      <w:color w:val="000000"/>
      <w:sz w:val="14"/>
      <w:szCs w:val="14"/>
    </w:rPr>
  </w:style>
  <w:style w:type="paragraph" w:customStyle="1" w:styleId="xl76">
    <w:name w:val="xl76"/>
    <w:basedOn w:val="Normal"/>
    <w:rsid w:val="00F1139B"/>
    <w:pPr>
      <w:pBdr>
        <w:right w:val="single" w:sz="4" w:space="0" w:color="auto"/>
      </w:pBdr>
      <w:spacing w:beforeAutospacing="1" w:after="100" w:afterAutospacing="1" w:line="240" w:lineRule="auto"/>
      <w:ind w:firstLine="0"/>
      <w:jc w:val="center"/>
    </w:pPr>
    <w:rPr>
      <w:rFonts w:ascii="Calibri" w:hAnsi="Calibri"/>
      <w:color w:val="000000"/>
      <w:sz w:val="14"/>
      <w:szCs w:val="14"/>
    </w:rPr>
  </w:style>
  <w:style w:type="paragraph" w:customStyle="1" w:styleId="xl77">
    <w:name w:val="xl77"/>
    <w:basedOn w:val="Normal"/>
    <w:rsid w:val="00F1139B"/>
    <w:pPr>
      <w:pBdr>
        <w:left w:val="single" w:sz="4" w:space="0" w:color="auto"/>
        <w:right w:val="single" w:sz="4" w:space="0" w:color="auto"/>
      </w:pBdr>
      <w:spacing w:beforeAutospacing="1" w:after="100" w:afterAutospacing="1" w:line="240" w:lineRule="auto"/>
      <w:ind w:firstLine="0"/>
      <w:jc w:val="left"/>
    </w:pPr>
    <w:rPr>
      <w:rFonts w:ascii="Calibri" w:hAnsi="Calibri"/>
      <w:b/>
      <w:bCs/>
      <w:color w:val="000000"/>
      <w:sz w:val="14"/>
      <w:szCs w:val="14"/>
    </w:rPr>
  </w:style>
  <w:style w:type="paragraph" w:customStyle="1" w:styleId="xl78">
    <w:name w:val="xl78"/>
    <w:basedOn w:val="Normal"/>
    <w:rsid w:val="00F1139B"/>
    <w:pPr>
      <w:pBdr>
        <w:left w:val="single" w:sz="4" w:space="0" w:color="auto"/>
        <w:right w:val="single" w:sz="4" w:space="0" w:color="auto"/>
      </w:pBdr>
      <w:spacing w:beforeAutospacing="1" w:after="100" w:afterAutospacing="1" w:line="240" w:lineRule="auto"/>
      <w:ind w:firstLine="0"/>
      <w:jc w:val="left"/>
    </w:pPr>
    <w:rPr>
      <w:rFonts w:ascii="Calibri" w:hAnsi="Calibri"/>
      <w:sz w:val="14"/>
      <w:szCs w:val="14"/>
    </w:rPr>
  </w:style>
  <w:style w:type="paragraph" w:customStyle="1" w:styleId="xl79">
    <w:name w:val="xl79"/>
    <w:basedOn w:val="Normal"/>
    <w:rsid w:val="00F1139B"/>
    <w:pPr>
      <w:pBdr>
        <w:left w:val="single" w:sz="4" w:space="0" w:color="auto"/>
        <w:right w:val="single" w:sz="4" w:space="0" w:color="auto"/>
      </w:pBdr>
      <w:spacing w:beforeAutospacing="1" w:after="100" w:afterAutospacing="1" w:line="240" w:lineRule="auto"/>
      <w:ind w:firstLine="0"/>
      <w:jc w:val="left"/>
    </w:pPr>
    <w:rPr>
      <w:rFonts w:ascii="Arial" w:hAnsi="Arial" w:cs="Arial"/>
      <w:sz w:val="14"/>
      <w:szCs w:val="14"/>
    </w:rPr>
  </w:style>
  <w:style w:type="paragraph" w:customStyle="1" w:styleId="xl80">
    <w:name w:val="xl80"/>
    <w:basedOn w:val="Normal"/>
    <w:rsid w:val="00F1139B"/>
    <w:pPr>
      <w:pBdr>
        <w:left w:val="single" w:sz="4" w:space="0" w:color="auto"/>
        <w:right w:val="single" w:sz="4" w:space="0" w:color="auto"/>
      </w:pBdr>
      <w:spacing w:beforeAutospacing="1" w:after="100" w:afterAutospacing="1" w:line="240" w:lineRule="auto"/>
      <w:ind w:firstLine="0"/>
      <w:jc w:val="left"/>
    </w:pPr>
    <w:rPr>
      <w:rFonts w:ascii="Calibri" w:hAnsi="Calibri"/>
      <w:color w:val="000000"/>
      <w:sz w:val="14"/>
      <w:szCs w:val="14"/>
    </w:rPr>
  </w:style>
  <w:style w:type="paragraph" w:customStyle="1" w:styleId="xl81">
    <w:name w:val="xl81"/>
    <w:basedOn w:val="Normal"/>
    <w:rsid w:val="00F1139B"/>
    <w:pPr>
      <w:pBdr>
        <w:left w:val="single" w:sz="4" w:space="0" w:color="auto"/>
        <w:bottom w:val="single" w:sz="4" w:space="0" w:color="auto"/>
        <w:right w:val="single" w:sz="4" w:space="0" w:color="auto"/>
      </w:pBdr>
      <w:spacing w:beforeAutospacing="1" w:after="100" w:afterAutospacing="1" w:line="240" w:lineRule="auto"/>
      <w:ind w:firstLine="0"/>
      <w:jc w:val="left"/>
    </w:pPr>
    <w:rPr>
      <w:rFonts w:ascii="Calibri" w:hAnsi="Calibri"/>
      <w:b/>
      <w:bCs/>
      <w:color w:val="666699"/>
      <w:sz w:val="14"/>
      <w:szCs w:val="14"/>
    </w:rPr>
  </w:style>
  <w:style w:type="paragraph" w:customStyle="1" w:styleId="xl82">
    <w:name w:val="xl82"/>
    <w:basedOn w:val="Normal"/>
    <w:rsid w:val="00F1139B"/>
    <w:pPr>
      <w:pBdr>
        <w:bottom w:val="single" w:sz="4" w:space="0" w:color="auto"/>
        <w:right w:val="single" w:sz="4" w:space="0" w:color="auto"/>
      </w:pBdr>
      <w:spacing w:beforeAutospacing="1" w:after="100" w:afterAutospacing="1" w:line="240" w:lineRule="auto"/>
      <w:ind w:firstLine="0"/>
      <w:jc w:val="left"/>
    </w:pPr>
    <w:rPr>
      <w:rFonts w:ascii="Calibri" w:hAnsi="Calibri"/>
      <w:b/>
      <w:bCs/>
      <w:color w:val="666699"/>
      <w:sz w:val="14"/>
      <w:szCs w:val="14"/>
    </w:rPr>
  </w:style>
  <w:style w:type="paragraph" w:customStyle="1" w:styleId="xl83">
    <w:name w:val="xl83"/>
    <w:basedOn w:val="Normal"/>
    <w:rsid w:val="00F1139B"/>
    <w:pPr>
      <w:spacing w:beforeAutospacing="1" w:after="100" w:afterAutospacing="1" w:line="240" w:lineRule="auto"/>
      <w:ind w:firstLine="0"/>
      <w:jc w:val="left"/>
    </w:pPr>
    <w:rPr>
      <w:rFonts w:ascii="Calibri" w:hAnsi="Calibri"/>
      <w:sz w:val="14"/>
      <w:szCs w:val="14"/>
    </w:rPr>
  </w:style>
  <w:style w:type="character" w:customStyle="1" w:styleId="Heading3Char">
    <w:name w:val="Heading 3 Char"/>
    <w:basedOn w:val="DefaultParagraphFont"/>
    <w:link w:val="Heading3"/>
    <w:uiPriority w:val="9"/>
    <w:semiHidden/>
    <w:rsid w:val="00716896"/>
    <w:rPr>
      <w:caps/>
      <w:color w:val="243F60" w:themeColor="accent1" w:themeShade="7F"/>
      <w:spacing w:val="15"/>
    </w:rPr>
  </w:style>
  <w:style w:type="character" w:customStyle="1" w:styleId="Heading4Char">
    <w:name w:val="Heading 4 Char"/>
    <w:basedOn w:val="DefaultParagraphFont"/>
    <w:link w:val="Heading4"/>
    <w:uiPriority w:val="9"/>
    <w:semiHidden/>
    <w:rsid w:val="00716896"/>
    <w:rPr>
      <w:caps/>
      <w:color w:val="365F91" w:themeColor="accent1" w:themeShade="BF"/>
      <w:spacing w:val="10"/>
    </w:rPr>
  </w:style>
  <w:style w:type="character" w:customStyle="1" w:styleId="Heading5Char">
    <w:name w:val="Heading 5 Char"/>
    <w:basedOn w:val="DefaultParagraphFont"/>
    <w:link w:val="Heading5"/>
    <w:uiPriority w:val="9"/>
    <w:semiHidden/>
    <w:rsid w:val="00716896"/>
    <w:rPr>
      <w:caps/>
      <w:color w:val="365F91" w:themeColor="accent1" w:themeShade="BF"/>
      <w:spacing w:val="10"/>
    </w:rPr>
  </w:style>
  <w:style w:type="character" w:customStyle="1" w:styleId="Heading6Char">
    <w:name w:val="Heading 6 Char"/>
    <w:basedOn w:val="DefaultParagraphFont"/>
    <w:link w:val="Heading6"/>
    <w:uiPriority w:val="9"/>
    <w:semiHidden/>
    <w:rsid w:val="00716896"/>
    <w:rPr>
      <w:caps/>
      <w:color w:val="365F91" w:themeColor="accent1" w:themeShade="BF"/>
      <w:spacing w:val="10"/>
    </w:rPr>
  </w:style>
  <w:style w:type="character" w:customStyle="1" w:styleId="Heading7Char">
    <w:name w:val="Heading 7 Char"/>
    <w:basedOn w:val="DefaultParagraphFont"/>
    <w:link w:val="Heading7"/>
    <w:uiPriority w:val="9"/>
    <w:semiHidden/>
    <w:rsid w:val="00716896"/>
    <w:rPr>
      <w:caps/>
      <w:color w:val="365F91" w:themeColor="accent1" w:themeShade="BF"/>
      <w:spacing w:val="10"/>
    </w:rPr>
  </w:style>
  <w:style w:type="character" w:customStyle="1" w:styleId="Heading8Char">
    <w:name w:val="Heading 8 Char"/>
    <w:basedOn w:val="DefaultParagraphFont"/>
    <w:link w:val="Heading8"/>
    <w:uiPriority w:val="9"/>
    <w:semiHidden/>
    <w:rsid w:val="00716896"/>
    <w:rPr>
      <w:caps/>
      <w:spacing w:val="10"/>
      <w:sz w:val="18"/>
      <w:szCs w:val="18"/>
    </w:rPr>
  </w:style>
  <w:style w:type="character" w:customStyle="1" w:styleId="Heading9Char">
    <w:name w:val="Heading 9 Char"/>
    <w:basedOn w:val="DefaultParagraphFont"/>
    <w:link w:val="Heading9"/>
    <w:uiPriority w:val="9"/>
    <w:semiHidden/>
    <w:rsid w:val="00716896"/>
    <w:rPr>
      <w:i/>
      <w:caps/>
      <w:spacing w:val="10"/>
      <w:sz w:val="18"/>
      <w:szCs w:val="18"/>
    </w:rPr>
  </w:style>
  <w:style w:type="paragraph" w:styleId="Caption">
    <w:name w:val="caption"/>
    <w:basedOn w:val="Normal"/>
    <w:next w:val="Normal"/>
    <w:uiPriority w:val="35"/>
    <w:semiHidden/>
    <w:unhideWhenUsed/>
    <w:qFormat/>
    <w:locked/>
    <w:rsid w:val="00716896"/>
    <w:rPr>
      <w:b/>
      <w:bCs/>
      <w:color w:val="365F91" w:themeColor="accent1" w:themeShade="BF"/>
      <w:sz w:val="16"/>
      <w:szCs w:val="16"/>
    </w:rPr>
  </w:style>
  <w:style w:type="paragraph" w:styleId="Title">
    <w:name w:val="Title"/>
    <w:basedOn w:val="Normal"/>
    <w:next w:val="Normal"/>
    <w:link w:val="TitleChar"/>
    <w:uiPriority w:val="10"/>
    <w:qFormat/>
    <w:locked/>
    <w:rsid w:val="00277E77"/>
    <w:pPr>
      <w:spacing w:before="200"/>
      <w:ind w:firstLine="0"/>
    </w:pPr>
    <w:rPr>
      <w:b/>
      <w:caps/>
      <w:spacing w:val="10"/>
      <w:kern w:val="28"/>
      <w:sz w:val="52"/>
      <w:szCs w:val="52"/>
    </w:rPr>
  </w:style>
  <w:style w:type="character" w:customStyle="1" w:styleId="TitleChar">
    <w:name w:val="Title Char"/>
    <w:basedOn w:val="DefaultParagraphFont"/>
    <w:link w:val="Title"/>
    <w:uiPriority w:val="10"/>
    <w:rsid w:val="00277E77"/>
    <w:rPr>
      <w:b/>
      <w:caps/>
      <w:spacing w:val="10"/>
      <w:kern w:val="28"/>
      <w:sz w:val="52"/>
      <w:szCs w:val="52"/>
    </w:rPr>
  </w:style>
  <w:style w:type="paragraph" w:styleId="Quote">
    <w:name w:val="Quote"/>
    <w:basedOn w:val="Normal"/>
    <w:next w:val="Normal"/>
    <w:link w:val="QuoteChar"/>
    <w:uiPriority w:val="29"/>
    <w:qFormat/>
    <w:rsid w:val="00716896"/>
    <w:rPr>
      <w:i/>
      <w:iCs/>
    </w:rPr>
  </w:style>
  <w:style w:type="character" w:customStyle="1" w:styleId="QuoteChar">
    <w:name w:val="Quote Char"/>
    <w:basedOn w:val="DefaultParagraphFont"/>
    <w:link w:val="Quote"/>
    <w:uiPriority w:val="29"/>
    <w:rsid w:val="00716896"/>
    <w:rPr>
      <w:i/>
      <w:iCs/>
      <w:sz w:val="20"/>
      <w:szCs w:val="20"/>
    </w:rPr>
  </w:style>
  <w:style w:type="paragraph" w:styleId="IntenseQuote">
    <w:name w:val="Intense Quote"/>
    <w:basedOn w:val="Normal"/>
    <w:next w:val="Normal"/>
    <w:link w:val="IntenseQuoteChar"/>
    <w:uiPriority w:val="30"/>
    <w:qFormat/>
    <w:rsid w:val="00EF7B34"/>
    <w:pPr>
      <w:pBdr>
        <w:top w:val="single" w:sz="4" w:space="10" w:color="4F81BD" w:themeColor="accent1"/>
        <w:left w:val="single" w:sz="4" w:space="10" w:color="4F81BD" w:themeColor="accent1"/>
      </w:pBdr>
      <w:ind w:left="144" w:right="144" w:firstLine="288"/>
    </w:pPr>
    <w:rPr>
      <w:i/>
      <w:iCs/>
      <w:color w:val="4F81BD" w:themeColor="accent1"/>
    </w:rPr>
  </w:style>
  <w:style w:type="character" w:customStyle="1" w:styleId="IntenseQuoteChar">
    <w:name w:val="Intense Quote Char"/>
    <w:basedOn w:val="DefaultParagraphFont"/>
    <w:link w:val="IntenseQuote"/>
    <w:uiPriority w:val="30"/>
    <w:rsid w:val="00EF7B34"/>
    <w:rPr>
      <w:i/>
      <w:iCs/>
      <w:color w:val="4F81BD" w:themeColor="accent1"/>
      <w:sz w:val="20"/>
      <w:szCs w:val="20"/>
    </w:rPr>
  </w:style>
  <w:style w:type="character" w:styleId="SubtleEmphasis">
    <w:name w:val="Subtle Emphasis"/>
    <w:uiPriority w:val="19"/>
    <w:qFormat/>
    <w:rsid w:val="00716896"/>
    <w:rPr>
      <w:i/>
      <w:iCs/>
      <w:color w:val="243F60" w:themeColor="accent1" w:themeShade="7F"/>
    </w:rPr>
  </w:style>
  <w:style w:type="character" w:styleId="IntenseEmphasis">
    <w:name w:val="Intense Emphasis"/>
    <w:uiPriority w:val="21"/>
    <w:qFormat/>
    <w:rsid w:val="00716896"/>
    <w:rPr>
      <w:b/>
      <w:bCs/>
      <w:caps/>
      <w:color w:val="243F60" w:themeColor="accent1" w:themeShade="7F"/>
      <w:spacing w:val="10"/>
    </w:rPr>
  </w:style>
  <w:style w:type="character" w:styleId="SubtleReference">
    <w:name w:val="Subtle Reference"/>
    <w:uiPriority w:val="31"/>
    <w:qFormat/>
    <w:rsid w:val="00716896"/>
    <w:rPr>
      <w:b/>
      <w:bCs/>
      <w:color w:val="4F81BD" w:themeColor="accent1"/>
    </w:rPr>
  </w:style>
  <w:style w:type="character" w:styleId="IntenseReference">
    <w:name w:val="Intense Reference"/>
    <w:uiPriority w:val="32"/>
    <w:qFormat/>
    <w:rsid w:val="00716896"/>
    <w:rPr>
      <w:b/>
      <w:bCs/>
      <w:i/>
      <w:iCs/>
      <w:caps/>
      <w:color w:val="4F81BD" w:themeColor="accent1"/>
    </w:rPr>
  </w:style>
  <w:style w:type="character" w:styleId="BookTitle">
    <w:name w:val="Book Title"/>
    <w:uiPriority w:val="33"/>
    <w:qFormat/>
    <w:rsid w:val="00716896"/>
    <w:rPr>
      <w:b/>
      <w:bCs/>
      <w:i/>
      <w:iCs/>
      <w:spacing w:val="9"/>
    </w:rPr>
  </w:style>
  <w:style w:type="paragraph" w:styleId="TOCHeading">
    <w:name w:val="TOC Heading"/>
    <w:basedOn w:val="Heading1"/>
    <w:next w:val="Normal"/>
    <w:uiPriority w:val="39"/>
    <w:semiHidden/>
    <w:unhideWhenUsed/>
    <w:qFormat/>
    <w:rsid w:val="00716896"/>
    <w:pPr>
      <w:outlineLvl w:val="9"/>
    </w:pPr>
  </w:style>
  <w:style w:type="paragraph" w:styleId="TOC3">
    <w:name w:val="toc 3"/>
    <w:basedOn w:val="Normal"/>
    <w:next w:val="Normal"/>
    <w:autoRedefine/>
    <w:uiPriority w:val="39"/>
    <w:unhideWhenUsed/>
    <w:qFormat/>
    <w:locked/>
    <w:rsid w:val="00470966"/>
    <w:pPr>
      <w:spacing w:before="0"/>
      <w:ind w:firstLine="0"/>
      <w:jc w:val="left"/>
    </w:pPr>
    <w:rPr>
      <w:smallCaps/>
      <w:szCs w:val="22"/>
    </w:rPr>
  </w:style>
  <w:style w:type="paragraph" w:styleId="TOC4">
    <w:name w:val="toc 4"/>
    <w:basedOn w:val="Normal"/>
    <w:next w:val="Normal"/>
    <w:autoRedefine/>
    <w:locked/>
    <w:rsid w:val="00470966"/>
    <w:pPr>
      <w:spacing w:before="0"/>
      <w:ind w:firstLine="0"/>
      <w:jc w:val="left"/>
    </w:pPr>
    <w:rPr>
      <w:szCs w:val="22"/>
    </w:rPr>
  </w:style>
  <w:style w:type="paragraph" w:styleId="TOC5">
    <w:name w:val="toc 5"/>
    <w:basedOn w:val="Normal"/>
    <w:next w:val="Normal"/>
    <w:autoRedefine/>
    <w:locked/>
    <w:rsid w:val="00470966"/>
    <w:pPr>
      <w:spacing w:before="0"/>
      <w:ind w:firstLine="0"/>
      <w:jc w:val="left"/>
    </w:pPr>
    <w:rPr>
      <w:szCs w:val="22"/>
    </w:rPr>
  </w:style>
  <w:style w:type="paragraph" w:styleId="TOC6">
    <w:name w:val="toc 6"/>
    <w:basedOn w:val="Normal"/>
    <w:next w:val="Normal"/>
    <w:autoRedefine/>
    <w:locked/>
    <w:rsid w:val="00470966"/>
    <w:pPr>
      <w:spacing w:before="0"/>
      <w:ind w:firstLine="0"/>
      <w:jc w:val="left"/>
    </w:pPr>
    <w:rPr>
      <w:szCs w:val="22"/>
    </w:rPr>
  </w:style>
  <w:style w:type="paragraph" w:styleId="TOC7">
    <w:name w:val="toc 7"/>
    <w:basedOn w:val="Normal"/>
    <w:next w:val="Normal"/>
    <w:autoRedefine/>
    <w:locked/>
    <w:rsid w:val="00470966"/>
    <w:pPr>
      <w:spacing w:before="0"/>
      <w:ind w:firstLine="0"/>
      <w:jc w:val="left"/>
    </w:pPr>
    <w:rPr>
      <w:szCs w:val="22"/>
    </w:rPr>
  </w:style>
  <w:style w:type="paragraph" w:styleId="TOC8">
    <w:name w:val="toc 8"/>
    <w:basedOn w:val="Normal"/>
    <w:next w:val="Normal"/>
    <w:autoRedefine/>
    <w:locked/>
    <w:rsid w:val="00470966"/>
    <w:pPr>
      <w:spacing w:before="0"/>
      <w:ind w:firstLine="0"/>
      <w:jc w:val="left"/>
    </w:pPr>
    <w:rPr>
      <w:szCs w:val="22"/>
    </w:rPr>
  </w:style>
  <w:style w:type="paragraph" w:styleId="TOC9">
    <w:name w:val="toc 9"/>
    <w:basedOn w:val="Normal"/>
    <w:next w:val="Normal"/>
    <w:autoRedefine/>
    <w:locked/>
    <w:rsid w:val="00470966"/>
    <w:pPr>
      <w:spacing w:before="0"/>
      <w:ind w:firstLine="0"/>
      <w:jc w:val="left"/>
    </w:pPr>
    <w:rPr>
      <w:szCs w:val="22"/>
    </w:rPr>
  </w:style>
</w:styles>
</file>

<file path=word/webSettings.xml><?xml version="1.0" encoding="utf-8"?>
<w:webSettings xmlns:r="http://schemas.openxmlformats.org/officeDocument/2006/relationships" xmlns:w="http://schemas.openxmlformats.org/wordprocessingml/2006/main">
  <w:divs>
    <w:div w:id="6180148">
      <w:bodyDiv w:val="1"/>
      <w:marLeft w:val="0"/>
      <w:marRight w:val="0"/>
      <w:marTop w:val="0"/>
      <w:marBottom w:val="0"/>
      <w:divBdr>
        <w:top w:val="none" w:sz="0" w:space="0" w:color="auto"/>
        <w:left w:val="none" w:sz="0" w:space="0" w:color="auto"/>
        <w:bottom w:val="none" w:sz="0" w:space="0" w:color="auto"/>
        <w:right w:val="none" w:sz="0" w:space="0" w:color="auto"/>
      </w:divBdr>
    </w:div>
    <w:div w:id="6294069">
      <w:bodyDiv w:val="1"/>
      <w:marLeft w:val="0"/>
      <w:marRight w:val="0"/>
      <w:marTop w:val="0"/>
      <w:marBottom w:val="0"/>
      <w:divBdr>
        <w:top w:val="none" w:sz="0" w:space="0" w:color="auto"/>
        <w:left w:val="none" w:sz="0" w:space="0" w:color="auto"/>
        <w:bottom w:val="none" w:sz="0" w:space="0" w:color="auto"/>
        <w:right w:val="none" w:sz="0" w:space="0" w:color="auto"/>
      </w:divBdr>
    </w:div>
    <w:div w:id="7871830">
      <w:bodyDiv w:val="1"/>
      <w:marLeft w:val="0"/>
      <w:marRight w:val="0"/>
      <w:marTop w:val="0"/>
      <w:marBottom w:val="0"/>
      <w:divBdr>
        <w:top w:val="none" w:sz="0" w:space="0" w:color="auto"/>
        <w:left w:val="none" w:sz="0" w:space="0" w:color="auto"/>
        <w:bottom w:val="none" w:sz="0" w:space="0" w:color="auto"/>
        <w:right w:val="none" w:sz="0" w:space="0" w:color="auto"/>
      </w:divBdr>
    </w:div>
    <w:div w:id="18243695">
      <w:bodyDiv w:val="1"/>
      <w:marLeft w:val="0"/>
      <w:marRight w:val="0"/>
      <w:marTop w:val="0"/>
      <w:marBottom w:val="0"/>
      <w:divBdr>
        <w:top w:val="none" w:sz="0" w:space="0" w:color="auto"/>
        <w:left w:val="none" w:sz="0" w:space="0" w:color="auto"/>
        <w:bottom w:val="none" w:sz="0" w:space="0" w:color="auto"/>
        <w:right w:val="none" w:sz="0" w:space="0" w:color="auto"/>
      </w:divBdr>
    </w:div>
    <w:div w:id="22824527">
      <w:bodyDiv w:val="1"/>
      <w:marLeft w:val="0"/>
      <w:marRight w:val="0"/>
      <w:marTop w:val="0"/>
      <w:marBottom w:val="0"/>
      <w:divBdr>
        <w:top w:val="none" w:sz="0" w:space="0" w:color="auto"/>
        <w:left w:val="none" w:sz="0" w:space="0" w:color="auto"/>
        <w:bottom w:val="none" w:sz="0" w:space="0" w:color="auto"/>
        <w:right w:val="none" w:sz="0" w:space="0" w:color="auto"/>
      </w:divBdr>
    </w:div>
    <w:div w:id="38167650">
      <w:bodyDiv w:val="1"/>
      <w:marLeft w:val="0"/>
      <w:marRight w:val="0"/>
      <w:marTop w:val="0"/>
      <w:marBottom w:val="0"/>
      <w:divBdr>
        <w:top w:val="none" w:sz="0" w:space="0" w:color="auto"/>
        <w:left w:val="none" w:sz="0" w:space="0" w:color="auto"/>
        <w:bottom w:val="none" w:sz="0" w:space="0" w:color="auto"/>
        <w:right w:val="none" w:sz="0" w:space="0" w:color="auto"/>
      </w:divBdr>
    </w:div>
    <w:div w:id="41098034">
      <w:bodyDiv w:val="1"/>
      <w:marLeft w:val="0"/>
      <w:marRight w:val="0"/>
      <w:marTop w:val="0"/>
      <w:marBottom w:val="0"/>
      <w:divBdr>
        <w:top w:val="none" w:sz="0" w:space="0" w:color="auto"/>
        <w:left w:val="none" w:sz="0" w:space="0" w:color="auto"/>
        <w:bottom w:val="none" w:sz="0" w:space="0" w:color="auto"/>
        <w:right w:val="none" w:sz="0" w:space="0" w:color="auto"/>
      </w:divBdr>
    </w:div>
    <w:div w:id="43797691">
      <w:bodyDiv w:val="1"/>
      <w:marLeft w:val="0"/>
      <w:marRight w:val="0"/>
      <w:marTop w:val="0"/>
      <w:marBottom w:val="0"/>
      <w:divBdr>
        <w:top w:val="none" w:sz="0" w:space="0" w:color="auto"/>
        <w:left w:val="none" w:sz="0" w:space="0" w:color="auto"/>
        <w:bottom w:val="none" w:sz="0" w:space="0" w:color="auto"/>
        <w:right w:val="none" w:sz="0" w:space="0" w:color="auto"/>
      </w:divBdr>
    </w:div>
    <w:div w:id="99449978">
      <w:bodyDiv w:val="1"/>
      <w:marLeft w:val="0"/>
      <w:marRight w:val="0"/>
      <w:marTop w:val="0"/>
      <w:marBottom w:val="0"/>
      <w:divBdr>
        <w:top w:val="none" w:sz="0" w:space="0" w:color="auto"/>
        <w:left w:val="none" w:sz="0" w:space="0" w:color="auto"/>
        <w:bottom w:val="none" w:sz="0" w:space="0" w:color="auto"/>
        <w:right w:val="none" w:sz="0" w:space="0" w:color="auto"/>
      </w:divBdr>
    </w:div>
    <w:div w:id="103809370">
      <w:bodyDiv w:val="1"/>
      <w:marLeft w:val="0"/>
      <w:marRight w:val="0"/>
      <w:marTop w:val="0"/>
      <w:marBottom w:val="0"/>
      <w:divBdr>
        <w:top w:val="none" w:sz="0" w:space="0" w:color="auto"/>
        <w:left w:val="none" w:sz="0" w:space="0" w:color="auto"/>
        <w:bottom w:val="none" w:sz="0" w:space="0" w:color="auto"/>
        <w:right w:val="none" w:sz="0" w:space="0" w:color="auto"/>
      </w:divBdr>
    </w:div>
    <w:div w:id="158544701">
      <w:bodyDiv w:val="1"/>
      <w:marLeft w:val="0"/>
      <w:marRight w:val="0"/>
      <w:marTop w:val="0"/>
      <w:marBottom w:val="0"/>
      <w:divBdr>
        <w:top w:val="none" w:sz="0" w:space="0" w:color="auto"/>
        <w:left w:val="none" w:sz="0" w:space="0" w:color="auto"/>
        <w:bottom w:val="none" w:sz="0" w:space="0" w:color="auto"/>
        <w:right w:val="none" w:sz="0" w:space="0" w:color="auto"/>
      </w:divBdr>
    </w:div>
    <w:div w:id="187571894">
      <w:bodyDiv w:val="1"/>
      <w:marLeft w:val="0"/>
      <w:marRight w:val="0"/>
      <w:marTop w:val="0"/>
      <w:marBottom w:val="0"/>
      <w:divBdr>
        <w:top w:val="none" w:sz="0" w:space="0" w:color="auto"/>
        <w:left w:val="none" w:sz="0" w:space="0" w:color="auto"/>
        <w:bottom w:val="none" w:sz="0" w:space="0" w:color="auto"/>
        <w:right w:val="none" w:sz="0" w:space="0" w:color="auto"/>
      </w:divBdr>
    </w:div>
    <w:div w:id="193160171">
      <w:bodyDiv w:val="1"/>
      <w:marLeft w:val="0"/>
      <w:marRight w:val="0"/>
      <w:marTop w:val="0"/>
      <w:marBottom w:val="0"/>
      <w:divBdr>
        <w:top w:val="none" w:sz="0" w:space="0" w:color="auto"/>
        <w:left w:val="none" w:sz="0" w:space="0" w:color="auto"/>
        <w:bottom w:val="none" w:sz="0" w:space="0" w:color="auto"/>
        <w:right w:val="none" w:sz="0" w:space="0" w:color="auto"/>
      </w:divBdr>
    </w:div>
    <w:div w:id="203174298">
      <w:bodyDiv w:val="1"/>
      <w:marLeft w:val="0"/>
      <w:marRight w:val="0"/>
      <w:marTop w:val="0"/>
      <w:marBottom w:val="0"/>
      <w:divBdr>
        <w:top w:val="none" w:sz="0" w:space="0" w:color="auto"/>
        <w:left w:val="none" w:sz="0" w:space="0" w:color="auto"/>
        <w:bottom w:val="none" w:sz="0" w:space="0" w:color="auto"/>
        <w:right w:val="none" w:sz="0" w:space="0" w:color="auto"/>
      </w:divBdr>
    </w:div>
    <w:div w:id="211774169">
      <w:bodyDiv w:val="1"/>
      <w:marLeft w:val="0"/>
      <w:marRight w:val="0"/>
      <w:marTop w:val="0"/>
      <w:marBottom w:val="0"/>
      <w:divBdr>
        <w:top w:val="none" w:sz="0" w:space="0" w:color="auto"/>
        <w:left w:val="none" w:sz="0" w:space="0" w:color="auto"/>
        <w:bottom w:val="none" w:sz="0" w:space="0" w:color="auto"/>
        <w:right w:val="none" w:sz="0" w:space="0" w:color="auto"/>
      </w:divBdr>
    </w:div>
    <w:div w:id="225071598">
      <w:bodyDiv w:val="1"/>
      <w:marLeft w:val="0"/>
      <w:marRight w:val="0"/>
      <w:marTop w:val="0"/>
      <w:marBottom w:val="0"/>
      <w:divBdr>
        <w:top w:val="none" w:sz="0" w:space="0" w:color="auto"/>
        <w:left w:val="none" w:sz="0" w:space="0" w:color="auto"/>
        <w:bottom w:val="none" w:sz="0" w:space="0" w:color="auto"/>
        <w:right w:val="none" w:sz="0" w:space="0" w:color="auto"/>
      </w:divBdr>
    </w:div>
    <w:div w:id="231549047">
      <w:bodyDiv w:val="1"/>
      <w:marLeft w:val="0"/>
      <w:marRight w:val="0"/>
      <w:marTop w:val="0"/>
      <w:marBottom w:val="0"/>
      <w:divBdr>
        <w:top w:val="none" w:sz="0" w:space="0" w:color="auto"/>
        <w:left w:val="none" w:sz="0" w:space="0" w:color="auto"/>
        <w:bottom w:val="none" w:sz="0" w:space="0" w:color="auto"/>
        <w:right w:val="none" w:sz="0" w:space="0" w:color="auto"/>
      </w:divBdr>
    </w:div>
    <w:div w:id="234899614">
      <w:bodyDiv w:val="1"/>
      <w:marLeft w:val="0"/>
      <w:marRight w:val="0"/>
      <w:marTop w:val="0"/>
      <w:marBottom w:val="0"/>
      <w:divBdr>
        <w:top w:val="none" w:sz="0" w:space="0" w:color="auto"/>
        <w:left w:val="none" w:sz="0" w:space="0" w:color="auto"/>
        <w:bottom w:val="none" w:sz="0" w:space="0" w:color="auto"/>
        <w:right w:val="none" w:sz="0" w:space="0" w:color="auto"/>
      </w:divBdr>
    </w:div>
    <w:div w:id="265581481">
      <w:bodyDiv w:val="1"/>
      <w:marLeft w:val="0"/>
      <w:marRight w:val="0"/>
      <w:marTop w:val="0"/>
      <w:marBottom w:val="0"/>
      <w:divBdr>
        <w:top w:val="none" w:sz="0" w:space="0" w:color="auto"/>
        <w:left w:val="none" w:sz="0" w:space="0" w:color="auto"/>
        <w:bottom w:val="none" w:sz="0" w:space="0" w:color="auto"/>
        <w:right w:val="none" w:sz="0" w:space="0" w:color="auto"/>
      </w:divBdr>
    </w:div>
    <w:div w:id="265819932">
      <w:bodyDiv w:val="1"/>
      <w:marLeft w:val="0"/>
      <w:marRight w:val="0"/>
      <w:marTop w:val="0"/>
      <w:marBottom w:val="0"/>
      <w:divBdr>
        <w:top w:val="none" w:sz="0" w:space="0" w:color="auto"/>
        <w:left w:val="none" w:sz="0" w:space="0" w:color="auto"/>
        <w:bottom w:val="none" w:sz="0" w:space="0" w:color="auto"/>
        <w:right w:val="none" w:sz="0" w:space="0" w:color="auto"/>
      </w:divBdr>
      <w:divsChild>
        <w:div w:id="1791431518">
          <w:marLeft w:val="0"/>
          <w:marRight w:val="0"/>
          <w:marTop w:val="0"/>
          <w:marBottom w:val="0"/>
          <w:divBdr>
            <w:top w:val="none" w:sz="0" w:space="0" w:color="auto"/>
            <w:left w:val="none" w:sz="0" w:space="0" w:color="auto"/>
            <w:bottom w:val="none" w:sz="0" w:space="0" w:color="auto"/>
            <w:right w:val="none" w:sz="0" w:space="0" w:color="auto"/>
          </w:divBdr>
        </w:div>
      </w:divsChild>
    </w:div>
    <w:div w:id="282272571">
      <w:bodyDiv w:val="1"/>
      <w:marLeft w:val="0"/>
      <w:marRight w:val="0"/>
      <w:marTop w:val="0"/>
      <w:marBottom w:val="0"/>
      <w:divBdr>
        <w:top w:val="none" w:sz="0" w:space="0" w:color="auto"/>
        <w:left w:val="none" w:sz="0" w:space="0" w:color="auto"/>
        <w:bottom w:val="none" w:sz="0" w:space="0" w:color="auto"/>
        <w:right w:val="none" w:sz="0" w:space="0" w:color="auto"/>
      </w:divBdr>
      <w:divsChild>
        <w:div w:id="980188950">
          <w:marLeft w:val="0"/>
          <w:marRight w:val="0"/>
          <w:marTop w:val="0"/>
          <w:marBottom w:val="240"/>
          <w:divBdr>
            <w:top w:val="none" w:sz="0" w:space="0" w:color="auto"/>
            <w:left w:val="none" w:sz="0" w:space="0" w:color="auto"/>
            <w:bottom w:val="none" w:sz="0" w:space="0" w:color="auto"/>
            <w:right w:val="none" w:sz="0" w:space="0" w:color="auto"/>
          </w:divBdr>
        </w:div>
      </w:divsChild>
    </w:div>
    <w:div w:id="284965536">
      <w:bodyDiv w:val="1"/>
      <w:marLeft w:val="0"/>
      <w:marRight w:val="0"/>
      <w:marTop w:val="0"/>
      <w:marBottom w:val="0"/>
      <w:divBdr>
        <w:top w:val="none" w:sz="0" w:space="0" w:color="auto"/>
        <w:left w:val="none" w:sz="0" w:space="0" w:color="auto"/>
        <w:bottom w:val="none" w:sz="0" w:space="0" w:color="auto"/>
        <w:right w:val="none" w:sz="0" w:space="0" w:color="auto"/>
      </w:divBdr>
    </w:div>
    <w:div w:id="313722549">
      <w:bodyDiv w:val="1"/>
      <w:marLeft w:val="0"/>
      <w:marRight w:val="0"/>
      <w:marTop w:val="0"/>
      <w:marBottom w:val="0"/>
      <w:divBdr>
        <w:top w:val="none" w:sz="0" w:space="0" w:color="auto"/>
        <w:left w:val="none" w:sz="0" w:space="0" w:color="auto"/>
        <w:bottom w:val="none" w:sz="0" w:space="0" w:color="auto"/>
        <w:right w:val="none" w:sz="0" w:space="0" w:color="auto"/>
      </w:divBdr>
    </w:div>
    <w:div w:id="332800859">
      <w:bodyDiv w:val="1"/>
      <w:marLeft w:val="0"/>
      <w:marRight w:val="0"/>
      <w:marTop w:val="0"/>
      <w:marBottom w:val="0"/>
      <w:divBdr>
        <w:top w:val="none" w:sz="0" w:space="0" w:color="auto"/>
        <w:left w:val="none" w:sz="0" w:space="0" w:color="auto"/>
        <w:bottom w:val="none" w:sz="0" w:space="0" w:color="auto"/>
        <w:right w:val="none" w:sz="0" w:space="0" w:color="auto"/>
      </w:divBdr>
    </w:div>
    <w:div w:id="333193527">
      <w:bodyDiv w:val="1"/>
      <w:marLeft w:val="0"/>
      <w:marRight w:val="0"/>
      <w:marTop w:val="0"/>
      <w:marBottom w:val="0"/>
      <w:divBdr>
        <w:top w:val="none" w:sz="0" w:space="0" w:color="auto"/>
        <w:left w:val="none" w:sz="0" w:space="0" w:color="auto"/>
        <w:bottom w:val="none" w:sz="0" w:space="0" w:color="auto"/>
        <w:right w:val="none" w:sz="0" w:space="0" w:color="auto"/>
      </w:divBdr>
    </w:div>
    <w:div w:id="335614484">
      <w:bodyDiv w:val="1"/>
      <w:marLeft w:val="0"/>
      <w:marRight w:val="0"/>
      <w:marTop w:val="0"/>
      <w:marBottom w:val="0"/>
      <w:divBdr>
        <w:top w:val="none" w:sz="0" w:space="0" w:color="auto"/>
        <w:left w:val="none" w:sz="0" w:space="0" w:color="auto"/>
        <w:bottom w:val="none" w:sz="0" w:space="0" w:color="auto"/>
        <w:right w:val="none" w:sz="0" w:space="0" w:color="auto"/>
      </w:divBdr>
    </w:div>
    <w:div w:id="340787883">
      <w:bodyDiv w:val="1"/>
      <w:marLeft w:val="0"/>
      <w:marRight w:val="0"/>
      <w:marTop w:val="0"/>
      <w:marBottom w:val="0"/>
      <w:divBdr>
        <w:top w:val="none" w:sz="0" w:space="0" w:color="auto"/>
        <w:left w:val="none" w:sz="0" w:space="0" w:color="auto"/>
        <w:bottom w:val="none" w:sz="0" w:space="0" w:color="auto"/>
        <w:right w:val="none" w:sz="0" w:space="0" w:color="auto"/>
      </w:divBdr>
    </w:div>
    <w:div w:id="349844744">
      <w:bodyDiv w:val="1"/>
      <w:marLeft w:val="0"/>
      <w:marRight w:val="0"/>
      <w:marTop w:val="0"/>
      <w:marBottom w:val="0"/>
      <w:divBdr>
        <w:top w:val="none" w:sz="0" w:space="0" w:color="auto"/>
        <w:left w:val="none" w:sz="0" w:space="0" w:color="auto"/>
        <w:bottom w:val="none" w:sz="0" w:space="0" w:color="auto"/>
        <w:right w:val="none" w:sz="0" w:space="0" w:color="auto"/>
      </w:divBdr>
    </w:div>
    <w:div w:id="355275366">
      <w:bodyDiv w:val="1"/>
      <w:marLeft w:val="0"/>
      <w:marRight w:val="0"/>
      <w:marTop w:val="0"/>
      <w:marBottom w:val="0"/>
      <w:divBdr>
        <w:top w:val="none" w:sz="0" w:space="0" w:color="auto"/>
        <w:left w:val="none" w:sz="0" w:space="0" w:color="auto"/>
        <w:bottom w:val="none" w:sz="0" w:space="0" w:color="auto"/>
        <w:right w:val="none" w:sz="0" w:space="0" w:color="auto"/>
      </w:divBdr>
    </w:div>
    <w:div w:id="378281417">
      <w:bodyDiv w:val="1"/>
      <w:marLeft w:val="0"/>
      <w:marRight w:val="0"/>
      <w:marTop w:val="0"/>
      <w:marBottom w:val="0"/>
      <w:divBdr>
        <w:top w:val="none" w:sz="0" w:space="0" w:color="auto"/>
        <w:left w:val="none" w:sz="0" w:space="0" w:color="auto"/>
        <w:bottom w:val="none" w:sz="0" w:space="0" w:color="auto"/>
        <w:right w:val="none" w:sz="0" w:space="0" w:color="auto"/>
      </w:divBdr>
    </w:div>
    <w:div w:id="395858570">
      <w:bodyDiv w:val="1"/>
      <w:marLeft w:val="0"/>
      <w:marRight w:val="0"/>
      <w:marTop w:val="0"/>
      <w:marBottom w:val="0"/>
      <w:divBdr>
        <w:top w:val="none" w:sz="0" w:space="0" w:color="auto"/>
        <w:left w:val="none" w:sz="0" w:space="0" w:color="auto"/>
        <w:bottom w:val="none" w:sz="0" w:space="0" w:color="auto"/>
        <w:right w:val="none" w:sz="0" w:space="0" w:color="auto"/>
      </w:divBdr>
    </w:div>
    <w:div w:id="403841577">
      <w:bodyDiv w:val="1"/>
      <w:marLeft w:val="0"/>
      <w:marRight w:val="0"/>
      <w:marTop w:val="0"/>
      <w:marBottom w:val="0"/>
      <w:divBdr>
        <w:top w:val="none" w:sz="0" w:space="0" w:color="auto"/>
        <w:left w:val="none" w:sz="0" w:space="0" w:color="auto"/>
        <w:bottom w:val="none" w:sz="0" w:space="0" w:color="auto"/>
        <w:right w:val="none" w:sz="0" w:space="0" w:color="auto"/>
      </w:divBdr>
    </w:div>
    <w:div w:id="406919940">
      <w:bodyDiv w:val="1"/>
      <w:marLeft w:val="0"/>
      <w:marRight w:val="0"/>
      <w:marTop w:val="0"/>
      <w:marBottom w:val="0"/>
      <w:divBdr>
        <w:top w:val="none" w:sz="0" w:space="0" w:color="auto"/>
        <w:left w:val="none" w:sz="0" w:space="0" w:color="auto"/>
        <w:bottom w:val="none" w:sz="0" w:space="0" w:color="auto"/>
        <w:right w:val="none" w:sz="0" w:space="0" w:color="auto"/>
      </w:divBdr>
    </w:div>
    <w:div w:id="431055751">
      <w:bodyDiv w:val="1"/>
      <w:marLeft w:val="0"/>
      <w:marRight w:val="0"/>
      <w:marTop w:val="0"/>
      <w:marBottom w:val="0"/>
      <w:divBdr>
        <w:top w:val="none" w:sz="0" w:space="0" w:color="auto"/>
        <w:left w:val="none" w:sz="0" w:space="0" w:color="auto"/>
        <w:bottom w:val="none" w:sz="0" w:space="0" w:color="auto"/>
        <w:right w:val="none" w:sz="0" w:space="0" w:color="auto"/>
      </w:divBdr>
    </w:div>
    <w:div w:id="436099150">
      <w:bodyDiv w:val="1"/>
      <w:marLeft w:val="0"/>
      <w:marRight w:val="0"/>
      <w:marTop w:val="0"/>
      <w:marBottom w:val="0"/>
      <w:divBdr>
        <w:top w:val="none" w:sz="0" w:space="0" w:color="auto"/>
        <w:left w:val="none" w:sz="0" w:space="0" w:color="auto"/>
        <w:bottom w:val="none" w:sz="0" w:space="0" w:color="auto"/>
        <w:right w:val="none" w:sz="0" w:space="0" w:color="auto"/>
      </w:divBdr>
    </w:div>
    <w:div w:id="440878195">
      <w:bodyDiv w:val="1"/>
      <w:marLeft w:val="0"/>
      <w:marRight w:val="0"/>
      <w:marTop w:val="0"/>
      <w:marBottom w:val="0"/>
      <w:divBdr>
        <w:top w:val="none" w:sz="0" w:space="0" w:color="auto"/>
        <w:left w:val="none" w:sz="0" w:space="0" w:color="auto"/>
        <w:bottom w:val="none" w:sz="0" w:space="0" w:color="auto"/>
        <w:right w:val="none" w:sz="0" w:space="0" w:color="auto"/>
      </w:divBdr>
    </w:div>
    <w:div w:id="461192440">
      <w:bodyDiv w:val="1"/>
      <w:marLeft w:val="0"/>
      <w:marRight w:val="0"/>
      <w:marTop w:val="0"/>
      <w:marBottom w:val="0"/>
      <w:divBdr>
        <w:top w:val="none" w:sz="0" w:space="0" w:color="auto"/>
        <w:left w:val="none" w:sz="0" w:space="0" w:color="auto"/>
        <w:bottom w:val="none" w:sz="0" w:space="0" w:color="auto"/>
        <w:right w:val="none" w:sz="0" w:space="0" w:color="auto"/>
      </w:divBdr>
    </w:div>
    <w:div w:id="466748244">
      <w:bodyDiv w:val="1"/>
      <w:marLeft w:val="0"/>
      <w:marRight w:val="0"/>
      <w:marTop w:val="0"/>
      <w:marBottom w:val="0"/>
      <w:divBdr>
        <w:top w:val="none" w:sz="0" w:space="0" w:color="auto"/>
        <w:left w:val="none" w:sz="0" w:space="0" w:color="auto"/>
        <w:bottom w:val="none" w:sz="0" w:space="0" w:color="auto"/>
        <w:right w:val="none" w:sz="0" w:space="0" w:color="auto"/>
      </w:divBdr>
    </w:div>
    <w:div w:id="472449825">
      <w:bodyDiv w:val="1"/>
      <w:marLeft w:val="0"/>
      <w:marRight w:val="0"/>
      <w:marTop w:val="0"/>
      <w:marBottom w:val="0"/>
      <w:divBdr>
        <w:top w:val="none" w:sz="0" w:space="0" w:color="auto"/>
        <w:left w:val="none" w:sz="0" w:space="0" w:color="auto"/>
        <w:bottom w:val="none" w:sz="0" w:space="0" w:color="auto"/>
        <w:right w:val="none" w:sz="0" w:space="0" w:color="auto"/>
      </w:divBdr>
    </w:div>
    <w:div w:id="486899076">
      <w:bodyDiv w:val="1"/>
      <w:marLeft w:val="0"/>
      <w:marRight w:val="0"/>
      <w:marTop w:val="0"/>
      <w:marBottom w:val="0"/>
      <w:divBdr>
        <w:top w:val="none" w:sz="0" w:space="0" w:color="auto"/>
        <w:left w:val="none" w:sz="0" w:space="0" w:color="auto"/>
        <w:bottom w:val="none" w:sz="0" w:space="0" w:color="auto"/>
        <w:right w:val="none" w:sz="0" w:space="0" w:color="auto"/>
      </w:divBdr>
    </w:div>
    <w:div w:id="500849424">
      <w:bodyDiv w:val="1"/>
      <w:marLeft w:val="0"/>
      <w:marRight w:val="0"/>
      <w:marTop w:val="0"/>
      <w:marBottom w:val="0"/>
      <w:divBdr>
        <w:top w:val="none" w:sz="0" w:space="0" w:color="auto"/>
        <w:left w:val="none" w:sz="0" w:space="0" w:color="auto"/>
        <w:bottom w:val="none" w:sz="0" w:space="0" w:color="auto"/>
        <w:right w:val="none" w:sz="0" w:space="0" w:color="auto"/>
      </w:divBdr>
    </w:div>
    <w:div w:id="504170447">
      <w:bodyDiv w:val="1"/>
      <w:marLeft w:val="0"/>
      <w:marRight w:val="0"/>
      <w:marTop w:val="0"/>
      <w:marBottom w:val="0"/>
      <w:divBdr>
        <w:top w:val="none" w:sz="0" w:space="0" w:color="auto"/>
        <w:left w:val="none" w:sz="0" w:space="0" w:color="auto"/>
        <w:bottom w:val="none" w:sz="0" w:space="0" w:color="auto"/>
        <w:right w:val="none" w:sz="0" w:space="0" w:color="auto"/>
      </w:divBdr>
    </w:div>
    <w:div w:id="521015008">
      <w:bodyDiv w:val="1"/>
      <w:marLeft w:val="0"/>
      <w:marRight w:val="0"/>
      <w:marTop w:val="0"/>
      <w:marBottom w:val="0"/>
      <w:divBdr>
        <w:top w:val="none" w:sz="0" w:space="0" w:color="auto"/>
        <w:left w:val="none" w:sz="0" w:space="0" w:color="auto"/>
        <w:bottom w:val="none" w:sz="0" w:space="0" w:color="auto"/>
        <w:right w:val="none" w:sz="0" w:space="0" w:color="auto"/>
      </w:divBdr>
    </w:div>
    <w:div w:id="524176484">
      <w:bodyDiv w:val="1"/>
      <w:marLeft w:val="0"/>
      <w:marRight w:val="0"/>
      <w:marTop w:val="0"/>
      <w:marBottom w:val="0"/>
      <w:divBdr>
        <w:top w:val="none" w:sz="0" w:space="0" w:color="auto"/>
        <w:left w:val="none" w:sz="0" w:space="0" w:color="auto"/>
        <w:bottom w:val="none" w:sz="0" w:space="0" w:color="auto"/>
        <w:right w:val="none" w:sz="0" w:space="0" w:color="auto"/>
      </w:divBdr>
    </w:div>
    <w:div w:id="525868422">
      <w:bodyDiv w:val="1"/>
      <w:marLeft w:val="0"/>
      <w:marRight w:val="0"/>
      <w:marTop w:val="0"/>
      <w:marBottom w:val="0"/>
      <w:divBdr>
        <w:top w:val="none" w:sz="0" w:space="0" w:color="auto"/>
        <w:left w:val="none" w:sz="0" w:space="0" w:color="auto"/>
        <w:bottom w:val="none" w:sz="0" w:space="0" w:color="auto"/>
        <w:right w:val="none" w:sz="0" w:space="0" w:color="auto"/>
      </w:divBdr>
      <w:divsChild>
        <w:div w:id="885526300">
          <w:marLeft w:val="0"/>
          <w:marRight w:val="0"/>
          <w:marTop w:val="0"/>
          <w:marBottom w:val="240"/>
          <w:divBdr>
            <w:top w:val="none" w:sz="0" w:space="0" w:color="auto"/>
            <w:left w:val="none" w:sz="0" w:space="0" w:color="auto"/>
            <w:bottom w:val="none" w:sz="0" w:space="0" w:color="auto"/>
            <w:right w:val="none" w:sz="0" w:space="0" w:color="auto"/>
          </w:divBdr>
        </w:div>
      </w:divsChild>
    </w:div>
    <w:div w:id="530842969">
      <w:bodyDiv w:val="1"/>
      <w:marLeft w:val="0"/>
      <w:marRight w:val="0"/>
      <w:marTop w:val="0"/>
      <w:marBottom w:val="0"/>
      <w:divBdr>
        <w:top w:val="none" w:sz="0" w:space="0" w:color="auto"/>
        <w:left w:val="none" w:sz="0" w:space="0" w:color="auto"/>
        <w:bottom w:val="none" w:sz="0" w:space="0" w:color="auto"/>
        <w:right w:val="none" w:sz="0" w:space="0" w:color="auto"/>
      </w:divBdr>
    </w:div>
    <w:div w:id="535702526">
      <w:bodyDiv w:val="1"/>
      <w:marLeft w:val="0"/>
      <w:marRight w:val="0"/>
      <w:marTop w:val="0"/>
      <w:marBottom w:val="0"/>
      <w:divBdr>
        <w:top w:val="none" w:sz="0" w:space="0" w:color="auto"/>
        <w:left w:val="none" w:sz="0" w:space="0" w:color="auto"/>
        <w:bottom w:val="none" w:sz="0" w:space="0" w:color="auto"/>
        <w:right w:val="none" w:sz="0" w:space="0" w:color="auto"/>
      </w:divBdr>
    </w:div>
    <w:div w:id="535890090">
      <w:bodyDiv w:val="1"/>
      <w:marLeft w:val="0"/>
      <w:marRight w:val="0"/>
      <w:marTop w:val="0"/>
      <w:marBottom w:val="0"/>
      <w:divBdr>
        <w:top w:val="none" w:sz="0" w:space="0" w:color="auto"/>
        <w:left w:val="none" w:sz="0" w:space="0" w:color="auto"/>
        <w:bottom w:val="none" w:sz="0" w:space="0" w:color="auto"/>
        <w:right w:val="none" w:sz="0" w:space="0" w:color="auto"/>
      </w:divBdr>
    </w:div>
    <w:div w:id="547885601">
      <w:bodyDiv w:val="1"/>
      <w:marLeft w:val="0"/>
      <w:marRight w:val="0"/>
      <w:marTop w:val="0"/>
      <w:marBottom w:val="0"/>
      <w:divBdr>
        <w:top w:val="none" w:sz="0" w:space="0" w:color="auto"/>
        <w:left w:val="none" w:sz="0" w:space="0" w:color="auto"/>
        <w:bottom w:val="none" w:sz="0" w:space="0" w:color="auto"/>
        <w:right w:val="none" w:sz="0" w:space="0" w:color="auto"/>
      </w:divBdr>
    </w:div>
    <w:div w:id="550577671">
      <w:bodyDiv w:val="1"/>
      <w:marLeft w:val="0"/>
      <w:marRight w:val="0"/>
      <w:marTop w:val="0"/>
      <w:marBottom w:val="0"/>
      <w:divBdr>
        <w:top w:val="none" w:sz="0" w:space="0" w:color="auto"/>
        <w:left w:val="none" w:sz="0" w:space="0" w:color="auto"/>
        <w:bottom w:val="none" w:sz="0" w:space="0" w:color="auto"/>
        <w:right w:val="none" w:sz="0" w:space="0" w:color="auto"/>
      </w:divBdr>
    </w:div>
    <w:div w:id="558170336">
      <w:bodyDiv w:val="1"/>
      <w:marLeft w:val="0"/>
      <w:marRight w:val="0"/>
      <w:marTop w:val="0"/>
      <w:marBottom w:val="0"/>
      <w:divBdr>
        <w:top w:val="none" w:sz="0" w:space="0" w:color="auto"/>
        <w:left w:val="none" w:sz="0" w:space="0" w:color="auto"/>
        <w:bottom w:val="none" w:sz="0" w:space="0" w:color="auto"/>
        <w:right w:val="none" w:sz="0" w:space="0" w:color="auto"/>
      </w:divBdr>
    </w:div>
    <w:div w:id="560022382">
      <w:bodyDiv w:val="1"/>
      <w:marLeft w:val="0"/>
      <w:marRight w:val="0"/>
      <w:marTop w:val="0"/>
      <w:marBottom w:val="0"/>
      <w:divBdr>
        <w:top w:val="none" w:sz="0" w:space="0" w:color="auto"/>
        <w:left w:val="none" w:sz="0" w:space="0" w:color="auto"/>
        <w:bottom w:val="none" w:sz="0" w:space="0" w:color="auto"/>
        <w:right w:val="none" w:sz="0" w:space="0" w:color="auto"/>
      </w:divBdr>
      <w:divsChild>
        <w:div w:id="1774016262">
          <w:marLeft w:val="0"/>
          <w:marRight w:val="0"/>
          <w:marTop w:val="0"/>
          <w:marBottom w:val="240"/>
          <w:divBdr>
            <w:top w:val="none" w:sz="0" w:space="0" w:color="auto"/>
            <w:left w:val="none" w:sz="0" w:space="0" w:color="auto"/>
            <w:bottom w:val="none" w:sz="0" w:space="0" w:color="auto"/>
            <w:right w:val="none" w:sz="0" w:space="0" w:color="auto"/>
          </w:divBdr>
        </w:div>
      </w:divsChild>
    </w:div>
    <w:div w:id="560335495">
      <w:bodyDiv w:val="1"/>
      <w:marLeft w:val="0"/>
      <w:marRight w:val="0"/>
      <w:marTop w:val="0"/>
      <w:marBottom w:val="0"/>
      <w:divBdr>
        <w:top w:val="none" w:sz="0" w:space="0" w:color="auto"/>
        <w:left w:val="none" w:sz="0" w:space="0" w:color="auto"/>
        <w:bottom w:val="none" w:sz="0" w:space="0" w:color="auto"/>
        <w:right w:val="none" w:sz="0" w:space="0" w:color="auto"/>
      </w:divBdr>
    </w:div>
    <w:div w:id="566841010">
      <w:bodyDiv w:val="1"/>
      <w:marLeft w:val="0"/>
      <w:marRight w:val="0"/>
      <w:marTop w:val="0"/>
      <w:marBottom w:val="0"/>
      <w:divBdr>
        <w:top w:val="none" w:sz="0" w:space="0" w:color="auto"/>
        <w:left w:val="none" w:sz="0" w:space="0" w:color="auto"/>
        <w:bottom w:val="none" w:sz="0" w:space="0" w:color="auto"/>
        <w:right w:val="none" w:sz="0" w:space="0" w:color="auto"/>
      </w:divBdr>
    </w:div>
    <w:div w:id="591426987">
      <w:bodyDiv w:val="1"/>
      <w:marLeft w:val="0"/>
      <w:marRight w:val="0"/>
      <w:marTop w:val="0"/>
      <w:marBottom w:val="0"/>
      <w:divBdr>
        <w:top w:val="none" w:sz="0" w:space="0" w:color="auto"/>
        <w:left w:val="none" w:sz="0" w:space="0" w:color="auto"/>
        <w:bottom w:val="none" w:sz="0" w:space="0" w:color="auto"/>
        <w:right w:val="none" w:sz="0" w:space="0" w:color="auto"/>
      </w:divBdr>
    </w:div>
    <w:div w:id="603803263">
      <w:bodyDiv w:val="1"/>
      <w:marLeft w:val="0"/>
      <w:marRight w:val="0"/>
      <w:marTop w:val="0"/>
      <w:marBottom w:val="0"/>
      <w:divBdr>
        <w:top w:val="none" w:sz="0" w:space="0" w:color="auto"/>
        <w:left w:val="none" w:sz="0" w:space="0" w:color="auto"/>
        <w:bottom w:val="none" w:sz="0" w:space="0" w:color="auto"/>
        <w:right w:val="none" w:sz="0" w:space="0" w:color="auto"/>
      </w:divBdr>
    </w:div>
    <w:div w:id="615329065">
      <w:bodyDiv w:val="1"/>
      <w:marLeft w:val="0"/>
      <w:marRight w:val="0"/>
      <w:marTop w:val="0"/>
      <w:marBottom w:val="0"/>
      <w:divBdr>
        <w:top w:val="none" w:sz="0" w:space="0" w:color="auto"/>
        <w:left w:val="none" w:sz="0" w:space="0" w:color="auto"/>
        <w:bottom w:val="none" w:sz="0" w:space="0" w:color="auto"/>
        <w:right w:val="none" w:sz="0" w:space="0" w:color="auto"/>
      </w:divBdr>
    </w:div>
    <w:div w:id="617185044">
      <w:bodyDiv w:val="1"/>
      <w:marLeft w:val="0"/>
      <w:marRight w:val="0"/>
      <w:marTop w:val="0"/>
      <w:marBottom w:val="0"/>
      <w:divBdr>
        <w:top w:val="none" w:sz="0" w:space="0" w:color="auto"/>
        <w:left w:val="none" w:sz="0" w:space="0" w:color="auto"/>
        <w:bottom w:val="none" w:sz="0" w:space="0" w:color="auto"/>
        <w:right w:val="none" w:sz="0" w:space="0" w:color="auto"/>
      </w:divBdr>
    </w:div>
    <w:div w:id="659625388">
      <w:bodyDiv w:val="1"/>
      <w:marLeft w:val="0"/>
      <w:marRight w:val="0"/>
      <w:marTop w:val="0"/>
      <w:marBottom w:val="0"/>
      <w:divBdr>
        <w:top w:val="none" w:sz="0" w:space="0" w:color="auto"/>
        <w:left w:val="none" w:sz="0" w:space="0" w:color="auto"/>
        <w:bottom w:val="none" w:sz="0" w:space="0" w:color="auto"/>
        <w:right w:val="none" w:sz="0" w:space="0" w:color="auto"/>
      </w:divBdr>
    </w:div>
    <w:div w:id="662317735">
      <w:bodyDiv w:val="1"/>
      <w:marLeft w:val="0"/>
      <w:marRight w:val="0"/>
      <w:marTop w:val="0"/>
      <w:marBottom w:val="0"/>
      <w:divBdr>
        <w:top w:val="none" w:sz="0" w:space="0" w:color="auto"/>
        <w:left w:val="none" w:sz="0" w:space="0" w:color="auto"/>
        <w:bottom w:val="none" w:sz="0" w:space="0" w:color="auto"/>
        <w:right w:val="none" w:sz="0" w:space="0" w:color="auto"/>
      </w:divBdr>
    </w:div>
    <w:div w:id="663437511">
      <w:bodyDiv w:val="1"/>
      <w:marLeft w:val="0"/>
      <w:marRight w:val="0"/>
      <w:marTop w:val="0"/>
      <w:marBottom w:val="0"/>
      <w:divBdr>
        <w:top w:val="none" w:sz="0" w:space="0" w:color="auto"/>
        <w:left w:val="none" w:sz="0" w:space="0" w:color="auto"/>
        <w:bottom w:val="none" w:sz="0" w:space="0" w:color="auto"/>
        <w:right w:val="none" w:sz="0" w:space="0" w:color="auto"/>
      </w:divBdr>
    </w:div>
    <w:div w:id="671226761">
      <w:bodyDiv w:val="1"/>
      <w:marLeft w:val="0"/>
      <w:marRight w:val="0"/>
      <w:marTop w:val="0"/>
      <w:marBottom w:val="0"/>
      <w:divBdr>
        <w:top w:val="none" w:sz="0" w:space="0" w:color="auto"/>
        <w:left w:val="none" w:sz="0" w:space="0" w:color="auto"/>
        <w:bottom w:val="none" w:sz="0" w:space="0" w:color="auto"/>
        <w:right w:val="none" w:sz="0" w:space="0" w:color="auto"/>
      </w:divBdr>
    </w:div>
    <w:div w:id="688529898">
      <w:bodyDiv w:val="1"/>
      <w:marLeft w:val="0"/>
      <w:marRight w:val="0"/>
      <w:marTop w:val="0"/>
      <w:marBottom w:val="0"/>
      <w:divBdr>
        <w:top w:val="none" w:sz="0" w:space="0" w:color="auto"/>
        <w:left w:val="none" w:sz="0" w:space="0" w:color="auto"/>
        <w:bottom w:val="none" w:sz="0" w:space="0" w:color="auto"/>
        <w:right w:val="none" w:sz="0" w:space="0" w:color="auto"/>
      </w:divBdr>
    </w:div>
    <w:div w:id="691341926">
      <w:bodyDiv w:val="1"/>
      <w:marLeft w:val="0"/>
      <w:marRight w:val="0"/>
      <w:marTop w:val="0"/>
      <w:marBottom w:val="0"/>
      <w:divBdr>
        <w:top w:val="none" w:sz="0" w:space="0" w:color="auto"/>
        <w:left w:val="none" w:sz="0" w:space="0" w:color="auto"/>
        <w:bottom w:val="none" w:sz="0" w:space="0" w:color="auto"/>
        <w:right w:val="none" w:sz="0" w:space="0" w:color="auto"/>
      </w:divBdr>
    </w:div>
    <w:div w:id="717122145">
      <w:bodyDiv w:val="1"/>
      <w:marLeft w:val="0"/>
      <w:marRight w:val="0"/>
      <w:marTop w:val="0"/>
      <w:marBottom w:val="0"/>
      <w:divBdr>
        <w:top w:val="none" w:sz="0" w:space="0" w:color="auto"/>
        <w:left w:val="none" w:sz="0" w:space="0" w:color="auto"/>
        <w:bottom w:val="none" w:sz="0" w:space="0" w:color="auto"/>
        <w:right w:val="none" w:sz="0" w:space="0" w:color="auto"/>
      </w:divBdr>
    </w:div>
    <w:div w:id="730813924">
      <w:bodyDiv w:val="1"/>
      <w:marLeft w:val="0"/>
      <w:marRight w:val="0"/>
      <w:marTop w:val="0"/>
      <w:marBottom w:val="0"/>
      <w:divBdr>
        <w:top w:val="none" w:sz="0" w:space="0" w:color="auto"/>
        <w:left w:val="none" w:sz="0" w:space="0" w:color="auto"/>
        <w:bottom w:val="none" w:sz="0" w:space="0" w:color="auto"/>
        <w:right w:val="none" w:sz="0" w:space="0" w:color="auto"/>
      </w:divBdr>
    </w:div>
    <w:div w:id="731345295">
      <w:bodyDiv w:val="1"/>
      <w:marLeft w:val="0"/>
      <w:marRight w:val="0"/>
      <w:marTop w:val="0"/>
      <w:marBottom w:val="0"/>
      <w:divBdr>
        <w:top w:val="none" w:sz="0" w:space="0" w:color="auto"/>
        <w:left w:val="none" w:sz="0" w:space="0" w:color="auto"/>
        <w:bottom w:val="none" w:sz="0" w:space="0" w:color="auto"/>
        <w:right w:val="none" w:sz="0" w:space="0" w:color="auto"/>
      </w:divBdr>
    </w:div>
    <w:div w:id="746076939">
      <w:bodyDiv w:val="1"/>
      <w:marLeft w:val="0"/>
      <w:marRight w:val="0"/>
      <w:marTop w:val="0"/>
      <w:marBottom w:val="0"/>
      <w:divBdr>
        <w:top w:val="none" w:sz="0" w:space="0" w:color="auto"/>
        <w:left w:val="none" w:sz="0" w:space="0" w:color="auto"/>
        <w:bottom w:val="none" w:sz="0" w:space="0" w:color="auto"/>
        <w:right w:val="none" w:sz="0" w:space="0" w:color="auto"/>
      </w:divBdr>
    </w:div>
    <w:div w:id="749892095">
      <w:bodyDiv w:val="1"/>
      <w:marLeft w:val="0"/>
      <w:marRight w:val="0"/>
      <w:marTop w:val="0"/>
      <w:marBottom w:val="0"/>
      <w:divBdr>
        <w:top w:val="none" w:sz="0" w:space="0" w:color="auto"/>
        <w:left w:val="none" w:sz="0" w:space="0" w:color="auto"/>
        <w:bottom w:val="none" w:sz="0" w:space="0" w:color="auto"/>
        <w:right w:val="none" w:sz="0" w:space="0" w:color="auto"/>
      </w:divBdr>
    </w:div>
    <w:div w:id="751391391">
      <w:bodyDiv w:val="1"/>
      <w:marLeft w:val="0"/>
      <w:marRight w:val="0"/>
      <w:marTop w:val="0"/>
      <w:marBottom w:val="0"/>
      <w:divBdr>
        <w:top w:val="none" w:sz="0" w:space="0" w:color="auto"/>
        <w:left w:val="none" w:sz="0" w:space="0" w:color="auto"/>
        <w:bottom w:val="none" w:sz="0" w:space="0" w:color="auto"/>
        <w:right w:val="none" w:sz="0" w:space="0" w:color="auto"/>
      </w:divBdr>
    </w:div>
    <w:div w:id="754739563">
      <w:bodyDiv w:val="1"/>
      <w:marLeft w:val="0"/>
      <w:marRight w:val="0"/>
      <w:marTop w:val="0"/>
      <w:marBottom w:val="0"/>
      <w:divBdr>
        <w:top w:val="none" w:sz="0" w:space="0" w:color="auto"/>
        <w:left w:val="none" w:sz="0" w:space="0" w:color="auto"/>
        <w:bottom w:val="none" w:sz="0" w:space="0" w:color="auto"/>
        <w:right w:val="none" w:sz="0" w:space="0" w:color="auto"/>
      </w:divBdr>
    </w:div>
    <w:div w:id="770591023">
      <w:bodyDiv w:val="1"/>
      <w:marLeft w:val="0"/>
      <w:marRight w:val="0"/>
      <w:marTop w:val="0"/>
      <w:marBottom w:val="0"/>
      <w:divBdr>
        <w:top w:val="none" w:sz="0" w:space="0" w:color="auto"/>
        <w:left w:val="none" w:sz="0" w:space="0" w:color="auto"/>
        <w:bottom w:val="none" w:sz="0" w:space="0" w:color="auto"/>
        <w:right w:val="none" w:sz="0" w:space="0" w:color="auto"/>
      </w:divBdr>
    </w:div>
    <w:div w:id="785387560">
      <w:bodyDiv w:val="1"/>
      <w:marLeft w:val="0"/>
      <w:marRight w:val="0"/>
      <w:marTop w:val="0"/>
      <w:marBottom w:val="0"/>
      <w:divBdr>
        <w:top w:val="none" w:sz="0" w:space="0" w:color="auto"/>
        <w:left w:val="none" w:sz="0" w:space="0" w:color="auto"/>
        <w:bottom w:val="none" w:sz="0" w:space="0" w:color="auto"/>
        <w:right w:val="none" w:sz="0" w:space="0" w:color="auto"/>
      </w:divBdr>
    </w:div>
    <w:div w:id="795370462">
      <w:bodyDiv w:val="1"/>
      <w:marLeft w:val="0"/>
      <w:marRight w:val="0"/>
      <w:marTop w:val="0"/>
      <w:marBottom w:val="0"/>
      <w:divBdr>
        <w:top w:val="none" w:sz="0" w:space="0" w:color="auto"/>
        <w:left w:val="none" w:sz="0" w:space="0" w:color="auto"/>
        <w:bottom w:val="none" w:sz="0" w:space="0" w:color="auto"/>
        <w:right w:val="none" w:sz="0" w:space="0" w:color="auto"/>
      </w:divBdr>
    </w:div>
    <w:div w:id="813067093">
      <w:bodyDiv w:val="1"/>
      <w:marLeft w:val="0"/>
      <w:marRight w:val="0"/>
      <w:marTop w:val="0"/>
      <w:marBottom w:val="0"/>
      <w:divBdr>
        <w:top w:val="none" w:sz="0" w:space="0" w:color="auto"/>
        <w:left w:val="none" w:sz="0" w:space="0" w:color="auto"/>
        <w:bottom w:val="none" w:sz="0" w:space="0" w:color="auto"/>
        <w:right w:val="none" w:sz="0" w:space="0" w:color="auto"/>
      </w:divBdr>
    </w:div>
    <w:div w:id="817187744">
      <w:bodyDiv w:val="1"/>
      <w:marLeft w:val="0"/>
      <w:marRight w:val="0"/>
      <w:marTop w:val="0"/>
      <w:marBottom w:val="0"/>
      <w:divBdr>
        <w:top w:val="none" w:sz="0" w:space="0" w:color="auto"/>
        <w:left w:val="none" w:sz="0" w:space="0" w:color="auto"/>
        <w:bottom w:val="none" w:sz="0" w:space="0" w:color="auto"/>
        <w:right w:val="none" w:sz="0" w:space="0" w:color="auto"/>
      </w:divBdr>
    </w:div>
    <w:div w:id="819856035">
      <w:bodyDiv w:val="1"/>
      <w:marLeft w:val="0"/>
      <w:marRight w:val="0"/>
      <w:marTop w:val="0"/>
      <w:marBottom w:val="0"/>
      <w:divBdr>
        <w:top w:val="none" w:sz="0" w:space="0" w:color="auto"/>
        <w:left w:val="none" w:sz="0" w:space="0" w:color="auto"/>
        <w:bottom w:val="none" w:sz="0" w:space="0" w:color="auto"/>
        <w:right w:val="none" w:sz="0" w:space="0" w:color="auto"/>
      </w:divBdr>
    </w:div>
    <w:div w:id="827285609">
      <w:bodyDiv w:val="1"/>
      <w:marLeft w:val="0"/>
      <w:marRight w:val="0"/>
      <w:marTop w:val="0"/>
      <w:marBottom w:val="0"/>
      <w:divBdr>
        <w:top w:val="none" w:sz="0" w:space="0" w:color="auto"/>
        <w:left w:val="none" w:sz="0" w:space="0" w:color="auto"/>
        <w:bottom w:val="none" w:sz="0" w:space="0" w:color="auto"/>
        <w:right w:val="none" w:sz="0" w:space="0" w:color="auto"/>
      </w:divBdr>
    </w:div>
    <w:div w:id="858204726">
      <w:bodyDiv w:val="1"/>
      <w:marLeft w:val="0"/>
      <w:marRight w:val="0"/>
      <w:marTop w:val="0"/>
      <w:marBottom w:val="0"/>
      <w:divBdr>
        <w:top w:val="none" w:sz="0" w:space="0" w:color="auto"/>
        <w:left w:val="none" w:sz="0" w:space="0" w:color="auto"/>
        <w:bottom w:val="none" w:sz="0" w:space="0" w:color="auto"/>
        <w:right w:val="none" w:sz="0" w:space="0" w:color="auto"/>
      </w:divBdr>
    </w:div>
    <w:div w:id="873807650">
      <w:bodyDiv w:val="1"/>
      <w:marLeft w:val="0"/>
      <w:marRight w:val="0"/>
      <w:marTop w:val="0"/>
      <w:marBottom w:val="0"/>
      <w:divBdr>
        <w:top w:val="none" w:sz="0" w:space="0" w:color="auto"/>
        <w:left w:val="none" w:sz="0" w:space="0" w:color="auto"/>
        <w:bottom w:val="none" w:sz="0" w:space="0" w:color="auto"/>
        <w:right w:val="none" w:sz="0" w:space="0" w:color="auto"/>
      </w:divBdr>
    </w:div>
    <w:div w:id="879393169">
      <w:bodyDiv w:val="1"/>
      <w:marLeft w:val="0"/>
      <w:marRight w:val="0"/>
      <w:marTop w:val="0"/>
      <w:marBottom w:val="0"/>
      <w:divBdr>
        <w:top w:val="none" w:sz="0" w:space="0" w:color="auto"/>
        <w:left w:val="none" w:sz="0" w:space="0" w:color="auto"/>
        <w:bottom w:val="none" w:sz="0" w:space="0" w:color="auto"/>
        <w:right w:val="none" w:sz="0" w:space="0" w:color="auto"/>
      </w:divBdr>
    </w:div>
    <w:div w:id="888421142">
      <w:bodyDiv w:val="1"/>
      <w:marLeft w:val="0"/>
      <w:marRight w:val="0"/>
      <w:marTop w:val="0"/>
      <w:marBottom w:val="0"/>
      <w:divBdr>
        <w:top w:val="none" w:sz="0" w:space="0" w:color="auto"/>
        <w:left w:val="none" w:sz="0" w:space="0" w:color="auto"/>
        <w:bottom w:val="none" w:sz="0" w:space="0" w:color="auto"/>
        <w:right w:val="none" w:sz="0" w:space="0" w:color="auto"/>
      </w:divBdr>
    </w:div>
    <w:div w:id="890271321">
      <w:bodyDiv w:val="1"/>
      <w:marLeft w:val="0"/>
      <w:marRight w:val="0"/>
      <w:marTop w:val="0"/>
      <w:marBottom w:val="0"/>
      <w:divBdr>
        <w:top w:val="none" w:sz="0" w:space="0" w:color="auto"/>
        <w:left w:val="none" w:sz="0" w:space="0" w:color="auto"/>
        <w:bottom w:val="none" w:sz="0" w:space="0" w:color="auto"/>
        <w:right w:val="none" w:sz="0" w:space="0" w:color="auto"/>
      </w:divBdr>
    </w:div>
    <w:div w:id="891039009">
      <w:bodyDiv w:val="1"/>
      <w:marLeft w:val="0"/>
      <w:marRight w:val="0"/>
      <w:marTop w:val="0"/>
      <w:marBottom w:val="0"/>
      <w:divBdr>
        <w:top w:val="none" w:sz="0" w:space="0" w:color="auto"/>
        <w:left w:val="none" w:sz="0" w:space="0" w:color="auto"/>
        <w:bottom w:val="none" w:sz="0" w:space="0" w:color="auto"/>
        <w:right w:val="none" w:sz="0" w:space="0" w:color="auto"/>
      </w:divBdr>
    </w:div>
    <w:div w:id="900559963">
      <w:bodyDiv w:val="1"/>
      <w:marLeft w:val="0"/>
      <w:marRight w:val="0"/>
      <w:marTop w:val="0"/>
      <w:marBottom w:val="0"/>
      <w:divBdr>
        <w:top w:val="none" w:sz="0" w:space="0" w:color="auto"/>
        <w:left w:val="none" w:sz="0" w:space="0" w:color="auto"/>
        <w:bottom w:val="none" w:sz="0" w:space="0" w:color="auto"/>
        <w:right w:val="none" w:sz="0" w:space="0" w:color="auto"/>
      </w:divBdr>
    </w:div>
    <w:div w:id="906065184">
      <w:bodyDiv w:val="1"/>
      <w:marLeft w:val="0"/>
      <w:marRight w:val="0"/>
      <w:marTop w:val="0"/>
      <w:marBottom w:val="0"/>
      <w:divBdr>
        <w:top w:val="none" w:sz="0" w:space="0" w:color="auto"/>
        <w:left w:val="none" w:sz="0" w:space="0" w:color="auto"/>
        <w:bottom w:val="none" w:sz="0" w:space="0" w:color="auto"/>
        <w:right w:val="none" w:sz="0" w:space="0" w:color="auto"/>
      </w:divBdr>
    </w:div>
    <w:div w:id="928537384">
      <w:bodyDiv w:val="1"/>
      <w:marLeft w:val="0"/>
      <w:marRight w:val="0"/>
      <w:marTop w:val="0"/>
      <w:marBottom w:val="0"/>
      <w:divBdr>
        <w:top w:val="none" w:sz="0" w:space="0" w:color="auto"/>
        <w:left w:val="none" w:sz="0" w:space="0" w:color="auto"/>
        <w:bottom w:val="none" w:sz="0" w:space="0" w:color="auto"/>
        <w:right w:val="none" w:sz="0" w:space="0" w:color="auto"/>
      </w:divBdr>
    </w:div>
    <w:div w:id="935551013">
      <w:bodyDiv w:val="1"/>
      <w:marLeft w:val="0"/>
      <w:marRight w:val="0"/>
      <w:marTop w:val="0"/>
      <w:marBottom w:val="0"/>
      <w:divBdr>
        <w:top w:val="none" w:sz="0" w:space="0" w:color="auto"/>
        <w:left w:val="none" w:sz="0" w:space="0" w:color="auto"/>
        <w:bottom w:val="none" w:sz="0" w:space="0" w:color="auto"/>
        <w:right w:val="none" w:sz="0" w:space="0" w:color="auto"/>
      </w:divBdr>
    </w:div>
    <w:div w:id="935863145">
      <w:bodyDiv w:val="1"/>
      <w:marLeft w:val="0"/>
      <w:marRight w:val="0"/>
      <w:marTop w:val="0"/>
      <w:marBottom w:val="0"/>
      <w:divBdr>
        <w:top w:val="none" w:sz="0" w:space="0" w:color="auto"/>
        <w:left w:val="none" w:sz="0" w:space="0" w:color="auto"/>
        <w:bottom w:val="none" w:sz="0" w:space="0" w:color="auto"/>
        <w:right w:val="none" w:sz="0" w:space="0" w:color="auto"/>
      </w:divBdr>
    </w:div>
    <w:div w:id="940262814">
      <w:bodyDiv w:val="1"/>
      <w:marLeft w:val="0"/>
      <w:marRight w:val="0"/>
      <w:marTop w:val="0"/>
      <w:marBottom w:val="0"/>
      <w:divBdr>
        <w:top w:val="none" w:sz="0" w:space="0" w:color="auto"/>
        <w:left w:val="none" w:sz="0" w:space="0" w:color="auto"/>
        <w:bottom w:val="none" w:sz="0" w:space="0" w:color="auto"/>
        <w:right w:val="none" w:sz="0" w:space="0" w:color="auto"/>
      </w:divBdr>
    </w:div>
    <w:div w:id="946279098">
      <w:bodyDiv w:val="1"/>
      <w:marLeft w:val="0"/>
      <w:marRight w:val="0"/>
      <w:marTop w:val="0"/>
      <w:marBottom w:val="0"/>
      <w:divBdr>
        <w:top w:val="none" w:sz="0" w:space="0" w:color="auto"/>
        <w:left w:val="none" w:sz="0" w:space="0" w:color="auto"/>
        <w:bottom w:val="none" w:sz="0" w:space="0" w:color="auto"/>
        <w:right w:val="none" w:sz="0" w:space="0" w:color="auto"/>
      </w:divBdr>
    </w:div>
    <w:div w:id="947616735">
      <w:bodyDiv w:val="1"/>
      <w:marLeft w:val="0"/>
      <w:marRight w:val="0"/>
      <w:marTop w:val="0"/>
      <w:marBottom w:val="0"/>
      <w:divBdr>
        <w:top w:val="none" w:sz="0" w:space="0" w:color="auto"/>
        <w:left w:val="none" w:sz="0" w:space="0" w:color="auto"/>
        <w:bottom w:val="none" w:sz="0" w:space="0" w:color="auto"/>
        <w:right w:val="none" w:sz="0" w:space="0" w:color="auto"/>
      </w:divBdr>
    </w:div>
    <w:div w:id="969896726">
      <w:bodyDiv w:val="1"/>
      <w:marLeft w:val="0"/>
      <w:marRight w:val="0"/>
      <w:marTop w:val="0"/>
      <w:marBottom w:val="0"/>
      <w:divBdr>
        <w:top w:val="none" w:sz="0" w:space="0" w:color="auto"/>
        <w:left w:val="none" w:sz="0" w:space="0" w:color="auto"/>
        <w:bottom w:val="none" w:sz="0" w:space="0" w:color="auto"/>
        <w:right w:val="none" w:sz="0" w:space="0" w:color="auto"/>
      </w:divBdr>
    </w:div>
    <w:div w:id="1009605985">
      <w:bodyDiv w:val="1"/>
      <w:marLeft w:val="0"/>
      <w:marRight w:val="0"/>
      <w:marTop w:val="0"/>
      <w:marBottom w:val="0"/>
      <w:divBdr>
        <w:top w:val="none" w:sz="0" w:space="0" w:color="auto"/>
        <w:left w:val="none" w:sz="0" w:space="0" w:color="auto"/>
        <w:bottom w:val="none" w:sz="0" w:space="0" w:color="auto"/>
        <w:right w:val="none" w:sz="0" w:space="0" w:color="auto"/>
      </w:divBdr>
    </w:div>
    <w:div w:id="1030109201">
      <w:bodyDiv w:val="1"/>
      <w:marLeft w:val="0"/>
      <w:marRight w:val="0"/>
      <w:marTop w:val="0"/>
      <w:marBottom w:val="0"/>
      <w:divBdr>
        <w:top w:val="none" w:sz="0" w:space="0" w:color="auto"/>
        <w:left w:val="none" w:sz="0" w:space="0" w:color="auto"/>
        <w:bottom w:val="none" w:sz="0" w:space="0" w:color="auto"/>
        <w:right w:val="none" w:sz="0" w:space="0" w:color="auto"/>
      </w:divBdr>
    </w:div>
    <w:div w:id="1033925539">
      <w:bodyDiv w:val="1"/>
      <w:marLeft w:val="0"/>
      <w:marRight w:val="0"/>
      <w:marTop w:val="0"/>
      <w:marBottom w:val="0"/>
      <w:divBdr>
        <w:top w:val="none" w:sz="0" w:space="0" w:color="auto"/>
        <w:left w:val="none" w:sz="0" w:space="0" w:color="auto"/>
        <w:bottom w:val="none" w:sz="0" w:space="0" w:color="auto"/>
        <w:right w:val="none" w:sz="0" w:space="0" w:color="auto"/>
      </w:divBdr>
    </w:div>
    <w:div w:id="1044331179">
      <w:bodyDiv w:val="1"/>
      <w:marLeft w:val="0"/>
      <w:marRight w:val="0"/>
      <w:marTop w:val="0"/>
      <w:marBottom w:val="0"/>
      <w:divBdr>
        <w:top w:val="none" w:sz="0" w:space="0" w:color="auto"/>
        <w:left w:val="none" w:sz="0" w:space="0" w:color="auto"/>
        <w:bottom w:val="none" w:sz="0" w:space="0" w:color="auto"/>
        <w:right w:val="none" w:sz="0" w:space="0" w:color="auto"/>
      </w:divBdr>
    </w:div>
    <w:div w:id="1063986555">
      <w:bodyDiv w:val="1"/>
      <w:marLeft w:val="0"/>
      <w:marRight w:val="0"/>
      <w:marTop w:val="0"/>
      <w:marBottom w:val="0"/>
      <w:divBdr>
        <w:top w:val="none" w:sz="0" w:space="0" w:color="auto"/>
        <w:left w:val="none" w:sz="0" w:space="0" w:color="auto"/>
        <w:bottom w:val="none" w:sz="0" w:space="0" w:color="auto"/>
        <w:right w:val="none" w:sz="0" w:space="0" w:color="auto"/>
      </w:divBdr>
    </w:div>
    <w:div w:id="1078213694">
      <w:bodyDiv w:val="1"/>
      <w:marLeft w:val="0"/>
      <w:marRight w:val="0"/>
      <w:marTop w:val="0"/>
      <w:marBottom w:val="0"/>
      <w:divBdr>
        <w:top w:val="none" w:sz="0" w:space="0" w:color="auto"/>
        <w:left w:val="none" w:sz="0" w:space="0" w:color="auto"/>
        <w:bottom w:val="none" w:sz="0" w:space="0" w:color="auto"/>
        <w:right w:val="none" w:sz="0" w:space="0" w:color="auto"/>
      </w:divBdr>
    </w:div>
    <w:div w:id="1078289366">
      <w:bodyDiv w:val="1"/>
      <w:marLeft w:val="0"/>
      <w:marRight w:val="0"/>
      <w:marTop w:val="0"/>
      <w:marBottom w:val="0"/>
      <w:divBdr>
        <w:top w:val="none" w:sz="0" w:space="0" w:color="auto"/>
        <w:left w:val="none" w:sz="0" w:space="0" w:color="auto"/>
        <w:bottom w:val="none" w:sz="0" w:space="0" w:color="auto"/>
        <w:right w:val="none" w:sz="0" w:space="0" w:color="auto"/>
      </w:divBdr>
    </w:div>
    <w:div w:id="1108740309">
      <w:bodyDiv w:val="1"/>
      <w:marLeft w:val="0"/>
      <w:marRight w:val="0"/>
      <w:marTop w:val="0"/>
      <w:marBottom w:val="0"/>
      <w:divBdr>
        <w:top w:val="none" w:sz="0" w:space="0" w:color="auto"/>
        <w:left w:val="none" w:sz="0" w:space="0" w:color="auto"/>
        <w:bottom w:val="none" w:sz="0" w:space="0" w:color="auto"/>
        <w:right w:val="none" w:sz="0" w:space="0" w:color="auto"/>
      </w:divBdr>
    </w:div>
    <w:div w:id="1119373189">
      <w:bodyDiv w:val="1"/>
      <w:marLeft w:val="0"/>
      <w:marRight w:val="0"/>
      <w:marTop w:val="0"/>
      <w:marBottom w:val="0"/>
      <w:divBdr>
        <w:top w:val="none" w:sz="0" w:space="0" w:color="auto"/>
        <w:left w:val="none" w:sz="0" w:space="0" w:color="auto"/>
        <w:bottom w:val="none" w:sz="0" w:space="0" w:color="auto"/>
        <w:right w:val="none" w:sz="0" w:space="0" w:color="auto"/>
      </w:divBdr>
    </w:div>
    <w:div w:id="1126393841">
      <w:bodyDiv w:val="1"/>
      <w:marLeft w:val="0"/>
      <w:marRight w:val="0"/>
      <w:marTop w:val="0"/>
      <w:marBottom w:val="0"/>
      <w:divBdr>
        <w:top w:val="none" w:sz="0" w:space="0" w:color="auto"/>
        <w:left w:val="none" w:sz="0" w:space="0" w:color="auto"/>
        <w:bottom w:val="none" w:sz="0" w:space="0" w:color="auto"/>
        <w:right w:val="none" w:sz="0" w:space="0" w:color="auto"/>
      </w:divBdr>
    </w:div>
    <w:div w:id="1146821921">
      <w:bodyDiv w:val="1"/>
      <w:marLeft w:val="0"/>
      <w:marRight w:val="0"/>
      <w:marTop w:val="0"/>
      <w:marBottom w:val="0"/>
      <w:divBdr>
        <w:top w:val="none" w:sz="0" w:space="0" w:color="auto"/>
        <w:left w:val="none" w:sz="0" w:space="0" w:color="auto"/>
        <w:bottom w:val="none" w:sz="0" w:space="0" w:color="auto"/>
        <w:right w:val="none" w:sz="0" w:space="0" w:color="auto"/>
      </w:divBdr>
    </w:div>
    <w:div w:id="1148010158">
      <w:bodyDiv w:val="1"/>
      <w:marLeft w:val="0"/>
      <w:marRight w:val="0"/>
      <w:marTop w:val="0"/>
      <w:marBottom w:val="0"/>
      <w:divBdr>
        <w:top w:val="none" w:sz="0" w:space="0" w:color="auto"/>
        <w:left w:val="none" w:sz="0" w:space="0" w:color="auto"/>
        <w:bottom w:val="none" w:sz="0" w:space="0" w:color="auto"/>
        <w:right w:val="none" w:sz="0" w:space="0" w:color="auto"/>
      </w:divBdr>
    </w:div>
    <w:div w:id="1150830396">
      <w:bodyDiv w:val="1"/>
      <w:marLeft w:val="0"/>
      <w:marRight w:val="0"/>
      <w:marTop w:val="0"/>
      <w:marBottom w:val="0"/>
      <w:divBdr>
        <w:top w:val="none" w:sz="0" w:space="0" w:color="auto"/>
        <w:left w:val="none" w:sz="0" w:space="0" w:color="auto"/>
        <w:bottom w:val="none" w:sz="0" w:space="0" w:color="auto"/>
        <w:right w:val="none" w:sz="0" w:space="0" w:color="auto"/>
      </w:divBdr>
    </w:div>
    <w:div w:id="1163468520">
      <w:bodyDiv w:val="1"/>
      <w:marLeft w:val="0"/>
      <w:marRight w:val="0"/>
      <w:marTop w:val="0"/>
      <w:marBottom w:val="0"/>
      <w:divBdr>
        <w:top w:val="none" w:sz="0" w:space="0" w:color="auto"/>
        <w:left w:val="none" w:sz="0" w:space="0" w:color="auto"/>
        <w:bottom w:val="none" w:sz="0" w:space="0" w:color="auto"/>
        <w:right w:val="none" w:sz="0" w:space="0" w:color="auto"/>
      </w:divBdr>
    </w:div>
    <w:div w:id="1172985265">
      <w:bodyDiv w:val="1"/>
      <w:marLeft w:val="0"/>
      <w:marRight w:val="0"/>
      <w:marTop w:val="0"/>
      <w:marBottom w:val="0"/>
      <w:divBdr>
        <w:top w:val="none" w:sz="0" w:space="0" w:color="auto"/>
        <w:left w:val="none" w:sz="0" w:space="0" w:color="auto"/>
        <w:bottom w:val="none" w:sz="0" w:space="0" w:color="auto"/>
        <w:right w:val="none" w:sz="0" w:space="0" w:color="auto"/>
      </w:divBdr>
    </w:div>
    <w:div w:id="1173882584">
      <w:bodyDiv w:val="1"/>
      <w:marLeft w:val="0"/>
      <w:marRight w:val="0"/>
      <w:marTop w:val="0"/>
      <w:marBottom w:val="0"/>
      <w:divBdr>
        <w:top w:val="none" w:sz="0" w:space="0" w:color="auto"/>
        <w:left w:val="none" w:sz="0" w:space="0" w:color="auto"/>
        <w:bottom w:val="none" w:sz="0" w:space="0" w:color="auto"/>
        <w:right w:val="none" w:sz="0" w:space="0" w:color="auto"/>
      </w:divBdr>
    </w:div>
    <w:div w:id="1185904964">
      <w:bodyDiv w:val="1"/>
      <w:marLeft w:val="0"/>
      <w:marRight w:val="0"/>
      <w:marTop w:val="0"/>
      <w:marBottom w:val="0"/>
      <w:divBdr>
        <w:top w:val="none" w:sz="0" w:space="0" w:color="auto"/>
        <w:left w:val="none" w:sz="0" w:space="0" w:color="auto"/>
        <w:bottom w:val="none" w:sz="0" w:space="0" w:color="auto"/>
        <w:right w:val="none" w:sz="0" w:space="0" w:color="auto"/>
      </w:divBdr>
    </w:div>
    <w:div w:id="1204708642">
      <w:bodyDiv w:val="1"/>
      <w:marLeft w:val="0"/>
      <w:marRight w:val="0"/>
      <w:marTop w:val="0"/>
      <w:marBottom w:val="0"/>
      <w:divBdr>
        <w:top w:val="none" w:sz="0" w:space="0" w:color="auto"/>
        <w:left w:val="none" w:sz="0" w:space="0" w:color="auto"/>
        <w:bottom w:val="none" w:sz="0" w:space="0" w:color="auto"/>
        <w:right w:val="none" w:sz="0" w:space="0" w:color="auto"/>
      </w:divBdr>
    </w:div>
    <w:div w:id="1216046474">
      <w:bodyDiv w:val="1"/>
      <w:marLeft w:val="0"/>
      <w:marRight w:val="0"/>
      <w:marTop w:val="0"/>
      <w:marBottom w:val="0"/>
      <w:divBdr>
        <w:top w:val="none" w:sz="0" w:space="0" w:color="auto"/>
        <w:left w:val="none" w:sz="0" w:space="0" w:color="auto"/>
        <w:bottom w:val="none" w:sz="0" w:space="0" w:color="auto"/>
        <w:right w:val="none" w:sz="0" w:space="0" w:color="auto"/>
      </w:divBdr>
    </w:div>
    <w:div w:id="1216089899">
      <w:bodyDiv w:val="1"/>
      <w:marLeft w:val="0"/>
      <w:marRight w:val="0"/>
      <w:marTop w:val="0"/>
      <w:marBottom w:val="0"/>
      <w:divBdr>
        <w:top w:val="none" w:sz="0" w:space="0" w:color="auto"/>
        <w:left w:val="none" w:sz="0" w:space="0" w:color="auto"/>
        <w:bottom w:val="none" w:sz="0" w:space="0" w:color="auto"/>
        <w:right w:val="none" w:sz="0" w:space="0" w:color="auto"/>
      </w:divBdr>
    </w:div>
    <w:div w:id="1224829415">
      <w:bodyDiv w:val="1"/>
      <w:marLeft w:val="0"/>
      <w:marRight w:val="0"/>
      <w:marTop w:val="0"/>
      <w:marBottom w:val="0"/>
      <w:divBdr>
        <w:top w:val="none" w:sz="0" w:space="0" w:color="auto"/>
        <w:left w:val="none" w:sz="0" w:space="0" w:color="auto"/>
        <w:bottom w:val="none" w:sz="0" w:space="0" w:color="auto"/>
        <w:right w:val="none" w:sz="0" w:space="0" w:color="auto"/>
      </w:divBdr>
    </w:div>
    <w:div w:id="1229413175">
      <w:bodyDiv w:val="1"/>
      <w:marLeft w:val="0"/>
      <w:marRight w:val="0"/>
      <w:marTop w:val="0"/>
      <w:marBottom w:val="0"/>
      <w:divBdr>
        <w:top w:val="none" w:sz="0" w:space="0" w:color="auto"/>
        <w:left w:val="none" w:sz="0" w:space="0" w:color="auto"/>
        <w:bottom w:val="none" w:sz="0" w:space="0" w:color="auto"/>
        <w:right w:val="none" w:sz="0" w:space="0" w:color="auto"/>
      </w:divBdr>
    </w:div>
    <w:div w:id="1230191416">
      <w:bodyDiv w:val="1"/>
      <w:marLeft w:val="0"/>
      <w:marRight w:val="0"/>
      <w:marTop w:val="0"/>
      <w:marBottom w:val="0"/>
      <w:divBdr>
        <w:top w:val="none" w:sz="0" w:space="0" w:color="auto"/>
        <w:left w:val="none" w:sz="0" w:space="0" w:color="auto"/>
        <w:bottom w:val="none" w:sz="0" w:space="0" w:color="auto"/>
        <w:right w:val="none" w:sz="0" w:space="0" w:color="auto"/>
      </w:divBdr>
    </w:div>
    <w:div w:id="1240090677">
      <w:bodyDiv w:val="1"/>
      <w:marLeft w:val="0"/>
      <w:marRight w:val="0"/>
      <w:marTop w:val="0"/>
      <w:marBottom w:val="0"/>
      <w:divBdr>
        <w:top w:val="none" w:sz="0" w:space="0" w:color="auto"/>
        <w:left w:val="none" w:sz="0" w:space="0" w:color="auto"/>
        <w:bottom w:val="none" w:sz="0" w:space="0" w:color="auto"/>
        <w:right w:val="none" w:sz="0" w:space="0" w:color="auto"/>
      </w:divBdr>
    </w:div>
    <w:div w:id="1266352859">
      <w:bodyDiv w:val="1"/>
      <w:marLeft w:val="0"/>
      <w:marRight w:val="0"/>
      <w:marTop w:val="0"/>
      <w:marBottom w:val="0"/>
      <w:divBdr>
        <w:top w:val="none" w:sz="0" w:space="0" w:color="auto"/>
        <w:left w:val="none" w:sz="0" w:space="0" w:color="auto"/>
        <w:bottom w:val="none" w:sz="0" w:space="0" w:color="auto"/>
        <w:right w:val="none" w:sz="0" w:space="0" w:color="auto"/>
      </w:divBdr>
    </w:div>
    <w:div w:id="1279530989">
      <w:bodyDiv w:val="1"/>
      <w:marLeft w:val="0"/>
      <w:marRight w:val="0"/>
      <w:marTop w:val="0"/>
      <w:marBottom w:val="0"/>
      <w:divBdr>
        <w:top w:val="none" w:sz="0" w:space="0" w:color="auto"/>
        <w:left w:val="none" w:sz="0" w:space="0" w:color="auto"/>
        <w:bottom w:val="none" w:sz="0" w:space="0" w:color="auto"/>
        <w:right w:val="none" w:sz="0" w:space="0" w:color="auto"/>
      </w:divBdr>
    </w:div>
    <w:div w:id="1291663870">
      <w:bodyDiv w:val="1"/>
      <w:marLeft w:val="0"/>
      <w:marRight w:val="0"/>
      <w:marTop w:val="0"/>
      <w:marBottom w:val="0"/>
      <w:divBdr>
        <w:top w:val="none" w:sz="0" w:space="0" w:color="auto"/>
        <w:left w:val="none" w:sz="0" w:space="0" w:color="auto"/>
        <w:bottom w:val="none" w:sz="0" w:space="0" w:color="auto"/>
        <w:right w:val="none" w:sz="0" w:space="0" w:color="auto"/>
      </w:divBdr>
    </w:div>
    <w:div w:id="1304458641">
      <w:bodyDiv w:val="1"/>
      <w:marLeft w:val="0"/>
      <w:marRight w:val="0"/>
      <w:marTop w:val="0"/>
      <w:marBottom w:val="0"/>
      <w:divBdr>
        <w:top w:val="none" w:sz="0" w:space="0" w:color="auto"/>
        <w:left w:val="none" w:sz="0" w:space="0" w:color="auto"/>
        <w:bottom w:val="none" w:sz="0" w:space="0" w:color="auto"/>
        <w:right w:val="none" w:sz="0" w:space="0" w:color="auto"/>
      </w:divBdr>
    </w:div>
    <w:div w:id="1319842511">
      <w:bodyDiv w:val="1"/>
      <w:marLeft w:val="0"/>
      <w:marRight w:val="0"/>
      <w:marTop w:val="0"/>
      <w:marBottom w:val="0"/>
      <w:divBdr>
        <w:top w:val="none" w:sz="0" w:space="0" w:color="auto"/>
        <w:left w:val="none" w:sz="0" w:space="0" w:color="auto"/>
        <w:bottom w:val="none" w:sz="0" w:space="0" w:color="auto"/>
        <w:right w:val="none" w:sz="0" w:space="0" w:color="auto"/>
      </w:divBdr>
    </w:div>
    <w:div w:id="1337995497">
      <w:bodyDiv w:val="1"/>
      <w:marLeft w:val="0"/>
      <w:marRight w:val="0"/>
      <w:marTop w:val="0"/>
      <w:marBottom w:val="0"/>
      <w:divBdr>
        <w:top w:val="none" w:sz="0" w:space="0" w:color="auto"/>
        <w:left w:val="none" w:sz="0" w:space="0" w:color="auto"/>
        <w:bottom w:val="none" w:sz="0" w:space="0" w:color="auto"/>
        <w:right w:val="none" w:sz="0" w:space="0" w:color="auto"/>
      </w:divBdr>
    </w:div>
    <w:div w:id="1357661000">
      <w:bodyDiv w:val="1"/>
      <w:marLeft w:val="0"/>
      <w:marRight w:val="0"/>
      <w:marTop w:val="0"/>
      <w:marBottom w:val="0"/>
      <w:divBdr>
        <w:top w:val="none" w:sz="0" w:space="0" w:color="auto"/>
        <w:left w:val="none" w:sz="0" w:space="0" w:color="auto"/>
        <w:bottom w:val="none" w:sz="0" w:space="0" w:color="auto"/>
        <w:right w:val="none" w:sz="0" w:space="0" w:color="auto"/>
      </w:divBdr>
    </w:div>
    <w:div w:id="1418285619">
      <w:bodyDiv w:val="1"/>
      <w:marLeft w:val="0"/>
      <w:marRight w:val="0"/>
      <w:marTop w:val="0"/>
      <w:marBottom w:val="0"/>
      <w:divBdr>
        <w:top w:val="none" w:sz="0" w:space="0" w:color="auto"/>
        <w:left w:val="none" w:sz="0" w:space="0" w:color="auto"/>
        <w:bottom w:val="none" w:sz="0" w:space="0" w:color="auto"/>
        <w:right w:val="none" w:sz="0" w:space="0" w:color="auto"/>
      </w:divBdr>
    </w:div>
    <w:div w:id="1445811243">
      <w:bodyDiv w:val="1"/>
      <w:marLeft w:val="0"/>
      <w:marRight w:val="0"/>
      <w:marTop w:val="0"/>
      <w:marBottom w:val="0"/>
      <w:divBdr>
        <w:top w:val="none" w:sz="0" w:space="0" w:color="auto"/>
        <w:left w:val="none" w:sz="0" w:space="0" w:color="auto"/>
        <w:bottom w:val="none" w:sz="0" w:space="0" w:color="auto"/>
        <w:right w:val="none" w:sz="0" w:space="0" w:color="auto"/>
      </w:divBdr>
    </w:div>
    <w:div w:id="1446802195">
      <w:bodyDiv w:val="1"/>
      <w:marLeft w:val="0"/>
      <w:marRight w:val="0"/>
      <w:marTop w:val="0"/>
      <w:marBottom w:val="0"/>
      <w:divBdr>
        <w:top w:val="none" w:sz="0" w:space="0" w:color="auto"/>
        <w:left w:val="none" w:sz="0" w:space="0" w:color="auto"/>
        <w:bottom w:val="none" w:sz="0" w:space="0" w:color="auto"/>
        <w:right w:val="none" w:sz="0" w:space="0" w:color="auto"/>
      </w:divBdr>
    </w:div>
    <w:div w:id="1450277633">
      <w:bodyDiv w:val="1"/>
      <w:marLeft w:val="0"/>
      <w:marRight w:val="0"/>
      <w:marTop w:val="0"/>
      <w:marBottom w:val="0"/>
      <w:divBdr>
        <w:top w:val="none" w:sz="0" w:space="0" w:color="auto"/>
        <w:left w:val="none" w:sz="0" w:space="0" w:color="auto"/>
        <w:bottom w:val="none" w:sz="0" w:space="0" w:color="auto"/>
        <w:right w:val="none" w:sz="0" w:space="0" w:color="auto"/>
      </w:divBdr>
    </w:div>
    <w:div w:id="1491140610">
      <w:bodyDiv w:val="1"/>
      <w:marLeft w:val="0"/>
      <w:marRight w:val="0"/>
      <w:marTop w:val="0"/>
      <w:marBottom w:val="0"/>
      <w:divBdr>
        <w:top w:val="none" w:sz="0" w:space="0" w:color="auto"/>
        <w:left w:val="none" w:sz="0" w:space="0" w:color="auto"/>
        <w:bottom w:val="none" w:sz="0" w:space="0" w:color="auto"/>
        <w:right w:val="none" w:sz="0" w:space="0" w:color="auto"/>
      </w:divBdr>
    </w:div>
    <w:div w:id="1494711796">
      <w:bodyDiv w:val="1"/>
      <w:marLeft w:val="0"/>
      <w:marRight w:val="0"/>
      <w:marTop w:val="0"/>
      <w:marBottom w:val="0"/>
      <w:divBdr>
        <w:top w:val="none" w:sz="0" w:space="0" w:color="auto"/>
        <w:left w:val="none" w:sz="0" w:space="0" w:color="auto"/>
        <w:bottom w:val="none" w:sz="0" w:space="0" w:color="auto"/>
        <w:right w:val="none" w:sz="0" w:space="0" w:color="auto"/>
      </w:divBdr>
    </w:div>
    <w:div w:id="1497453498">
      <w:bodyDiv w:val="1"/>
      <w:marLeft w:val="0"/>
      <w:marRight w:val="0"/>
      <w:marTop w:val="0"/>
      <w:marBottom w:val="0"/>
      <w:divBdr>
        <w:top w:val="none" w:sz="0" w:space="0" w:color="auto"/>
        <w:left w:val="none" w:sz="0" w:space="0" w:color="auto"/>
        <w:bottom w:val="none" w:sz="0" w:space="0" w:color="auto"/>
        <w:right w:val="none" w:sz="0" w:space="0" w:color="auto"/>
      </w:divBdr>
    </w:div>
    <w:div w:id="1497695085">
      <w:bodyDiv w:val="1"/>
      <w:marLeft w:val="0"/>
      <w:marRight w:val="0"/>
      <w:marTop w:val="0"/>
      <w:marBottom w:val="0"/>
      <w:divBdr>
        <w:top w:val="none" w:sz="0" w:space="0" w:color="auto"/>
        <w:left w:val="none" w:sz="0" w:space="0" w:color="auto"/>
        <w:bottom w:val="none" w:sz="0" w:space="0" w:color="auto"/>
        <w:right w:val="none" w:sz="0" w:space="0" w:color="auto"/>
      </w:divBdr>
    </w:div>
    <w:div w:id="1512598095">
      <w:bodyDiv w:val="1"/>
      <w:marLeft w:val="0"/>
      <w:marRight w:val="0"/>
      <w:marTop w:val="0"/>
      <w:marBottom w:val="0"/>
      <w:divBdr>
        <w:top w:val="none" w:sz="0" w:space="0" w:color="auto"/>
        <w:left w:val="none" w:sz="0" w:space="0" w:color="auto"/>
        <w:bottom w:val="none" w:sz="0" w:space="0" w:color="auto"/>
        <w:right w:val="none" w:sz="0" w:space="0" w:color="auto"/>
      </w:divBdr>
    </w:div>
    <w:div w:id="1531645145">
      <w:bodyDiv w:val="1"/>
      <w:marLeft w:val="0"/>
      <w:marRight w:val="0"/>
      <w:marTop w:val="0"/>
      <w:marBottom w:val="0"/>
      <w:divBdr>
        <w:top w:val="none" w:sz="0" w:space="0" w:color="auto"/>
        <w:left w:val="none" w:sz="0" w:space="0" w:color="auto"/>
        <w:bottom w:val="none" w:sz="0" w:space="0" w:color="auto"/>
        <w:right w:val="none" w:sz="0" w:space="0" w:color="auto"/>
      </w:divBdr>
    </w:div>
    <w:div w:id="1567034746">
      <w:bodyDiv w:val="1"/>
      <w:marLeft w:val="0"/>
      <w:marRight w:val="0"/>
      <w:marTop w:val="0"/>
      <w:marBottom w:val="0"/>
      <w:divBdr>
        <w:top w:val="none" w:sz="0" w:space="0" w:color="auto"/>
        <w:left w:val="none" w:sz="0" w:space="0" w:color="auto"/>
        <w:bottom w:val="none" w:sz="0" w:space="0" w:color="auto"/>
        <w:right w:val="none" w:sz="0" w:space="0" w:color="auto"/>
      </w:divBdr>
    </w:div>
    <w:div w:id="1570118374">
      <w:bodyDiv w:val="1"/>
      <w:marLeft w:val="0"/>
      <w:marRight w:val="0"/>
      <w:marTop w:val="0"/>
      <w:marBottom w:val="0"/>
      <w:divBdr>
        <w:top w:val="none" w:sz="0" w:space="0" w:color="auto"/>
        <w:left w:val="none" w:sz="0" w:space="0" w:color="auto"/>
        <w:bottom w:val="none" w:sz="0" w:space="0" w:color="auto"/>
        <w:right w:val="none" w:sz="0" w:space="0" w:color="auto"/>
      </w:divBdr>
    </w:div>
    <w:div w:id="1573349515">
      <w:bodyDiv w:val="1"/>
      <w:marLeft w:val="0"/>
      <w:marRight w:val="0"/>
      <w:marTop w:val="0"/>
      <w:marBottom w:val="0"/>
      <w:divBdr>
        <w:top w:val="none" w:sz="0" w:space="0" w:color="auto"/>
        <w:left w:val="none" w:sz="0" w:space="0" w:color="auto"/>
        <w:bottom w:val="none" w:sz="0" w:space="0" w:color="auto"/>
        <w:right w:val="none" w:sz="0" w:space="0" w:color="auto"/>
      </w:divBdr>
    </w:div>
    <w:div w:id="1594313566">
      <w:bodyDiv w:val="1"/>
      <w:marLeft w:val="0"/>
      <w:marRight w:val="0"/>
      <w:marTop w:val="0"/>
      <w:marBottom w:val="0"/>
      <w:divBdr>
        <w:top w:val="none" w:sz="0" w:space="0" w:color="auto"/>
        <w:left w:val="none" w:sz="0" w:space="0" w:color="auto"/>
        <w:bottom w:val="none" w:sz="0" w:space="0" w:color="auto"/>
        <w:right w:val="none" w:sz="0" w:space="0" w:color="auto"/>
      </w:divBdr>
    </w:div>
    <w:div w:id="1602563667">
      <w:bodyDiv w:val="1"/>
      <w:marLeft w:val="0"/>
      <w:marRight w:val="0"/>
      <w:marTop w:val="0"/>
      <w:marBottom w:val="0"/>
      <w:divBdr>
        <w:top w:val="none" w:sz="0" w:space="0" w:color="auto"/>
        <w:left w:val="none" w:sz="0" w:space="0" w:color="auto"/>
        <w:bottom w:val="none" w:sz="0" w:space="0" w:color="auto"/>
        <w:right w:val="none" w:sz="0" w:space="0" w:color="auto"/>
      </w:divBdr>
    </w:div>
    <w:div w:id="1602955703">
      <w:bodyDiv w:val="1"/>
      <w:marLeft w:val="0"/>
      <w:marRight w:val="0"/>
      <w:marTop w:val="0"/>
      <w:marBottom w:val="0"/>
      <w:divBdr>
        <w:top w:val="none" w:sz="0" w:space="0" w:color="auto"/>
        <w:left w:val="none" w:sz="0" w:space="0" w:color="auto"/>
        <w:bottom w:val="none" w:sz="0" w:space="0" w:color="auto"/>
        <w:right w:val="none" w:sz="0" w:space="0" w:color="auto"/>
      </w:divBdr>
    </w:div>
    <w:div w:id="1610043804">
      <w:bodyDiv w:val="1"/>
      <w:marLeft w:val="0"/>
      <w:marRight w:val="0"/>
      <w:marTop w:val="0"/>
      <w:marBottom w:val="0"/>
      <w:divBdr>
        <w:top w:val="none" w:sz="0" w:space="0" w:color="auto"/>
        <w:left w:val="none" w:sz="0" w:space="0" w:color="auto"/>
        <w:bottom w:val="none" w:sz="0" w:space="0" w:color="auto"/>
        <w:right w:val="none" w:sz="0" w:space="0" w:color="auto"/>
      </w:divBdr>
    </w:div>
    <w:div w:id="1640769123">
      <w:bodyDiv w:val="1"/>
      <w:marLeft w:val="0"/>
      <w:marRight w:val="0"/>
      <w:marTop w:val="0"/>
      <w:marBottom w:val="0"/>
      <w:divBdr>
        <w:top w:val="none" w:sz="0" w:space="0" w:color="auto"/>
        <w:left w:val="none" w:sz="0" w:space="0" w:color="auto"/>
        <w:bottom w:val="none" w:sz="0" w:space="0" w:color="auto"/>
        <w:right w:val="none" w:sz="0" w:space="0" w:color="auto"/>
      </w:divBdr>
    </w:div>
    <w:div w:id="1653605573">
      <w:bodyDiv w:val="1"/>
      <w:marLeft w:val="0"/>
      <w:marRight w:val="0"/>
      <w:marTop w:val="0"/>
      <w:marBottom w:val="0"/>
      <w:divBdr>
        <w:top w:val="none" w:sz="0" w:space="0" w:color="auto"/>
        <w:left w:val="none" w:sz="0" w:space="0" w:color="auto"/>
        <w:bottom w:val="none" w:sz="0" w:space="0" w:color="auto"/>
        <w:right w:val="none" w:sz="0" w:space="0" w:color="auto"/>
      </w:divBdr>
    </w:div>
    <w:div w:id="1671521147">
      <w:bodyDiv w:val="1"/>
      <w:marLeft w:val="0"/>
      <w:marRight w:val="0"/>
      <w:marTop w:val="0"/>
      <w:marBottom w:val="0"/>
      <w:divBdr>
        <w:top w:val="none" w:sz="0" w:space="0" w:color="auto"/>
        <w:left w:val="none" w:sz="0" w:space="0" w:color="auto"/>
        <w:bottom w:val="none" w:sz="0" w:space="0" w:color="auto"/>
        <w:right w:val="none" w:sz="0" w:space="0" w:color="auto"/>
      </w:divBdr>
    </w:div>
    <w:div w:id="1673753485">
      <w:bodyDiv w:val="1"/>
      <w:marLeft w:val="0"/>
      <w:marRight w:val="0"/>
      <w:marTop w:val="0"/>
      <w:marBottom w:val="0"/>
      <w:divBdr>
        <w:top w:val="none" w:sz="0" w:space="0" w:color="auto"/>
        <w:left w:val="none" w:sz="0" w:space="0" w:color="auto"/>
        <w:bottom w:val="none" w:sz="0" w:space="0" w:color="auto"/>
        <w:right w:val="none" w:sz="0" w:space="0" w:color="auto"/>
      </w:divBdr>
    </w:div>
    <w:div w:id="1674841979">
      <w:bodyDiv w:val="1"/>
      <w:marLeft w:val="0"/>
      <w:marRight w:val="0"/>
      <w:marTop w:val="0"/>
      <w:marBottom w:val="0"/>
      <w:divBdr>
        <w:top w:val="none" w:sz="0" w:space="0" w:color="auto"/>
        <w:left w:val="none" w:sz="0" w:space="0" w:color="auto"/>
        <w:bottom w:val="none" w:sz="0" w:space="0" w:color="auto"/>
        <w:right w:val="none" w:sz="0" w:space="0" w:color="auto"/>
      </w:divBdr>
    </w:div>
    <w:div w:id="1699501381">
      <w:bodyDiv w:val="1"/>
      <w:marLeft w:val="0"/>
      <w:marRight w:val="0"/>
      <w:marTop w:val="0"/>
      <w:marBottom w:val="0"/>
      <w:divBdr>
        <w:top w:val="none" w:sz="0" w:space="0" w:color="auto"/>
        <w:left w:val="none" w:sz="0" w:space="0" w:color="auto"/>
        <w:bottom w:val="none" w:sz="0" w:space="0" w:color="auto"/>
        <w:right w:val="none" w:sz="0" w:space="0" w:color="auto"/>
      </w:divBdr>
    </w:div>
    <w:div w:id="1705596312">
      <w:bodyDiv w:val="1"/>
      <w:marLeft w:val="0"/>
      <w:marRight w:val="0"/>
      <w:marTop w:val="0"/>
      <w:marBottom w:val="0"/>
      <w:divBdr>
        <w:top w:val="none" w:sz="0" w:space="0" w:color="auto"/>
        <w:left w:val="none" w:sz="0" w:space="0" w:color="auto"/>
        <w:bottom w:val="none" w:sz="0" w:space="0" w:color="auto"/>
        <w:right w:val="none" w:sz="0" w:space="0" w:color="auto"/>
      </w:divBdr>
    </w:div>
    <w:div w:id="1722047410">
      <w:bodyDiv w:val="1"/>
      <w:marLeft w:val="0"/>
      <w:marRight w:val="0"/>
      <w:marTop w:val="0"/>
      <w:marBottom w:val="0"/>
      <w:divBdr>
        <w:top w:val="none" w:sz="0" w:space="0" w:color="auto"/>
        <w:left w:val="none" w:sz="0" w:space="0" w:color="auto"/>
        <w:bottom w:val="none" w:sz="0" w:space="0" w:color="auto"/>
        <w:right w:val="none" w:sz="0" w:space="0" w:color="auto"/>
      </w:divBdr>
    </w:div>
    <w:div w:id="1727100998">
      <w:bodyDiv w:val="1"/>
      <w:marLeft w:val="0"/>
      <w:marRight w:val="0"/>
      <w:marTop w:val="0"/>
      <w:marBottom w:val="0"/>
      <w:divBdr>
        <w:top w:val="none" w:sz="0" w:space="0" w:color="auto"/>
        <w:left w:val="none" w:sz="0" w:space="0" w:color="auto"/>
        <w:bottom w:val="none" w:sz="0" w:space="0" w:color="auto"/>
        <w:right w:val="none" w:sz="0" w:space="0" w:color="auto"/>
      </w:divBdr>
    </w:div>
    <w:div w:id="1744181389">
      <w:bodyDiv w:val="1"/>
      <w:marLeft w:val="0"/>
      <w:marRight w:val="0"/>
      <w:marTop w:val="0"/>
      <w:marBottom w:val="0"/>
      <w:divBdr>
        <w:top w:val="none" w:sz="0" w:space="0" w:color="auto"/>
        <w:left w:val="none" w:sz="0" w:space="0" w:color="auto"/>
        <w:bottom w:val="none" w:sz="0" w:space="0" w:color="auto"/>
        <w:right w:val="none" w:sz="0" w:space="0" w:color="auto"/>
      </w:divBdr>
    </w:div>
    <w:div w:id="1769502344">
      <w:bodyDiv w:val="1"/>
      <w:marLeft w:val="0"/>
      <w:marRight w:val="0"/>
      <w:marTop w:val="0"/>
      <w:marBottom w:val="0"/>
      <w:divBdr>
        <w:top w:val="none" w:sz="0" w:space="0" w:color="auto"/>
        <w:left w:val="none" w:sz="0" w:space="0" w:color="auto"/>
        <w:bottom w:val="none" w:sz="0" w:space="0" w:color="auto"/>
        <w:right w:val="none" w:sz="0" w:space="0" w:color="auto"/>
      </w:divBdr>
    </w:div>
    <w:div w:id="1776900325">
      <w:bodyDiv w:val="1"/>
      <w:marLeft w:val="0"/>
      <w:marRight w:val="0"/>
      <w:marTop w:val="0"/>
      <w:marBottom w:val="0"/>
      <w:divBdr>
        <w:top w:val="none" w:sz="0" w:space="0" w:color="auto"/>
        <w:left w:val="none" w:sz="0" w:space="0" w:color="auto"/>
        <w:bottom w:val="none" w:sz="0" w:space="0" w:color="auto"/>
        <w:right w:val="none" w:sz="0" w:space="0" w:color="auto"/>
      </w:divBdr>
    </w:div>
    <w:div w:id="1785686838">
      <w:bodyDiv w:val="1"/>
      <w:marLeft w:val="0"/>
      <w:marRight w:val="0"/>
      <w:marTop w:val="0"/>
      <w:marBottom w:val="0"/>
      <w:divBdr>
        <w:top w:val="none" w:sz="0" w:space="0" w:color="auto"/>
        <w:left w:val="none" w:sz="0" w:space="0" w:color="auto"/>
        <w:bottom w:val="none" w:sz="0" w:space="0" w:color="auto"/>
        <w:right w:val="none" w:sz="0" w:space="0" w:color="auto"/>
      </w:divBdr>
    </w:div>
    <w:div w:id="1790585763">
      <w:bodyDiv w:val="1"/>
      <w:marLeft w:val="0"/>
      <w:marRight w:val="0"/>
      <w:marTop w:val="0"/>
      <w:marBottom w:val="0"/>
      <w:divBdr>
        <w:top w:val="none" w:sz="0" w:space="0" w:color="auto"/>
        <w:left w:val="none" w:sz="0" w:space="0" w:color="auto"/>
        <w:bottom w:val="none" w:sz="0" w:space="0" w:color="auto"/>
        <w:right w:val="none" w:sz="0" w:space="0" w:color="auto"/>
      </w:divBdr>
    </w:div>
    <w:div w:id="1826235246">
      <w:bodyDiv w:val="1"/>
      <w:marLeft w:val="0"/>
      <w:marRight w:val="0"/>
      <w:marTop w:val="0"/>
      <w:marBottom w:val="0"/>
      <w:divBdr>
        <w:top w:val="none" w:sz="0" w:space="0" w:color="auto"/>
        <w:left w:val="none" w:sz="0" w:space="0" w:color="auto"/>
        <w:bottom w:val="none" w:sz="0" w:space="0" w:color="auto"/>
        <w:right w:val="none" w:sz="0" w:space="0" w:color="auto"/>
      </w:divBdr>
    </w:div>
    <w:div w:id="1828865341">
      <w:bodyDiv w:val="1"/>
      <w:marLeft w:val="0"/>
      <w:marRight w:val="0"/>
      <w:marTop w:val="0"/>
      <w:marBottom w:val="0"/>
      <w:divBdr>
        <w:top w:val="none" w:sz="0" w:space="0" w:color="auto"/>
        <w:left w:val="none" w:sz="0" w:space="0" w:color="auto"/>
        <w:bottom w:val="none" w:sz="0" w:space="0" w:color="auto"/>
        <w:right w:val="none" w:sz="0" w:space="0" w:color="auto"/>
      </w:divBdr>
    </w:div>
    <w:div w:id="1851870775">
      <w:bodyDiv w:val="1"/>
      <w:marLeft w:val="0"/>
      <w:marRight w:val="0"/>
      <w:marTop w:val="0"/>
      <w:marBottom w:val="0"/>
      <w:divBdr>
        <w:top w:val="none" w:sz="0" w:space="0" w:color="auto"/>
        <w:left w:val="none" w:sz="0" w:space="0" w:color="auto"/>
        <w:bottom w:val="none" w:sz="0" w:space="0" w:color="auto"/>
        <w:right w:val="none" w:sz="0" w:space="0" w:color="auto"/>
      </w:divBdr>
    </w:div>
    <w:div w:id="1856924525">
      <w:bodyDiv w:val="1"/>
      <w:marLeft w:val="0"/>
      <w:marRight w:val="0"/>
      <w:marTop w:val="0"/>
      <w:marBottom w:val="0"/>
      <w:divBdr>
        <w:top w:val="none" w:sz="0" w:space="0" w:color="auto"/>
        <w:left w:val="none" w:sz="0" w:space="0" w:color="auto"/>
        <w:bottom w:val="none" w:sz="0" w:space="0" w:color="auto"/>
        <w:right w:val="none" w:sz="0" w:space="0" w:color="auto"/>
      </w:divBdr>
    </w:div>
    <w:div w:id="1866405999">
      <w:bodyDiv w:val="1"/>
      <w:marLeft w:val="0"/>
      <w:marRight w:val="0"/>
      <w:marTop w:val="0"/>
      <w:marBottom w:val="0"/>
      <w:divBdr>
        <w:top w:val="none" w:sz="0" w:space="0" w:color="auto"/>
        <w:left w:val="none" w:sz="0" w:space="0" w:color="auto"/>
        <w:bottom w:val="none" w:sz="0" w:space="0" w:color="auto"/>
        <w:right w:val="none" w:sz="0" w:space="0" w:color="auto"/>
      </w:divBdr>
    </w:div>
    <w:div w:id="1876313936">
      <w:bodyDiv w:val="1"/>
      <w:marLeft w:val="0"/>
      <w:marRight w:val="0"/>
      <w:marTop w:val="0"/>
      <w:marBottom w:val="0"/>
      <w:divBdr>
        <w:top w:val="none" w:sz="0" w:space="0" w:color="auto"/>
        <w:left w:val="none" w:sz="0" w:space="0" w:color="auto"/>
        <w:bottom w:val="none" w:sz="0" w:space="0" w:color="auto"/>
        <w:right w:val="none" w:sz="0" w:space="0" w:color="auto"/>
      </w:divBdr>
    </w:div>
    <w:div w:id="1879774533">
      <w:bodyDiv w:val="1"/>
      <w:marLeft w:val="0"/>
      <w:marRight w:val="0"/>
      <w:marTop w:val="0"/>
      <w:marBottom w:val="0"/>
      <w:divBdr>
        <w:top w:val="none" w:sz="0" w:space="0" w:color="auto"/>
        <w:left w:val="none" w:sz="0" w:space="0" w:color="auto"/>
        <w:bottom w:val="none" w:sz="0" w:space="0" w:color="auto"/>
        <w:right w:val="none" w:sz="0" w:space="0" w:color="auto"/>
      </w:divBdr>
    </w:div>
    <w:div w:id="1900247045">
      <w:bodyDiv w:val="1"/>
      <w:marLeft w:val="0"/>
      <w:marRight w:val="0"/>
      <w:marTop w:val="0"/>
      <w:marBottom w:val="0"/>
      <w:divBdr>
        <w:top w:val="none" w:sz="0" w:space="0" w:color="auto"/>
        <w:left w:val="none" w:sz="0" w:space="0" w:color="auto"/>
        <w:bottom w:val="none" w:sz="0" w:space="0" w:color="auto"/>
        <w:right w:val="none" w:sz="0" w:space="0" w:color="auto"/>
      </w:divBdr>
    </w:div>
    <w:div w:id="1900745792">
      <w:bodyDiv w:val="1"/>
      <w:marLeft w:val="0"/>
      <w:marRight w:val="0"/>
      <w:marTop w:val="0"/>
      <w:marBottom w:val="0"/>
      <w:divBdr>
        <w:top w:val="none" w:sz="0" w:space="0" w:color="auto"/>
        <w:left w:val="none" w:sz="0" w:space="0" w:color="auto"/>
        <w:bottom w:val="none" w:sz="0" w:space="0" w:color="auto"/>
        <w:right w:val="none" w:sz="0" w:space="0" w:color="auto"/>
      </w:divBdr>
    </w:div>
    <w:div w:id="1908564652">
      <w:bodyDiv w:val="1"/>
      <w:marLeft w:val="0"/>
      <w:marRight w:val="0"/>
      <w:marTop w:val="0"/>
      <w:marBottom w:val="0"/>
      <w:divBdr>
        <w:top w:val="none" w:sz="0" w:space="0" w:color="auto"/>
        <w:left w:val="none" w:sz="0" w:space="0" w:color="auto"/>
        <w:bottom w:val="none" w:sz="0" w:space="0" w:color="auto"/>
        <w:right w:val="none" w:sz="0" w:space="0" w:color="auto"/>
      </w:divBdr>
    </w:div>
    <w:div w:id="1935167187">
      <w:bodyDiv w:val="1"/>
      <w:marLeft w:val="0"/>
      <w:marRight w:val="0"/>
      <w:marTop w:val="0"/>
      <w:marBottom w:val="0"/>
      <w:divBdr>
        <w:top w:val="none" w:sz="0" w:space="0" w:color="auto"/>
        <w:left w:val="none" w:sz="0" w:space="0" w:color="auto"/>
        <w:bottom w:val="none" w:sz="0" w:space="0" w:color="auto"/>
        <w:right w:val="none" w:sz="0" w:space="0" w:color="auto"/>
      </w:divBdr>
    </w:div>
    <w:div w:id="1935936638">
      <w:bodyDiv w:val="1"/>
      <w:marLeft w:val="0"/>
      <w:marRight w:val="0"/>
      <w:marTop w:val="0"/>
      <w:marBottom w:val="0"/>
      <w:divBdr>
        <w:top w:val="none" w:sz="0" w:space="0" w:color="auto"/>
        <w:left w:val="none" w:sz="0" w:space="0" w:color="auto"/>
        <w:bottom w:val="none" w:sz="0" w:space="0" w:color="auto"/>
        <w:right w:val="none" w:sz="0" w:space="0" w:color="auto"/>
      </w:divBdr>
    </w:div>
    <w:div w:id="1951274305">
      <w:marLeft w:val="0"/>
      <w:marRight w:val="0"/>
      <w:marTop w:val="0"/>
      <w:marBottom w:val="0"/>
      <w:divBdr>
        <w:top w:val="none" w:sz="0" w:space="0" w:color="auto"/>
        <w:left w:val="none" w:sz="0" w:space="0" w:color="auto"/>
        <w:bottom w:val="none" w:sz="0" w:space="0" w:color="auto"/>
        <w:right w:val="none" w:sz="0" w:space="0" w:color="auto"/>
      </w:divBdr>
      <w:divsChild>
        <w:div w:id="1951274304">
          <w:marLeft w:val="0"/>
          <w:marRight w:val="0"/>
          <w:marTop w:val="0"/>
          <w:marBottom w:val="0"/>
          <w:divBdr>
            <w:top w:val="none" w:sz="0" w:space="0" w:color="auto"/>
            <w:left w:val="none" w:sz="0" w:space="0" w:color="auto"/>
            <w:bottom w:val="none" w:sz="0" w:space="0" w:color="auto"/>
            <w:right w:val="none" w:sz="0" w:space="0" w:color="auto"/>
          </w:divBdr>
          <w:divsChild>
            <w:div w:id="1951274303">
              <w:marLeft w:val="0"/>
              <w:marRight w:val="0"/>
              <w:marTop w:val="0"/>
              <w:marBottom w:val="0"/>
              <w:divBdr>
                <w:top w:val="none" w:sz="0" w:space="0" w:color="auto"/>
                <w:left w:val="none" w:sz="0" w:space="0" w:color="auto"/>
                <w:bottom w:val="none" w:sz="0" w:space="0" w:color="auto"/>
                <w:right w:val="none" w:sz="0" w:space="0" w:color="auto"/>
              </w:divBdr>
              <w:divsChild>
                <w:div w:id="1951274302">
                  <w:marLeft w:val="0"/>
                  <w:marRight w:val="0"/>
                  <w:marTop w:val="0"/>
                  <w:marBottom w:val="0"/>
                  <w:divBdr>
                    <w:top w:val="none" w:sz="0" w:space="0" w:color="auto"/>
                    <w:left w:val="none" w:sz="0" w:space="0" w:color="auto"/>
                    <w:bottom w:val="none" w:sz="0" w:space="0" w:color="auto"/>
                    <w:right w:val="none" w:sz="0" w:space="0" w:color="auto"/>
                  </w:divBdr>
                  <w:divsChild>
                    <w:div w:id="1951274313">
                      <w:marLeft w:val="0"/>
                      <w:marRight w:val="0"/>
                      <w:marTop w:val="0"/>
                      <w:marBottom w:val="0"/>
                      <w:divBdr>
                        <w:top w:val="none" w:sz="0" w:space="0" w:color="auto"/>
                        <w:left w:val="none" w:sz="0" w:space="0" w:color="auto"/>
                        <w:bottom w:val="none" w:sz="0" w:space="0" w:color="auto"/>
                        <w:right w:val="none" w:sz="0" w:space="0" w:color="auto"/>
                      </w:divBdr>
                      <w:divsChild>
                        <w:div w:id="1951274301">
                          <w:marLeft w:val="0"/>
                          <w:marRight w:val="0"/>
                          <w:marTop w:val="0"/>
                          <w:marBottom w:val="0"/>
                          <w:divBdr>
                            <w:top w:val="none" w:sz="0" w:space="0" w:color="auto"/>
                            <w:left w:val="none" w:sz="0" w:space="0" w:color="auto"/>
                            <w:bottom w:val="none" w:sz="0" w:space="0" w:color="auto"/>
                            <w:right w:val="none" w:sz="0" w:space="0" w:color="auto"/>
                          </w:divBdr>
                          <w:divsChild>
                            <w:div w:id="1951274314">
                              <w:marLeft w:val="0"/>
                              <w:marRight w:val="0"/>
                              <w:marTop w:val="0"/>
                              <w:marBottom w:val="0"/>
                              <w:divBdr>
                                <w:top w:val="none" w:sz="0" w:space="0" w:color="auto"/>
                                <w:left w:val="none" w:sz="0" w:space="0" w:color="auto"/>
                                <w:bottom w:val="none" w:sz="0" w:space="0" w:color="auto"/>
                                <w:right w:val="none" w:sz="0" w:space="0" w:color="auto"/>
                              </w:divBdr>
                              <w:divsChild>
                                <w:div w:id="1951274300">
                                  <w:marLeft w:val="0"/>
                                  <w:marRight w:val="0"/>
                                  <w:marTop w:val="0"/>
                                  <w:marBottom w:val="0"/>
                                  <w:divBdr>
                                    <w:top w:val="none" w:sz="0" w:space="0" w:color="auto"/>
                                    <w:left w:val="none" w:sz="0" w:space="0" w:color="auto"/>
                                    <w:bottom w:val="none" w:sz="0" w:space="0" w:color="auto"/>
                                    <w:right w:val="none" w:sz="0" w:space="0" w:color="auto"/>
                                  </w:divBdr>
                                  <w:divsChild>
                                    <w:div w:id="1951274307">
                                      <w:marLeft w:val="0"/>
                                      <w:marRight w:val="0"/>
                                      <w:marTop w:val="0"/>
                                      <w:marBottom w:val="0"/>
                                      <w:divBdr>
                                        <w:top w:val="none" w:sz="0" w:space="0" w:color="auto"/>
                                        <w:left w:val="none" w:sz="0" w:space="0" w:color="auto"/>
                                        <w:bottom w:val="none" w:sz="0" w:space="0" w:color="auto"/>
                                        <w:right w:val="none" w:sz="0" w:space="0" w:color="auto"/>
                                      </w:divBdr>
                                      <w:divsChild>
                                        <w:div w:id="19512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274306">
      <w:marLeft w:val="0"/>
      <w:marRight w:val="0"/>
      <w:marTop w:val="0"/>
      <w:marBottom w:val="0"/>
      <w:divBdr>
        <w:top w:val="none" w:sz="0" w:space="0" w:color="auto"/>
        <w:left w:val="none" w:sz="0" w:space="0" w:color="auto"/>
        <w:bottom w:val="none" w:sz="0" w:space="0" w:color="auto"/>
        <w:right w:val="none" w:sz="0" w:space="0" w:color="auto"/>
      </w:divBdr>
    </w:div>
    <w:div w:id="1951274308">
      <w:marLeft w:val="0"/>
      <w:marRight w:val="0"/>
      <w:marTop w:val="0"/>
      <w:marBottom w:val="0"/>
      <w:divBdr>
        <w:top w:val="none" w:sz="0" w:space="0" w:color="auto"/>
        <w:left w:val="none" w:sz="0" w:space="0" w:color="auto"/>
        <w:bottom w:val="none" w:sz="0" w:space="0" w:color="auto"/>
        <w:right w:val="none" w:sz="0" w:space="0" w:color="auto"/>
      </w:divBdr>
    </w:div>
    <w:div w:id="1951274309">
      <w:marLeft w:val="0"/>
      <w:marRight w:val="0"/>
      <w:marTop w:val="0"/>
      <w:marBottom w:val="0"/>
      <w:divBdr>
        <w:top w:val="none" w:sz="0" w:space="0" w:color="auto"/>
        <w:left w:val="none" w:sz="0" w:space="0" w:color="auto"/>
        <w:bottom w:val="none" w:sz="0" w:space="0" w:color="auto"/>
        <w:right w:val="none" w:sz="0" w:space="0" w:color="auto"/>
      </w:divBdr>
    </w:div>
    <w:div w:id="1951274310">
      <w:marLeft w:val="0"/>
      <w:marRight w:val="0"/>
      <w:marTop w:val="0"/>
      <w:marBottom w:val="0"/>
      <w:divBdr>
        <w:top w:val="none" w:sz="0" w:space="0" w:color="auto"/>
        <w:left w:val="none" w:sz="0" w:space="0" w:color="auto"/>
        <w:bottom w:val="none" w:sz="0" w:space="0" w:color="auto"/>
        <w:right w:val="none" w:sz="0" w:space="0" w:color="auto"/>
      </w:divBdr>
    </w:div>
    <w:div w:id="1951274311">
      <w:marLeft w:val="0"/>
      <w:marRight w:val="0"/>
      <w:marTop w:val="0"/>
      <w:marBottom w:val="0"/>
      <w:divBdr>
        <w:top w:val="none" w:sz="0" w:space="0" w:color="auto"/>
        <w:left w:val="none" w:sz="0" w:space="0" w:color="auto"/>
        <w:bottom w:val="none" w:sz="0" w:space="0" w:color="auto"/>
        <w:right w:val="none" w:sz="0" w:space="0" w:color="auto"/>
      </w:divBdr>
    </w:div>
    <w:div w:id="1951274312">
      <w:marLeft w:val="0"/>
      <w:marRight w:val="0"/>
      <w:marTop w:val="0"/>
      <w:marBottom w:val="0"/>
      <w:divBdr>
        <w:top w:val="none" w:sz="0" w:space="0" w:color="auto"/>
        <w:left w:val="none" w:sz="0" w:space="0" w:color="auto"/>
        <w:bottom w:val="none" w:sz="0" w:space="0" w:color="auto"/>
        <w:right w:val="none" w:sz="0" w:space="0" w:color="auto"/>
      </w:divBdr>
    </w:div>
    <w:div w:id="1951274315">
      <w:marLeft w:val="0"/>
      <w:marRight w:val="0"/>
      <w:marTop w:val="0"/>
      <w:marBottom w:val="0"/>
      <w:divBdr>
        <w:top w:val="none" w:sz="0" w:space="0" w:color="auto"/>
        <w:left w:val="none" w:sz="0" w:space="0" w:color="auto"/>
        <w:bottom w:val="none" w:sz="0" w:space="0" w:color="auto"/>
        <w:right w:val="none" w:sz="0" w:space="0" w:color="auto"/>
      </w:divBdr>
    </w:div>
    <w:div w:id="1951274316">
      <w:marLeft w:val="0"/>
      <w:marRight w:val="0"/>
      <w:marTop w:val="0"/>
      <w:marBottom w:val="0"/>
      <w:divBdr>
        <w:top w:val="none" w:sz="0" w:space="0" w:color="auto"/>
        <w:left w:val="none" w:sz="0" w:space="0" w:color="auto"/>
        <w:bottom w:val="none" w:sz="0" w:space="0" w:color="auto"/>
        <w:right w:val="none" w:sz="0" w:space="0" w:color="auto"/>
      </w:divBdr>
    </w:div>
    <w:div w:id="1958027374">
      <w:bodyDiv w:val="1"/>
      <w:marLeft w:val="0"/>
      <w:marRight w:val="0"/>
      <w:marTop w:val="0"/>
      <w:marBottom w:val="0"/>
      <w:divBdr>
        <w:top w:val="none" w:sz="0" w:space="0" w:color="auto"/>
        <w:left w:val="none" w:sz="0" w:space="0" w:color="auto"/>
        <w:bottom w:val="none" w:sz="0" w:space="0" w:color="auto"/>
        <w:right w:val="none" w:sz="0" w:space="0" w:color="auto"/>
      </w:divBdr>
    </w:div>
    <w:div w:id="1970623111">
      <w:bodyDiv w:val="1"/>
      <w:marLeft w:val="0"/>
      <w:marRight w:val="0"/>
      <w:marTop w:val="0"/>
      <w:marBottom w:val="0"/>
      <w:divBdr>
        <w:top w:val="none" w:sz="0" w:space="0" w:color="auto"/>
        <w:left w:val="none" w:sz="0" w:space="0" w:color="auto"/>
        <w:bottom w:val="none" w:sz="0" w:space="0" w:color="auto"/>
        <w:right w:val="none" w:sz="0" w:space="0" w:color="auto"/>
      </w:divBdr>
    </w:div>
    <w:div w:id="1994134687">
      <w:bodyDiv w:val="1"/>
      <w:marLeft w:val="0"/>
      <w:marRight w:val="0"/>
      <w:marTop w:val="0"/>
      <w:marBottom w:val="0"/>
      <w:divBdr>
        <w:top w:val="none" w:sz="0" w:space="0" w:color="auto"/>
        <w:left w:val="none" w:sz="0" w:space="0" w:color="auto"/>
        <w:bottom w:val="none" w:sz="0" w:space="0" w:color="auto"/>
        <w:right w:val="none" w:sz="0" w:space="0" w:color="auto"/>
      </w:divBdr>
    </w:div>
    <w:div w:id="1996714723">
      <w:bodyDiv w:val="1"/>
      <w:marLeft w:val="0"/>
      <w:marRight w:val="0"/>
      <w:marTop w:val="0"/>
      <w:marBottom w:val="0"/>
      <w:divBdr>
        <w:top w:val="none" w:sz="0" w:space="0" w:color="auto"/>
        <w:left w:val="none" w:sz="0" w:space="0" w:color="auto"/>
        <w:bottom w:val="none" w:sz="0" w:space="0" w:color="auto"/>
        <w:right w:val="none" w:sz="0" w:space="0" w:color="auto"/>
      </w:divBdr>
    </w:div>
    <w:div w:id="1998344264">
      <w:bodyDiv w:val="1"/>
      <w:marLeft w:val="0"/>
      <w:marRight w:val="0"/>
      <w:marTop w:val="0"/>
      <w:marBottom w:val="0"/>
      <w:divBdr>
        <w:top w:val="none" w:sz="0" w:space="0" w:color="auto"/>
        <w:left w:val="none" w:sz="0" w:space="0" w:color="auto"/>
        <w:bottom w:val="none" w:sz="0" w:space="0" w:color="auto"/>
        <w:right w:val="none" w:sz="0" w:space="0" w:color="auto"/>
      </w:divBdr>
    </w:div>
    <w:div w:id="2013676819">
      <w:bodyDiv w:val="1"/>
      <w:marLeft w:val="0"/>
      <w:marRight w:val="0"/>
      <w:marTop w:val="0"/>
      <w:marBottom w:val="0"/>
      <w:divBdr>
        <w:top w:val="none" w:sz="0" w:space="0" w:color="auto"/>
        <w:left w:val="none" w:sz="0" w:space="0" w:color="auto"/>
        <w:bottom w:val="none" w:sz="0" w:space="0" w:color="auto"/>
        <w:right w:val="none" w:sz="0" w:space="0" w:color="auto"/>
      </w:divBdr>
    </w:div>
    <w:div w:id="2015523248">
      <w:bodyDiv w:val="1"/>
      <w:marLeft w:val="0"/>
      <w:marRight w:val="0"/>
      <w:marTop w:val="0"/>
      <w:marBottom w:val="0"/>
      <w:divBdr>
        <w:top w:val="none" w:sz="0" w:space="0" w:color="auto"/>
        <w:left w:val="none" w:sz="0" w:space="0" w:color="auto"/>
        <w:bottom w:val="none" w:sz="0" w:space="0" w:color="auto"/>
        <w:right w:val="none" w:sz="0" w:space="0" w:color="auto"/>
      </w:divBdr>
    </w:div>
    <w:div w:id="2016616430">
      <w:bodyDiv w:val="1"/>
      <w:marLeft w:val="0"/>
      <w:marRight w:val="0"/>
      <w:marTop w:val="0"/>
      <w:marBottom w:val="0"/>
      <w:divBdr>
        <w:top w:val="none" w:sz="0" w:space="0" w:color="auto"/>
        <w:left w:val="none" w:sz="0" w:space="0" w:color="auto"/>
        <w:bottom w:val="none" w:sz="0" w:space="0" w:color="auto"/>
        <w:right w:val="none" w:sz="0" w:space="0" w:color="auto"/>
      </w:divBdr>
    </w:div>
    <w:div w:id="2050645935">
      <w:bodyDiv w:val="1"/>
      <w:marLeft w:val="0"/>
      <w:marRight w:val="0"/>
      <w:marTop w:val="0"/>
      <w:marBottom w:val="0"/>
      <w:divBdr>
        <w:top w:val="none" w:sz="0" w:space="0" w:color="auto"/>
        <w:left w:val="none" w:sz="0" w:space="0" w:color="auto"/>
        <w:bottom w:val="none" w:sz="0" w:space="0" w:color="auto"/>
        <w:right w:val="none" w:sz="0" w:space="0" w:color="auto"/>
      </w:divBdr>
    </w:div>
    <w:div w:id="2055107777">
      <w:bodyDiv w:val="1"/>
      <w:marLeft w:val="0"/>
      <w:marRight w:val="0"/>
      <w:marTop w:val="0"/>
      <w:marBottom w:val="0"/>
      <w:divBdr>
        <w:top w:val="none" w:sz="0" w:space="0" w:color="auto"/>
        <w:left w:val="none" w:sz="0" w:space="0" w:color="auto"/>
        <w:bottom w:val="none" w:sz="0" w:space="0" w:color="auto"/>
        <w:right w:val="none" w:sz="0" w:space="0" w:color="auto"/>
      </w:divBdr>
    </w:div>
    <w:div w:id="2063405388">
      <w:bodyDiv w:val="1"/>
      <w:marLeft w:val="0"/>
      <w:marRight w:val="0"/>
      <w:marTop w:val="0"/>
      <w:marBottom w:val="0"/>
      <w:divBdr>
        <w:top w:val="none" w:sz="0" w:space="0" w:color="auto"/>
        <w:left w:val="none" w:sz="0" w:space="0" w:color="auto"/>
        <w:bottom w:val="none" w:sz="0" w:space="0" w:color="auto"/>
        <w:right w:val="none" w:sz="0" w:space="0" w:color="auto"/>
      </w:divBdr>
    </w:div>
    <w:div w:id="2086410183">
      <w:bodyDiv w:val="1"/>
      <w:marLeft w:val="0"/>
      <w:marRight w:val="0"/>
      <w:marTop w:val="0"/>
      <w:marBottom w:val="0"/>
      <w:divBdr>
        <w:top w:val="none" w:sz="0" w:space="0" w:color="auto"/>
        <w:left w:val="none" w:sz="0" w:space="0" w:color="auto"/>
        <w:bottom w:val="none" w:sz="0" w:space="0" w:color="auto"/>
        <w:right w:val="none" w:sz="0" w:space="0" w:color="auto"/>
      </w:divBdr>
    </w:div>
    <w:div w:id="2095666204">
      <w:bodyDiv w:val="1"/>
      <w:marLeft w:val="0"/>
      <w:marRight w:val="0"/>
      <w:marTop w:val="0"/>
      <w:marBottom w:val="0"/>
      <w:divBdr>
        <w:top w:val="none" w:sz="0" w:space="0" w:color="auto"/>
        <w:left w:val="none" w:sz="0" w:space="0" w:color="auto"/>
        <w:bottom w:val="none" w:sz="0" w:space="0" w:color="auto"/>
        <w:right w:val="none" w:sz="0" w:space="0" w:color="auto"/>
      </w:divBdr>
    </w:div>
    <w:div w:id="2096513307">
      <w:bodyDiv w:val="1"/>
      <w:marLeft w:val="0"/>
      <w:marRight w:val="0"/>
      <w:marTop w:val="0"/>
      <w:marBottom w:val="0"/>
      <w:divBdr>
        <w:top w:val="none" w:sz="0" w:space="0" w:color="auto"/>
        <w:left w:val="none" w:sz="0" w:space="0" w:color="auto"/>
        <w:bottom w:val="none" w:sz="0" w:space="0" w:color="auto"/>
        <w:right w:val="none" w:sz="0" w:space="0" w:color="auto"/>
      </w:divBdr>
    </w:div>
    <w:div w:id="2115324403">
      <w:bodyDiv w:val="1"/>
      <w:marLeft w:val="0"/>
      <w:marRight w:val="0"/>
      <w:marTop w:val="0"/>
      <w:marBottom w:val="0"/>
      <w:divBdr>
        <w:top w:val="none" w:sz="0" w:space="0" w:color="auto"/>
        <w:left w:val="none" w:sz="0" w:space="0" w:color="auto"/>
        <w:bottom w:val="none" w:sz="0" w:space="0" w:color="auto"/>
        <w:right w:val="none" w:sz="0" w:space="0" w:color="auto"/>
      </w:divBdr>
    </w:div>
    <w:div w:id="2127770802">
      <w:bodyDiv w:val="1"/>
      <w:marLeft w:val="0"/>
      <w:marRight w:val="0"/>
      <w:marTop w:val="0"/>
      <w:marBottom w:val="0"/>
      <w:divBdr>
        <w:top w:val="none" w:sz="0" w:space="0" w:color="auto"/>
        <w:left w:val="none" w:sz="0" w:space="0" w:color="auto"/>
        <w:bottom w:val="none" w:sz="0" w:space="0" w:color="auto"/>
        <w:right w:val="none" w:sz="0" w:space="0" w:color="auto"/>
      </w:divBdr>
    </w:div>
    <w:div w:id="2135100306">
      <w:bodyDiv w:val="1"/>
      <w:marLeft w:val="0"/>
      <w:marRight w:val="0"/>
      <w:marTop w:val="0"/>
      <w:marBottom w:val="0"/>
      <w:divBdr>
        <w:top w:val="none" w:sz="0" w:space="0" w:color="auto"/>
        <w:left w:val="none" w:sz="0" w:space="0" w:color="auto"/>
        <w:bottom w:val="none" w:sz="0" w:space="0" w:color="auto"/>
        <w:right w:val="none" w:sz="0" w:space="0" w:color="auto"/>
      </w:divBdr>
    </w:div>
    <w:div w:id="21356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siness-week.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usiness-week.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E4BF8A11634EABBB7AF7C0C78867D4"/>
        <w:category>
          <w:name w:val="General"/>
          <w:gallery w:val="placeholder"/>
        </w:category>
        <w:types>
          <w:type w:val="bbPlcHdr"/>
        </w:types>
        <w:behaviors>
          <w:behavior w:val="content"/>
        </w:behaviors>
        <w:guid w:val="{67B51BAE-D602-4748-891C-543E53F3F562}"/>
      </w:docPartPr>
      <w:docPartBody>
        <w:p w:rsidR="00D933E4" w:rsidRDefault="00D933E4" w:rsidP="00D933E4">
          <w:pPr>
            <w:pStyle w:val="23E4BF8A11634EABBB7AF7C0C78867D4"/>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NewBaskervill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33E4"/>
    <w:rsid w:val="00611297"/>
    <w:rsid w:val="00AB43DE"/>
    <w:rsid w:val="00D93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2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E3F5DBD07D45AA9DAB8C540A6BB6E0">
    <w:name w:val="D7E3F5DBD07D45AA9DAB8C540A6BB6E0"/>
    <w:rsid w:val="00D933E4"/>
  </w:style>
  <w:style w:type="paragraph" w:customStyle="1" w:styleId="E78B929CDF0A45DAA61ABFA2C4388E14">
    <w:name w:val="E78B929CDF0A45DAA61ABFA2C4388E14"/>
    <w:rsid w:val="00D933E4"/>
  </w:style>
  <w:style w:type="paragraph" w:customStyle="1" w:styleId="23E4BF8A11634EABBB7AF7C0C78867D4">
    <w:name w:val="23E4BF8A11634EABBB7AF7C0C78867D4"/>
    <w:rsid w:val="00D933E4"/>
  </w:style>
  <w:style w:type="paragraph" w:customStyle="1" w:styleId="23FB420F8F0C4B758C10791DCFFF6394">
    <w:name w:val="23FB420F8F0C4B758C10791DCFFF6394"/>
    <w:rsid w:val="00D933E4"/>
  </w:style>
  <w:style w:type="paragraph" w:customStyle="1" w:styleId="1E972204EF864AFC9DB116EFE8810C7A">
    <w:name w:val="1E972204EF864AFC9DB116EFE8810C7A"/>
    <w:rsid w:val="00D933E4"/>
  </w:style>
  <w:style w:type="paragraph" w:customStyle="1" w:styleId="472B0A3C920D4728A4687E70760E0573">
    <w:name w:val="472B0A3C920D4728A4687E70760E0573"/>
    <w:rsid w:val="00D933E4"/>
  </w:style>
  <w:style w:type="paragraph" w:customStyle="1" w:styleId="FF3846A4C1564FC6B4AFF96556D659C4">
    <w:name w:val="FF3846A4C1564FC6B4AFF96556D659C4"/>
    <w:rsid w:val="00D933E4"/>
  </w:style>
  <w:style w:type="paragraph" w:customStyle="1" w:styleId="91AD2DB30D20441B876954688F56773D">
    <w:name w:val="91AD2DB30D20441B876954688F56773D"/>
    <w:rsid w:val="00D933E4"/>
  </w:style>
  <w:style w:type="paragraph" w:customStyle="1" w:styleId="3852D1D6D9EA466480847CBEAE936443">
    <w:name w:val="3852D1D6D9EA466480847CBEAE936443"/>
    <w:rsid w:val="00D933E4"/>
  </w:style>
  <w:style w:type="paragraph" w:customStyle="1" w:styleId="C67B1574EB1240D7AF9A107312688CF4">
    <w:name w:val="C67B1574EB1240D7AF9A107312688CF4"/>
    <w:rsid w:val="00D933E4"/>
  </w:style>
  <w:style w:type="paragraph" w:customStyle="1" w:styleId="BC35BE8F1BCA4BB2B1D496102E63BD08">
    <w:name w:val="BC35BE8F1BCA4BB2B1D496102E63BD08"/>
    <w:rsid w:val="00D933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4F7029-6077-48C4-93D1-FB4A9EBF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17537</Words>
  <Characters>99966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THE INFLUENCE OF THE AUDIT COMMITTEE’S COMPOSITION AND EXPERTISE ON EARNINGS QUALITY IN THE EUROPEAN UNION</vt:lpstr>
    </vt:vector>
  </TitlesOfParts>
  <Company>Erasmus Universiteit Rotterdam</Company>
  <LinksUpToDate>false</LinksUpToDate>
  <CharactersWithSpaces>117269</CharactersWithSpaces>
  <SharedDoc>false</SharedDoc>
  <HLinks>
    <vt:vector size="84" baseType="variant">
      <vt:variant>
        <vt:i4>1114173</vt:i4>
      </vt:variant>
      <vt:variant>
        <vt:i4>80</vt:i4>
      </vt:variant>
      <vt:variant>
        <vt:i4>0</vt:i4>
      </vt:variant>
      <vt:variant>
        <vt:i4>5</vt:i4>
      </vt:variant>
      <vt:variant>
        <vt:lpwstr/>
      </vt:variant>
      <vt:variant>
        <vt:lpwstr>_Toc328577163</vt:lpwstr>
      </vt:variant>
      <vt:variant>
        <vt:i4>1114173</vt:i4>
      </vt:variant>
      <vt:variant>
        <vt:i4>74</vt:i4>
      </vt:variant>
      <vt:variant>
        <vt:i4>0</vt:i4>
      </vt:variant>
      <vt:variant>
        <vt:i4>5</vt:i4>
      </vt:variant>
      <vt:variant>
        <vt:lpwstr/>
      </vt:variant>
      <vt:variant>
        <vt:lpwstr>_Toc328577162</vt:lpwstr>
      </vt:variant>
      <vt:variant>
        <vt:i4>1114173</vt:i4>
      </vt:variant>
      <vt:variant>
        <vt:i4>68</vt:i4>
      </vt:variant>
      <vt:variant>
        <vt:i4>0</vt:i4>
      </vt:variant>
      <vt:variant>
        <vt:i4>5</vt:i4>
      </vt:variant>
      <vt:variant>
        <vt:lpwstr/>
      </vt:variant>
      <vt:variant>
        <vt:lpwstr>_Toc328577161</vt:lpwstr>
      </vt:variant>
      <vt:variant>
        <vt:i4>1114173</vt:i4>
      </vt:variant>
      <vt:variant>
        <vt:i4>62</vt:i4>
      </vt:variant>
      <vt:variant>
        <vt:i4>0</vt:i4>
      </vt:variant>
      <vt:variant>
        <vt:i4>5</vt:i4>
      </vt:variant>
      <vt:variant>
        <vt:lpwstr/>
      </vt:variant>
      <vt:variant>
        <vt:lpwstr>_Toc328577160</vt:lpwstr>
      </vt:variant>
      <vt:variant>
        <vt:i4>1179709</vt:i4>
      </vt:variant>
      <vt:variant>
        <vt:i4>56</vt:i4>
      </vt:variant>
      <vt:variant>
        <vt:i4>0</vt:i4>
      </vt:variant>
      <vt:variant>
        <vt:i4>5</vt:i4>
      </vt:variant>
      <vt:variant>
        <vt:lpwstr/>
      </vt:variant>
      <vt:variant>
        <vt:lpwstr>_Toc328577159</vt:lpwstr>
      </vt:variant>
      <vt:variant>
        <vt:i4>1179709</vt:i4>
      </vt:variant>
      <vt:variant>
        <vt:i4>50</vt:i4>
      </vt:variant>
      <vt:variant>
        <vt:i4>0</vt:i4>
      </vt:variant>
      <vt:variant>
        <vt:i4>5</vt:i4>
      </vt:variant>
      <vt:variant>
        <vt:lpwstr/>
      </vt:variant>
      <vt:variant>
        <vt:lpwstr>_Toc328577158</vt:lpwstr>
      </vt:variant>
      <vt:variant>
        <vt:i4>1179709</vt:i4>
      </vt:variant>
      <vt:variant>
        <vt:i4>44</vt:i4>
      </vt:variant>
      <vt:variant>
        <vt:i4>0</vt:i4>
      </vt:variant>
      <vt:variant>
        <vt:i4>5</vt:i4>
      </vt:variant>
      <vt:variant>
        <vt:lpwstr/>
      </vt:variant>
      <vt:variant>
        <vt:lpwstr>_Toc328577157</vt:lpwstr>
      </vt:variant>
      <vt:variant>
        <vt:i4>1179709</vt:i4>
      </vt:variant>
      <vt:variant>
        <vt:i4>38</vt:i4>
      </vt:variant>
      <vt:variant>
        <vt:i4>0</vt:i4>
      </vt:variant>
      <vt:variant>
        <vt:i4>5</vt:i4>
      </vt:variant>
      <vt:variant>
        <vt:lpwstr/>
      </vt:variant>
      <vt:variant>
        <vt:lpwstr>_Toc328577156</vt:lpwstr>
      </vt:variant>
      <vt:variant>
        <vt:i4>1179709</vt:i4>
      </vt:variant>
      <vt:variant>
        <vt:i4>32</vt:i4>
      </vt:variant>
      <vt:variant>
        <vt:i4>0</vt:i4>
      </vt:variant>
      <vt:variant>
        <vt:i4>5</vt:i4>
      </vt:variant>
      <vt:variant>
        <vt:lpwstr/>
      </vt:variant>
      <vt:variant>
        <vt:lpwstr>_Toc328577155</vt:lpwstr>
      </vt:variant>
      <vt:variant>
        <vt:i4>1179709</vt:i4>
      </vt:variant>
      <vt:variant>
        <vt:i4>26</vt:i4>
      </vt:variant>
      <vt:variant>
        <vt:i4>0</vt:i4>
      </vt:variant>
      <vt:variant>
        <vt:i4>5</vt:i4>
      </vt:variant>
      <vt:variant>
        <vt:lpwstr/>
      </vt:variant>
      <vt:variant>
        <vt:lpwstr>_Toc328577154</vt:lpwstr>
      </vt:variant>
      <vt:variant>
        <vt:i4>1179709</vt:i4>
      </vt:variant>
      <vt:variant>
        <vt:i4>20</vt:i4>
      </vt:variant>
      <vt:variant>
        <vt:i4>0</vt:i4>
      </vt:variant>
      <vt:variant>
        <vt:i4>5</vt:i4>
      </vt:variant>
      <vt:variant>
        <vt:lpwstr/>
      </vt:variant>
      <vt:variant>
        <vt:lpwstr>_Toc328577153</vt:lpwstr>
      </vt:variant>
      <vt:variant>
        <vt:i4>1179709</vt:i4>
      </vt:variant>
      <vt:variant>
        <vt:i4>14</vt:i4>
      </vt:variant>
      <vt:variant>
        <vt:i4>0</vt:i4>
      </vt:variant>
      <vt:variant>
        <vt:i4>5</vt:i4>
      </vt:variant>
      <vt:variant>
        <vt:lpwstr/>
      </vt:variant>
      <vt:variant>
        <vt:lpwstr>_Toc328577152</vt:lpwstr>
      </vt:variant>
      <vt:variant>
        <vt:i4>1179709</vt:i4>
      </vt:variant>
      <vt:variant>
        <vt:i4>8</vt:i4>
      </vt:variant>
      <vt:variant>
        <vt:i4>0</vt:i4>
      </vt:variant>
      <vt:variant>
        <vt:i4>5</vt:i4>
      </vt:variant>
      <vt:variant>
        <vt:lpwstr/>
      </vt:variant>
      <vt:variant>
        <vt:lpwstr>_Toc328577151</vt:lpwstr>
      </vt:variant>
      <vt:variant>
        <vt:i4>1179709</vt:i4>
      </vt:variant>
      <vt:variant>
        <vt:i4>2</vt:i4>
      </vt:variant>
      <vt:variant>
        <vt:i4>0</vt:i4>
      </vt:variant>
      <vt:variant>
        <vt:i4>5</vt:i4>
      </vt:variant>
      <vt:variant>
        <vt:lpwstr/>
      </vt:variant>
      <vt:variant>
        <vt:lpwstr>_Toc328577150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THE AUDIT COMMITTEE’S COMPOSITION AND EXPERTISE ON EARNINGS QUALITY IN THE EUROPEAN UNION</dc:title>
  <dc:subject>Investigating the effects of the European’s Commission (2011) proposed audit reform</dc:subject>
  <dc:creator>Jun-Patrick Croes (325490)</dc:creator>
  <cp:lastModifiedBy>Chris D. Knoops</cp:lastModifiedBy>
  <cp:revision>2</cp:revision>
  <cp:lastPrinted>2013-06-18T14:50:00Z</cp:lastPrinted>
  <dcterms:created xsi:type="dcterms:W3CDTF">2013-08-14T09:27:00Z</dcterms:created>
  <dcterms:modified xsi:type="dcterms:W3CDTF">2013-08-14T09:27:00Z</dcterms:modified>
</cp:coreProperties>
</file>